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F1CD1">
      <w:pPr>
        <w:jc w:val="center"/>
        <w:rPr>
          <w:rFonts w:hint="eastAsia" w:ascii="微软雅黑" w:hAnsi="微软雅黑" w:eastAsia="微软雅黑" w:cs="微软雅黑"/>
          <w:sz w:val="44"/>
          <w:szCs w:val="44"/>
        </w:rPr>
      </w:pPr>
    </w:p>
    <w:p w14:paraId="5EE271A9">
      <w:pPr>
        <w:spacing w:before="146" w:line="219" w:lineRule="auto"/>
        <w:jc w:val="center"/>
        <w:rPr>
          <w:rFonts w:hint="eastAsia" w:ascii="微软雅黑" w:hAnsi="微软雅黑" w:eastAsia="微软雅黑" w:cs="微软雅黑"/>
          <w:b w:val="0"/>
          <w:bCs w:val="0"/>
          <w:spacing w:val="-1"/>
          <w:sz w:val="44"/>
          <w:szCs w:val="44"/>
          <w:lang w:eastAsia="zh-CN"/>
        </w:rPr>
      </w:pPr>
      <w:r>
        <w:rPr>
          <w:rFonts w:hint="eastAsia" w:ascii="微软雅黑" w:hAnsi="微软雅黑" w:eastAsia="微软雅黑" w:cs="微软雅黑"/>
          <w:b w:val="0"/>
          <w:bCs w:val="0"/>
          <w:spacing w:val="-1"/>
          <w:sz w:val="44"/>
          <w:szCs w:val="44"/>
          <w:lang w:eastAsia="zh-CN"/>
        </w:rPr>
        <w:t>益阳市水利局不予处罚事项清单</w:t>
      </w:r>
    </w:p>
    <w:p w14:paraId="299C611E">
      <w:pPr>
        <w:spacing w:line="14" w:lineRule="exact"/>
      </w:pPr>
    </w:p>
    <w:tbl>
      <w:tblPr>
        <w:tblStyle w:val="9"/>
        <w:tblW w:w="143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4"/>
        <w:gridCol w:w="2998"/>
        <w:gridCol w:w="1017"/>
        <w:gridCol w:w="3945"/>
        <w:gridCol w:w="4152"/>
        <w:gridCol w:w="1204"/>
      </w:tblGrid>
      <w:tr w14:paraId="7DA3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024" w:type="dxa"/>
            <w:vAlign w:val="top"/>
          </w:tcPr>
          <w:p w14:paraId="2ADED499">
            <w:pPr>
              <w:spacing w:before="204" w:line="221" w:lineRule="auto"/>
              <w:ind w:left="189"/>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6"/>
                <w:sz w:val="24"/>
                <w:szCs w:val="24"/>
              </w:rPr>
              <w:t>序号</w:t>
            </w:r>
          </w:p>
        </w:tc>
        <w:tc>
          <w:tcPr>
            <w:tcW w:w="2998" w:type="dxa"/>
            <w:vAlign w:val="top"/>
          </w:tcPr>
          <w:p w14:paraId="5316825E">
            <w:pPr>
              <w:spacing w:before="203" w:line="220" w:lineRule="auto"/>
              <w:ind w:left="645"/>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2"/>
                <w:sz w:val="24"/>
                <w:szCs w:val="24"/>
              </w:rPr>
              <w:t>行政处罚事项</w:t>
            </w:r>
          </w:p>
        </w:tc>
        <w:tc>
          <w:tcPr>
            <w:tcW w:w="1017" w:type="dxa"/>
            <w:vAlign w:val="top"/>
          </w:tcPr>
          <w:p w14:paraId="2525BE38">
            <w:pPr>
              <w:spacing w:before="201" w:line="219" w:lineRule="auto"/>
              <w:jc w:val="both"/>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2"/>
                <w:sz w:val="24"/>
                <w:szCs w:val="24"/>
              </w:rPr>
              <w:t>实施机关</w:t>
            </w:r>
          </w:p>
        </w:tc>
        <w:tc>
          <w:tcPr>
            <w:tcW w:w="3945" w:type="dxa"/>
            <w:vAlign w:val="top"/>
          </w:tcPr>
          <w:p w14:paraId="2B02A63D">
            <w:pPr>
              <w:spacing w:before="203" w:line="219" w:lineRule="auto"/>
              <w:ind w:left="948"/>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3"/>
                <w:sz w:val="24"/>
                <w:szCs w:val="24"/>
              </w:rPr>
              <w:t>不予处罚适用条件</w:t>
            </w:r>
          </w:p>
        </w:tc>
        <w:tc>
          <w:tcPr>
            <w:tcW w:w="4152" w:type="dxa"/>
            <w:vAlign w:val="top"/>
          </w:tcPr>
          <w:p w14:paraId="4F87232C">
            <w:pPr>
              <w:spacing w:before="201" w:line="219" w:lineRule="auto"/>
              <w:ind w:left="1021"/>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pacing w:val="-1"/>
                <w:sz w:val="24"/>
                <w:szCs w:val="24"/>
              </w:rPr>
              <w:t>法律依据</w:t>
            </w:r>
          </w:p>
        </w:tc>
        <w:tc>
          <w:tcPr>
            <w:tcW w:w="1204" w:type="dxa"/>
            <w:vAlign w:val="top"/>
          </w:tcPr>
          <w:p w14:paraId="1E9CAD48">
            <w:pPr>
              <w:spacing w:before="204" w:line="221" w:lineRule="auto"/>
              <w:ind w:left="303"/>
              <w:jc w:val="center"/>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rPr>
              <w:t>备注</w:t>
            </w:r>
          </w:p>
        </w:tc>
      </w:tr>
      <w:tr w14:paraId="1B3F9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24" w:type="dxa"/>
            <w:vAlign w:val="center"/>
          </w:tcPr>
          <w:p w14:paraId="6BB1296B">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998" w:type="dxa"/>
            <w:vAlign w:val="center"/>
          </w:tcPr>
          <w:p w14:paraId="6EF7FF22">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在河道、湖泊管理范围内建设妨碍行洪的建筑物、构筑物的</w:t>
            </w:r>
            <w:r>
              <w:rPr>
                <w:rFonts w:hint="eastAsia" w:ascii="仿宋_GB2312" w:hAnsi="仿宋_GB2312" w:eastAsia="仿宋_GB2312" w:cs="仿宋_GB2312"/>
                <w:sz w:val="21"/>
                <w:szCs w:val="21"/>
                <w:lang w:eastAsia="zh-CN"/>
              </w:rPr>
              <w:t>。</w:t>
            </w:r>
          </w:p>
        </w:tc>
        <w:tc>
          <w:tcPr>
            <w:tcW w:w="1017" w:type="dxa"/>
            <w:vAlign w:val="center"/>
          </w:tcPr>
          <w:p w14:paraId="791B399C">
            <w:pPr>
              <w:bidi w:val="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益阳市水利局</w:t>
            </w:r>
          </w:p>
        </w:tc>
        <w:tc>
          <w:tcPr>
            <w:tcW w:w="3945" w:type="dxa"/>
            <w:vAlign w:val="center"/>
          </w:tcPr>
          <w:p w14:paraId="7A9B9DA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221ABBE5">
            <w:pPr>
              <w:pStyle w:val="1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2.建筑物、构筑物占河道设计洪水位断面5%以下，或者建筑面积在100平方米以下,按水行政主管部门要求停止违法行为，</w:t>
            </w:r>
          </w:p>
          <w:p w14:paraId="7D0CB14B">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3.并在规定期限内排除阻碍未造成危害后果。</w:t>
            </w:r>
          </w:p>
        </w:tc>
        <w:tc>
          <w:tcPr>
            <w:tcW w:w="4152" w:type="dxa"/>
            <w:vAlign w:val="center"/>
          </w:tcPr>
          <w:p w14:paraId="60E2716B">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204" w:type="dxa"/>
            <w:vAlign w:val="top"/>
          </w:tcPr>
          <w:p w14:paraId="13E031F8">
            <w:pPr>
              <w:pStyle w:val="10"/>
              <w:jc w:val="center"/>
            </w:pPr>
          </w:p>
        </w:tc>
      </w:tr>
      <w:tr w14:paraId="15417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1024" w:type="dxa"/>
            <w:vAlign w:val="center"/>
          </w:tcPr>
          <w:p w14:paraId="45447B61">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998" w:type="dxa"/>
            <w:vAlign w:val="center"/>
          </w:tcPr>
          <w:p w14:paraId="52000931">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在河道、湖泊管理范围内倾倒垃圾、渣土，从事影响河势稳定、危害河岸堤防安全和其他妨碍河道行洪的活动的</w:t>
            </w:r>
            <w:r>
              <w:rPr>
                <w:rFonts w:hint="eastAsia" w:ascii="仿宋_GB2312" w:hAnsi="仿宋_GB2312" w:eastAsia="仿宋_GB2312" w:cs="仿宋_GB2312"/>
                <w:sz w:val="21"/>
                <w:szCs w:val="21"/>
                <w:lang w:eastAsia="zh-CN"/>
              </w:rPr>
              <w:t>。</w:t>
            </w:r>
          </w:p>
        </w:tc>
        <w:tc>
          <w:tcPr>
            <w:tcW w:w="1017" w:type="dxa"/>
            <w:vAlign w:val="center"/>
          </w:tcPr>
          <w:p w14:paraId="4AEC2B7F">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0EBF932D">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39EE1AD1">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2.按水行政主管部门要求停止违法行为；</w:t>
            </w:r>
          </w:p>
          <w:p w14:paraId="703BCB4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3.在规定的期限内排除阻碍未造成危害后果。</w:t>
            </w:r>
          </w:p>
        </w:tc>
        <w:tc>
          <w:tcPr>
            <w:tcW w:w="4152" w:type="dxa"/>
            <w:vAlign w:val="center"/>
          </w:tcPr>
          <w:p w14:paraId="65FCD0A2">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204" w:type="dxa"/>
            <w:vAlign w:val="top"/>
          </w:tcPr>
          <w:p w14:paraId="1C93EF03">
            <w:pPr>
              <w:pStyle w:val="10"/>
              <w:jc w:val="center"/>
            </w:pPr>
          </w:p>
        </w:tc>
      </w:tr>
      <w:tr w14:paraId="40291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024" w:type="dxa"/>
            <w:vAlign w:val="center"/>
          </w:tcPr>
          <w:p w14:paraId="6A986769">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998" w:type="dxa"/>
            <w:vAlign w:val="center"/>
          </w:tcPr>
          <w:p w14:paraId="31BB567B">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在行洪河道内种植阻碍行洪的林木和高秆作物的</w:t>
            </w:r>
            <w:r>
              <w:rPr>
                <w:rFonts w:hint="eastAsia" w:ascii="仿宋_GB2312" w:hAnsi="仿宋_GB2312" w:eastAsia="仿宋_GB2312" w:cs="仿宋_GB2312"/>
                <w:sz w:val="21"/>
                <w:szCs w:val="21"/>
                <w:lang w:eastAsia="zh-CN"/>
              </w:rPr>
              <w:t>。</w:t>
            </w:r>
          </w:p>
        </w:tc>
        <w:tc>
          <w:tcPr>
            <w:tcW w:w="1017" w:type="dxa"/>
            <w:vAlign w:val="center"/>
          </w:tcPr>
          <w:p w14:paraId="4240949E">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10631A8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22EEE25A">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2.种植面积在1000平方米以下，按水行政主管部门要求停止违法行为</w:t>
            </w:r>
            <w:r>
              <w:rPr>
                <w:rFonts w:hint="eastAsia" w:ascii="仿宋_GB2312" w:hAnsi="仿宋_GB2312" w:eastAsia="仿宋_GB2312" w:cs="仿宋_GB2312"/>
                <w:sz w:val="21"/>
                <w:szCs w:val="21"/>
                <w:lang w:eastAsia="zh-CN"/>
              </w:rPr>
              <w:t>；</w:t>
            </w:r>
          </w:p>
          <w:p w14:paraId="42A31E3D">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3.并在规定的期限内排除阻碍未造成危害后果。</w:t>
            </w:r>
          </w:p>
        </w:tc>
        <w:tc>
          <w:tcPr>
            <w:tcW w:w="4152" w:type="dxa"/>
            <w:vAlign w:val="center"/>
          </w:tcPr>
          <w:p w14:paraId="54649FC6">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i w:val="0"/>
                <w:iCs w:val="0"/>
                <w:caps w:val="0"/>
                <w:color w:val="000000"/>
                <w:spacing w:val="0"/>
                <w:sz w:val="21"/>
                <w:szCs w:val="21"/>
                <w:shd w:val="clear" w:fill="FFFFFF"/>
              </w:rPr>
              <w:t>《中华人民共和国防洪法》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1204" w:type="dxa"/>
            <w:vAlign w:val="top"/>
          </w:tcPr>
          <w:p w14:paraId="277ED895">
            <w:pPr>
              <w:pStyle w:val="10"/>
              <w:jc w:val="center"/>
            </w:pPr>
          </w:p>
        </w:tc>
      </w:tr>
      <w:tr w14:paraId="75F2F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24" w:type="dxa"/>
            <w:vAlign w:val="center"/>
          </w:tcPr>
          <w:p w14:paraId="20F08857">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998" w:type="dxa"/>
            <w:vAlign w:val="center"/>
          </w:tcPr>
          <w:p w14:paraId="3DC50A71">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围湖造地、围垦河道的</w:t>
            </w:r>
            <w:r>
              <w:rPr>
                <w:rFonts w:hint="eastAsia" w:ascii="仿宋_GB2312" w:hAnsi="仿宋_GB2312" w:eastAsia="仿宋_GB2312" w:cs="仿宋_GB2312"/>
                <w:sz w:val="21"/>
                <w:szCs w:val="21"/>
                <w:lang w:eastAsia="zh-CN"/>
              </w:rPr>
              <w:t>。</w:t>
            </w:r>
          </w:p>
        </w:tc>
        <w:tc>
          <w:tcPr>
            <w:tcW w:w="1017" w:type="dxa"/>
            <w:vAlign w:val="center"/>
          </w:tcPr>
          <w:p w14:paraId="07DE30E9">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18FB2965">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6FE09A71">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2.围湖造地或者围垦河道面积在1000平方米以下，按水行政主管部门要求停止违法行为；</w:t>
            </w:r>
          </w:p>
          <w:p w14:paraId="3F4EDC67">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3.并在规定的期限内恢复原状未造成危害后果。</w:t>
            </w:r>
          </w:p>
        </w:tc>
        <w:tc>
          <w:tcPr>
            <w:tcW w:w="4152" w:type="dxa"/>
            <w:vAlign w:val="center"/>
          </w:tcPr>
          <w:p w14:paraId="762055C0">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六条：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tc>
        <w:tc>
          <w:tcPr>
            <w:tcW w:w="1204" w:type="dxa"/>
            <w:vAlign w:val="top"/>
          </w:tcPr>
          <w:p w14:paraId="7DFACF6A">
            <w:pPr>
              <w:pStyle w:val="10"/>
              <w:jc w:val="center"/>
            </w:pPr>
          </w:p>
        </w:tc>
      </w:tr>
      <w:tr w14:paraId="6F99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24" w:type="dxa"/>
            <w:vAlign w:val="center"/>
          </w:tcPr>
          <w:p w14:paraId="4C9FC6BF">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998" w:type="dxa"/>
            <w:vAlign w:val="center"/>
          </w:tcPr>
          <w:p w14:paraId="78068C70">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擅自从事工程设施建设活动经补办审查同意或者审查批准手续，或者未按照批准的位置、界限从事工程设施建设活动，影响行洪，但尚可采取补救措施的</w:t>
            </w:r>
            <w:r>
              <w:rPr>
                <w:rFonts w:hint="eastAsia" w:ascii="仿宋_GB2312" w:hAnsi="仿宋_GB2312" w:eastAsia="仿宋_GB2312" w:cs="仿宋_GB2312"/>
                <w:sz w:val="21"/>
                <w:szCs w:val="21"/>
                <w:lang w:eastAsia="zh-CN"/>
              </w:rPr>
              <w:t>。</w:t>
            </w:r>
          </w:p>
        </w:tc>
        <w:tc>
          <w:tcPr>
            <w:tcW w:w="1017" w:type="dxa"/>
            <w:vAlign w:val="center"/>
          </w:tcPr>
          <w:p w14:paraId="4D95FD13">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71C73B2F">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5838286C">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2.在规定期限内采取补救措施消除负面影响未造成危害后果。</w:t>
            </w:r>
          </w:p>
        </w:tc>
        <w:tc>
          <w:tcPr>
            <w:tcW w:w="4152" w:type="dxa"/>
            <w:vAlign w:val="center"/>
          </w:tcPr>
          <w:p w14:paraId="31C7D4B8">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五十七条：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1204" w:type="dxa"/>
            <w:vAlign w:val="top"/>
          </w:tcPr>
          <w:p w14:paraId="329AC205">
            <w:pPr>
              <w:pStyle w:val="10"/>
              <w:jc w:val="center"/>
            </w:pPr>
          </w:p>
        </w:tc>
      </w:tr>
      <w:tr w14:paraId="492A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center"/>
          </w:tcPr>
          <w:p w14:paraId="01F03DB8">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2998" w:type="dxa"/>
            <w:vAlign w:val="center"/>
          </w:tcPr>
          <w:p w14:paraId="2E6CB11B">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破坏、侵占、毁损堤防、水闸、护岸、抽水站、排水渠系等防洪工程和水文、通信设施以及防汛备用的器材、物料的护带内开垦、开发的</w:t>
            </w:r>
            <w:r>
              <w:rPr>
                <w:rFonts w:hint="eastAsia" w:ascii="仿宋_GB2312" w:hAnsi="仿宋_GB2312" w:eastAsia="仿宋_GB2312" w:cs="仿宋_GB2312"/>
                <w:sz w:val="21"/>
                <w:szCs w:val="21"/>
                <w:lang w:eastAsia="zh-CN"/>
              </w:rPr>
              <w:t>。</w:t>
            </w:r>
          </w:p>
        </w:tc>
        <w:tc>
          <w:tcPr>
            <w:tcW w:w="1017" w:type="dxa"/>
            <w:vAlign w:val="center"/>
          </w:tcPr>
          <w:p w14:paraId="51230A7C">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益阳市水利局</w:t>
            </w:r>
          </w:p>
        </w:tc>
        <w:tc>
          <w:tcPr>
            <w:tcW w:w="3945" w:type="dxa"/>
            <w:vAlign w:val="center"/>
          </w:tcPr>
          <w:p w14:paraId="5DC17BE3">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w:t>
            </w:r>
          </w:p>
          <w:p w14:paraId="412C4759">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2.违法行为未对防洪工程或者设施造成损坏，在规定期限内停止违法行为，采取补救措施未造成危害后果。</w:t>
            </w:r>
          </w:p>
        </w:tc>
        <w:tc>
          <w:tcPr>
            <w:tcW w:w="4152" w:type="dxa"/>
            <w:vAlign w:val="center"/>
          </w:tcPr>
          <w:p w14:paraId="235DBAD2">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tc>
        <w:tc>
          <w:tcPr>
            <w:tcW w:w="1204" w:type="dxa"/>
            <w:vAlign w:val="top"/>
          </w:tcPr>
          <w:p w14:paraId="2182255A">
            <w:pPr>
              <w:pStyle w:val="10"/>
              <w:jc w:val="center"/>
            </w:pPr>
          </w:p>
        </w:tc>
      </w:tr>
      <w:tr w14:paraId="6E0A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center"/>
          </w:tcPr>
          <w:p w14:paraId="10068C6E">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2998" w:type="dxa"/>
            <w:vAlign w:val="center"/>
          </w:tcPr>
          <w:p w14:paraId="5F45A8CE">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iCs w:val="0"/>
                <w:caps w:val="0"/>
                <w:color w:val="000000"/>
                <w:spacing w:val="0"/>
                <w:sz w:val="21"/>
                <w:szCs w:val="21"/>
                <w:shd w:val="clear" w:fill="FFFFFF"/>
              </w:rPr>
              <w:t>未经批准擅自取水的</w:t>
            </w:r>
            <w:r>
              <w:rPr>
                <w:rFonts w:hint="eastAsia" w:ascii="仿宋_GB2312" w:hAnsi="仿宋_GB2312" w:eastAsia="仿宋_GB2312" w:cs="仿宋_GB2312"/>
                <w:i w:val="0"/>
                <w:iCs w:val="0"/>
                <w:caps w:val="0"/>
                <w:color w:val="000000"/>
                <w:spacing w:val="0"/>
                <w:sz w:val="21"/>
                <w:szCs w:val="21"/>
                <w:shd w:val="clear" w:fill="FFFFFF"/>
                <w:lang w:eastAsia="zh-CN"/>
              </w:rPr>
              <w:t>。</w:t>
            </w:r>
          </w:p>
        </w:tc>
        <w:tc>
          <w:tcPr>
            <w:tcW w:w="1017" w:type="dxa"/>
            <w:vAlign w:val="center"/>
          </w:tcPr>
          <w:p w14:paraId="6CE73116">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益阳市水利局</w:t>
            </w:r>
          </w:p>
        </w:tc>
        <w:tc>
          <w:tcPr>
            <w:tcW w:w="3945" w:type="dxa"/>
            <w:vAlign w:val="center"/>
          </w:tcPr>
          <w:p w14:paraId="6BEDDCE0">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1.初次违法；未经批准擅自开采地表水的违法行为轻微并按要求及时纠正，没有造成危害后果的，或日取地表水50立方米以下的；在规定期限内采取其他补救措施。</w:t>
            </w:r>
          </w:p>
          <w:p w14:paraId="497FF12C">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2.初次违法；未经批准擅自开采地下水的违法行为轻微并按要求及时纠正，没有造成危害后果的，或日取地下水5立方米以下的；在规定期限内采取其他补救措施。</w:t>
            </w:r>
          </w:p>
        </w:tc>
        <w:tc>
          <w:tcPr>
            <w:tcW w:w="4152" w:type="dxa"/>
            <w:vAlign w:val="center"/>
          </w:tcPr>
          <w:p w14:paraId="2E9DA035">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《中华人民共和国水法》第六十九条第（一）项未经批准擅自取水的，由县级以上人民政府水行政主管部门或者流域管理机构依据职权，责令停止违法行为，限期采取补救措施，处二万元以上十万元以下罚款。</w:t>
            </w:r>
          </w:p>
          <w:p w14:paraId="64DF8C0E">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《中华人民共和国行政处罚法》第三十三条第一款：违法行为轻微并及时改正，没有造成危害后果的，不予行政处罚。初次违法且危害后果轻微并及时改正的，可以不予行政处罚。</w:t>
            </w:r>
          </w:p>
        </w:tc>
        <w:tc>
          <w:tcPr>
            <w:tcW w:w="1204" w:type="dxa"/>
            <w:vAlign w:val="top"/>
          </w:tcPr>
          <w:p w14:paraId="3C469FE6">
            <w:pPr>
              <w:pStyle w:val="10"/>
              <w:jc w:val="center"/>
            </w:pPr>
          </w:p>
        </w:tc>
      </w:tr>
      <w:tr w14:paraId="122B2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center"/>
          </w:tcPr>
          <w:p w14:paraId="52B16706">
            <w:pPr>
              <w:pStyle w:val="1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2998" w:type="dxa"/>
            <w:vAlign w:val="center"/>
          </w:tcPr>
          <w:p w14:paraId="0A1852BE">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未依照批准的取水许可规定条件取水的</w:t>
            </w:r>
            <w:r>
              <w:rPr>
                <w:rFonts w:hint="eastAsia" w:ascii="仿宋_GB2312" w:hAnsi="仿宋_GB2312" w:eastAsia="仿宋_GB2312" w:cs="仿宋_GB2312"/>
                <w:sz w:val="21"/>
                <w:szCs w:val="21"/>
                <w:lang w:eastAsia="zh-CN"/>
              </w:rPr>
              <w:t>。</w:t>
            </w:r>
          </w:p>
        </w:tc>
        <w:tc>
          <w:tcPr>
            <w:tcW w:w="1017" w:type="dxa"/>
            <w:vAlign w:val="center"/>
          </w:tcPr>
          <w:p w14:paraId="00C45CFB">
            <w:pPr>
              <w:pStyle w:val="1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益阳市水利局</w:t>
            </w:r>
          </w:p>
        </w:tc>
        <w:tc>
          <w:tcPr>
            <w:tcW w:w="3945" w:type="dxa"/>
            <w:vAlign w:val="center"/>
          </w:tcPr>
          <w:p w14:paraId="7716DA63">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1.初次违法；未经批准擅自扩大取水的违法行为轻微并按要求及时纠正，没有造成危害后果的，或擅自扩大取水量占取水许可总量的10%以下的；在规定期限内采取其他补救措施。</w:t>
            </w:r>
          </w:p>
          <w:p w14:paraId="60F56F16">
            <w:pPr>
              <w:pStyle w:val="10"/>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2.初次违法；取水水源、取水地点、取水用途、退水地点、退水方式及退水量、取水量年内分配等未按照取水许可审批意见执行的违法行为轻微并及时纠正，没有造成危害后果的。</w:t>
            </w:r>
          </w:p>
        </w:tc>
        <w:tc>
          <w:tcPr>
            <w:tcW w:w="4152" w:type="dxa"/>
            <w:vAlign w:val="center"/>
          </w:tcPr>
          <w:p w14:paraId="2F887AB7">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《中华人民共和国水法》第六十九条第（二）项未依照批准的取水许可规定条件取水的。</w:t>
            </w:r>
          </w:p>
          <w:p w14:paraId="1DBE716E">
            <w:pPr>
              <w:pStyle w:val="10"/>
              <w:jc w:val="center"/>
              <w:rPr>
                <w:rFonts w:hint="eastAsia" w:ascii="仿宋_GB2312" w:hAnsi="仿宋_GB2312" w:eastAsia="仿宋_GB2312" w:cs="仿宋_GB2312"/>
                <w:sz w:val="21"/>
                <w:szCs w:val="21"/>
              </w:rPr>
            </w:pPr>
          </w:p>
          <w:p w14:paraId="05787BE9">
            <w:pPr>
              <w:pStyle w:val="1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取水许可和水资源费征收管理条例》第四十八条未经批准擅自取水，或者未依照批准的取水许可规定条件取水的，依照《中华人民共和国水法》第六十九条规定处罚；给他人造成妨碍或者损失的，应当排除妨碍、赔偿损失。</w:t>
            </w:r>
          </w:p>
        </w:tc>
        <w:tc>
          <w:tcPr>
            <w:tcW w:w="1204" w:type="dxa"/>
            <w:vAlign w:val="top"/>
          </w:tcPr>
          <w:p w14:paraId="324900AA">
            <w:pPr>
              <w:pStyle w:val="10"/>
              <w:jc w:val="center"/>
            </w:pPr>
          </w:p>
        </w:tc>
      </w:tr>
      <w:tr w14:paraId="6B139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024" w:type="dxa"/>
            <w:vAlign w:val="top"/>
          </w:tcPr>
          <w:p w14:paraId="5753A851">
            <w:pPr>
              <w:pStyle w:val="10"/>
              <w:jc w:val="center"/>
              <w:rPr>
                <w:rFonts w:hint="eastAsia" w:eastAsia="宋体"/>
                <w:lang w:val="en-US" w:eastAsia="zh-CN"/>
              </w:rPr>
            </w:pPr>
          </w:p>
        </w:tc>
        <w:tc>
          <w:tcPr>
            <w:tcW w:w="2998" w:type="dxa"/>
            <w:vAlign w:val="top"/>
          </w:tcPr>
          <w:p w14:paraId="16F34017">
            <w:pPr>
              <w:pStyle w:val="10"/>
              <w:jc w:val="center"/>
              <w:rPr>
                <w:rFonts w:hint="eastAsia"/>
              </w:rPr>
            </w:pPr>
          </w:p>
        </w:tc>
        <w:tc>
          <w:tcPr>
            <w:tcW w:w="1017" w:type="dxa"/>
            <w:vAlign w:val="top"/>
          </w:tcPr>
          <w:p w14:paraId="7574DF9A">
            <w:pPr>
              <w:pStyle w:val="10"/>
              <w:jc w:val="center"/>
              <w:rPr>
                <w:rFonts w:hint="eastAsia"/>
                <w:lang w:eastAsia="zh-CN"/>
              </w:rPr>
            </w:pPr>
          </w:p>
        </w:tc>
        <w:tc>
          <w:tcPr>
            <w:tcW w:w="3945" w:type="dxa"/>
            <w:vAlign w:val="top"/>
          </w:tcPr>
          <w:p w14:paraId="2A01573B">
            <w:pPr>
              <w:pStyle w:val="10"/>
              <w:jc w:val="center"/>
              <w:rPr>
                <w:rFonts w:hint="eastAsia"/>
              </w:rPr>
            </w:pPr>
          </w:p>
        </w:tc>
        <w:tc>
          <w:tcPr>
            <w:tcW w:w="4152" w:type="dxa"/>
            <w:vAlign w:val="top"/>
          </w:tcPr>
          <w:p w14:paraId="24CADC42">
            <w:pPr>
              <w:pStyle w:val="10"/>
              <w:jc w:val="center"/>
              <w:rPr>
                <w:rFonts w:hint="eastAsia"/>
              </w:rPr>
            </w:pPr>
          </w:p>
        </w:tc>
        <w:tc>
          <w:tcPr>
            <w:tcW w:w="1204" w:type="dxa"/>
            <w:vAlign w:val="top"/>
          </w:tcPr>
          <w:p w14:paraId="6CCAC73A">
            <w:pPr>
              <w:pStyle w:val="10"/>
              <w:jc w:val="center"/>
            </w:pPr>
          </w:p>
        </w:tc>
      </w:tr>
    </w:tbl>
    <w:p w14:paraId="4254736D">
      <w:pPr>
        <w:rPr>
          <w:rFonts w:ascii="Arial"/>
          <w:sz w:val="21"/>
        </w:rPr>
      </w:pPr>
    </w:p>
    <w:p w14:paraId="783C1871">
      <w:pPr>
        <w:rPr>
          <w:rFonts w:ascii="Arial" w:hAnsi="Arial" w:eastAsia="Arial" w:cs="Arial"/>
          <w:sz w:val="21"/>
          <w:szCs w:val="21"/>
        </w:rPr>
        <w:sectPr>
          <w:footerReference r:id="rId3" w:type="default"/>
          <w:pgSz w:w="16830" w:h="11900"/>
          <w:pgMar w:top="1011" w:right="1425" w:bottom="1260" w:left="1054" w:header="0" w:footer="1061" w:gutter="0"/>
          <w:pgNumType w:fmt="numberInDash"/>
          <w:cols w:space="720" w:num="1"/>
        </w:sectPr>
      </w:pPr>
    </w:p>
    <w:p w14:paraId="069C345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微软雅黑" w:hAnsi="微软雅黑" w:eastAsia="微软雅黑" w:cs="微软雅黑"/>
          <w:sz w:val="44"/>
          <w:szCs w:val="44"/>
          <w:lang w:val="en-US" w:eastAsia="zh-CN"/>
        </w:rPr>
      </w:pPr>
      <w:bookmarkStart w:id="0" w:name="_GoBack"/>
      <w:bookmarkEnd w:id="0"/>
    </w:p>
    <w:p w14:paraId="0229054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微软雅黑" w:hAnsi="微软雅黑" w:eastAsia="微软雅黑" w:cs="微软雅黑"/>
          <w:sz w:val="44"/>
          <w:szCs w:val="44"/>
          <w:lang w:val="en-US" w:eastAsia="zh-CN"/>
        </w:rPr>
      </w:pPr>
    </w:p>
    <w:p w14:paraId="60876A1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微软雅黑" w:hAnsi="微软雅黑" w:eastAsia="微软雅黑" w:cs="微软雅黑"/>
          <w:sz w:val="44"/>
          <w:szCs w:val="44"/>
          <w:lang w:val="en-US" w:eastAsia="zh-CN"/>
        </w:rPr>
      </w:pPr>
    </w:p>
    <w:p w14:paraId="618304B2">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lang w:val="en-US" w:eastAsia="zh-CN"/>
        </w:rPr>
      </w:pPr>
    </w:p>
    <w:p w14:paraId="02A94002">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lang w:val="en-US" w:eastAsia="zh-CN"/>
        </w:rPr>
      </w:pPr>
    </w:p>
    <w:p w14:paraId="0B45C39A">
      <w:pPr>
        <w:rPr>
          <w:rFonts w:hint="eastAsia" w:eastAsiaTheme="minorEastAsia"/>
          <w:lang w:eastAsia="zh-CN"/>
        </w:rPr>
      </w:pPr>
    </w:p>
    <w:sectPr>
      <w:footerReference r:id="rId4" w:type="default"/>
      <w:pgSz w:w="16830" w:h="11900"/>
      <w:pgMar w:top="1011" w:right="1636" w:bottom="1135" w:left="1524" w:header="0" w:footer="100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83630B2-10C8-43DB-865F-81FEB2E0710A}"/>
  </w:font>
  <w:font w:name="黑体">
    <w:panose1 w:val="02010609060101010101"/>
    <w:charset w:val="86"/>
    <w:family w:val="auto"/>
    <w:pitch w:val="default"/>
    <w:sig w:usb0="800002BF" w:usb1="38CF7CFA" w:usb2="00000016" w:usb3="00000000" w:csb0="00040001" w:csb1="00000000"/>
    <w:embedRegular r:id="rId2" w:fontKey="{4A54413D-36CB-46F1-84F3-CA98B532E0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BB33AA39-7CAF-48F5-8A34-1780D81F6AA4}"/>
  </w:font>
  <w:font w:name="方正小标宋简体">
    <w:panose1 w:val="02010601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embedRegular r:id="rId4" w:fontKey="{A717504B-AAC9-4351-917B-F05C0F26C0A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5" w:fontKey="{2315D3DC-E0E5-4FF5-B963-E4DA13E03E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ACF1">
    <w:pPr>
      <w:spacing w:line="173" w:lineRule="auto"/>
      <w:jc w:val="right"/>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02591">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802591">
                    <w:pPr>
                      <w:pStyle w:val="3"/>
                    </w:pPr>
                    <w:r>
                      <w:fldChar w:fldCharType="begin"/>
                    </w:r>
                    <w:r>
                      <w:instrText xml:space="preserve"> PAGE  \* MERGEFORMAT </w:instrText>
                    </w:r>
                    <w:r>
                      <w:fldChar w:fldCharType="separate"/>
                    </w:r>
                    <w:r>
                      <w:t>4</w:t>
                    </w:r>
                    <w:r>
                      <w:fldChar w:fldCharType="end"/>
                    </w:r>
                  </w:p>
                </w:txbxContent>
              </v:textbox>
            </v:shape>
          </w:pict>
        </mc:Fallback>
      </mc:AlternateContent>
    </w:r>
    <w:r>
      <w:rPr>
        <w:rFonts w:ascii="宋体" w:hAnsi="宋体" w:eastAsia="宋体" w:cs="宋体"/>
        <w:spacing w:val="-9"/>
        <w:w w:val="63"/>
        <w:sz w:val="20"/>
        <w:szCs w:val="20"/>
      </w:rPr>
      <w:t>—8</w:t>
    </w:r>
    <w:r>
      <w:rPr>
        <w:rFonts w:ascii="宋体" w:hAnsi="宋体" w:eastAsia="宋体" w:cs="宋体"/>
        <w:spacing w:val="-6"/>
        <w:w w:val="63"/>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C54A5">
    <w:pPr>
      <w:spacing w:line="173" w:lineRule="auto"/>
      <w:jc w:val="right"/>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FA5BB">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EFA5BB">
                    <w:pPr>
                      <w:pStyle w:val="3"/>
                    </w:pPr>
                    <w:r>
                      <w:fldChar w:fldCharType="begin"/>
                    </w:r>
                    <w:r>
                      <w:instrText xml:space="preserve"> PAGE  \* MERGEFORMAT </w:instrText>
                    </w:r>
                    <w:r>
                      <w:fldChar w:fldCharType="separate"/>
                    </w:r>
                    <w:r>
                      <w:t>7</w:t>
                    </w:r>
                    <w:r>
                      <w:fldChar w:fldCharType="end"/>
                    </w:r>
                  </w:p>
                </w:txbxContent>
              </v:textbox>
            </v:shape>
          </w:pict>
        </mc:Fallback>
      </mc:AlternateContent>
    </w:r>
    <w:r>
      <w:rPr>
        <w:rFonts w:ascii="Times New Roman" w:hAnsi="Times New Roman" w:eastAsia="Times New Roman" w:cs="Times New Roman"/>
        <w:spacing w:val="-12"/>
        <w:sz w:val="14"/>
        <w:szCs w:val="14"/>
      </w:rPr>
      <w:t>1</w:t>
    </w:r>
    <w:r>
      <w:rPr>
        <w:rFonts w:ascii="Times New Roman" w:hAnsi="Times New Roman" w:eastAsia="Times New Roman" w:cs="Times New Roman"/>
        <w:spacing w:val="-6"/>
        <w:sz w:val="14"/>
        <w:szCs w:val="14"/>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YmEwMjE1OWU0NWFlY2ZmYjBjYTI0ZTM4NGMyNTYifQ=="/>
    <w:docVar w:name="KSO_WPS_MARK_KEY" w:val="7f9bb32a-8c22-424c-9f58-ea16587370ed"/>
  </w:docVars>
  <w:rsids>
    <w:rsidRoot w:val="6FC533CA"/>
    <w:rsid w:val="05F477B7"/>
    <w:rsid w:val="0A012AA8"/>
    <w:rsid w:val="0C6C0BA2"/>
    <w:rsid w:val="13833F28"/>
    <w:rsid w:val="19DA7C05"/>
    <w:rsid w:val="1A75753A"/>
    <w:rsid w:val="239368BF"/>
    <w:rsid w:val="2759385D"/>
    <w:rsid w:val="28B66485"/>
    <w:rsid w:val="29F21DBB"/>
    <w:rsid w:val="2D6D1673"/>
    <w:rsid w:val="2DC845C5"/>
    <w:rsid w:val="2F2750E7"/>
    <w:rsid w:val="31F167D5"/>
    <w:rsid w:val="32A52CEF"/>
    <w:rsid w:val="348677A7"/>
    <w:rsid w:val="39FF1245"/>
    <w:rsid w:val="488D17EC"/>
    <w:rsid w:val="4F0C2A48"/>
    <w:rsid w:val="53467F4E"/>
    <w:rsid w:val="5C757E7F"/>
    <w:rsid w:val="5F860B68"/>
    <w:rsid w:val="60716BAF"/>
    <w:rsid w:val="62285198"/>
    <w:rsid w:val="65DC58E5"/>
    <w:rsid w:val="6FC533CA"/>
    <w:rsid w:val="7323078C"/>
    <w:rsid w:val="74977B7F"/>
    <w:rsid w:val="74A94712"/>
    <w:rsid w:val="74B33E59"/>
    <w:rsid w:val="7CB65EF7"/>
    <w:rsid w:val="7F543D80"/>
    <w:rsid w:val="97D759AD"/>
    <w:rsid w:val="EFDB9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5987</Words>
  <Characters>6057</Characters>
  <Lines>0</Lines>
  <Paragraphs>0</Paragraphs>
  <TotalTime>18</TotalTime>
  <ScaleCrop>false</ScaleCrop>
  <LinksUpToDate>false</LinksUpToDate>
  <CharactersWithSpaces>6106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2024-06-21T18:03:00Z</dcterms:created>
  <dc:creator>陈 雪</dc:creator>
  <cp:lastModifiedBy>怡然自得</cp:lastModifiedBy>
  <dcterms:modified xsi:type="dcterms:W3CDTF">2025-02-26T06:13:23Z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F819126B9FC14E4FB4AA207314BC481C_13</vt:lpwstr>
  </property>
  <property fmtid="{D5CDD505-2E9C-101B-9397-08002B2CF9AE}" pid="4" name="KSOTemplateDocerSaveRecord">
    <vt:lpwstr>eyJoZGlkIjoiM2IyOGU4NjI2ODY1ZDQ3MDI5Mjg3N2I0ZjY1MzkzMGQiLCJ1c2VySWQiOiIyOTYwNjA0OTgifQ==</vt:lpwstr>
  </property>
</Properties>
</file>