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F0" w:rsidRDefault="00E573F0">
      <w:pPr>
        <w:spacing w:line="500" w:lineRule="exact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益阳市水务局</w:t>
      </w:r>
    </w:p>
    <w:p w:rsidR="00E573F0" w:rsidRDefault="00E573F0">
      <w:pPr>
        <w:spacing w:line="500" w:lineRule="exact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/>
          <w:b/>
          <w:bCs/>
          <w:sz w:val="44"/>
          <w:szCs w:val="44"/>
        </w:rPr>
        <w:t>2016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年部门整体支出绩效评价报告</w:t>
      </w:r>
    </w:p>
    <w:p w:rsidR="00E573F0" w:rsidRDefault="00E573F0">
      <w:pPr>
        <w:spacing w:line="500" w:lineRule="exact"/>
        <w:rPr>
          <w:sz w:val="32"/>
          <w:szCs w:val="32"/>
        </w:rPr>
      </w:pPr>
    </w:p>
    <w:p w:rsidR="00E573F0" w:rsidRDefault="00E573F0">
      <w:pPr>
        <w:spacing w:line="500" w:lineRule="exact"/>
        <w:rPr>
          <w:sz w:val="32"/>
          <w:szCs w:val="32"/>
        </w:rPr>
      </w:pPr>
    </w:p>
    <w:p w:rsidR="00E573F0" w:rsidRDefault="00E573F0">
      <w:pPr>
        <w:spacing w:line="5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一、基本情况</w:t>
      </w:r>
    </w:p>
    <w:p w:rsidR="00E573F0" w:rsidRDefault="00E573F0" w:rsidP="00D67133">
      <w:pPr>
        <w:spacing w:line="500" w:lineRule="exact"/>
        <w:ind w:rightChars="50" w:right="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（一）部门整体支出单位构成</w:t>
      </w:r>
    </w:p>
    <w:p w:rsidR="00E573F0" w:rsidRDefault="00E573F0">
      <w:pPr>
        <w:spacing w:line="500" w:lineRule="exact"/>
        <w:ind w:rightChars="50" w:right="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从机构构成看，市水务局包括市水务局（本级）和下属全额拨款事业单位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个。市水务局（本级）部门整体支出包括内设机构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个［办公室、政策法规与安全监督科、规划计划科、水资源与水土保持科、建设管理科、河道湖泊科、财务科、人事科、离退休人员管理科］，机关党委、纪检（监察）机构组织按有关规定设置。机关事业站室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个［市防汛抗旱指挥部办公室、市洞庭湖工程管理站、市排灌水电建设管理站、市山丘工程管理站、市水利水电工程质量监督站、市农村水电及电气化建设管理站、市水务局信息中心、市农村饮水工程管理站］。</w:t>
      </w:r>
    </w:p>
    <w:p w:rsidR="00E573F0" w:rsidRDefault="00E573F0">
      <w:pPr>
        <w:spacing w:line="500" w:lineRule="exact"/>
        <w:ind w:rightChars="50" w:right="105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下属全额拨款事业单位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：市大通湖区水利管理委员会办公室、市灌溉试验站、市砂石市场管理办公室、市市明山电排管理站、市大东口电排管理站、市黄茅洲大闸塞阳河管理所、市西流湾电排管理站、市梓山村水库管理处、市防汛抗旱物资储备中心、市城市防洪工程管理处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573F0" w:rsidRDefault="00E573F0">
      <w:pPr>
        <w:spacing w:line="500" w:lineRule="exact"/>
        <w:ind w:rightChars="50" w:right="105"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2016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年度收入决算构成</w:t>
      </w:r>
    </w:p>
    <w:p w:rsidR="00E573F0" w:rsidRDefault="00E573F0">
      <w:pPr>
        <w:spacing w:line="500" w:lineRule="exact"/>
        <w:ind w:rightChars="50" w:right="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年度收入决算合计</w:t>
      </w:r>
      <w:r>
        <w:rPr>
          <w:rFonts w:ascii="仿宋_GB2312" w:eastAsia="仿宋_GB2312" w:hAnsi="仿宋_GB2312" w:cs="仿宋_GB2312"/>
          <w:sz w:val="32"/>
          <w:szCs w:val="32"/>
        </w:rPr>
        <w:t>9046.39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元，其中：财政拨款收入</w:t>
      </w:r>
      <w:r>
        <w:rPr>
          <w:rFonts w:ascii="仿宋_GB2312" w:eastAsia="仿宋_GB2312" w:hAnsi="仿宋_GB2312" w:cs="仿宋_GB2312"/>
          <w:sz w:val="32"/>
          <w:szCs w:val="32"/>
        </w:rPr>
        <w:t>8895.62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98%</w:t>
      </w:r>
      <w:r>
        <w:rPr>
          <w:rFonts w:ascii="仿宋_GB2312" w:eastAsia="仿宋_GB2312" w:hAnsi="仿宋_GB2312" w:cs="仿宋_GB2312" w:hint="eastAsia"/>
          <w:sz w:val="32"/>
          <w:szCs w:val="32"/>
        </w:rPr>
        <w:t>；上级补助收入</w:t>
      </w:r>
      <w:r>
        <w:rPr>
          <w:rFonts w:ascii="仿宋_GB2312" w:eastAsia="仿宋_GB2312" w:hAnsi="仿宋_GB2312" w:cs="仿宋_GB2312"/>
          <w:sz w:val="32"/>
          <w:szCs w:val="32"/>
        </w:rPr>
        <w:t>87.9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sz w:val="32"/>
          <w:szCs w:val="32"/>
        </w:rPr>
        <w:t>；事业收入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0.2%</w:t>
      </w:r>
      <w:r>
        <w:rPr>
          <w:rFonts w:ascii="仿宋_GB2312" w:eastAsia="仿宋_GB2312" w:hAnsi="仿宋_GB2312" w:cs="仿宋_GB2312" w:hint="eastAsia"/>
          <w:sz w:val="32"/>
          <w:szCs w:val="32"/>
        </w:rPr>
        <w:t>；经营收入</w:t>
      </w:r>
      <w:r>
        <w:rPr>
          <w:rFonts w:ascii="仿宋_GB2312" w:eastAsia="仿宋_GB2312" w:hAnsi="仿宋_GB2312" w:cs="仿宋_GB2312"/>
          <w:sz w:val="32"/>
          <w:szCs w:val="32"/>
        </w:rPr>
        <w:t>0.53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万元，其他收入</w:t>
      </w:r>
      <w:r>
        <w:rPr>
          <w:rFonts w:ascii="仿宋_GB2312" w:eastAsia="仿宋_GB2312" w:hAnsi="仿宋_GB2312" w:cs="仿宋_GB2312"/>
          <w:sz w:val="32"/>
          <w:szCs w:val="32"/>
        </w:rPr>
        <w:t xml:space="preserve">62.21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0.6%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573F0" w:rsidRDefault="00E573F0">
      <w:pPr>
        <w:spacing w:line="500" w:lineRule="exact"/>
        <w:ind w:rightChars="50" w:right="105"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2016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年度支出决算构成</w:t>
      </w:r>
    </w:p>
    <w:p w:rsidR="00E573F0" w:rsidRDefault="00E573F0">
      <w:pPr>
        <w:spacing w:line="50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年度支出决算合计</w:t>
      </w:r>
      <w:r>
        <w:rPr>
          <w:rFonts w:ascii="仿宋_GB2312" w:eastAsia="仿宋_GB2312" w:hAnsi="仿宋_GB2312" w:cs="仿宋_GB2312"/>
          <w:sz w:val="32"/>
          <w:szCs w:val="32"/>
        </w:rPr>
        <w:t>8811.37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万元，其中：一般公共服务支出</w:t>
      </w:r>
      <w:r>
        <w:rPr>
          <w:rFonts w:ascii="仿宋_GB2312" w:eastAsia="仿宋_GB2312" w:hAnsi="仿宋_GB2312" w:cs="仿宋_GB2312"/>
          <w:sz w:val="32"/>
          <w:szCs w:val="32"/>
        </w:rPr>
        <w:t>50.95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0.6%;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社会保障和就业支出</w:t>
      </w:r>
      <w:r>
        <w:rPr>
          <w:rFonts w:ascii="仿宋_GB2312" w:eastAsia="仿宋_GB2312" w:hAnsi="仿宋_GB2312" w:cs="仿宋_GB2312"/>
          <w:sz w:val="32"/>
          <w:szCs w:val="32"/>
        </w:rPr>
        <w:t>81.14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sz w:val="32"/>
          <w:szCs w:val="32"/>
        </w:rPr>
        <w:t>；医疗卫生与计划生育支出</w:t>
      </w:r>
      <w:r>
        <w:rPr>
          <w:rFonts w:ascii="仿宋_GB2312" w:eastAsia="仿宋_GB2312" w:hAnsi="仿宋_GB2312" w:cs="仿宋_GB2312"/>
          <w:sz w:val="32"/>
          <w:szCs w:val="32"/>
        </w:rPr>
        <w:t>196.02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2.2%</w:t>
      </w:r>
      <w:r>
        <w:rPr>
          <w:rFonts w:ascii="仿宋_GB2312" w:eastAsia="仿宋_GB2312" w:hAnsi="仿宋_GB2312" w:cs="仿宋_GB2312" w:hint="eastAsia"/>
          <w:sz w:val="32"/>
          <w:szCs w:val="32"/>
        </w:rPr>
        <w:t>；节能环保支出</w:t>
      </w:r>
      <w:r>
        <w:rPr>
          <w:rFonts w:ascii="仿宋_GB2312" w:eastAsia="仿宋_GB2312" w:hAnsi="仿宋_GB2312" w:cs="仿宋_GB2312"/>
          <w:sz w:val="32"/>
          <w:szCs w:val="32"/>
        </w:rPr>
        <w:t>14.25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0.2%</w:t>
      </w:r>
      <w:r>
        <w:rPr>
          <w:rFonts w:ascii="仿宋_GB2312" w:eastAsia="仿宋_GB2312" w:hAnsi="仿宋_GB2312" w:cs="仿宋_GB2312" w:hint="eastAsia"/>
          <w:sz w:val="32"/>
          <w:szCs w:val="32"/>
        </w:rPr>
        <w:t>；农林水支出</w:t>
      </w:r>
      <w:r>
        <w:rPr>
          <w:rFonts w:ascii="仿宋_GB2312" w:eastAsia="仿宋_GB2312" w:hAnsi="仿宋_GB2312" w:cs="仿宋_GB2312"/>
          <w:sz w:val="32"/>
          <w:szCs w:val="32"/>
        </w:rPr>
        <w:t>8281.44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94%</w:t>
      </w:r>
      <w:r>
        <w:rPr>
          <w:rFonts w:ascii="仿宋_GB2312" w:eastAsia="仿宋_GB2312" w:hAnsi="仿宋_GB2312" w:cs="仿宋_GB2312" w:hint="eastAsia"/>
          <w:sz w:val="32"/>
          <w:szCs w:val="32"/>
        </w:rPr>
        <w:t>；住房保障支出</w:t>
      </w:r>
      <w:r>
        <w:rPr>
          <w:rFonts w:ascii="仿宋_GB2312" w:eastAsia="仿宋_GB2312" w:hAnsi="仿宋_GB2312" w:cs="仿宋_GB2312"/>
          <w:sz w:val="32"/>
          <w:szCs w:val="32"/>
        </w:rPr>
        <w:t>187.57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2%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573F0" w:rsidRDefault="00E573F0" w:rsidP="00D67133">
      <w:pPr>
        <w:spacing w:line="500" w:lineRule="exact"/>
        <w:ind w:left="420" w:rightChars="-149" w:right="-31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（四）年终结转结余情况</w:t>
      </w:r>
    </w:p>
    <w:p w:rsidR="00E573F0" w:rsidRDefault="00E573F0">
      <w:pPr>
        <w:spacing w:line="500" w:lineRule="exact"/>
        <w:ind w:rightChars="-149" w:right="-31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年年终结转结余</w:t>
      </w:r>
      <w:r>
        <w:rPr>
          <w:rFonts w:ascii="仿宋_GB2312" w:eastAsia="仿宋_GB2312" w:hAnsi="仿宋_GB2312" w:cs="仿宋_GB2312"/>
          <w:sz w:val="32"/>
          <w:szCs w:val="32"/>
        </w:rPr>
        <w:t>3364.32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万元，其中：基本支出结转</w:t>
      </w:r>
      <w:r>
        <w:rPr>
          <w:rFonts w:ascii="仿宋_GB2312" w:eastAsia="仿宋_GB2312" w:hAnsi="仿宋_GB2312" w:cs="仿宋_GB2312"/>
          <w:sz w:val="32"/>
          <w:szCs w:val="32"/>
        </w:rPr>
        <w:t>1831.72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万元，项目支出结转和结余</w:t>
      </w:r>
      <w:r>
        <w:rPr>
          <w:rFonts w:ascii="仿宋_GB2312" w:eastAsia="仿宋_GB2312" w:hAnsi="仿宋_GB2312" w:cs="仿宋_GB2312"/>
          <w:sz w:val="32"/>
          <w:szCs w:val="32"/>
        </w:rPr>
        <w:t>1532.6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573F0" w:rsidRDefault="00E573F0">
      <w:pPr>
        <w:snapToGrid w:val="0"/>
        <w:spacing w:line="52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2016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年年终结转和结余规模较大的原因：一是年末，财政拨入专项资金比较集中，未能及支付；二</w:t>
      </w:r>
      <w:bookmarkStart w:id="0" w:name="_GoBack"/>
      <w:bookmarkEnd w:id="0"/>
      <w:r w:rsidRPr="00D67133">
        <w:rPr>
          <w:rFonts w:ascii="仿宋_GB2312" w:eastAsia="仿宋_GB2312" w:hAnsi="仿宋_GB2312" w:cs="仿宋_GB2312" w:hint="eastAsia"/>
          <w:sz w:val="32"/>
          <w:szCs w:val="32"/>
        </w:rPr>
        <w:t>是因财政项目资金年末到账，个别项目刚刚启动，正在建设中；三是结转和结余中含有财政冻结资金。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E573F0" w:rsidRPr="00D67133" w:rsidRDefault="00E573F0" w:rsidP="00D6713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D6713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二、绩效评价工作开展情况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 w:hint="eastAsia"/>
          <w:sz w:val="32"/>
          <w:szCs w:val="32"/>
        </w:rPr>
        <w:t>根据《益阳市财政局关于做好</w:t>
      </w:r>
      <w:r w:rsidRPr="00D67133">
        <w:rPr>
          <w:rFonts w:ascii="仿宋_GB2312" w:eastAsia="仿宋_GB2312" w:hAnsi="仿宋_GB2312" w:cs="仿宋_GB2312"/>
          <w:sz w:val="32"/>
          <w:szCs w:val="32"/>
        </w:rPr>
        <w:t>2016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年预算绩效自评工作的通知》（益财绩〔</w:t>
      </w:r>
      <w:r w:rsidRPr="00D67133">
        <w:rPr>
          <w:rFonts w:ascii="仿宋_GB2312" w:eastAsia="仿宋_GB2312" w:hAnsi="仿宋_GB2312" w:cs="仿宋_GB2312"/>
          <w:sz w:val="32"/>
          <w:szCs w:val="32"/>
        </w:rPr>
        <w:t>2017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D67133">
        <w:rPr>
          <w:rFonts w:ascii="仿宋_GB2312" w:eastAsia="仿宋_GB2312" w:hAnsi="仿宋_GB2312" w:cs="仿宋_GB2312"/>
          <w:sz w:val="32"/>
          <w:szCs w:val="32"/>
        </w:rPr>
        <w:t>82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号）文件精神，我局对该项工作高度重视，局领导指示立即成立绩效评价小组，开展</w:t>
      </w:r>
      <w:r w:rsidRPr="00D67133">
        <w:rPr>
          <w:rFonts w:ascii="仿宋_GB2312" w:eastAsia="仿宋_GB2312" w:hAnsi="仿宋_GB2312" w:cs="仿宋_GB2312"/>
          <w:sz w:val="32"/>
          <w:szCs w:val="32"/>
        </w:rPr>
        <w:t>2016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年度的预算绩效评价工作，这项工作的开展主要包括以下几个方面：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1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、核实数据。对</w:t>
      </w:r>
      <w:r w:rsidRPr="00D67133">
        <w:rPr>
          <w:rFonts w:ascii="仿宋_GB2312" w:eastAsia="仿宋_GB2312" w:hAnsi="仿宋_GB2312" w:cs="仿宋_GB2312"/>
          <w:sz w:val="32"/>
          <w:szCs w:val="32"/>
        </w:rPr>
        <w:t>2016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年度部门整体支出数据的准确性、真实性进行核实，并进行分析。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2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、查阅资料。查阅</w:t>
      </w:r>
      <w:r w:rsidRPr="00D67133">
        <w:rPr>
          <w:rFonts w:ascii="仿宋_GB2312" w:eastAsia="仿宋_GB2312" w:hAnsi="仿宋_GB2312" w:cs="仿宋_GB2312"/>
          <w:sz w:val="32"/>
          <w:szCs w:val="32"/>
        </w:rPr>
        <w:t>2016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年度预算安排、非税收入、预算追加、资金管理、经费支出、资产管理等相关文件资料和财务凭证。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3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、实地查看。现场查看实物资产等。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4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、归纳汇总。对提供的材料及自评报告，结合现场评价情况进行综合分析、归纳汇总。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5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、评价组对各项评价指标进行分析讨论。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/>
          <w:sz w:val="32"/>
          <w:szCs w:val="32"/>
        </w:rPr>
        <w:t>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、形成绩效评价报告。</w:t>
      </w:r>
    </w:p>
    <w:p w:rsidR="00E573F0" w:rsidRPr="00D67133" w:rsidRDefault="00E573F0" w:rsidP="00D6713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D6713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三、综合评价结果</w:t>
      </w:r>
    </w:p>
    <w:p w:rsidR="00E573F0" w:rsidRPr="00D67133" w:rsidRDefault="00E573F0" w:rsidP="00D6713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133">
        <w:rPr>
          <w:rFonts w:ascii="仿宋_GB2312" w:eastAsia="仿宋_GB2312" w:hAnsi="仿宋_GB2312" w:cs="仿宋_GB2312" w:hint="eastAsia"/>
          <w:sz w:val="32"/>
          <w:szCs w:val="32"/>
        </w:rPr>
        <w:t>根据部门整体支出绩效评价指标确定的内容，经评价组综合评价，益阳市水务局</w:t>
      </w:r>
      <w:r w:rsidRPr="00D67133">
        <w:rPr>
          <w:rFonts w:ascii="仿宋_GB2312" w:eastAsia="仿宋_GB2312" w:hAnsi="仿宋_GB2312" w:cs="仿宋_GB2312"/>
          <w:sz w:val="32"/>
          <w:szCs w:val="32"/>
        </w:rPr>
        <w:t>2016</w:t>
      </w:r>
      <w:r w:rsidRPr="00D67133">
        <w:rPr>
          <w:rFonts w:ascii="仿宋_GB2312" w:eastAsia="仿宋_GB2312" w:hAnsi="仿宋_GB2312" w:cs="仿宋_GB2312" w:hint="eastAsia"/>
          <w:sz w:val="32"/>
          <w:szCs w:val="32"/>
        </w:rPr>
        <w:t>年度整体支出绩效评为“优良”。</w:t>
      </w:r>
    </w:p>
    <w:p w:rsidR="00E573F0" w:rsidRDefault="00E573F0" w:rsidP="00D67133">
      <w:pPr>
        <w:spacing w:line="500" w:lineRule="exact"/>
        <w:ind w:left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四、部门整体支出绩效</w:t>
      </w:r>
    </w:p>
    <w:p w:rsidR="00E573F0" w:rsidRDefault="00E573F0">
      <w:pPr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、当年取得的部门整体支出成效</w:t>
      </w:r>
    </w:p>
    <w:p w:rsidR="00E573F0" w:rsidRDefault="00E573F0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在市委、市政府的正确领导和省水利厅的关心支持下，按照“四个全面”战略部署，依法治水管水兴水，工作成效显著，实现了“十三五”水利改革发展的良好开局。防汛抗灾、安全生产、综合治理等工作获全市先进。</w:t>
      </w:r>
    </w:p>
    <w:p w:rsidR="00E573F0" w:rsidRDefault="00E573F0">
      <w:pPr>
        <w:tabs>
          <w:tab w:val="left" w:pos="6298"/>
        </w:tabs>
        <w:spacing w:line="5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防汛抗灾夺取胜利。</w:t>
      </w:r>
      <w:r w:rsidRPr="00D67133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年，我市降雨异常偏多，年均降雨达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1699.5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毫米，雨强异常偏大，遭受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次强降水袭击，山洪地质灾害频繁发生，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座水库超汛限水位，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座水库溢洪道过水，桃江碧螺水库超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1958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年建库以来最高水位。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个堤垸全面超警戒水位，其中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个堤垸超保证水位。大通湖内湖超警戒水位，烂泥湖内湖超保证水位。赫山区泉交河镇发生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年一遇的强降雨，日降雨量达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336.7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毫米，资水柘溪出现超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年一遇的特大洪峰，入库流量达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20400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立方米每秒，资水益阳、桃江超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水位，资水支流沂溪桃江蒙公塘站和洢溪安化竹溪坡站出现超历史洪水，抗洪救灾形势异常严峻。在市委、市政府的坚强领导和市防指的精心组织下，市水务局及时分析雨水汛情，精准调度，全市党政军警民众志成城，奋力抗洪，妥善处置和抢护重大险情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249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处，实现了不溃一堤一垸、不垮一库一坝、无人员死亡的奋斗目标，取得了抗洪救灾的全面胜利，得到了省防指的通报表扬。</w:t>
      </w:r>
    </w:p>
    <w:p w:rsidR="00E573F0" w:rsidRDefault="00E573F0">
      <w:pPr>
        <w:tabs>
          <w:tab w:val="left" w:pos="6298"/>
        </w:tabs>
        <w:spacing w:line="5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水利建设务实推进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完成水利建设投资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23.25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亿元，超额完成年度建设任务。其中兴建集中供水工程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处，解决建档立卡贫困村饮水问题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7.36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万人，占建档立卡贫困人口的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；治理水土流失面积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27.84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平方公里；完成小型病险水库除险加固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座；培修加固一线堤防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192.38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公里，回填朝天口工程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处；大通湖垸渠道衬砌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43.64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公里、民主垸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42.25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公里；完成鱼尾洲、沈家湾泵站等四处大型灌排泵站更新改造；根据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年水毁灾损情况，编制了《益阳市灾后水利薄弱环节建设实施方案（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年）》，并全面推进水毁水利工程修复。</w:t>
      </w:r>
    </w:p>
    <w:p w:rsidR="00E573F0" w:rsidRDefault="00E573F0" w:rsidP="005540EE">
      <w:pPr>
        <w:spacing w:line="500" w:lineRule="exact"/>
        <w:ind w:firstLineChars="200" w:firstLine="634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pacing w:val="-2"/>
          <w:kern w:val="0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b/>
          <w:bCs/>
          <w:spacing w:val="-2"/>
          <w:kern w:val="0"/>
          <w:sz w:val="32"/>
          <w:szCs w:val="32"/>
        </w:rPr>
        <w:t>重点工作扎实有效。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编制了《益阳市“十三五”水利发展规划》，规划水利项目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426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个，总投资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369.52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亿元。省重点民生实事（农村居民自来水普及率）达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81%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，超额完成任务，小康社会建设涉水指标（用水总量、农村居民自来水普及率）均超额完成年度目标任务。招商引资建立完善了“三库一网一报告”。成功引进湖南风河竹木科技股份有限公司，在赫山投资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2.98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亿元，建设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万平方米铝包竹绿色节能门窗项目。促成中交二航局与市政府就建设资江风貌带成功签约。制定了益阳市水利精准扶贫实施方案，以农村饮水安全巩固提升、农田水利建设、农村水电扶贫、水土保持等项目为重点，加强了建档立卡贫困村、贫困户精准对接、帮扶。全市沟渠塘坝清淤增蓄专项行动扎实推进，争取省级奖补资金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1.375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亿元，疏浚沟渠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3276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条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6048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千米。完成资江风貌带三桥至九洲搅拌场段工程建设。狠抓了金塘冲水库项目可研报告与专题报告编制等前期工作，完成移民实物调查复核，形成可研报告。</w:t>
      </w:r>
    </w:p>
    <w:p w:rsidR="00E573F0" w:rsidRDefault="00E573F0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(4)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涉水事务管理全面推进。实行最严格水资源管理制度，“三条红线”控制指标覆盖全市。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南县、沅江市分别列入第一批国家级、省级农田水利设施产权制度改革和创新运行管护机制试点县，改革取得显著成效。强力推进资江市中心城区段综合整治，取得明显成效，得到社会各界的一致好评。持续开展兰溪河志溪河综合整治，两河水质得到较大改善。开展河道保洁，河道综合治理进一步加强，水事违法行为处置力度进一步加大。</w:t>
      </w:r>
    </w:p>
    <w:p w:rsidR="00E573F0" w:rsidRDefault="00E573F0">
      <w:pPr>
        <w:spacing w:line="5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、预决算公开</w:t>
      </w:r>
    </w:p>
    <w:p w:rsidR="00E573F0" w:rsidRDefault="00E573F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根据市财政局有关规定，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年度预决算分别在市水务局门户网和市财政局门户网同步公开。</w:t>
      </w:r>
    </w:p>
    <w:p w:rsidR="00E573F0" w:rsidRDefault="00E573F0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、三公经费控制</w:t>
      </w:r>
    </w:p>
    <w:p w:rsidR="00E573F0" w:rsidRDefault="00E573F0">
      <w:pPr>
        <w:spacing w:line="500" w:lineRule="exact"/>
        <w:ind w:rightChars="50" w:right="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2016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年度“三公”经费财政拨款支出决算为</w:t>
      </w:r>
      <w:r>
        <w:rPr>
          <w:rFonts w:ascii="仿宋_GB2312" w:eastAsia="仿宋_GB2312" w:hAnsi="仿宋_GB2312" w:cs="仿宋_GB2312"/>
          <w:sz w:val="32"/>
          <w:szCs w:val="32"/>
        </w:rPr>
        <w:t>229.53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万元，其中：因公出国（境）费支出决算为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万元；公务用车购置及运行费支出决算为</w:t>
      </w:r>
      <w:r>
        <w:rPr>
          <w:rFonts w:ascii="仿宋_GB2312" w:eastAsia="仿宋_GB2312" w:hAnsi="仿宋_GB2312" w:cs="仿宋_GB2312"/>
          <w:sz w:val="32"/>
          <w:szCs w:val="32"/>
        </w:rPr>
        <w:t>69.75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；公务接待费支出决算为</w:t>
      </w:r>
      <w:r>
        <w:rPr>
          <w:rFonts w:ascii="仿宋_GB2312" w:eastAsia="仿宋_GB2312" w:hAnsi="仿宋_GB2312" w:cs="仿宋_GB2312"/>
          <w:sz w:val="32"/>
          <w:szCs w:val="32"/>
        </w:rPr>
        <w:t>159.78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2016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年度“三公”经费支出决算数小于上年决算数的主要原因：一是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年下半年局机关参加了车改，车辆减少；二是局机关和下属单位按照中央八项规定要求，厉行节约，严格控制和压缩“三公”经费支出。</w:t>
      </w:r>
    </w:p>
    <w:p w:rsidR="00E573F0" w:rsidRDefault="00E573F0">
      <w:pPr>
        <w:spacing w:line="500" w:lineRule="exact"/>
        <w:ind w:rightChars="50" w:right="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⑴公务用车购置及运行经费情况说明</w:t>
      </w:r>
    </w:p>
    <w:p w:rsidR="00E573F0" w:rsidRDefault="00E573F0">
      <w:pPr>
        <w:spacing w:line="500" w:lineRule="exact"/>
        <w:ind w:rightChars="50" w:right="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公务用车保有量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台，公务用车运行维护费支出</w:t>
      </w:r>
      <w:r>
        <w:rPr>
          <w:rFonts w:ascii="仿宋_GB2312" w:eastAsia="仿宋_GB2312" w:hAnsi="仿宋_GB2312" w:cs="仿宋_GB2312"/>
          <w:sz w:val="32"/>
          <w:szCs w:val="32"/>
        </w:rPr>
        <w:t>69.75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万元，主要用于防汛期间督查和城际间公务用车。</w:t>
      </w:r>
    </w:p>
    <w:p w:rsidR="00E573F0" w:rsidRDefault="00E573F0">
      <w:pPr>
        <w:spacing w:line="500" w:lineRule="exact"/>
        <w:ind w:rightChars="50" w:right="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⑵公务接待情况说明</w:t>
      </w:r>
    </w:p>
    <w:p w:rsidR="00E573F0" w:rsidRDefault="00E573F0">
      <w:pPr>
        <w:spacing w:line="500" w:lineRule="exact"/>
        <w:ind w:rightChars="50" w:right="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公务接待支出</w:t>
      </w:r>
      <w:r>
        <w:rPr>
          <w:rFonts w:ascii="仿宋_GB2312" w:eastAsia="仿宋_GB2312" w:hAnsi="仿宋_GB2312" w:cs="仿宋_GB2312"/>
          <w:sz w:val="32"/>
          <w:szCs w:val="32"/>
        </w:rPr>
        <w:t>159.78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万元，国内公务接待</w:t>
      </w:r>
      <w:r>
        <w:rPr>
          <w:rFonts w:ascii="仿宋_GB2312" w:eastAsia="仿宋_GB2312" w:hAnsi="仿宋_GB2312" w:cs="仿宋_GB2312"/>
          <w:sz w:val="32"/>
          <w:szCs w:val="32"/>
        </w:rPr>
        <w:t>2119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批次，接待</w:t>
      </w:r>
      <w:r>
        <w:rPr>
          <w:rFonts w:ascii="仿宋_GB2312" w:eastAsia="仿宋_GB2312" w:hAnsi="仿宋_GB2312" w:cs="仿宋_GB2312"/>
          <w:sz w:val="32"/>
          <w:szCs w:val="32"/>
        </w:rPr>
        <w:t>19422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人。接待支出主要用于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年防汛期间防汛人员伙食费和来客接待。</w:t>
      </w:r>
    </w:p>
    <w:p w:rsidR="00E573F0" w:rsidRDefault="00E573F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五、存在的问题及建议</w:t>
      </w:r>
    </w:p>
    <w:p w:rsidR="00E573F0" w:rsidRDefault="00E573F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、绩效目标管理有待加强。该系统虽然开展了绩效管理，但绩效目标设立指向不明确、内容不完整，指标选用重点不突出，定性指标使用较多，定量指标较少。</w:t>
      </w:r>
    </w:p>
    <w:p w:rsidR="00E573F0" w:rsidRDefault="00E573F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进一步加强预算绩效管理。一是规范绩效目标编制，科学选定绩效指标，尽量使用定量指标，合理确定指标标准；二是围绕绩效目标开展专项资金绩效运行跟踪监控，确保预算资金在正常轨道上运行；三是扎实开展绩效评价工作，加强对下级单位再评价，增强单位支出责任，提高财政资金使用效益。</w:t>
      </w:r>
      <w:r>
        <w:rPr>
          <w:rFonts w:ascii="仿宋_GB2312" w:eastAsia="仿宋_GB2312" w:hAnsi="仿宋_GB2312" w:cs="仿宋_GB2312"/>
          <w:sz w:val="32"/>
          <w:szCs w:val="32"/>
        </w:rPr>
        <w:br/>
        <w:t> 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、加强财务核算。对项目资金实行单列核算，便于准确反映单位项目支出情况，及时启动项目实施，规范资金审批程序，加快资金拨付进度，确保资金使用规范、公开、透明。</w:t>
      </w:r>
      <w:r>
        <w:rPr>
          <w:rFonts w:ascii="仿宋_GB2312" w:eastAsia="仿宋_GB2312" w:hAnsi="仿宋_GB2312" w:cs="仿宋_GB2312"/>
          <w:sz w:val="32"/>
          <w:szCs w:val="32"/>
        </w:rPr>
        <w:br/>
      </w:r>
    </w:p>
    <w:sectPr w:rsidR="00E573F0" w:rsidSect="001C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F0" w:rsidRDefault="00E573F0" w:rsidP="001C0123">
      <w:r>
        <w:separator/>
      </w:r>
    </w:p>
  </w:endnote>
  <w:endnote w:type="continuationSeparator" w:id="0">
    <w:p w:rsidR="00E573F0" w:rsidRDefault="00E573F0" w:rsidP="001C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F0" w:rsidRDefault="00E57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F0" w:rsidRDefault="00E573F0">
    <w:pPr>
      <w:pStyle w:val="Footer"/>
      <w:tabs>
        <w:tab w:val="clear" w:pos="4153"/>
        <w:tab w:val="left" w:pos="289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573F0" w:rsidRDefault="00E573F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F0" w:rsidRDefault="00E57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F0" w:rsidRDefault="00E573F0" w:rsidP="001C0123">
      <w:r>
        <w:separator/>
      </w:r>
    </w:p>
  </w:footnote>
  <w:footnote w:type="continuationSeparator" w:id="0">
    <w:p w:rsidR="00E573F0" w:rsidRDefault="00E573F0" w:rsidP="001C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F0" w:rsidRDefault="00E573F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F0" w:rsidRDefault="00E573F0" w:rsidP="00A75B0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F0" w:rsidRDefault="00E573F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CA8C"/>
    <w:multiLevelType w:val="singleLevel"/>
    <w:tmpl w:val="5A1BCA8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A1BCAB1"/>
    <w:multiLevelType w:val="singleLevel"/>
    <w:tmpl w:val="5A1BCAB1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A1BD9BF"/>
    <w:multiLevelType w:val="singleLevel"/>
    <w:tmpl w:val="5A1BD9BF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A1BDDDE"/>
    <w:multiLevelType w:val="singleLevel"/>
    <w:tmpl w:val="5A1BDDDE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051447"/>
    <w:rsid w:val="001C0123"/>
    <w:rsid w:val="003E28C1"/>
    <w:rsid w:val="004B1BBD"/>
    <w:rsid w:val="005540EE"/>
    <w:rsid w:val="00744CD6"/>
    <w:rsid w:val="00763584"/>
    <w:rsid w:val="00770D68"/>
    <w:rsid w:val="007B44DE"/>
    <w:rsid w:val="007E3564"/>
    <w:rsid w:val="00826FCF"/>
    <w:rsid w:val="008B5F54"/>
    <w:rsid w:val="00A75B04"/>
    <w:rsid w:val="00AF1534"/>
    <w:rsid w:val="00D67133"/>
    <w:rsid w:val="00D86C3A"/>
    <w:rsid w:val="00DA5113"/>
    <w:rsid w:val="00E573F0"/>
    <w:rsid w:val="01AA1F19"/>
    <w:rsid w:val="064073A1"/>
    <w:rsid w:val="069E14FA"/>
    <w:rsid w:val="185D4734"/>
    <w:rsid w:val="30EF2E26"/>
    <w:rsid w:val="43264C04"/>
    <w:rsid w:val="497103BF"/>
    <w:rsid w:val="577946DE"/>
    <w:rsid w:val="5C051447"/>
    <w:rsid w:val="63A921DA"/>
    <w:rsid w:val="666612DC"/>
    <w:rsid w:val="6AC971FC"/>
    <w:rsid w:val="7471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2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0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534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01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534"/>
    <w:rPr>
      <w:rFonts w:ascii="Calibri" w:hAnsi="Calibri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1C0123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1C0123"/>
    <w:rPr>
      <w:rFonts w:cs="Times New Roman"/>
    </w:rPr>
  </w:style>
  <w:style w:type="character" w:styleId="Hyperlink">
    <w:name w:val="Hyperlink"/>
    <w:basedOn w:val="DefaultParagraphFont"/>
    <w:uiPriority w:val="99"/>
    <w:rsid w:val="001C0123"/>
    <w:rPr>
      <w:rFonts w:cs="Times New Roman"/>
      <w:color w:val="0000FF"/>
      <w:u w:val="none"/>
    </w:rPr>
  </w:style>
  <w:style w:type="character" w:customStyle="1" w:styleId="current">
    <w:name w:val="current"/>
    <w:basedOn w:val="DefaultParagraphFont"/>
    <w:uiPriority w:val="99"/>
    <w:rsid w:val="001C0123"/>
    <w:rPr>
      <w:rFonts w:cs="Times New Roman"/>
      <w:b/>
      <w:color w:val="FFFFFF"/>
      <w:shd w:val="clear" w:color="auto" w:fill="2A5DB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506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冬日艳阳</dc:creator>
  <cp:keywords/>
  <dc:description/>
  <cp:lastModifiedBy>小胖子</cp:lastModifiedBy>
  <cp:revision>6</cp:revision>
  <cp:lastPrinted>2017-11-28T07:20:00Z</cp:lastPrinted>
  <dcterms:created xsi:type="dcterms:W3CDTF">2017-11-27T08:04:00Z</dcterms:created>
  <dcterms:modified xsi:type="dcterms:W3CDTF">2017-11-28T08:46:00Z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