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宋体" w:hAnsi="宋体" w:eastAsia="宋体"/>
          <w:b/>
          <w:sz w:val="48"/>
          <w:szCs w:val="48"/>
        </w:rPr>
      </w:pPr>
      <w:r>
        <w:rPr>
          <w:sz w:val="28"/>
        </w:rPr>
        <w:pict>
          <v:group id="_x0000_s1028" o:spid="_x0000_s1028" o:spt="203" style="position:absolute;left:0pt;margin-left:0.05pt;margin-top:-5.5pt;height:678pt;width:445.2pt;z-index:251659264;mso-width-relative:page;mso-height-relative:page;" coordorigin="1588,1578" coordsize="8904,13560">
            <o:lock v:ext="edit"/>
            <v:shape id="_x0000_s1029" o:spid="_x0000_s1029" o:spt="136" type="#_x0000_t136" style="position:absolute;left:1906;top:1578;height:866;width:8109;" fillcolor="#FF0000" filled="t" stroked="t" coordsize="21600,21600">
              <v:path/>
              <v:fill on="t" focussize="0,0"/>
              <v:stroke color="#FF0000"/>
              <v:imagedata o:title=""/>
              <o:lock v:ext="edit" grouping="f" rotation="f" text="f" aspectratio="f"/>
              <v:textpath on="t" fitshape="t" fitpath="t" trim="t" xscale="f" string="益阳市市场监督管理局" style="font-family:华文中宋;font-size:36pt;v-text-align:center;v-text-spacing:78644f;"/>
            </v:shape>
            <v:line id="_x0000_s1030" o:spid="_x0000_s1030" o:spt="20" style="position:absolute;left:1588;top:2978;height:0;width:8904;" filled="f" stroked="t" coordsize="21600,21600">
              <v:path arrowok="t"/>
              <v:fill on="f" focussize="0,0"/>
              <v:stroke weight="4.25pt" color="#FF0000" linestyle="thickThin"/>
              <v:imagedata o:title=""/>
              <o:lock v:ext="edit"/>
            </v:line>
            <v:line id="_x0000_s1031" o:spid="_x0000_s1031" o:spt="20" style="position:absolute;left:1588;top:15138;height:0;width:8904;" filled="f" stroked="t" coordsize="21600,21600">
              <v:path arrowok="t"/>
              <v:fill on="f" focussize="0,0"/>
              <v:stroke weight="4.5pt" color="#FF0000" linestyle="thinThick"/>
              <v:imagedata o:title=""/>
              <o:lock v:ext="edit"/>
            </v:line>
          </v:group>
        </w:pict>
      </w:r>
    </w:p>
    <w:p>
      <w:pPr>
        <w:spacing w:line="600" w:lineRule="exact"/>
        <w:jc w:val="center"/>
        <w:rPr>
          <w:rFonts w:ascii="宋体" w:hAnsi="宋体" w:eastAsia="宋体"/>
          <w:b/>
          <w:sz w:val="48"/>
          <w:szCs w:val="48"/>
        </w:rPr>
      </w:pPr>
    </w:p>
    <w:p>
      <w:pPr>
        <w:spacing w:line="600" w:lineRule="exact"/>
        <w:jc w:val="center"/>
        <w:rPr>
          <w:rFonts w:ascii="宋体" w:hAnsi="宋体" w:eastAsia="宋体"/>
          <w:b/>
          <w:sz w:val="48"/>
          <w:szCs w:val="48"/>
        </w:rPr>
      </w:pPr>
    </w:p>
    <w:p>
      <w:pPr>
        <w:spacing w:line="200" w:lineRule="exact"/>
        <w:jc w:val="center"/>
        <w:rPr>
          <w:rFonts w:hint="eastAsia" w:ascii="方正小标宋简体" w:hAnsi="方正小标宋简体" w:eastAsia="方正小标宋简体" w:cs="方正小标宋简体"/>
          <w:bCs/>
          <w:sz w:val="44"/>
          <w:szCs w:val="44"/>
        </w:rPr>
      </w:pPr>
    </w:p>
    <w:p>
      <w:pPr>
        <w:spacing w:line="7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益阳市市场监督管理局</w:t>
      </w:r>
    </w:p>
    <w:p>
      <w:pPr>
        <w:spacing w:line="7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2</w:t>
      </w:r>
      <w:r>
        <w:rPr>
          <w:rFonts w:hint="eastAsia" w:ascii="方正小标宋简体" w:hAnsi="方正小标宋简体" w:eastAsia="方正小标宋简体" w:cs="方正小标宋简体"/>
          <w:sz w:val="44"/>
          <w:szCs w:val="44"/>
        </w:rPr>
        <w:t>年部门整体支出绩效自评报告</w:t>
      </w:r>
    </w:p>
    <w:p>
      <w:pPr>
        <w:spacing w:line="560" w:lineRule="exact"/>
        <w:rPr>
          <w:rFonts w:ascii="仿宋" w:hAnsi="仿宋" w:eastAsia="仿宋" w:cs="仿宋_GB2312"/>
          <w:color w:val="000000"/>
          <w:szCs w:val="32"/>
        </w:rPr>
      </w:pPr>
    </w:p>
    <w:p>
      <w:pPr>
        <w:spacing w:line="600" w:lineRule="exact"/>
        <w:ind w:firstLine="640" w:firstLineChars="200"/>
        <w:rPr>
          <w:szCs w:val="32"/>
        </w:rPr>
      </w:pPr>
      <w:r>
        <w:rPr>
          <w:rFonts w:hint="eastAsia"/>
          <w:szCs w:val="32"/>
          <w:lang w:val="en-US" w:eastAsia="zh-CN"/>
        </w:rPr>
        <w:t>为认真落实</w:t>
      </w:r>
      <w:r>
        <w:rPr>
          <w:szCs w:val="32"/>
        </w:rPr>
        <w:t>《益阳市财政局关于开展202</w:t>
      </w:r>
      <w:r>
        <w:rPr>
          <w:rFonts w:hint="eastAsia"/>
          <w:szCs w:val="32"/>
          <w:lang w:val="en-US" w:eastAsia="zh-CN"/>
        </w:rPr>
        <w:t>2</w:t>
      </w:r>
      <w:r>
        <w:rPr>
          <w:szCs w:val="32"/>
        </w:rPr>
        <w:t>年度</w:t>
      </w:r>
      <w:r>
        <w:rPr>
          <w:rFonts w:hint="eastAsia"/>
          <w:szCs w:val="32"/>
          <w:lang w:val="en-US" w:eastAsia="zh-CN"/>
        </w:rPr>
        <w:t>部门</w:t>
      </w:r>
      <w:r>
        <w:rPr>
          <w:szCs w:val="32"/>
        </w:rPr>
        <w:t>绩效自评工作的通知》精神，我局</w:t>
      </w:r>
      <w:r>
        <w:rPr>
          <w:rFonts w:hint="eastAsia"/>
          <w:szCs w:val="32"/>
          <w:lang w:val="en-US" w:eastAsia="zh-CN"/>
        </w:rPr>
        <w:t>严格按要求</w:t>
      </w:r>
      <w:r>
        <w:rPr>
          <w:szCs w:val="32"/>
        </w:rPr>
        <w:t>对202</w:t>
      </w:r>
      <w:r>
        <w:rPr>
          <w:rFonts w:hint="eastAsia"/>
          <w:szCs w:val="32"/>
          <w:lang w:val="en-US" w:eastAsia="zh-CN"/>
        </w:rPr>
        <w:t>2</w:t>
      </w:r>
      <w:r>
        <w:rPr>
          <w:szCs w:val="32"/>
        </w:rPr>
        <w:t>年度部门整体支出进行</w:t>
      </w:r>
      <w:r>
        <w:rPr>
          <w:rFonts w:hint="eastAsia"/>
          <w:szCs w:val="32"/>
          <w:lang w:val="en-US" w:eastAsia="zh-CN"/>
        </w:rPr>
        <w:t>绩效</w:t>
      </w:r>
      <w:r>
        <w:rPr>
          <w:szCs w:val="32"/>
        </w:rPr>
        <w:t>自评，现</w:t>
      </w:r>
      <w:r>
        <w:rPr>
          <w:rFonts w:hint="eastAsia"/>
          <w:szCs w:val="32"/>
          <w:lang w:val="en-US" w:eastAsia="zh-CN"/>
        </w:rPr>
        <w:t>将有关</w:t>
      </w:r>
      <w:r>
        <w:rPr>
          <w:szCs w:val="32"/>
        </w:rPr>
        <w:t>报告如下：</w:t>
      </w:r>
    </w:p>
    <w:p>
      <w:pPr>
        <w:spacing w:line="600" w:lineRule="exact"/>
        <w:ind w:firstLine="640" w:firstLineChars="200"/>
        <w:rPr>
          <w:rFonts w:hint="eastAsia" w:ascii="黑体" w:hAnsi="黑体" w:eastAsia="黑体" w:cs="黑体"/>
          <w:color w:val="000000"/>
          <w:szCs w:val="32"/>
        </w:rPr>
      </w:pPr>
      <w:r>
        <w:rPr>
          <w:rFonts w:hint="eastAsia" w:ascii="黑体" w:hAnsi="黑体" w:eastAsia="黑体" w:cs="黑体"/>
          <w:color w:val="000000"/>
          <w:szCs w:val="32"/>
        </w:rPr>
        <w:t>一、部门基本情况</w:t>
      </w:r>
    </w:p>
    <w:p>
      <w:pPr>
        <w:spacing w:line="600" w:lineRule="exact"/>
        <w:ind w:firstLine="640" w:firstLineChars="200"/>
        <w:rPr>
          <w:rFonts w:hint="eastAsia" w:ascii="楷体_GB2312" w:hAnsi="楷体_GB2312" w:eastAsia="楷体_GB2312" w:cs="楷体_GB2312"/>
          <w:b/>
          <w:color w:val="000000"/>
          <w:szCs w:val="32"/>
        </w:rPr>
      </w:pPr>
      <w:r>
        <w:rPr>
          <w:rFonts w:hint="eastAsia" w:ascii="楷体_GB2312" w:hAnsi="楷体_GB2312" w:eastAsia="楷体_GB2312" w:cs="楷体_GB2312"/>
          <w:b/>
          <w:color w:val="000000"/>
          <w:szCs w:val="32"/>
        </w:rPr>
        <w:t>（一）单位基本情况</w:t>
      </w:r>
    </w:p>
    <w:p>
      <w:pPr>
        <w:spacing w:line="600" w:lineRule="exact"/>
        <w:ind w:firstLine="640" w:firstLineChars="200"/>
        <w:rPr>
          <w:szCs w:val="32"/>
        </w:rPr>
      </w:pPr>
      <w:r>
        <w:rPr>
          <w:szCs w:val="32"/>
        </w:rPr>
        <w:t>根据益阳市委机构改革统一部署，益阳市市场监督管理局（以下简</w:t>
      </w:r>
      <w:r>
        <w:rPr>
          <w:rFonts w:hint="eastAsia" w:ascii="仿宋_GB2312" w:hAnsi="仿宋_GB2312" w:eastAsia="仿宋_GB2312" w:cs="仿宋_GB2312"/>
          <w:szCs w:val="32"/>
        </w:rPr>
        <w:t>称“市市场监管局”</w:t>
      </w:r>
      <w:r>
        <w:rPr>
          <w:szCs w:val="32"/>
        </w:rPr>
        <w:t>）于2019年2月28日正式挂牌。新组建的益阳市市场监管局整合了原市工商局、质监局、食药监局、科技局的知识产权相关职责和发改委的价格监督检查等职责，是市政府直属行政机构。</w:t>
      </w:r>
    </w:p>
    <w:p>
      <w:pPr>
        <w:spacing w:line="600" w:lineRule="exact"/>
        <w:ind w:firstLine="640" w:firstLineChars="200"/>
        <w:rPr>
          <w:rFonts w:ascii="楷体_GB2312" w:hAnsi="楷体_GB2312" w:eastAsia="楷体_GB2312" w:cs="楷体_GB2312"/>
          <w:b/>
          <w:color w:val="000000"/>
          <w:szCs w:val="32"/>
        </w:rPr>
      </w:pPr>
      <w:r>
        <w:rPr>
          <w:rFonts w:ascii="楷体_GB2312" w:hAnsi="楷体_GB2312" w:eastAsia="楷体_GB2312" w:cs="楷体_GB2312"/>
          <w:b/>
          <w:color w:val="000000"/>
          <w:szCs w:val="32"/>
        </w:rPr>
        <w:t>（二）主要职能</w:t>
      </w:r>
    </w:p>
    <w:p>
      <w:pPr>
        <w:spacing w:line="600" w:lineRule="exact"/>
        <w:ind w:firstLine="640" w:firstLineChars="200"/>
        <w:rPr>
          <w:szCs w:val="32"/>
        </w:rPr>
      </w:pPr>
      <w:r>
        <w:rPr>
          <w:szCs w:val="32"/>
        </w:rPr>
        <w:t>根据三定方案，市市场监管局职能具体如下：</w:t>
      </w:r>
    </w:p>
    <w:p>
      <w:pPr>
        <w:spacing w:line="600" w:lineRule="exact"/>
        <w:ind w:firstLine="640" w:firstLineChars="200"/>
        <w:rPr>
          <w:szCs w:val="32"/>
        </w:rPr>
        <w:sectPr>
          <w:pgSz w:w="11906" w:h="16838"/>
          <w:pgMar w:top="1928" w:right="1474" w:bottom="1701" w:left="1587" w:header="851" w:footer="992" w:gutter="0"/>
          <w:pgNumType w:fmt="numberInDash" w:start="2"/>
          <w:cols w:space="720" w:num="1"/>
          <w:docGrid w:type="linesAndChars" w:linePitch="600" w:charSpace="0"/>
        </w:sectPr>
      </w:pPr>
      <w:r>
        <w:rPr>
          <w:szCs w:val="32"/>
        </w:rPr>
        <w:t>（一）负责市场综合监管管理。（二）负责市场主体统一登记注册。（三）负责组织和指导市场监管综合执法工作。（四）负责反垄断统一执法。（五）负责监督管理市场秩序。（六）</w:t>
      </w:r>
    </w:p>
    <w:p>
      <w:pPr>
        <w:spacing w:line="600" w:lineRule="exact"/>
        <w:rPr>
          <w:szCs w:val="32"/>
        </w:rPr>
      </w:pPr>
      <w:r>
        <w:rPr>
          <w:szCs w:val="32"/>
        </w:rPr>
        <w:t>负责宏观质量管理。（七）负责产品质量安全监督管理。（八）负责特种设备安全监督管理。（九）负责食品安全监督管理综合协调。（十）负责食品安全监督管理。（十一）负责统一管理计量工作。（十二）负责统一管理标准化工作。（十三）负责统一管理检验检测工作。（十四）负责统一管理、监督和综合协调全省认证认可工作。（十五）负责市场监督管理、知识产权领域科技和信息化建设、新闻宣传、对外交流与合作。（十六）负责实施知识产权战略，推进知识产权强市建设。（十七）负责保护知识产权。（十八）负责知识产权创造运用。（十九）负责组织开展有关服务领域消费维权工作，查处制售假冒伪劣等违法行为，指导消费者咨询、申诉、举报受理、处理和网络体系建设等工作，保护经营者、消费者合法权益。（二十）负责药品（含中药、民族药，下同）、医疗器械、化妆品安全监督管理。（二十一）负责药品、医疗器械、化妆品标准管理和质量管理。（二十二）负责药品、医疗器械、化妆品上市后风险管理。完成市委、市政府交办的其他任务。市场监督管理部门是一个与民生息息相关的职能部门，老百姓</w:t>
      </w:r>
      <w:r>
        <w:rPr>
          <w:rFonts w:hint="eastAsia" w:ascii="仿宋_GB2312" w:hAnsi="仿宋_GB2312" w:eastAsia="仿宋_GB2312" w:cs="仿宋_GB2312"/>
          <w:szCs w:val="32"/>
        </w:rPr>
        <w:t>的“衣、食、住、行、医、用、娱”无</w:t>
      </w:r>
      <w:r>
        <w:rPr>
          <w:szCs w:val="32"/>
        </w:rPr>
        <w:t>一不与市场监督管理工作相关。</w:t>
      </w:r>
    </w:p>
    <w:p>
      <w:pPr>
        <w:spacing w:line="600" w:lineRule="exact"/>
        <w:ind w:firstLine="640" w:firstLineChars="200"/>
        <w:rPr>
          <w:rFonts w:ascii="楷体_GB2312" w:hAnsi="楷体_GB2312" w:eastAsia="楷体_GB2312" w:cs="楷体_GB2312"/>
          <w:b/>
          <w:color w:val="000000"/>
          <w:szCs w:val="32"/>
        </w:rPr>
      </w:pPr>
      <w:r>
        <w:rPr>
          <w:rFonts w:ascii="楷体_GB2312" w:hAnsi="楷体_GB2312" w:eastAsia="楷体_GB2312" w:cs="楷体_GB2312"/>
          <w:b/>
          <w:color w:val="000000"/>
          <w:szCs w:val="32"/>
        </w:rPr>
        <w:t>（三）机构情况</w:t>
      </w:r>
    </w:p>
    <w:p>
      <w:pPr>
        <w:topLinePunct/>
        <w:spacing w:line="600" w:lineRule="exact"/>
        <w:ind w:firstLine="640" w:firstLineChars="200"/>
        <w:rPr>
          <w:szCs w:val="32"/>
        </w:rPr>
      </w:pPr>
      <w:r>
        <w:rPr>
          <w:rFonts w:hint="eastAsia"/>
          <w:szCs w:val="32"/>
          <w:lang w:val="en-US" w:eastAsia="zh-CN"/>
        </w:rPr>
        <w:t>1.</w:t>
      </w:r>
      <w:r>
        <w:rPr>
          <w:szCs w:val="32"/>
        </w:rPr>
        <w:t>内设机构（43个，均为正科级）：办公室、综合规划科、政策法规科、执法稽查科、行政审批改革科、登记注册科、信用监督管理科、反垄断和反不正当竞争科、打击传销和规范直销科、价格监督检查科、网络交易监督管理科、科技和新经济发展服务科、广告监督管理科、质量发展科、产品质量安全监督管理科、食品安全协调科、食品生产安全监督管理科、食品流通安全监督管理科、餐饮服务安全监督管理科、特殊食品安全监督管理科、盐业监督管理科、食品安全抽检监测科、特种设备安全监察科、计量科、标准化科、认证监督管理科、认可与检验检测监督管理科、知识产权促进运用科、知识产权保护科、药品生产服务科、药品流通监督管理科、医疗器械监督管理科、化妆品监督管理科、消费者权益保护科、市消费者委员会办公室、投诉举报科、新闻宣传和应急科、财务科、人事科、离退休人员管理科、机关党委、市非公有制经济组织综合党委、产业工会。</w:t>
      </w:r>
    </w:p>
    <w:p>
      <w:pPr>
        <w:topLinePunct/>
        <w:spacing w:line="600" w:lineRule="exact"/>
        <w:ind w:firstLine="640" w:firstLineChars="200"/>
        <w:rPr>
          <w:szCs w:val="32"/>
        </w:rPr>
      </w:pPr>
      <w:r>
        <w:rPr>
          <w:rFonts w:hint="eastAsia"/>
          <w:szCs w:val="32"/>
          <w:lang w:val="en-US" w:eastAsia="zh-CN"/>
        </w:rPr>
        <w:t>2.</w:t>
      </w:r>
      <w:r>
        <w:rPr>
          <w:szCs w:val="32"/>
        </w:rPr>
        <w:t>直属二级机构单位（9 个）。其中独立预算单位4 个，即：计量测试检定所、纤维质量监测中心、产商品质量监督检验研究院、食品药品检验所。并入市局机关预算单位5个，即：综合行政执法支队、不良反应中心、信息中心、培训中心、非公有制经济发展指导中心。</w:t>
      </w:r>
    </w:p>
    <w:p>
      <w:pPr>
        <w:spacing w:line="600" w:lineRule="exact"/>
        <w:ind w:firstLine="640" w:firstLineChars="200"/>
        <w:rPr>
          <w:rFonts w:ascii="楷体_GB2312" w:hAnsi="楷体_GB2312" w:eastAsia="楷体_GB2312" w:cs="楷体_GB2312"/>
          <w:b/>
          <w:color w:val="000000"/>
          <w:szCs w:val="32"/>
        </w:rPr>
      </w:pPr>
      <w:r>
        <w:rPr>
          <w:rFonts w:ascii="楷体_GB2312" w:hAnsi="楷体_GB2312" w:eastAsia="楷体_GB2312" w:cs="楷体_GB2312"/>
          <w:b/>
          <w:color w:val="000000"/>
          <w:szCs w:val="32"/>
        </w:rPr>
        <w:t>（四）人员情况</w:t>
      </w:r>
    </w:p>
    <w:p>
      <w:pPr>
        <w:spacing w:line="600" w:lineRule="exact"/>
        <w:ind w:firstLine="640" w:firstLineChars="200"/>
        <w:rPr>
          <w:szCs w:val="32"/>
        </w:rPr>
      </w:pPr>
      <w:r>
        <w:rPr>
          <w:szCs w:val="32"/>
        </w:rPr>
        <w:t>202</w:t>
      </w:r>
      <w:r>
        <w:rPr>
          <w:rFonts w:hint="eastAsia"/>
          <w:szCs w:val="32"/>
          <w:lang w:val="en-US" w:eastAsia="zh-CN"/>
        </w:rPr>
        <w:t>2</w:t>
      </w:r>
      <w:r>
        <w:rPr>
          <w:szCs w:val="32"/>
        </w:rPr>
        <w:t>年末，市市场监管局共有编制 3</w:t>
      </w:r>
      <w:r>
        <w:rPr>
          <w:rFonts w:hint="eastAsia"/>
          <w:szCs w:val="32"/>
          <w:lang w:val="en-US" w:eastAsia="zh-CN"/>
        </w:rPr>
        <w:t>42</w:t>
      </w:r>
      <w:r>
        <w:rPr>
          <w:szCs w:val="32"/>
        </w:rPr>
        <w:t>名，其中行政编制</w:t>
      </w:r>
      <w:r>
        <w:rPr>
          <w:rFonts w:hint="eastAsia"/>
          <w:szCs w:val="32"/>
        </w:rPr>
        <w:t>99</w:t>
      </w:r>
      <w:r>
        <w:rPr>
          <w:szCs w:val="32"/>
        </w:rPr>
        <w:t>个，全额拨款事业编制2</w:t>
      </w:r>
      <w:r>
        <w:rPr>
          <w:rFonts w:hint="eastAsia"/>
          <w:szCs w:val="32"/>
          <w:lang w:val="en-US" w:eastAsia="zh-CN"/>
        </w:rPr>
        <w:t>3</w:t>
      </w:r>
      <w:r>
        <w:rPr>
          <w:szCs w:val="32"/>
        </w:rPr>
        <w:t>3个，工勤编制1</w:t>
      </w:r>
      <w:r>
        <w:rPr>
          <w:rFonts w:hint="eastAsia"/>
          <w:szCs w:val="32"/>
          <w:lang w:val="en-US" w:eastAsia="zh-CN"/>
        </w:rPr>
        <w:t>0</w:t>
      </w:r>
      <w:r>
        <w:rPr>
          <w:szCs w:val="32"/>
        </w:rPr>
        <w:t>个。现有在职人员317人，离退休人员197人。市市场监管局局机关（含非独立核算二级机构）共有编制 23</w:t>
      </w:r>
      <w:r>
        <w:rPr>
          <w:rFonts w:hint="eastAsia"/>
          <w:szCs w:val="32"/>
          <w:lang w:val="en-US" w:eastAsia="zh-CN"/>
        </w:rPr>
        <w:t>1</w:t>
      </w:r>
      <w:r>
        <w:rPr>
          <w:szCs w:val="32"/>
        </w:rPr>
        <w:t>名，行政编制</w:t>
      </w:r>
      <w:r>
        <w:rPr>
          <w:rFonts w:hint="eastAsia"/>
          <w:szCs w:val="32"/>
        </w:rPr>
        <w:t>99</w:t>
      </w:r>
      <w:r>
        <w:rPr>
          <w:szCs w:val="32"/>
        </w:rPr>
        <w:t>个，事业编制122 人，工勤编制1</w:t>
      </w:r>
      <w:r>
        <w:rPr>
          <w:rFonts w:hint="eastAsia"/>
          <w:szCs w:val="32"/>
          <w:lang w:val="en-US" w:eastAsia="zh-CN"/>
        </w:rPr>
        <w:t>0</w:t>
      </w:r>
      <w:r>
        <w:rPr>
          <w:szCs w:val="32"/>
        </w:rPr>
        <w:t>人。局机关实有在职人员22</w:t>
      </w:r>
      <w:r>
        <w:rPr>
          <w:rFonts w:hint="eastAsia"/>
          <w:szCs w:val="32"/>
        </w:rPr>
        <w:t>3</w:t>
      </w:r>
      <w:r>
        <w:rPr>
          <w:szCs w:val="32"/>
        </w:rPr>
        <w:t>人，离退休人员1</w:t>
      </w:r>
      <w:r>
        <w:rPr>
          <w:rFonts w:hint="eastAsia"/>
          <w:szCs w:val="32"/>
        </w:rPr>
        <w:t>70</w:t>
      </w:r>
      <w:r>
        <w:rPr>
          <w:szCs w:val="32"/>
        </w:rPr>
        <w:t>人。</w:t>
      </w:r>
    </w:p>
    <w:p>
      <w:pPr>
        <w:spacing w:line="600" w:lineRule="exact"/>
        <w:ind w:firstLine="640" w:firstLineChars="200"/>
        <w:rPr>
          <w:rFonts w:hint="eastAsia" w:ascii="黑体" w:hAnsi="黑体" w:eastAsia="黑体" w:cs="黑体"/>
          <w:color w:val="000000"/>
          <w:szCs w:val="32"/>
        </w:rPr>
      </w:pPr>
      <w:r>
        <w:rPr>
          <w:rFonts w:hint="eastAsia" w:ascii="黑体" w:hAnsi="黑体" w:eastAsia="黑体" w:cs="黑体"/>
          <w:color w:val="000000"/>
          <w:szCs w:val="32"/>
        </w:rPr>
        <w:t>二、一般公共预算支出情况</w:t>
      </w:r>
    </w:p>
    <w:p>
      <w:pPr>
        <w:spacing w:line="600" w:lineRule="exact"/>
        <w:ind w:firstLine="640" w:firstLineChars="200"/>
        <w:rPr>
          <w:rFonts w:ascii="楷体_GB2312" w:hAnsi="楷体_GB2312" w:eastAsia="楷体_GB2312" w:cs="楷体_GB2312"/>
          <w:b/>
          <w:color w:val="000000"/>
          <w:szCs w:val="32"/>
        </w:rPr>
      </w:pPr>
      <w:r>
        <w:rPr>
          <w:rFonts w:ascii="楷体_GB2312" w:hAnsi="楷体_GB2312" w:eastAsia="楷体_GB2312" w:cs="楷体_GB2312"/>
          <w:b/>
          <w:color w:val="000000"/>
          <w:szCs w:val="32"/>
        </w:rPr>
        <w:t>（一）收入预算支出总体情况</w:t>
      </w:r>
    </w:p>
    <w:p>
      <w:pPr>
        <w:spacing w:line="600" w:lineRule="exact"/>
        <w:ind w:firstLine="640" w:firstLineChars="200"/>
        <w:rPr>
          <w:szCs w:val="32"/>
        </w:rPr>
      </w:pPr>
      <w:r>
        <w:rPr>
          <w:rFonts w:hint="eastAsia"/>
          <w:szCs w:val="32"/>
          <w:lang w:eastAsia="zh-CN"/>
        </w:rPr>
        <w:t>2022年</w:t>
      </w:r>
      <w:r>
        <w:rPr>
          <w:szCs w:val="32"/>
        </w:rPr>
        <w:t>一般公共预算年初结转和结余资金</w:t>
      </w:r>
      <w:r>
        <w:rPr>
          <w:rFonts w:hint="eastAsia"/>
          <w:szCs w:val="32"/>
          <w:lang w:val="en-US" w:eastAsia="zh-CN"/>
        </w:rPr>
        <w:t>为零</w:t>
      </w:r>
      <w:r>
        <w:rPr>
          <w:szCs w:val="32"/>
        </w:rPr>
        <w:t>。</w:t>
      </w:r>
    </w:p>
    <w:p>
      <w:pPr>
        <w:spacing w:line="600" w:lineRule="exact"/>
        <w:ind w:firstLine="640" w:firstLineChars="200"/>
        <w:rPr>
          <w:szCs w:val="32"/>
        </w:rPr>
      </w:pPr>
      <w:r>
        <w:rPr>
          <w:rFonts w:hint="eastAsia"/>
          <w:szCs w:val="32"/>
          <w:lang w:eastAsia="zh-CN"/>
        </w:rPr>
        <w:t>2022年</w:t>
      </w:r>
      <w:r>
        <w:rPr>
          <w:szCs w:val="32"/>
        </w:rPr>
        <w:t>全年一般公共预算收入</w:t>
      </w:r>
      <w:r>
        <w:rPr>
          <w:rFonts w:hint="eastAsia"/>
          <w:szCs w:val="32"/>
          <w:lang w:val="en-US" w:eastAsia="zh-CN"/>
        </w:rPr>
        <w:t>9903.38</w:t>
      </w:r>
      <w:r>
        <w:rPr>
          <w:szCs w:val="32"/>
        </w:rPr>
        <w:t>万元。其中基本支出预算收入</w:t>
      </w:r>
      <w:r>
        <w:rPr>
          <w:rFonts w:hint="eastAsia"/>
          <w:szCs w:val="32"/>
          <w:lang w:val="en-US" w:eastAsia="zh-CN"/>
        </w:rPr>
        <w:t>7528.72</w:t>
      </w:r>
      <w:r>
        <w:rPr>
          <w:szCs w:val="32"/>
        </w:rPr>
        <w:t>万元，项目支出预算收入</w:t>
      </w:r>
      <w:r>
        <w:rPr>
          <w:rFonts w:hint="eastAsia"/>
          <w:szCs w:val="32"/>
          <w:lang w:val="en-US" w:eastAsia="zh-CN"/>
        </w:rPr>
        <w:t>2374.66</w:t>
      </w:r>
      <w:r>
        <w:rPr>
          <w:szCs w:val="32"/>
        </w:rPr>
        <w:t>万元。</w:t>
      </w:r>
    </w:p>
    <w:p>
      <w:pPr>
        <w:spacing w:line="600" w:lineRule="exact"/>
        <w:ind w:firstLine="640" w:firstLineChars="200"/>
        <w:rPr>
          <w:szCs w:val="32"/>
        </w:rPr>
      </w:pPr>
      <w:r>
        <w:rPr>
          <w:rFonts w:hint="eastAsia"/>
          <w:szCs w:val="32"/>
          <w:lang w:eastAsia="zh-CN"/>
        </w:rPr>
        <w:t>2022年</w:t>
      </w:r>
      <w:r>
        <w:rPr>
          <w:szCs w:val="32"/>
        </w:rPr>
        <w:t>支出总金额</w:t>
      </w:r>
      <w:r>
        <w:rPr>
          <w:rFonts w:hint="eastAsia"/>
          <w:szCs w:val="32"/>
          <w:lang w:val="en-US" w:eastAsia="zh-CN"/>
        </w:rPr>
        <w:t>9903.38</w:t>
      </w:r>
      <w:r>
        <w:rPr>
          <w:szCs w:val="32"/>
        </w:rPr>
        <w:t>万元。其中基本支出</w:t>
      </w:r>
      <w:r>
        <w:rPr>
          <w:rFonts w:hint="eastAsia"/>
          <w:szCs w:val="32"/>
          <w:lang w:val="en-US" w:eastAsia="zh-CN"/>
        </w:rPr>
        <w:t>7528.72</w:t>
      </w:r>
      <w:r>
        <w:rPr>
          <w:szCs w:val="32"/>
        </w:rPr>
        <w:t>万元，项目支出</w:t>
      </w:r>
      <w:r>
        <w:rPr>
          <w:rFonts w:hint="eastAsia"/>
          <w:szCs w:val="32"/>
          <w:lang w:val="en-US" w:eastAsia="zh-CN"/>
        </w:rPr>
        <w:t>2374.66</w:t>
      </w:r>
      <w:r>
        <w:rPr>
          <w:szCs w:val="32"/>
        </w:rPr>
        <w:t>万元。</w:t>
      </w:r>
    </w:p>
    <w:p>
      <w:pPr>
        <w:spacing w:line="600" w:lineRule="exact"/>
        <w:ind w:firstLine="640" w:firstLineChars="200"/>
        <w:rPr>
          <w:szCs w:val="32"/>
        </w:rPr>
      </w:pPr>
      <w:r>
        <w:rPr>
          <w:szCs w:val="32"/>
        </w:rPr>
        <w:t>202</w:t>
      </w:r>
      <w:r>
        <w:rPr>
          <w:rFonts w:hint="eastAsia"/>
          <w:szCs w:val="32"/>
          <w:lang w:val="en-US" w:eastAsia="zh-CN"/>
        </w:rPr>
        <w:t>2</w:t>
      </w:r>
      <w:r>
        <w:rPr>
          <w:szCs w:val="32"/>
        </w:rPr>
        <w:t>年年末结转和结余资金</w:t>
      </w:r>
      <w:r>
        <w:rPr>
          <w:rFonts w:hint="eastAsia"/>
          <w:szCs w:val="32"/>
        </w:rPr>
        <w:t>为</w:t>
      </w:r>
      <w:r>
        <w:rPr>
          <w:szCs w:val="32"/>
        </w:rPr>
        <w:t>零。</w:t>
      </w:r>
    </w:p>
    <w:p>
      <w:pPr>
        <w:spacing w:line="600" w:lineRule="exact"/>
        <w:ind w:firstLine="640" w:firstLineChars="200"/>
        <w:rPr>
          <w:b/>
          <w:bCs/>
          <w:color w:val="333333"/>
          <w:kern w:val="0"/>
          <w:szCs w:val="32"/>
        </w:rPr>
      </w:pPr>
      <w:r>
        <w:rPr>
          <w:b/>
          <w:bCs/>
          <w:color w:val="000000"/>
          <w:kern w:val="0"/>
          <w:szCs w:val="32"/>
        </w:rPr>
        <w:t>益阳市市场监督管理局机关及所属单位结转结余情况</w:t>
      </w:r>
    </w:p>
    <w:p>
      <w:pPr>
        <w:widowControl/>
        <w:shd w:val="clear" w:color="auto" w:fill="FFFFFF"/>
        <w:spacing w:line="600" w:lineRule="exact"/>
        <w:ind w:firstLine="420"/>
        <w:jc w:val="right"/>
        <w:rPr>
          <w:color w:val="333333"/>
          <w:kern w:val="0"/>
          <w:szCs w:val="32"/>
        </w:rPr>
      </w:pPr>
      <w:r>
        <w:rPr>
          <w:color w:val="000000"/>
          <w:kern w:val="0"/>
          <w:szCs w:val="32"/>
        </w:rPr>
        <w:t>（单位：万元）</w:t>
      </w:r>
    </w:p>
    <w:tbl>
      <w:tblPr>
        <w:tblStyle w:val="8"/>
        <w:tblW w:w="0" w:type="auto"/>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3722"/>
        <w:gridCol w:w="1265"/>
        <w:gridCol w:w="1500"/>
        <w:gridCol w:w="1396"/>
        <w:gridCol w:w="1178"/>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66" w:hRule="atLeast"/>
          <w:tblHeader/>
          <w:jc w:val="center"/>
        </w:trPr>
        <w:tc>
          <w:tcPr>
            <w:tcW w:w="3722"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line="400" w:lineRule="exact"/>
              <w:jc w:val="center"/>
              <w:textAlignment w:val="center"/>
              <w:rPr>
                <w:color w:val="000000"/>
                <w:kern w:val="0"/>
                <w:sz w:val="28"/>
                <w:szCs w:val="28"/>
              </w:rPr>
            </w:pPr>
            <w:r>
              <w:rPr>
                <w:color w:val="000000"/>
                <w:kern w:val="0"/>
                <w:sz w:val="28"/>
                <w:szCs w:val="28"/>
              </w:rPr>
              <w:t>单位名称</w:t>
            </w:r>
          </w:p>
        </w:tc>
        <w:tc>
          <w:tcPr>
            <w:tcW w:w="1265"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400" w:lineRule="exact"/>
              <w:jc w:val="center"/>
              <w:textAlignment w:val="center"/>
              <w:rPr>
                <w:color w:val="000000"/>
                <w:kern w:val="0"/>
                <w:sz w:val="28"/>
                <w:szCs w:val="28"/>
              </w:rPr>
            </w:pPr>
            <w:r>
              <w:rPr>
                <w:color w:val="000000"/>
                <w:kern w:val="0"/>
                <w:sz w:val="28"/>
                <w:szCs w:val="28"/>
              </w:rPr>
              <w:t>上年</w:t>
            </w:r>
          </w:p>
          <w:p>
            <w:pPr>
              <w:widowControl/>
              <w:spacing w:line="400" w:lineRule="exact"/>
              <w:jc w:val="center"/>
              <w:textAlignment w:val="center"/>
              <w:rPr>
                <w:color w:val="000000"/>
                <w:kern w:val="0"/>
                <w:sz w:val="28"/>
                <w:szCs w:val="28"/>
              </w:rPr>
            </w:pPr>
            <w:r>
              <w:rPr>
                <w:color w:val="000000"/>
                <w:kern w:val="0"/>
                <w:sz w:val="28"/>
                <w:szCs w:val="28"/>
              </w:rPr>
              <w:t>结余</w:t>
            </w:r>
          </w:p>
        </w:tc>
        <w:tc>
          <w:tcPr>
            <w:tcW w:w="1500"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400" w:lineRule="exact"/>
              <w:jc w:val="center"/>
              <w:textAlignment w:val="center"/>
              <w:rPr>
                <w:color w:val="000000"/>
                <w:kern w:val="0"/>
                <w:sz w:val="28"/>
                <w:szCs w:val="28"/>
              </w:rPr>
            </w:pPr>
            <w:r>
              <w:rPr>
                <w:color w:val="000000"/>
                <w:kern w:val="0"/>
                <w:sz w:val="28"/>
                <w:szCs w:val="28"/>
              </w:rPr>
              <w:t>本年收入</w:t>
            </w:r>
          </w:p>
        </w:tc>
        <w:tc>
          <w:tcPr>
            <w:tcW w:w="1396"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400" w:lineRule="exact"/>
              <w:jc w:val="center"/>
              <w:textAlignment w:val="center"/>
              <w:rPr>
                <w:color w:val="000000"/>
                <w:kern w:val="0"/>
                <w:sz w:val="28"/>
                <w:szCs w:val="28"/>
              </w:rPr>
            </w:pPr>
            <w:r>
              <w:rPr>
                <w:color w:val="000000"/>
                <w:kern w:val="0"/>
                <w:sz w:val="28"/>
                <w:szCs w:val="28"/>
              </w:rPr>
              <w:t>本年支出</w:t>
            </w:r>
          </w:p>
        </w:tc>
        <w:tc>
          <w:tcPr>
            <w:tcW w:w="1178"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400" w:lineRule="exact"/>
              <w:jc w:val="center"/>
              <w:textAlignment w:val="center"/>
              <w:rPr>
                <w:color w:val="000000"/>
                <w:kern w:val="0"/>
                <w:sz w:val="28"/>
                <w:szCs w:val="28"/>
              </w:rPr>
            </w:pPr>
            <w:r>
              <w:rPr>
                <w:color w:val="000000"/>
                <w:kern w:val="0"/>
                <w:sz w:val="28"/>
                <w:szCs w:val="28"/>
              </w:rPr>
              <w:t>期末</w:t>
            </w:r>
          </w:p>
          <w:p>
            <w:pPr>
              <w:widowControl/>
              <w:spacing w:line="400" w:lineRule="exact"/>
              <w:jc w:val="center"/>
              <w:textAlignment w:val="center"/>
              <w:rPr>
                <w:color w:val="000000"/>
                <w:kern w:val="0"/>
                <w:sz w:val="28"/>
                <w:szCs w:val="28"/>
              </w:rPr>
            </w:pPr>
            <w:r>
              <w:rPr>
                <w:color w:val="000000"/>
                <w:kern w:val="0"/>
                <w:sz w:val="28"/>
                <w:szCs w:val="28"/>
              </w:rPr>
              <w:t>结余</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58" w:hRule="atLeast"/>
          <w:jc w:val="center"/>
        </w:trPr>
        <w:tc>
          <w:tcPr>
            <w:tcW w:w="3722"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line="400" w:lineRule="exact"/>
              <w:jc w:val="center"/>
              <w:rPr>
                <w:color w:val="000000"/>
                <w:kern w:val="0"/>
                <w:sz w:val="28"/>
                <w:szCs w:val="28"/>
              </w:rPr>
            </w:pPr>
            <w:r>
              <w:rPr>
                <w:color w:val="000000"/>
                <w:kern w:val="0"/>
                <w:sz w:val="28"/>
                <w:szCs w:val="28"/>
              </w:rPr>
              <w:t>益阳市市场监督管理局机关</w:t>
            </w:r>
          </w:p>
        </w:tc>
        <w:tc>
          <w:tcPr>
            <w:tcW w:w="126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400" w:lineRule="exact"/>
              <w:jc w:val="center"/>
              <w:textAlignment w:val="top"/>
              <w:rPr>
                <w:rFonts w:hint="eastAsia" w:eastAsia="仿宋_GB2312"/>
                <w:color w:val="333333"/>
                <w:kern w:val="0"/>
                <w:sz w:val="28"/>
                <w:szCs w:val="28"/>
                <w:lang w:eastAsia="zh-CN"/>
              </w:rPr>
            </w:pPr>
            <w:r>
              <w:rPr>
                <w:rFonts w:hint="eastAsia"/>
                <w:color w:val="333333"/>
                <w:kern w:val="0"/>
                <w:sz w:val="28"/>
                <w:szCs w:val="28"/>
                <w:lang w:val="en-US" w:eastAsia="zh-CN"/>
              </w:rPr>
              <w:t>/</w:t>
            </w:r>
          </w:p>
        </w:tc>
        <w:tc>
          <w:tcPr>
            <w:tcW w:w="150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400" w:lineRule="exact"/>
              <w:jc w:val="center"/>
              <w:textAlignment w:val="top"/>
              <w:rPr>
                <w:rFonts w:hint="default" w:eastAsia="仿宋_GB2312"/>
                <w:color w:val="333333"/>
                <w:kern w:val="0"/>
                <w:sz w:val="28"/>
                <w:szCs w:val="28"/>
                <w:lang w:val="en-US" w:eastAsia="zh-CN"/>
              </w:rPr>
            </w:pPr>
            <w:r>
              <w:rPr>
                <w:rFonts w:hint="eastAsia"/>
                <w:color w:val="333333"/>
                <w:kern w:val="0"/>
                <w:sz w:val="28"/>
                <w:szCs w:val="28"/>
                <w:lang w:val="en-US" w:eastAsia="zh-CN"/>
              </w:rPr>
              <w:t>7387.42</w:t>
            </w:r>
          </w:p>
        </w:tc>
        <w:tc>
          <w:tcPr>
            <w:tcW w:w="139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400" w:lineRule="exact"/>
              <w:jc w:val="center"/>
              <w:textAlignment w:val="top"/>
              <w:rPr>
                <w:rFonts w:hint="default" w:eastAsia="仿宋_GB2312"/>
                <w:color w:val="333333"/>
                <w:kern w:val="0"/>
                <w:sz w:val="28"/>
                <w:szCs w:val="28"/>
                <w:lang w:val="en-US" w:eastAsia="zh-CN" w:bidi="ar-SA"/>
              </w:rPr>
            </w:pPr>
            <w:r>
              <w:rPr>
                <w:rFonts w:hint="eastAsia"/>
                <w:color w:val="333333"/>
                <w:kern w:val="0"/>
                <w:sz w:val="28"/>
                <w:szCs w:val="28"/>
                <w:lang w:val="en-US" w:eastAsia="zh-CN"/>
              </w:rPr>
              <w:t>7387.42</w:t>
            </w:r>
          </w:p>
        </w:tc>
        <w:tc>
          <w:tcPr>
            <w:tcW w:w="1178"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400" w:lineRule="exact"/>
              <w:jc w:val="center"/>
              <w:textAlignment w:val="top"/>
              <w:rPr>
                <w:color w:val="333333"/>
                <w:kern w:val="0"/>
                <w:sz w:val="28"/>
                <w:szCs w:val="28"/>
              </w:rPr>
            </w:pPr>
            <w:r>
              <w:rPr>
                <w:rFonts w:hint="eastAsia"/>
                <w:color w:val="333333"/>
                <w:kern w:val="0"/>
                <w:sz w:val="28"/>
                <w:szCs w:val="28"/>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58" w:hRule="atLeast"/>
          <w:jc w:val="center"/>
        </w:trPr>
        <w:tc>
          <w:tcPr>
            <w:tcW w:w="3722"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line="400" w:lineRule="exact"/>
              <w:jc w:val="center"/>
              <w:rPr>
                <w:color w:val="000000"/>
                <w:kern w:val="0"/>
                <w:sz w:val="28"/>
                <w:szCs w:val="28"/>
              </w:rPr>
            </w:pPr>
            <w:r>
              <w:rPr>
                <w:color w:val="000000"/>
                <w:kern w:val="0"/>
                <w:sz w:val="28"/>
                <w:szCs w:val="28"/>
              </w:rPr>
              <w:t>益阳市计量测试检定所</w:t>
            </w:r>
          </w:p>
        </w:tc>
        <w:tc>
          <w:tcPr>
            <w:tcW w:w="126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400" w:lineRule="exact"/>
              <w:jc w:val="center"/>
              <w:textAlignment w:val="center"/>
              <w:rPr>
                <w:rFonts w:hint="eastAsia" w:eastAsia="仿宋_GB2312"/>
                <w:color w:val="333333"/>
                <w:kern w:val="0"/>
                <w:sz w:val="28"/>
                <w:szCs w:val="28"/>
                <w:lang w:eastAsia="zh-CN"/>
              </w:rPr>
            </w:pPr>
            <w:r>
              <w:rPr>
                <w:rFonts w:hint="eastAsia"/>
                <w:color w:val="333333"/>
                <w:kern w:val="0"/>
                <w:sz w:val="28"/>
                <w:szCs w:val="28"/>
                <w:lang w:val="en-US" w:eastAsia="zh-CN"/>
              </w:rPr>
              <w:t>/</w:t>
            </w:r>
          </w:p>
        </w:tc>
        <w:tc>
          <w:tcPr>
            <w:tcW w:w="150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400" w:lineRule="exact"/>
              <w:jc w:val="center"/>
              <w:textAlignment w:val="center"/>
              <w:rPr>
                <w:rFonts w:hint="default" w:eastAsia="仿宋_GB2312"/>
                <w:color w:val="333333"/>
                <w:kern w:val="0"/>
                <w:sz w:val="28"/>
                <w:szCs w:val="28"/>
                <w:lang w:val="en-US" w:eastAsia="zh-CN"/>
              </w:rPr>
            </w:pPr>
            <w:r>
              <w:rPr>
                <w:rFonts w:hint="eastAsia"/>
                <w:color w:val="333333"/>
                <w:kern w:val="0"/>
                <w:sz w:val="28"/>
                <w:szCs w:val="28"/>
                <w:lang w:val="en-US" w:eastAsia="zh-CN"/>
              </w:rPr>
              <w:t>623.92</w:t>
            </w:r>
          </w:p>
        </w:tc>
        <w:tc>
          <w:tcPr>
            <w:tcW w:w="139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400" w:lineRule="exact"/>
              <w:jc w:val="center"/>
              <w:textAlignment w:val="center"/>
              <w:rPr>
                <w:rFonts w:hint="default" w:eastAsia="仿宋_GB2312"/>
                <w:color w:val="333333"/>
                <w:kern w:val="0"/>
                <w:sz w:val="28"/>
                <w:szCs w:val="28"/>
                <w:lang w:val="en-US" w:eastAsia="zh-CN" w:bidi="ar-SA"/>
              </w:rPr>
            </w:pPr>
            <w:r>
              <w:rPr>
                <w:rFonts w:hint="eastAsia"/>
                <w:color w:val="333333"/>
                <w:kern w:val="0"/>
                <w:sz w:val="28"/>
                <w:szCs w:val="28"/>
                <w:lang w:val="en-US" w:eastAsia="zh-CN"/>
              </w:rPr>
              <w:t>623.92</w:t>
            </w:r>
          </w:p>
        </w:tc>
        <w:tc>
          <w:tcPr>
            <w:tcW w:w="1178"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400" w:lineRule="exact"/>
              <w:jc w:val="center"/>
              <w:textAlignment w:val="center"/>
              <w:rPr>
                <w:color w:val="333333"/>
                <w:kern w:val="0"/>
                <w:sz w:val="28"/>
                <w:szCs w:val="28"/>
              </w:rPr>
            </w:pPr>
            <w:r>
              <w:rPr>
                <w:rFonts w:hint="eastAsia"/>
                <w:color w:val="333333"/>
                <w:kern w:val="0"/>
                <w:sz w:val="28"/>
                <w:szCs w:val="28"/>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02" w:hRule="atLeast"/>
          <w:jc w:val="center"/>
        </w:trPr>
        <w:tc>
          <w:tcPr>
            <w:tcW w:w="3722"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line="400" w:lineRule="exact"/>
              <w:jc w:val="center"/>
              <w:rPr>
                <w:color w:val="000000"/>
                <w:kern w:val="0"/>
                <w:sz w:val="28"/>
                <w:szCs w:val="28"/>
              </w:rPr>
            </w:pPr>
            <w:r>
              <w:rPr>
                <w:color w:val="000000"/>
                <w:kern w:val="0"/>
                <w:sz w:val="28"/>
                <w:szCs w:val="28"/>
              </w:rPr>
              <w:t>益阳市纤维质量监测中心</w:t>
            </w:r>
          </w:p>
        </w:tc>
        <w:tc>
          <w:tcPr>
            <w:tcW w:w="126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400" w:lineRule="exact"/>
              <w:jc w:val="center"/>
              <w:textAlignment w:val="center"/>
              <w:rPr>
                <w:rFonts w:hint="eastAsia" w:eastAsia="仿宋_GB2312"/>
                <w:color w:val="333333"/>
                <w:kern w:val="0"/>
                <w:sz w:val="28"/>
                <w:szCs w:val="28"/>
                <w:lang w:val="en-US" w:eastAsia="zh-CN"/>
              </w:rPr>
            </w:pPr>
            <w:r>
              <w:rPr>
                <w:rFonts w:hint="eastAsia"/>
                <w:color w:val="333333"/>
                <w:kern w:val="0"/>
                <w:sz w:val="28"/>
                <w:szCs w:val="28"/>
                <w:lang w:val="en-US" w:eastAsia="zh-CN"/>
              </w:rPr>
              <w:t>/</w:t>
            </w:r>
          </w:p>
        </w:tc>
        <w:tc>
          <w:tcPr>
            <w:tcW w:w="150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400" w:lineRule="exact"/>
              <w:jc w:val="center"/>
              <w:textAlignment w:val="center"/>
              <w:rPr>
                <w:rFonts w:hint="default" w:eastAsia="仿宋_GB2312"/>
                <w:color w:val="333333"/>
                <w:kern w:val="0"/>
                <w:sz w:val="28"/>
                <w:szCs w:val="28"/>
                <w:lang w:val="en-US" w:eastAsia="zh-CN"/>
              </w:rPr>
            </w:pPr>
            <w:r>
              <w:rPr>
                <w:rFonts w:hint="eastAsia"/>
                <w:color w:val="333333"/>
                <w:kern w:val="0"/>
                <w:sz w:val="28"/>
                <w:szCs w:val="28"/>
                <w:lang w:val="en-US" w:eastAsia="zh-CN"/>
              </w:rPr>
              <w:t>308.38</w:t>
            </w:r>
          </w:p>
        </w:tc>
        <w:tc>
          <w:tcPr>
            <w:tcW w:w="139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400" w:lineRule="exact"/>
              <w:jc w:val="center"/>
              <w:textAlignment w:val="center"/>
              <w:rPr>
                <w:rFonts w:hint="default" w:eastAsia="仿宋_GB2312"/>
                <w:color w:val="333333"/>
                <w:kern w:val="0"/>
                <w:sz w:val="28"/>
                <w:szCs w:val="28"/>
                <w:lang w:val="en-US" w:eastAsia="zh-CN" w:bidi="ar-SA"/>
              </w:rPr>
            </w:pPr>
            <w:r>
              <w:rPr>
                <w:rFonts w:hint="eastAsia"/>
                <w:color w:val="333333"/>
                <w:kern w:val="0"/>
                <w:sz w:val="28"/>
                <w:szCs w:val="28"/>
                <w:lang w:val="en-US" w:eastAsia="zh-CN"/>
              </w:rPr>
              <w:t>308.38</w:t>
            </w:r>
          </w:p>
        </w:tc>
        <w:tc>
          <w:tcPr>
            <w:tcW w:w="1178"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400" w:lineRule="exact"/>
              <w:jc w:val="center"/>
              <w:textAlignment w:val="center"/>
              <w:rPr>
                <w:color w:val="333333"/>
                <w:kern w:val="0"/>
                <w:sz w:val="28"/>
                <w:szCs w:val="28"/>
              </w:rPr>
            </w:pPr>
            <w:r>
              <w:rPr>
                <w:rFonts w:hint="eastAsia"/>
                <w:color w:val="333333"/>
                <w:kern w:val="0"/>
                <w:sz w:val="28"/>
                <w:szCs w:val="28"/>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823" w:hRule="atLeast"/>
          <w:jc w:val="center"/>
        </w:trPr>
        <w:tc>
          <w:tcPr>
            <w:tcW w:w="3722"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line="400" w:lineRule="exact"/>
              <w:jc w:val="center"/>
              <w:rPr>
                <w:color w:val="000000"/>
                <w:kern w:val="0"/>
                <w:sz w:val="28"/>
                <w:szCs w:val="28"/>
              </w:rPr>
            </w:pPr>
            <w:r>
              <w:rPr>
                <w:color w:val="000000"/>
                <w:kern w:val="0"/>
                <w:sz w:val="28"/>
                <w:szCs w:val="28"/>
              </w:rPr>
              <w:t>益阳市产商品质量监督检验研究院</w:t>
            </w:r>
          </w:p>
        </w:tc>
        <w:tc>
          <w:tcPr>
            <w:tcW w:w="126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400" w:lineRule="exact"/>
              <w:jc w:val="center"/>
              <w:textAlignment w:val="center"/>
              <w:rPr>
                <w:rFonts w:hint="eastAsia" w:eastAsia="仿宋_GB2312"/>
                <w:color w:val="333333"/>
                <w:kern w:val="0"/>
                <w:sz w:val="28"/>
                <w:szCs w:val="28"/>
                <w:lang w:eastAsia="zh-CN"/>
              </w:rPr>
            </w:pPr>
            <w:r>
              <w:rPr>
                <w:rFonts w:hint="eastAsia"/>
                <w:color w:val="333333"/>
                <w:kern w:val="0"/>
                <w:sz w:val="28"/>
                <w:szCs w:val="28"/>
                <w:lang w:val="en-US" w:eastAsia="zh-CN"/>
              </w:rPr>
              <w:t>/</w:t>
            </w:r>
          </w:p>
        </w:tc>
        <w:tc>
          <w:tcPr>
            <w:tcW w:w="150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400" w:lineRule="exact"/>
              <w:jc w:val="center"/>
              <w:textAlignment w:val="center"/>
              <w:rPr>
                <w:color w:val="333333"/>
                <w:kern w:val="0"/>
                <w:sz w:val="28"/>
                <w:szCs w:val="28"/>
              </w:rPr>
            </w:pPr>
            <w:r>
              <w:rPr>
                <w:rFonts w:hint="eastAsia"/>
                <w:color w:val="333333"/>
                <w:kern w:val="0"/>
                <w:sz w:val="28"/>
                <w:szCs w:val="28"/>
                <w:lang w:val="en-US" w:eastAsia="zh-CN"/>
              </w:rPr>
              <w:t>637.03</w:t>
            </w:r>
          </w:p>
        </w:tc>
        <w:tc>
          <w:tcPr>
            <w:tcW w:w="139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400" w:lineRule="exact"/>
              <w:jc w:val="center"/>
              <w:textAlignment w:val="center"/>
              <w:rPr>
                <w:rFonts w:eastAsia="仿宋_GB2312"/>
                <w:color w:val="333333"/>
                <w:kern w:val="0"/>
                <w:sz w:val="28"/>
                <w:szCs w:val="28"/>
                <w:lang w:val="en-US" w:eastAsia="zh-CN" w:bidi="ar-SA"/>
              </w:rPr>
            </w:pPr>
            <w:r>
              <w:rPr>
                <w:rFonts w:hint="eastAsia"/>
                <w:color w:val="333333"/>
                <w:kern w:val="0"/>
                <w:sz w:val="28"/>
                <w:szCs w:val="28"/>
                <w:lang w:val="en-US" w:eastAsia="zh-CN"/>
              </w:rPr>
              <w:t>637.03</w:t>
            </w:r>
          </w:p>
        </w:tc>
        <w:tc>
          <w:tcPr>
            <w:tcW w:w="1178"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400" w:lineRule="exact"/>
              <w:jc w:val="center"/>
              <w:textAlignment w:val="center"/>
              <w:rPr>
                <w:color w:val="333333"/>
                <w:kern w:val="0"/>
                <w:sz w:val="28"/>
                <w:szCs w:val="28"/>
              </w:rPr>
            </w:pPr>
            <w:r>
              <w:rPr>
                <w:rFonts w:hint="eastAsia"/>
                <w:color w:val="333333"/>
                <w:kern w:val="0"/>
                <w:sz w:val="28"/>
                <w:szCs w:val="28"/>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835" w:hRule="atLeast"/>
          <w:jc w:val="center"/>
        </w:trPr>
        <w:tc>
          <w:tcPr>
            <w:tcW w:w="3722"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line="400" w:lineRule="exact"/>
              <w:jc w:val="center"/>
              <w:rPr>
                <w:color w:val="000000"/>
                <w:kern w:val="0"/>
                <w:sz w:val="28"/>
                <w:szCs w:val="28"/>
              </w:rPr>
            </w:pPr>
            <w:r>
              <w:rPr>
                <w:color w:val="000000"/>
                <w:kern w:val="0"/>
                <w:sz w:val="28"/>
                <w:szCs w:val="28"/>
              </w:rPr>
              <w:t>益阳市药检所</w:t>
            </w:r>
          </w:p>
        </w:tc>
        <w:tc>
          <w:tcPr>
            <w:tcW w:w="126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400" w:lineRule="exact"/>
              <w:jc w:val="center"/>
              <w:textAlignment w:val="center"/>
              <w:rPr>
                <w:color w:val="333333"/>
                <w:kern w:val="0"/>
                <w:sz w:val="28"/>
                <w:szCs w:val="28"/>
              </w:rPr>
            </w:pPr>
            <w:r>
              <w:rPr>
                <w:rFonts w:hint="eastAsia"/>
                <w:color w:val="333333"/>
                <w:kern w:val="0"/>
                <w:sz w:val="28"/>
                <w:szCs w:val="28"/>
              </w:rPr>
              <w:t>/</w:t>
            </w:r>
          </w:p>
        </w:tc>
        <w:tc>
          <w:tcPr>
            <w:tcW w:w="150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400" w:lineRule="exact"/>
              <w:jc w:val="center"/>
              <w:textAlignment w:val="center"/>
              <w:rPr>
                <w:rFonts w:hint="default" w:eastAsia="仿宋_GB2312"/>
                <w:color w:val="333333"/>
                <w:kern w:val="0"/>
                <w:sz w:val="28"/>
                <w:szCs w:val="28"/>
                <w:lang w:val="en-US" w:eastAsia="zh-CN"/>
              </w:rPr>
            </w:pPr>
            <w:r>
              <w:rPr>
                <w:rFonts w:hint="eastAsia"/>
                <w:color w:val="333333"/>
                <w:kern w:val="0"/>
                <w:sz w:val="28"/>
                <w:szCs w:val="28"/>
                <w:lang w:val="en-US" w:eastAsia="zh-CN"/>
              </w:rPr>
              <w:t>946.63</w:t>
            </w:r>
          </w:p>
        </w:tc>
        <w:tc>
          <w:tcPr>
            <w:tcW w:w="139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400" w:lineRule="exact"/>
              <w:jc w:val="center"/>
              <w:textAlignment w:val="center"/>
              <w:rPr>
                <w:rFonts w:hint="default" w:eastAsia="仿宋_GB2312"/>
                <w:color w:val="333333"/>
                <w:kern w:val="0"/>
                <w:sz w:val="28"/>
                <w:szCs w:val="28"/>
                <w:lang w:val="en-US" w:eastAsia="zh-CN" w:bidi="ar-SA"/>
              </w:rPr>
            </w:pPr>
            <w:r>
              <w:rPr>
                <w:rFonts w:hint="eastAsia"/>
                <w:color w:val="333333"/>
                <w:kern w:val="0"/>
                <w:sz w:val="28"/>
                <w:szCs w:val="28"/>
                <w:lang w:val="en-US" w:eastAsia="zh-CN"/>
              </w:rPr>
              <w:t>946.63</w:t>
            </w:r>
          </w:p>
        </w:tc>
        <w:tc>
          <w:tcPr>
            <w:tcW w:w="1178"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400" w:lineRule="exact"/>
              <w:jc w:val="center"/>
              <w:textAlignment w:val="center"/>
              <w:rPr>
                <w:color w:val="333333"/>
                <w:kern w:val="0"/>
                <w:sz w:val="28"/>
                <w:szCs w:val="28"/>
              </w:rPr>
            </w:pPr>
            <w:r>
              <w:rPr>
                <w:rFonts w:hint="eastAsia"/>
                <w:color w:val="333333"/>
                <w:kern w:val="0"/>
                <w:sz w:val="28"/>
                <w:szCs w:val="28"/>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830" w:hRule="atLeast"/>
          <w:jc w:val="center"/>
        </w:trPr>
        <w:tc>
          <w:tcPr>
            <w:tcW w:w="3722"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line="400" w:lineRule="exact"/>
              <w:jc w:val="center"/>
              <w:textAlignment w:val="center"/>
              <w:rPr>
                <w:color w:val="333333"/>
                <w:kern w:val="0"/>
                <w:sz w:val="28"/>
                <w:szCs w:val="28"/>
              </w:rPr>
            </w:pPr>
            <w:r>
              <w:rPr>
                <w:color w:val="000000"/>
                <w:kern w:val="0"/>
                <w:sz w:val="28"/>
                <w:szCs w:val="28"/>
              </w:rPr>
              <w:t>合     计</w:t>
            </w:r>
          </w:p>
        </w:tc>
        <w:tc>
          <w:tcPr>
            <w:tcW w:w="126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400" w:lineRule="exact"/>
              <w:jc w:val="center"/>
              <w:textAlignment w:val="center"/>
              <w:rPr>
                <w:rFonts w:hint="eastAsia" w:eastAsia="仿宋_GB2312"/>
                <w:color w:val="333333"/>
                <w:kern w:val="0"/>
                <w:sz w:val="28"/>
                <w:szCs w:val="28"/>
                <w:lang w:eastAsia="zh-CN"/>
              </w:rPr>
            </w:pPr>
            <w:r>
              <w:rPr>
                <w:rFonts w:hint="eastAsia"/>
                <w:color w:val="333333"/>
                <w:kern w:val="0"/>
                <w:sz w:val="28"/>
                <w:szCs w:val="28"/>
                <w:lang w:val="en-US" w:eastAsia="zh-CN"/>
              </w:rPr>
              <w:t>/</w:t>
            </w:r>
          </w:p>
        </w:tc>
        <w:tc>
          <w:tcPr>
            <w:tcW w:w="150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400" w:lineRule="exact"/>
              <w:jc w:val="center"/>
              <w:textAlignment w:val="top"/>
              <w:rPr>
                <w:rFonts w:hint="default"/>
                <w:color w:val="333333"/>
                <w:kern w:val="0"/>
                <w:sz w:val="28"/>
                <w:szCs w:val="28"/>
              </w:rPr>
            </w:pPr>
            <w:r>
              <w:rPr>
                <w:rFonts w:hint="default"/>
                <w:color w:val="333333"/>
                <w:kern w:val="0"/>
                <w:sz w:val="28"/>
                <w:szCs w:val="28"/>
              </w:rPr>
              <w:fldChar w:fldCharType="begin"/>
            </w:r>
            <w:r>
              <w:rPr>
                <w:rFonts w:hint="default"/>
                <w:color w:val="333333"/>
                <w:kern w:val="0"/>
                <w:sz w:val="28"/>
                <w:szCs w:val="28"/>
              </w:rPr>
              <w:instrText xml:space="preserve"> =SUM(ABOVE) \* MERGEFORMAT </w:instrText>
            </w:r>
            <w:r>
              <w:rPr>
                <w:rFonts w:hint="default"/>
                <w:color w:val="333333"/>
                <w:kern w:val="0"/>
                <w:sz w:val="28"/>
                <w:szCs w:val="28"/>
              </w:rPr>
              <w:fldChar w:fldCharType="separate"/>
            </w:r>
            <w:r>
              <w:rPr>
                <w:rFonts w:hint="default"/>
                <w:color w:val="333333"/>
                <w:kern w:val="0"/>
                <w:sz w:val="28"/>
                <w:szCs w:val="28"/>
              </w:rPr>
              <w:t>9903.3</w:t>
            </w:r>
            <w:r>
              <w:rPr>
                <w:rFonts w:hint="eastAsia"/>
                <w:color w:val="333333"/>
                <w:kern w:val="0"/>
                <w:sz w:val="28"/>
                <w:szCs w:val="28"/>
                <w:lang w:val="en-US" w:eastAsia="zh-CN"/>
              </w:rPr>
              <w:t>8</w:t>
            </w:r>
            <w:r>
              <w:rPr>
                <w:rFonts w:hint="default"/>
                <w:color w:val="333333"/>
                <w:kern w:val="0"/>
                <w:sz w:val="28"/>
                <w:szCs w:val="28"/>
              </w:rPr>
              <w:fldChar w:fldCharType="end"/>
            </w:r>
          </w:p>
        </w:tc>
        <w:tc>
          <w:tcPr>
            <w:tcW w:w="139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400" w:lineRule="exact"/>
              <w:jc w:val="center"/>
              <w:textAlignment w:val="top"/>
              <w:rPr>
                <w:rFonts w:hint="default" w:eastAsia="仿宋_GB2312"/>
                <w:color w:val="333333"/>
                <w:kern w:val="0"/>
                <w:sz w:val="28"/>
                <w:szCs w:val="28"/>
                <w:lang w:val="en-US" w:eastAsia="zh-CN" w:bidi="ar-SA"/>
              </w:rPr>
            </w:pPr>
            <w:r>
              <w:rPr>
                <w:rFonts w:hint="default"/>
                <w:color w:val="333333"/>
                <w:kern w:val="0"/>
                <w:sz w:val="28"/>
                <w:szCs w:val="28"/>
              </w:rPr>
              <w:fldChar w:fldCharType="begin"/>
            </w:r>
            <w:r>
              <w:rPr>
                <w:rFonts w:hint="default"/>
                <w:color w:val="333333"/>
                <w:kern w:val="0"/>
                <w:sz w:val="28"/>
                <w:szCs w:val="28"/>
              </w:rPr>
              <w:instrText xml:space="preserve"> =SUM(ABOVE) \* MERGEFORMAT </w:instrText>
            </w:r>
            <w:r>
              <w:rPr>
                <w:rFonts w:hint="default"/>
                <w:color w:val="333333"/>
                <w:kern w:val="0"/>
                <w:sz w:val="28"/>
                <w:szCs w:val="28"/>
              </w:rPr>
              <w:fldChar w:fldCharType="separate"/>
            </w:r>
            <w:r>
              <w:rPr>
                <w:rFonts w:hint="default"/>
                <w:color w:val="333333"/>
                <w:kern w:val="0"/>
                <w:sz w:val="28"/>
                <w:szCs w:val="28"/>
              </w:rPr>
              <w:t>9903.3</w:t>
            </w:r>
            <w:r>
              <w:rPr>
                <w:rFonts w:hint="eastAsia"/>
                <w:color w:val="333333"/>
                <w:kern w:val="0"/>
                <w:sz w:val="28"/>
                <w:szCs w:val="28"/>
                <w:lang w:val="en-US" w:eastAsia="zh-CN"/>
              </w:rPr>
              <w:t>8</w:t>
            </w:r>
            <w:r>
              <w:rPr>
                <w:rFonts w:hint="default"/>
                <w:color w:val="333333"/>
                <w:kern w:val="0"/>
                <w:sz w:val="28"/>
                <w:szCs w:val="28"/>
              </w:rPr>
              <w:fldChar w:fldCharType="end"/>
            </w:r>
          </w:p>
        </w:tc>
        <w:tc>
          <w:tcPr>
            <w:tcW w:w="1178"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400" w:lineRule="exact"/>
              <w:jc w:val="center"/>
              <w:rPr>
                <w:color w:val="333333"/>
                <w:kern w:val="0"/>
                <w:sz w:val="28"/>
                <w:szCs w:val="28"/>
              </w:rPr>
            </w:pPr>
            <w:r>
              <w:rPr>
                <w:rFonts w:hint="eastAsia"/>
                <w:color w:val="333333"/>
                <w:kern w:val="0"/>
                <w:sz w:val="28"/>
                <w:szCs w:val="28"/>
              </w:rPr>
              <w:t>/</w:t>
            </w:r>
          </w:p>
        </w:tc>
      </w:tr>
    </w:tbl>
    <w:p>
      <w:pPr>
        <w:keepNext w:val="0"/>
        <w:keepLines w:val="0"/>
        <w:pageBreakBefore w:val="0"/>
        <w:widowControl w:val="0"/>
        <w:kinsoku/>
        <w:wordWrap/>
        <w:overflowPunct/>
        <w:autoSpaceDE/>
        <w:bidi w:val="0"/>
        <w:spacing w:line="600" w:lineRule="exact"/>
        <w:ind w:firstLine="640" w:firstLineChars="200"/>
        <w:textAlignment w:val="auto"/>
        <w:rPr>
          <w:rFonts w:hint="eastAsia" w:ascii="楷体_GB2312" w:hAnsi="楷体_GB2312" w:eastAsia="楷体_GB2312" w:cs="楷体_GB2312"/>
          <w:b/>
          <w:color w:val="000000"/>
          <w:szCs w:val="32"/>
        </w:rPr>
      </w:pPr>
      <w:r>
        <w:rPr>
          <w:rFonts w:hint="eastAsia" w:ascii="楷体_GB2312" w:hAnsi="楷体_GB2312" w:eastAsia="楷体_GB2312" w:cs="楷体_GB2312"/>
          <w:b/>
          <w:color w:val="000000"/>
          <w:szCs w:val="32"/>
        </w:rPr>
        <w:t>（二）基本支出情况</w:t>
      </w:r>
    </w:p>
    <w:p>
      <w:pPr>
        <w:keepNext w:val="0"/>
        <w:keepLines w:val="0"/>
        <w:pageBreakBefore w:val="0"/>
        <w:widowControl w:val="0"/>
        <w:kinsoku/>
        <w:wordWrap/>
        <w:overflowPunct/>
        <w:autoSpaceDE/>
        <w:bidi w:val="0"/>
        <w:spacing w:line="600" w:lineRule="exact"/>
        <w:ind w:firstLine="640" w:firstLineChars="200"/>
        <w:textAlignment w:val="auto"/>
        <w:rPr>
          <w:szCs w:val="32"/>
        </w:rPr>
      </w:pPr>
      <w:r>
        <w:rPr>
          <w:szCs w:val="32"/>
        </w:rPr>
        <w:t>1.基本支出系保障本单位机构正常运转、完成日常工作任务 而发生的各项支出，包括用于在职和离退休人员基本工资、 津贴补贴等人员经费以及办公费、印刷费、水电费、办公设备购置等日常公用经费。</w:t>
      </w:r>
    </w:p>
    <w:p>
      <w:pPr>
        <w:keepNext w:val="0"/>
        <w:keepLines w:val="0"/>
        <w:pageBreakBefore w:val="0"/>
        <w:widowControl w:val="0"/>
        <w:kinsoku/>
        <w:wordWrap/>
        <w:overflowPunct/>
        <w:autoSpaceDE/>
        <w:bidi w:val="0"/>
        <w:spacing w:line="600" w:lineRule="exact"/>
        <w:ind w:firstLine="640" w:firstLineChars="200"/>
        <w:textAlignment w:val="auto"/>
        <w:rPr>
          <w:szCs w:val="32"/>
        </w:rPr>
      </w:pPr>
      <w:r>
        <w:rPr>
          <w:szCs w:val="32"/>
        </w:rPr>
        <w:t>2.202</w:t>
      </w:r>
      <w:r>
        <w:rPr>
          <w:rFonts w:hint="eastAsia"/>
          <w:szCs w:val="32"/>
          <w:lang w:val="en-US" w:eastAsia="zh-CN"/>
        </w:rPr>
        <w:t>2</w:t>
      </w:r>
      <w:r>
        <w:rPr>
          <w:szCs w:val="32"/>
        </w:rPr>
        <w:t>年基本支出</w:t>
      </w:r>
      <w:r>
        <w:rPr>
          <w:rFonts w:hint="eastAsia"/>
          <w:szCs w:val="32"/>
          <w:lang w:val="en-US" w:eastAsia="zh-CN"/>
        </w:rPr>
        <w:t>7528.72</w:t>
      </w:r>
      <w:r>
        <w:rPr>
          <w:szCs w:val="32"/>
        </w:rPr>
        <w:t>万元，其中工资福利支出</w:t>
      </w:r>
      <w:r>
        <w:rPr>
          <w:rFonts w:hint="eastAsia"/>
          <w:szCs w:val="32"/>
          <w:lang w:val="en-US" w:eastAsia="zh-CN"/>
        </w:rPr>
        <w:t>5398.57</w:t>
      </w:r>
      <w:r>
        <w:rPr>
          <w:szCs w:val="32"/>
        </w:rPr>
        <w:t>万元、一般商品和服务支出</w:t>
      </w:r>
      <w:r>
        <w:rPr>
          <w:rFonts w:hint="eastAsia"/>
          <w:szCs w:val="32"/>
          <w:lang w:val="en-US" w:eastAsia="zh-CN"/>
        </w:rPr>
        <w:t>1286.52</w:t>
      </w:r>
      <w:r>
        <w:rPr>
          <w:szCs w:val="32"/>
        </w:rPr>
        <w:t>万元、对个人和家庭的补助</w:t>
      </w:r>
      <w:r>
        <w:rPr>
          <w:rFonts w:hint="eastAsia"/>
          <w:szCs w:val="32"/>
          <w:lang w:val="en-US" w:eastAsia="zh-CN"/>
        </w:rPr>
        <w:t>843.63</w:t>
      </w:r>
      <w:r>
        <w:rPr>
          <w:szCs w:val="32"/>
        </w:rPr>
        <w:t>万元。</w:t>
      </w:r>
    </w:p>
    <w:p>
      <w:pPr>
        <w:keepNext w:val="0"/>
        <w:keepLines w:val="0"/>
        <w:pageBreakBefore w:val="0"/>
        <w:widowControl w:val="0"/>
        <w:kinsoku/>
        <w:wordWrap/>
        <w:overflowPunct/>
        <w:autoSpaceDE/>
        <w:bidi w:val="0"/>
        <w:spacing w:line="600" w:lineRule="exact"/>
        <w:ind w:firstLine="640" w:firstLineChars="200"/>
        <w:textAlignment w:val="auto"/>
        <w:rPr>
          <w:szCs w:val="32"/>
        </w:rPr>
      </w:pPr>
      <w:r>
        <w:rPr>
          <w:szCs w:val="32"/>
        </w:rPr>
        <w:t>3.</w:t>
      </w:r>
      <w:r>
        <w:rPr>
          <w:rFonts w:hint="eastAsia" w:ascii="仿宋_GB2312" w:hAnsi="仿宋_GB2312" w:eastAsia="仿宋_GB2312" w:cs="仿宋_GB2312"/>
          <w:szCs w:val="32"/>
        </w:rPr>
        <w:t>“三公经费”使</w:t>
      </w:r>
      <w:r>
        <w:rPr>
          <w:szCs w:val="32"/>
        </w:rPr>
        <w:t>用情况</w:t>
      </w:r>
    </w:p>
    <w:p>
      <w:pPr>
        <w:keepNext w:val="0"/>
        <w:keepLines w:val="0"/>
        <w:pageBreakBefore w:val="0"/>
        <w:widowControl w:val="0"/>
        <w:kinsoku/>
        <w:wordWrap/>
        <w:overflowPunct/>
        <w:autoSpaceDE/>
        <w:bidi w:val="0"/>
        <w:spacing w:line="600" w:lineRule="exact"/>
        <w:ind w:firstLine="640" w:firstLineChars="200"/>
        <w:textAlignment w:val="auto"/>
        <w:rPr>
          <w:szCs w:val="32"/>
        </w:rPr>
      </w:pPr>
      <w:r>
        <w:rPr>
          <w:szCs w:val="32"/>
        </w:rPr>
        <w:t>本单位坚持厉行节约、反对浪费的原则，严控公务接待、公务用车标准，坚决做</w:t>
      </w:r>
      <w:r>
        <w:rPr>
          <w:rFonts w:hint="eastAsia" w:ascii="仿宋_GB2312" w:hAnsi="仿宋_GB2312" w:eastAsia="仿宋_GB2312" w:cs="仿宋_GB2312"/>
          <w:szCs w:val="32"/>
        </w:rPr>
        <w:t>到“三公经费”预算</w:t>
      </w:r>
      <w:r>
        <w:rPr>
          <w:szCs w:val="32"/>
        </w:rPr>
        <w:t>只减不增，严格执行压减一般行政性支出的规定，经费开支手续齐全，管理规范,并取得了良好的效果。</w:t>
      </w:r>
    </w:p>
    <w:p>
      <w:pPr>
        <w:keepNext w:val="0"/>
        <w:keepLines w:val="0"/>
        <w:pageBreakBefore w:val="0"/>
        <w:widowControl w:val="0"/>
        <w:kinsoku/>
        <w:wordWrap/>
        <w:overflowPunct/>
        <w:autoSpaceDE/>
        <w:bidi w:val="0"/>
        <w:spacing w:line="600" w:lineRule="exact"/>
        <w:ind w:firstLine="640" w:firstLineChars="200"/>
        <w:textAlignment w:val="auto"/>
        <w:rPr>
          <w:szCs w:val="32"/>
        </w:rPr>
      </w:pPr>
      <w:r>
        <w:rPr>
          <w:rFonts w:hint="eastAsia"/>
          <w:szCs w:val="32"/>
          <w:lang w:eastAsia="zh-CN"/>
        </w:rPr>
        <w:t>2022年</w:t>
      </w:r>
      <w:r>
        <w:rPr>
          <w:szCs w:val="32"/>
        </w:rPr>
        <w:t>度</w:t>
      </w:r>
      <w:r>
        <w:rPr>
          <w:rFonts w:hint="eastAsia" w:ascii="仿宋_GB2312" w:hAnsi="仿宋_GB2312" w:eastAsia="仿宋_GB2312" w:cs="仿宋_GB2312"/>
          <w:szCs w:val="32"/>
        </w:rPr>
        <w:t>“三公”经费支</w:t>
      </w:r>
      <w:r>
        <w:rPr>
          <w:szCs w:val="32"/>
        </w:rPr>
        <w:t>出预算数为</w:t>
      </w:r>
      <w:r>
        <w:rPr>
          <w:rFonts w:hint="eastAsia"/>
          <w:szCs w:val="32"/>
          <w:lang w:val="en-US" w:eastAsia="zh-CN"/>
        </w:rPr>
        <w:t>214.41</w:t>
      </w:r>
      <w:r>
        <w:rPr>
          <w:szCs w:val="32"/>
        </w:rPr>
        <w:t>万元，决算数为</w:t>
      </w:r>
      <w:r>
        <w:rPr>
          <w:rFonts w:hint="eastAsia"/>
          <w:szCs w:val="32"/>
          <w:lang w:val="en-US" w:eastAsia="zh-CN"/>
        </w:rPr>
        <w:t>127.69</w:t>
      </w:r>
      <w:r>
        <w:rPr>
          <w:szCs w:val="32"/>
        </w:rPr>
        <w:t>万元，为年初预算的</w:t>
      </w:r>
      <w:r>
        <w:rPr>
          <w:rFonts w:hint="eastAsia"/>
          <w:szCs w:val="32"/>
        </w:rPr>
        <w:t>5</w:t>
      </w:r>
      <w:r>
        <w:rPr>
          <w:rFonts w:hint="eastAsia"/>
          <w:szCs w:val="32"/>
          <w:lang w:val="en-US" w:eastAsia="zh-CN"/>
        </w:rPr>
        <w:t>9.55</w:t>
      </w:r>
      <w:r>
        <w:rPr>
          <w:szCs w:val="32"/>
        </w:rPr>
        <w:t>%，其中：</w:t>
      </w:r>
    </w:p>
    <w:p>
      <w:pPr>
        <w:keepNext w:val="0"/>
        <w:keepLines w:val="0"/>
        <w:pageBreakBefore w:val="0"/>
        <w:widowControl w:val="0"/>
        <w:kinsoku/>
        <w:wordWrap/>
        <w:overflowPunct/>
        <w:autoSpaceDE/>
        <w:bidi w:val="0"/>
        <w:spacing w:line="600" w:lineRule="exact"/>
        <w:ind w:firstLine="640" w:firstLineChars="200"/>
        <w:textAlignment w:val="auto"/>
        <w:rPr>
          <w:szCs w:val="32"/>
        </w:rPr>
      </w:pPr>
      <w:r>
        <w:rPr>
          <w:szCs w:val="32"/>
        </w:rPr>
        <w:t>（1）公务接待费支出</w:t>
      </w:r>
      <w:r>
        <w:rPr>
          <w:rFonts w:hint="eastAsia"/>
          <w:szCs w:val="32"/>
          <w:lang w:val="en-US" w:eastAsia="zh-CN"/>
        </w:rPr>
        <w:t>16.33</w:t>
      </w:r>
      <w:r>
        <w:rPr>
          <w:szCs w:val="32"/>
        </w:rPr>
        <w:t>万元，为年初预算</w:t>
      </w:r>
      <w:r>
        <w:rPr>
          <w:rFonts w:hint="eastAsia"/>
          <w:szCs w:val="32"/>
          <w:lang w:val="en-US" w:eastAsia="zh-CN"/>
        </w:rPr>
        <w:t>61.41</w:t>
      </w:r>
      <w:r>
        <w:rPr>
          <w:szCs w:val="32"/>
        </w:rPr>
        <w:t>万元的</w:t>
      </w:r>
      <w:r>
        <w:rPr>
          <w:rFonts w:hint="eastAsia"/>
          <w:szCs w:val="32"/>
          <w:lang w:val="en-US" w:eastAsia="zh-CN"/>
        </w:rPr>
        <w:t>37.61</w:t>
      </w:r>
      <w:r>
        <w:rPr>
          <w:szCs w:val="32"/>
        </w:rPr>
        <w:t>%。</w:t>
      </w:r>
    </w:p>
    <w:p>
      <w:pPr>
        <w:keepNext w:val="0"/>
        <w:keepLines w:val="0"/>
        <w:pageBreakBefore w:val="0"/>
        <w:widowControl w:val="0"/>
        <w:kinsoku/>
        <w:wordWrap/>
        <w:overflowPunct/>
        <w:autoSpaceDE/>
        <w:bidi w:val="0"/>
        <w:spacing w:line="600" w:lineRule="exact"/>
        <w:ind w:firstLine="640" w:firstLineChars="200"/>
        <w:textAlignment w:val="auto"/>
        <w:rPr>
          <w:szCs w:val="32"/>
        </w:rPr>
      </w:pPr>
      <w:r>
        <w:rPr>
          <w:szCs w:val="32"/>
        </w:rPr>
        <w:t>（2）因公出国（境）本年预算数和执行数均为0。</w:t>
      </w:r>
    </w:p>
    <w:p>
      <w:pPr>
        <w:keepNext w:val="0"/>
        <w:keepLines w:val="0"/>
        <w:pageBreakBefore w:val="0"/>
        <w:widowControl w:val="0"/>
        <w:kinsoku/>
        <w:wordWrap/>
        <w:overflowPunct/>
        <w:autoSpaceDE/>
        <w:bidi w:val="0"/>
        <w:spacing w:line="600" w:lineRule="exact"/>
        <w:ind w:firstLine="640" w:firstLineChars="200"/>
        <w:textAlignment w:val="auto"/>
        <w:rPr>
          <w:rFonts w:hint="default" w:eastAsia="仿宋_GB2312"/>
          <w:szCs w:val="32"/>
          <w:lang w:val="en-US" w:eastAsia="zh-CN"/>
        </w:rPr>
      </w:pPr>
      <w:r>
        <w:rPr>
          <w:szCs w:val="32"/>
        </w:rPr>
        <w:t>（3）公务用车运行维护费支出</w:t>
      </w:r>
      <w:r>
        <w:rPr>
          <w:rFonts w:hint="eastAsia"/>
          <w:szCs w:val="32"/>
          <w:lang w:val="en-US" w:eastAsia="zh-CN"/>
        </w:rPr>
        <w:t>111.36</w:t>
      </w:r>
      <w:r>
        <w:rPr>
          <w:szCs w:val="32"/>
        </w:rPr>
        <w:t>万元，为年初预算15</w:t>
      </w:r>
      <w:r>
        <w:rPr>
          <w:rFonts w:hint="eastAsia"/>
          <w:szCs w:val="32"/>
        </w:rPr>
        <w:t>3</w:t>
      </w:r>
      <w:r>
        <w:rPr>
          <w:szCs w:val="32"/>
        </w:rPr>
        <w:t>万元的</w:t>
      </w:r>
      <w:r>
        <w:rPr>
          <w:rFonts w:hint="eastAsia"/>
          <w:szCs w:val="32"/>
          <w:lang w:val="en-US" w:eastAsia="zh-CN"/>
        </w:rPr>
        <w:t>72.78</w:t>
      </w:r>
      <w:r>
        <w:rPr>
          <w:szCs w:val="32"/>
        </w:rPr>
        <w:t>%。</w:t>
      </w:r>
      <w:r>
        <w:rPr>
          <w:rFonts w:hint="eastAsia"/>
          <w:szCs w:val="32"/>
          <w:lang w:val="en-US" w:eastAsia="zh-CN"/>
        </w:rPr>
        <w:t>2022年市局机关新增了3台公务用车。</w:t>
      </w:r>
    </w:p>
    <w:p>
      <w:pPr>
        <w:keepNext w:val="0"/>
        <w:keepLines w:val="0"/>
        <w:pageBreakBefore w:val="0"/>
        <w:widowControl w:val="0"/>
        <w:kinsoku/>
        <w:wordWrap/>
        <w:overflowPunct/>
        <w:autoSpaceDE/>
        <w:bidi w:val="0"/>
        <w:spacing w:line="600" w:lineRule="exact"/>
        <w:ind w:firstLine="640" w:firstLineChars="200"/>
        <w:textAlignment w:val="auto"/>
        <w:rPr>
          <w:rFonts w:hint="eastAsia" w:ascii="楷体_GB2312" w:hAnsi="楷体_GB2312" w:eastAsia="楷体_GB2312" w:cs="楷体_GB2312"/>
          <w:b/>
          <w:szCs w:val="32"/>
        </w:rPr>
      </w:pPr>
      <w:r>
        <w:rPr>
          <w:rFonts w:hint="eastAsia" w:ascii="楷体_GB2312" w:hAnsi="楷体_GB2312" w:eastAsia="楷体_GB2312" w:cs="楷体_GB2312"/>
          <w:b/>
          <w:szCs w:val="32"/>
        </w:rPr>
        <w:t>（三）项目支出情况</w:t>
      </w:r>
    </w:p>
    <w:p>
      <w:pPr>
        <w:keepNext w:val="0"/>
        <w:keepLines w:val="0"/>
        <w:pageBreakBefore w:val="0"/>
        <w:widowControl w:val="0"/>
        <w:kinsoku/>
        <w:wordWrap/>
        <w:overflowPunct/>
        <w:autoSpaceDE/>
        <w:bidi w:val="0"/>
        <w:spacing w:line="600" w:lineRule="exact"/>
        <w:ind w:firstLine="640" w:firstLineChars="200"/>
        <w:textAlignment w:val="auto"/>
        <w:rPr>
          <w:szCs w:val="32"/>
        </w:rPr>
      </w:pPr>
      <w:r>
        <w:rPr>
          <w:szCs w:val="32"/>
        </w:rPr>
        <w:t>项目支出系本单位为完成特定行政工作任务或事业发展目标而发生的支出，包括业务工作经费和运行维护经费。业务工作经费支出主要用于市场监督管理，登记注册，执法办案，质量强市，产品质量监管、计量监管、标准化战略、特种设备监管，认证认可监管，消费者权益保护，知识产权维持与保护、知识产权战略，食品、保健品、化妆品、药品、医疗器械等监管、检测专项，其他市场行政管理事务支出等方面。运行维护经费支出主要用于市场监督管理系统信息网络建设和维护以及机关大院房屋设备维修维护等方面。202</w:t>
      </w:r>
      <w:r>
        <w:rPr>
          <w:rFonts w:hint="eastAsia"/>
          <w:szCs w:val="32"/>
          <w:lang w:val="en-US" w:eastAsia="zh-CN"/>
        </w:rPr>
        <w:t>2</w:t>
      </w:r>
      <w:r>
        <w:rPr>
          <w:szCs w:val="32"/>
        </w:rPr>
        <w:t>年项目支出</w:t>
      </w:r>
      <w:r>
        <w:rPr>
          <w:rFonts w:hint="eastAsia"/>
          <w:szCs w:val="32"/>
          <w:lang w:val="en-US" w:eastAsia="zh-CN"/>
        </w:rPr>
        <w:t>2374.66</w:t>
      </w:r>
      <w:r>
        <w:rPr>
          <w:szCs w:val="32"/>
        </w:rPr>
        <w:t xml:space="preserve"> 万元，其中商品和服务支出1</w:t>
      </w:r>
      <w:r>
        <w:rPr>
          <w:rFonts w:hint="eastAsia"/>
          <w:szCs w:val="32"/>
          <w:lang w:val="en-US" w:eastAsia="zh-CN"/>
        </w:rPr>
        <w:t>959</w:t>
      </w:r>
      <w:r>
        <w:rPr>
          <w:szCs w:val="32"/>
        </w:rPr>
        <w:t>.</w:t>
      </w:r>
      <w:r>
        <w:rPr>
          <w:rFonts w:hint="eastAsia"/>
          <w:szCs w:val="32"/>
          <w:lang w:val="en-US" w:eastAsia="zh-CN"/>
        </w:rPr>
        <w:t>49</w:t>
      </w:r>
      <w:r>
        <w:rPr>
          <w:szCs w:val="32"/>
        </w:rPr>
        <w:t>万元，其他类资本性支出</w:t>
      </w:r>
      <w:r>
        <w:rPr>
          <w:rFonts w:hint="eastAsia"/>
          <w:szCs w:val="32"/>
          <w:lang w:val="en-US" w:eastAsia="zh-CN"/>
        </w:rPr>
        <w:t>415.17</w:t>
      </w:r>
      <w:r>
        <w:rPr>
          <w:szCs w:val="32"/>
        </w:rPr>
        <w:t>万元。</w:t>
      </w:r>
    </w:p>
    <w:p>
      <w:pPr>
        <w:keepNext w:val="0"/>
        <w:keepLines w:val="0"/>
        <w:pageBreakBefore w:val="0"/>
        <w:widowControl w:val="0"/>
        <w:kinsoku/>
        <w:wordWrap/>
        <w:overflowPunct/>
        <w:autoSpaceDE/>
        <w:bidi w:val="0"/>
        <w:spacing w:line="600" w:lineRule="exact"/>
        <w:ind w:firstLine="640" w:firstLineChars="200"/>
        <w:textAlignment w:val="auto"/>
        <w:rPr>
          <w:szCs w:val="32"/>
        </w:rPr>
      </w:pPr>
      <w:r>
        <w:rPr>
          <w:szCs w:val="32"/>
        </w:rPr>
        <w:t>1.</w:t>
      </w:r>
      <w:r>
        <w:rPr>
          <w:rFonts w:hint="eastAsia"/>
          <w:szCs w:val="32"/>
          <w:lang w:eastAsia="zh-CN"/>
        </w:rPr>
        <w:t>2022年</w:t>
      </w:r>
      <w:r>
        <w:rPr>
          <w:szCs w:val="32"/>
        </w:rPr>
        <w:t>度本单位市级专项有市场监督管理专项、药品医疗器械监管专项、质量基础与安全监督专项、知识产权战略专项、食品安全监管专项</w:t>
      </w:r>
      <w:r>
        <w:rPr>
          <w:rFonts w:hint="eastAsia"/>
          <w:szCs w:val="32"/>
        </w:rPr>
        <w:t>5</w:t>
      </w:r>
      <w:r>
        <w:rPr>
          <w:szCs w:val="32"/>
        </w:rPr>
        <w:t>个。</w:t>
      </w:r>
    </w:p>
    <w:p>
      <w:pPr>
        <w:keepNext w:val="0"/>
        <w:keepLines w:val="0"/>
        <w:pageBreakBefore w:val="0"/>
        <w:widowControl w:val="0"/>
        <w:kinsoku/>
        <w:wordWrap/>
        <w:overflowPunct/>
        <w:autoSpaceDE/>
        <w:bidi w:val="0"/>
        <w:spacing w:line="600" w:lineRule="exact"/>
        <w:ind w:firstLine="640" w:firstLineChars="200"/>
        <w:textAlignment w:val="auto"/>
        <w:rPr>
          <w:szCs w:val="32"/>
        </w:rPr>
      </w:pPr>
      <w:r>
        <w:rPr>
          <w:szCs w:val="32"/>
        </w:rPr>
        <w:t>（1）</w:t>
      </w:r>
      <w:r>
        <w:rPr>
          <w:rFonts w:hint="eastAsia"/>
          <w:szCs w:val="32"/>
          <w:lang w:eastAsia="zh-CN"/>
        </w:rPr>
        <w:t>2022年</w:t>
      </w:r>
      <w:r>
        <w:rPr>
          <w:szCs w:val="32"/>
        </w:rPr>
        <w:t>共有市场监督管理专项资金</w:t>
      </w:r>
      <w:r>
        <w:rPr>
          <w:rFonts w:hint="eastAsia"/>
          <w:szCs w:val="32"/>
          <w:lang w:val="en-US" w:eastAsia="zh-CN"/>
        </w:rPr>
        <w:t>691</w:t>
      </w:r>
      <w:r>
        <w:rPr>
          <w:szCs w:val="32"/>
        </w:rPr>
        <w:t>万元，其中预算资金</w:t>
      </w:r>
      <w:r>
        <w:rPr>
          <w:rFonts w:hint="eastAsia"/>
          <w:szCs w:val="32"/>
          <w:lang w:val="en-US" w:eastAsia="zh-CN"/>
        </w:rPr>
        <w:t>532</w:t>
      </w:r>
      <w:r>
        <w:rPr>
          <w:szCs w:val="32"/>
        </w:rPr>
        <w:t>万元，省级追加资金</w:t>
      </w:r>
      <w:r>
        <w:rPr>
          <w:rFonts w:hint="eastAsia"/>
          <w:szCs w:val="32"/>
          <w:lang w:val="en-US" w:eastAsia="zh-CN"/>
        </w:rPr>
        <w:t>159</w:t>
      </w:r>
      <w:r>
        <w:rPr>
          <w:szCs w:val="32"/>
        </w:rPr>
        <w:t>万元，全部用于市场监督管理工作，主要包括深化商事制度改革支出、企业信用监管及双随机一公开支出、商品与网络交易监管支出、广告监测监管支出、法制建设支出、反垄断反不正当竞争支出、打击传销（含烟草市场整治）支出、价格监督支出、消费者保护支出、打假制劣</w:t>
      </w:r>
      <w:r>
        <w:rPr>
          <w:rFonts w:hint="eastAsia"/>
          <w:szCs w:val="32"/>
          <w:lang w:eastAsia="zh-CN"/>
        </w:rPr>
        <w:t>、</w:t>
      </w:r>
      <w:r>
        <w:rPr>
          <w:rFonts w:hint="eastAsia"/>
          <w:szCs w:val="32"/>
          <w:lang w:val="en-US" w:eastAsia="zh-CN"/>
        </w:rPr>
        <w:t>行政执法支出</w:t>
      </w:r>
      <w:r>
        <w:rPr>
          <w:szCs w:val="32"/>
        </w:rPr>
        <w:t>项目等方面。</w:t>
      </w:r>
    </w:p>
    <w:p>
      <w:pPr>
        <w:keepNext w:val="0"/>
        <w:keepLines w:val="0"/>
        <w:pageBreakBefore w:val="0"/>
        <w:widowControl w:val="0"/>
        <w:kinsoku/>
        <w:wordWrap/>
        <w:overflowPunct/>
        <w:topLinePunct/>
        <w:autoSpaceDE/>
        <w:bidi w:val="0"/>
        <w:spacing w:line="600" w:lineRule="exact"/>
        <w:ind w:firstLine="640" w:firstLineChars="200"/>
        <w:textAlignment w:val="auto"/>
        <w:rPr>
          <w:szCs w:val="32"/>
        </w:rPr>
      </w:pPr>
      <w:r>
        <w:rPr>
          <w:szCs w:val="32"/>
        </w:rPr>
        <w:t>（2）</w:t>
      </w:r>
      <w:r>
        <w:rPr>
          <w:rFonts w:hint="eastAsia"/>
          <w:szCs w:val="32"/>
          <w:lang w:eastAsia="zh-CN"/>
        </w:rPr>
        <w:t>2022年</w:t>
      </w:r>
      <w:r>
        <w:rPr>
          <w:szCs w:val="32"/>
        </w:rPr>
        <w:t>共有药品医疗器械监管资金</w:t>
      </w:r>
      <w:r>
        <w:rPr>
          <w:rFonts w:hint="eastAsia"/>
          <w:szCs w:val="32"/>
          <w:lang w:val="en-US" w:eastAsia="zh-CN"/>
        </w:rPr>
        <w:t>246.19</w:t>
      </w:r>
      <w:r>
        <w:rPr>
          <w:szCs w:val="32"/>
        </w:rPr>
        <w:t>万元</w:t>
      </w:r>
      <w:r>
        <w:rPr>
          <w:rFonts w:hint="eastAsia"/>
          <w:szCs w:val="32"/>
        </w:rPr>
        <w:t>，</w:t>
      </w:r>
      <w:r>
        <w:rPr>
          <w:szCs w:val="32"/>
        </w:rPr>
        <w:t>其中年初预算资金</w:t>
      </w:r>
      <w:r>
        <w:rPr>
          <w:rFonts w:hint="eastAsia"/>
          <w:szCs w:val="32"/>
        </w:rPr>
        <w:t>48</w:t>
      </w:r>
      <w:r>
        <w:rPr>
          <w:szCs w:val="32"/>
        </w:rPr>
        <w:t>万元,省级追加资金</w:t>
      </w:r>
      <w:r>
        <w:rPr>
          <w:rFonts w:hint="eastAsia"/>
          <w:szCs w:val="32"/>
          <w:lang w:val="en-US" w:eastAsia="zh-CN"/>
        </w:rPr>
        <w:t>198.19</w:t>
      </w:r>
      <w:r>
        <w:rPr>
          <w:szCs w:val="32"/>
        </w:rPr>
        <w:t>万元，全部用于药品医疗器械监管工作，主要包括药品（含中药、民族药，下同）、医疗器械、化妆品标准管理、质量管理和安全监督管理和抽检支出；依法组织查处药品、医疗器械、化妆品经营、使用环节违法违规行为支出；监督实施药品、医疗器械、化妆品标准和分类管理制度支出；监督实施药品、医疗器械、化妆品经营质量管理规范支出；药品不良反应、医疗器械不良事件和化妆品不良反应的监测、评价和处置支出等方面。</w:t>
      </w:r>
    </w:p>
    <w:p>
      <w:pPr>
        <w:keepNext w:val="0"/>
        <w:keepLines w:val="0"/>
        <w:pageBreakBefore w:val="0"/>
        <w:widowControl w:val="0"/>
        <w:kinsoku/>
        <w:wordWrap/>
        <w:overflowPunct/>
        <w:topLinePunct/>
        <w:autoSpaceDE/>
        <w:bidi w:val="0"/>
        <w:spacing w:line="600" w:lineRule="exact"/>
        <w:ind w:firstLine="640" w:firstLineChars="200"/>
        <w:textAlignment w:val="auto"/>
        <w:rPr>
          <w:rFonts w:hint="eastAsia"/>
          <w:szCs w:val="32"/>
        </w:rPr>
      </w:pPr>
      <w:r>
        <w:rPr>
          <w:szCs w:val="32"/>
        </w:rPr>
        <w:t>（3）</w:t>
      </w:r>
      <w:r>
        <w:rPr>
          <w:rFonts w:hint="eastAsia"/>
          <w:szCs w:val="32"/>
          <w:lang w:eastAsia="zh-CN"/>
        </w:rPr>
        <w:t>2022年</w:t>
      </w:r>
      <w:r>
        <w:rPr>
          <w:szCs w:val="32"/>
        </w:rPr>
        <w:t>共有质量监管专项</w:t>
      </w:r>
      <w:r>
        <w:rPr>
          <w:rFonts w:hint="eastAsia"/>
          <w:szCs w:val="32"/>
          <w:lang w:val="en-US" w:eastAsia="zh-CN"/>
        </w:rPr>
        <w:t>168</w:t>
      </w:r>
      <w:r>
        <w:rPr>
          <w:szCs w:val="32"/>
        </w:rPr>
        <w:t>万元，其中年初预算资金</w:t>
      </w:r>
      <w:r>
        <w:rPr>
          <w:rFonts w:hint="eastAsia"/>
          <w:szCs w:val="32"/>
          <w:lang w:val="en-US" w:eastAsia="zh-CN"/>
        </w:rPr>
        <w:t>48</w:t>
      </w:r>
      <w:r>
        <w:rPr>
          <w:szCs w:val="32"/>
        </w:rPr>
        <w:t>万元，省级追加资金</w:t>
      </w:r>
      <w:r>
        <w:rPr>
          <w:rFonts w:hint="eastAsia"/>
          <w:szCs w:val="32"/>
          <w:lang w:val="en-US" w:eastAsia="zh-CN"/>
        </w:rPr>
        <w:t>120</w:t>
      </w:r>
      <w:r>
        <w:rPr>
          <w:szCs w:val="32"/>
        </w:rPr>
        <w:t>万元，全部用于质量基础工作和质量安全监督管理工作。主要包括质量</w:t>
      </w:r>
      <w:r>
        <w:rPr>
          <w:rFonts w:hint="eastAsia"/>
          <w:szCs w:val="32"/>
          <w:lang w:val="en-US" w:eastAsia="zh-CN"/>
        </w:rPr>
        <w:t>发展</w:t>
      </w:r>
      <w:r>
        <w:rPr>
          <w:szCs w:val="32"/>
        </w:rPr>
        <w:t>支出、特种设备安全监管支出、计量经费支出、产商品质量抽查与风险监控支出、标准化战略支出、认证与认可监管支出等方面。</w:t>
      </w:r>
    </w:p>
    <w:p>
      <w:pPr>
        <w:keepNext w:val="0"/>
        <w:keepLines w:val="0"/>
        <w:pageBreakBefore w:val="0"/>
        <w:widowControl w:val="0"/>
        <w:kinsoku/>
        <w:wordWrap/>
        <w:overflowPunct/>
        <w:topLinePunct/>
        <w:autoSpaceDE/>
        <w:bidi w:val="0"/>
        <w:spacing w:line="600" w:lineRule="exact"/>
        <w:ind w:firstLine="640" w:firstLineChars="200"/>
        <w:textAlignment w:val="auto"/>
        <w:rPr>
          <w:rFonts w:hint="eastAsia"/>
          <w:szCs w:val="32"/>
        </w:rPr>
      </w:pPr>
      <w:r>
        <w:rPr>
          <w:rFonts w:hint="eastAsia"/>
          <w:szCs w:val="32"/>
        </w:rPr>
        <w:t>（4）</w:t>
      </w:r>
      <w:r>
        <w:rPr>
          <w:rFonts w:hint="eastAsia"/>
          <w:szCs w:val="32"/>
          <w:lang w:eastAsia="zh-CN"/>
        </w:rPr>
        <w:t>2022年</w:t>
      </w:r>
      <w:r>
        <w:rPr>
          <w:rFonts w:hint="eastAsia"/>
          <w:szCs w:val="32"/>
        </w:rPr>
        <w:t>共有</w:t>
      </w:r>
      <w:r>
        <w:rPr>
          <w:szCs w:val="32"/>
        </w:rPr>
        <w:t>知识产权战略经费</w:t>
      </w:r>
      <w:r>
        <w:rPr>
          <w:rFonts w:hint="eastAsia"/>
          <w:szCs w:val="32"/>
          <w:lang w:val="en-US" w:eastAsia="zh-CN"/>
        </w:rPr>
        <w:t>110.23</w:t>
      </w:r>
      <w:r>
        <w:rPr>
          <w:szCs w:val="32"/>
        </w:rPr>
        <w:t>万元，其中年初预算资金</w:t>
      </w:r>
      <w:r>
        <w:rPr>
          <w:rFonts w:hint="eastAsia"/>
          <w:szCs w:val="32"/>
        </w:rPr>
        <w:t>25</w:t>
      </w:r>
      <w:r>
        <w:rPr>
          <w:szCs w:val="32"/>
        </w:rPr>
        <w:t>万元，省级</w:t>
      </w:r>
      <w:r>
        <w:rPr>
          <w:rFonts w:hint="eastAsia"/>
          <w:szCs w:val="32"/>
        </w:rPr>
        <w:t>追加</w:t>
      </w:r>
      <w:r>
        <w:rPr>
          <w:szCs w:val="32"/>
        </w:rPr>
        <w:t>资金</w:t>
      </w:r>
      <w:r>
        <w:rPr>
          <w:rFonts w:hint="eastAsia"/>
          <w:szCs w:val="32"/>
          <w:lang w:val="en-US" w:eastAsia="zh-CN"/>
        </w:rPr>
        <w:t>38.23</w:t>
      </w:r>
      <w:r>
        <w:rPr>
          <w:szCs w:val="32"/>
        </w:rPr>
        <w:t>万元，市级知识产权维持资金</w:t>
      </w:r>
      <w:r>
        <w:rPr>
          <w:rFonts w:hint="eastAsia"/>
          <w:szCs w:val="32"/>
          <w:lang w:val="en-US" w:eastAsia="zh-CN"/>
        </w:rPr>
        <w:t>47</w:t>
      </w:r>
      <w:r>
        <w:rPr>
          <w:rFonts w:hint="eastAsia"/>
          <w:szCs w:val="32"/>
        </w:rPr>
        <w:t>万元，</w:t>
      </w:r>
      <w:r>
        <w:rPr>
          <w:szCs w:val="32"/>
        </w:rPr>
        <w:t>主要用于</w:t>
      </w:r>
      <w:r>
        <w:rPr>
          <w:rFonts w:hint="eastAsia"/>
          <w:szCs w:val="32"/>
        </w:rPr>
        <w:t>发明专利授权资助含国防专利、向国外专利申请资助、湖南专利奖、专利权质押融资评估费补贴、马德里商标国际申请资助、注册地理标志商标资助；发明专利申请和维持经费、</w:t>
      </w:r>
      <w:r>
        <w:rPr>
          <w:szCs w:val="32"/>
        </w:rPr>
        <w:t>知识产权创造保护运用</w:t>
      </w:r>
      <w:r>
        <w:rPr>
          <w:rFonts w:hint="eastAsia"/>
          <w:szCs w:val="32"/>
        </w:rPr>
        <w:t>。</w:t>
      </w:r>
    </w:p>
    <w:p>
      <w:pPr>
        <w:keepNext w:val="0"/>
        <w:keepLines w:val="0"/>
        <w:pageBreakBefore w:val="0"/>
        <w:widowControl w:val="0"/>
        <w:kinsoku/>
        <w:wordWrap/>
        <w:overflowPunct/>
        <w:topLinePunct/>
        <w:autoSpaceDE/>
        <w:bidi w:val="0"/>
        <w:spacing w:line="600" w:lineRule="exact"/>
        <w:ind w:firstLine="640" w:firstLineChars="200"/>
        <w:textAlignment w:val="auto"/>
        <w:rPr>
          <w:szCs w:val="32"/>
        </w:rPr>
      </w:pPr>
      <w:r>
        <w:rPr>
          <w:rFonts w:hint="eastAsia"/>
          <w:szCs w:val="32"/>
        </w:rPr>
        <w:t>（5）</w:t>
      </w:r>
      <w:r>
        <w:rPr>
          <w:szCs w:val="32"/>
        </w:rPr>
        <w:t>食品安全监管经费</w:t>
      </w:r>
      <w:r>
        <w:rPr>
          <w:rFonts w:hint="eastAsia"/>
          <w:szCs w:val="32"/>
          <w:lang w:val="en-US" w:eastAsia="zh-CN"/>
        </w:rPr>
        <w:t>341.53</w:t>
      </w:r>
      <w:r>
        <w:rPr>
          <w:szCs w:val="32"/>
        </w:rPr>
        <w:t>万元，其中预算资金</w:t>
      </w:r>
      <w:r>
        <w:rPr>
          <w:rFonts w:hint="eastAsia"/>
          <w:szCs w:val="32"/>
        </w:rPr>
        <w:t>48</w:t>
      </w:r>
      <w:r>
        <w:rPr>
          <w:szCs w:val="32"/>
        </w:rPr>
        <w:t>万元，省级追加资金</w:t>
      </w:r>
      <w:r>
        <w:rPr>
          <w:rFonts w:hint="eastAsia"/>
          <w:szCs w:val="32"/>
          <w:lang w:val="en-US" w:eastAsia="zh-CN"/>
        </w:rPr>
        <w:t>26</w:t>
      </w:r>
      <w:r>
        <w:rPr>
          <w:szCs w:val="32"/>
        </w:rPr>
        <w:t>万元，市级食安专项追加</w:t>
      </w:r>
      <w:r>
        <w:rPr>
          <w:rFonts w:hint="eastAsia"/>
          <w:szCs w:val="32"/>
          <w:lang w:val="en-US" w:eastAsia="zh-CN"/>
        </w:rPr>
        <w:t>267.53</w:t>
      </w:r>
      <w:r>
        <w:rPr>
          <w:rFonts w:hint="eastAsia"/>
          <w:szCs w:val="32"/>
        </w:rPr>
        <w:t>万元，</w:t>
      </w:r>
      <w:r>
        <w:rPr>
          <w:szCs w:val="32"/>
        </w:rPr>
        <w:t>主要用于食品安全监管、抽检、协调等方面</w:t>
      </w:r>
      <w:r>
        <w:rPr>
          <w:rFonts w:hint="eastAsia"/>
          <w:szCs w:val="32"/>
        </w:rPr>
        <w:t>。</w:t>
      </w:r>
    </w:p>
    <w:p>
      <w:pPr>
        <w:keepNext w:val="0"/>
        <w:keepLines w:val="0"/>
        <w:pageBreakBefore w:val="0"/>
        <w:widowControl w:val="0"/>
        <w:kinsoku/>
        <w:wordWrap/>
        <w:overflowPunct/>
        <w:topLinePunct/>
        <w:autoSpaceDE/>
        <w:bidi w:val="0"/>
        <w:spacing w:line="600" w:lineRule="exact"/>
        <w:ind w:firstLine="640" w:firstLineChars="200"/>
        <w:textAlignment w:val="auto"/>
        <w:rPr>
          <w:szCs w:val="32"/>
        </w:rPr>
      </w:pPr>
      <w:r>
        <w:rPr>
          <w:szCs w:val="32"/>
        </w:rPr>
        <w:t>2.</w:t>
      </w:r>
      <w:r>
        <w:rPr>
          <w:rFonts w:hint="eastAsia"/>
          <w:szCs w:val="32"/>
          <w:lang w:eastAsia="zh-CN"/>
        </w:rPr>
        <w:t>2022年</w:t>
      </w:r>
      <w:r>
        <w:rPr>
          <w:szCs w:val="32"/>
        </w:rPr>
        <w:t>度本单位除市级专项资金以外项目经费</w:t>
      </w:r>
      <w:r>
        <w:rPr>
          <w:rFonts w:hint="eastAsia"/>
          <w:szCs w:val="32"/>
          <w:lang w:val="en-US" w:eastAsia="zh-CN"/>
        </w:rPr>
        <w:t>817.71</w:t>
      </w:r>
      <w:r>
        <w:rPr>
          <w:szCs w:val="32"/>
        </w:rPr>
        <w:t>万元，其中：</w:t>
      </w:r>
      <w:r>
        <w:rPr>
          <w:rFonts w:hint="eastAsia"/>
          <w:szCs w:val="32"/>
          <w:lang w:val="en-US" w:eastAsia="zh-CN"/>
        </w:rPr>
        <w:t>市长质量奖专项82万元，为质量领域授予组织和个人的最高奖励；</w:t>
      </w:r>
      <w:r>
        <w:rPr>
          <w:rFonts w:hint="eastAsia" w:ascii="Times New Roman" w:hAnsi="Times New Roman" w:cs="Times New Roman"/>
          <w:szCs w:val="32"/>
        </w:rPr>
        <w:t>进口冷链食品</w:t>
      </w:r>
      <w:r>
        <w:rPr>
          <w:rFonts w:hint="eastAsia" w:ascii="Times New Roman" w:hAnsi="Times New Roman" w:cs="Times New Roman"/>
          <w:szCs w:val="32"/>
          <w:lang w:val="en-US" w:eastAsia="zh-CN"/>
        </w:rPr>
        <w:t>监管仓专项195.66万元，主要用于进口冷链监管仓初始建设、设备购置和装卸、抽检、仓储租赁等日常运行支出；</w:t>
      </w:r>
      <w:r>
        <w:rPr>
          <w:szCs w:val="32"/>
        </w:rPr>
        <w:t>质量事业运用</w:t>
      </w:r>
      <w:r>
        <w:rPr>
          <w:rFonts w:hint="eastAsia"/>
          <w:szCs w:val="32"/>
          <w:lang w:val="en-US" w:eastAsia="zh-CN"/>
        </w:rPr>
        <w:t>228.52</w:t>
      </w:r>
      <w:r>
        <w:rPr>
          <w:rFonts w:hint="eastAsia"/>
          <w:szCs w:val="32"/>
        </w:rPr>
        <w:t>万元，</w:t>
      </w:r>
      <w:r>
        <w:rPr>
          <w:szCs w:val="32"/>
        </w:rPr>
        <w:t>主要</w:t>
      </w:r>
      <w:r>
        <w:rPr>
          <w:rFonts w:hint="eastAsia"/>
          <w:szCs w:val="32"/>
        </w:rPr>
        <w:t>筹建国家电容器检测中心支出、计量检定</w:t>
      </w:r>
      <w:r>
        <w:rPr>
          <w:rFonts w:hint="eastAsia"/>
          <w:szCs w:val="32"/>
          <w:lang w:val="en-US" w:eastAsia="zh-CN"/>
        </w:rPr>
        <w:t>成本及</w:t>
      </w:r>
      <w:r>
        <w:rPr>
          <w:rFonts w:hint="eastAsia"/>
          <w:szCs w:val="32"/>
        </w:rPr>
        <w:t>能力提升等；</w:t>
      </w:r>
      <w:r>
        <w:rPr>
          <w:rFonts w:hint="eastAsia"/>
          <w:szCs w:val="32"/>
          <w:lang w:val="en-US" w:eastAsia="zh-CN"/>
        </w:rPr>
        <w:t>省级追加棉花抽检专项200.33万元，主要用于开展棉花质量监测业务工作；</w:t>
      </w:r>
      <w:r>
        <w:rPr>
          <w:rFonts w:hint="eastAsia"/>
          <w:szCs w:val="32"/>
        </w:rPr>
        <w:t>八小行业长效监管工作经费</w:t>
      </w:r>
      <w:r>
        <w:rPr>
          <w:rFonts w:hint="eastAsia"/>
          <w:szCs w:val="32"/>
          <w:lang w:val="en-US" w:eastAsia="zh-CN"/>
        </w:rPr>
        <w:t>35</w:t>
      </w:r>
      <w:r>
        <w:rPr>
          <w:rFonts w:hint="eastAsia"/>
          <w:szCs w:val="32"/>
        </w:rPr>
        <w:t>万元；</w:t>
      </w:r>
      <w:r>
        <w:rPr>
          <w:rFonts w:hint="eastAsia"/>
          <w:szCs w:val="32"/>
          <w:lang w:val="en-US" w:eastAsia="zh-CN"/>
        </w:rPr>
        <w:t>特种设备考试专项38万元；</w:t>
      </w:r>
      <w:r>
        <w:rPr>
          <w:rFonts w:hint="eastAsia"/>
          <w:szCs w:val="32"/>
        </w:rPr>
        <w:t>派驻纪检组专项</w:t>
      </w:r>
      <w:r>
        <w:rPr>
          <w:rFonts w:hint="eastAsia"/>
          <w:szCs w:val="32"/>
          <w:lang w:val="en-US" w:eastAsia="zh-CN"/>
        </w:rPr>
        <w:t>20</w:t>
      </w:r>
      <w:r>
        <w:rPr>
          <w:rFonts w:hint="eastAsia"/>
          <w:szCs w:val="32"/>
        </w:rPr>
        <w:t>万元</w:t>
      </w:r>
      <w:r>
        <w:rPr>
          <w:rFonts w:hint="eastAsia"/>
          <w:szCs w:val="32"/>
          <w:lang w:val="en-US" w:eastAsia="zh-CN"/>
        </w:rPr>
        <w:t>；大通湖禁磷专项18.2万元</w:t>
      </w:r>
      <w:r>
        <w:rPr>
          <w:szCs w:val="32"/>
        </w:rPr>
        <w:t>。</w:t>
      </w:r>
    </w:p>
    <w:p>
      <w:pPr>
        <w:keepNext w:val="0"/>
        <w:keepLines w:val="0"/>
        <w:pageBreakBefore w:val="0"/>
        <w:widowControl w:val="0"/>
        <w:kinsoku/>
        <w:wordWrap/>
        <w:overflowPunct/>
        <w:autoSpaceDE/>
        <w:bidi w:val="0"/>
        <w:spacing w:line="600" w:lineRule="exact"/>
        <w:ind w:firstLine="640" w:firstLineChars="200"/>
        <w:textAlignment w:val="auto"/>
        <w:rPr>
          <w:rFonts w:hint="eastAsia" w:ascii="黑体" w:hAnsi="黑体" w:eastAsia="黑体" w:cs="黑体"/>
          <w:color w:val="000000"/>
          <w:szCs w:val="32"/>
        </w:rPr>
      </w:pPr>
      <w:r>
        <w:rPr>
          <w:rFonts w:hint="eastAsia" w:ascii="黑体" w:hAnsi="黑体" w:eastAsia="黑体" w:cs="黑体"/>
          <w:color w:val="000000"/>
          <w:szCs w:val="32"/>
        </w:rPr>
        <w:t>三、政府性基金预算支出情况</w:t>
      </w:r>
    </w:p>
    <w:p>
      <w:pPr>
        <w:keepNext w:val="0"/>
        <w:keepLines w:val="0"/>
        <w:pageBreakBefore w:val="0"/>
        <w:widowControl w:val="0"/>
        <w:kinsoku/>
        <w:wordWrap/>
        <w:overflowPunct/>
        <w:autoSpaceDE/>
        <w:bidi w:val="0"/>
        <w:spacing w:line="600" w:lineRule="exact"/>
        <w:ind w:firstLine="640" w:firstLineChars="200"/>
        <w:textAlignment w:val="auto"/>
        <w:rPr>
          <w:color w:val="000000"/>
          <w:szCs w:val="32"/>
        </w:rPr>
      </w:pPr>
      <w:r>
        <w:rPr>
          <w:szCs w:val="32"/>
        </w:rPr>
        <w:t>无。</w:t>
      </w:r>
    </w:p>
    <w:p>
      <w:pPr>
        <w:keepNext w:val="0"/>
        <w:keepLines w:val="0"/>
        <w:pageBreakBefore w:val="0"/>
        <w:widowControl w:val="0"/>
        <w:kinsoku/>
        <w:wordWrap/>
        <w:overflowPunct/>
        <w:autoSpaceDE/>
        <w:bidi w:val="0"/>
        <w:spacing w:line="600" w:lineRule="exact"/>
        <w:ind w:firstLine="640" w:firstLineChars="200"/>
        <w:textAlignment w:val="auto"/>
        <w:rPr>
          <w:rFonts w:ascii="黑体" w:hAnsi="黑体" w:eastAsia="黑体" w:cs="黑体"/>
          <w:color w:val="000000"/>
          <w:szCs w:val="32"/>
        </w:rPr>
      </w:pPr>
      <w:r>
        <w:rPr>
          <w:rFonts w:ascii="黑体" w:hAnsi="黑体" w:eastAsia="黑体" w:cs="黑体"/>
          <w:color w:val="000000"/>
          <w:szCs w:val="32"/>
        </w:rPr>
        <w:t>四、国有资本经营预算支出情况</w:t>
      </w:r>
    </w:p>
    <w:p>
      <w:pPr>
        <w:keepNext w:val="0"/>
        <w:keepLines w:val="0"/>
        <w:pageBreakBefore w:val="0"/>
        <w:widowControl w:val="0"/>
        <w:kinsoku/>
        <w:wordWrap/>
        <w:overflowPunct/>
        <w:autoSpaceDE/>
        <w:bidi w:val="0"/>
        <w:spacing w:line="600" w:lineRule="exact"/>
        <w:ind w:firstLine="640" w:firstLineChars="200"/>
        <w:textAlignment w:val="auto"/>
        <w:rPr>
          <w:color w:val="000000"/>
          <w:szCs w:val="32"/>
        </w:rPr>
      </w:pPr>
      <w:r>
        <w:rPr>
          <w:szCs w:val="32"/>
        </w:rPr>
        <w:t>无。</w:t>
      </w:r>
    </w:p>
    <w:p>
      <w:pPr>
        <w:keepNext w:val="0"/>
        <w:keepLines w:val="0"/>
        <w:pageBreakBefore w:val="0"/>
        <w:widowControl w:val="0"/>
        <w:kinsoku/>
        <w:wordWrap/>
        <w:overflowPunct/>
        <w:autoSpaceDE/>
        <w:bidi w:val="0"/>
        <w:spacing w:line="600" w:lineRule="exact"/>
        <w:ind w:firstLine="640" w:firstLineChars="200"/>
        <w:textAlignment w:val="auto"/>
        <w:rPr>
          <w:rFonts w:ascii="黑体" w:hAnsi="黑体" w:eastAsia="黑体" w:cs="黑体"/>
          <w:color w:val="000000"/>
          <w:szCs w:val="32"/>
        </w:rPr>
      </w:pPr>
      <w:r>
        <w:rPr>
          <w:rFonts w:ascii="黑体" w:hAnsi="黑体" w:eastAsia="黑体" w:cs="黑体"/>
          <w:color w:val="000000"/>
          <w:szCs w:val="32"/>
        </w:rPr>
        <w:t>五、社会保险基金预算支出情况</w:t>
      </w:r>
    </w:p>
    <w:p>
      <w:pPr>
        <w:keepNext w:val="0"/>
        <w:keepLines w:val="0"/>
        <w:pageBreakBefore w:val="0"/>
        <w:widowControl w:val="0"/>
        <w:kinsoku/>
        <w:wordWrap/>
        <w:overflowPunct/>
        <w:autoSpaceDE/>
        <w:bidi w:val="0"/>
        <w:spacing w:line="600" w:lineRule="exact"/>
        <w:ind w:firstLine="640" w:firstLineChars="200"/>
        <w:textAlignment w:val="auto"/>
        <w:rPr>
          <w:color w:val="000000"/>
          <w:szCs w:val="32"/>
        </w:rPr>
      </w:pPr>
      <w:r>
        <w:rPr>
          <w:szCs w:val="32"/>
        </w:rPr>
        <w:t>无。</w:t>
      </w:r>
    </w:p>
    <w:p>
      <w:pPr>
        <w:keepNext w:val="0"/>
        <w:keepLines w:val="0"/>
        <w:pageBreakBefore w:val="0"/>
        <w:widowControl w:val="0"/>
        <w:kinsoku/>
        <w:wordWrap/>
        <w:overflowPunct/>
        <w:autoSpaceDE/>
        <w:bidi w:val="0"/>
        <w:spacing w:line="600" w:lineRule="exact"/>
        <w:ind w:firstLine="640" w:firstLineChars="200"/>
        <w:textAlignment w:val="auto"/>
        <w:rPr>
          <w:rFonts w:ascii="黑体" w:hAnsi="黑体" w:eastAsia="黑体" w:cs="黑体"/>
          <w:color w:val="000000"/>
          <w:szCs w:val="32"/>
        </w:rPr>
      </w:pPr>
      <w:r>
        <w:rPr>
          <w:rFonts w:ascii="黑体" w:hAnsi="黑体" w:eastAsia="黑体" w:cs="黑体"/>
          <w:color w:val="000000"/>
          <w:szCs w:val="32"/>
        </w:rPr>
        <w:t>六、部门整体支出绩效情况</w:t>
      </w:r>
    </w:p>
    <w:p>
      <w:pPr>
        <w:keepNext w:val="0"/>
        <w:keepLines w:val="0"/>
        <w:pageBreakBefore w:val="0"/>
        <w:widowControl w:val="0"/>
        <w:kinsoku/>
        <w:wordWrap/>
        <w:overflowPunct/>
        <w:autoSpaceDE/>
        <w:bidi w:val="0"/>
        <w:spacing w:line="600" w:lineRule="exact"/>
        <w:ind w:firstLine="640" w:firstLineChars="200"/>
        <w:textAlignment w:val="auto"/>
        <w:rPr>
          <w:rFonts w:hint="eastAsia" w:ascii="楷体_GB2312" w:hAnsi="楷体_GB2312" w:eastAsia="楷体_GB2312" w:cs="楷体_GB2312"/>
          <w:b/>
          <w:color w:val="000000"/>
          <w:szCs w:val="32"/>
          <w:lang w:val="en-US" w:eastAsia="zh-CN"/>
        </w:rPr>
      </w:pPr>
      <w:r>
        <w:rPr>
          <w:rFonts w:hint="eastAsia" w:ascii="楷体_GB2312" w:hAnsi="楷体_GB2312" w:eastAsia="楷体_GB2312" w:cs="楷体_GB2312"/>
          <w:b/>
          <w:color w:val="000000"/>
          <w:szCs w:val="32"/>
        </w:rPr>
        <w:t>（一）</w:t>
      </w:r>
      <w:r>
        <w:rPr>
          <w:rFonts w:hint="eastAsia" w:ascii="楷体_GB2312" w:hAnsi="楷体_GB2312" w:eastAsia="楷体_GB2312" w:cs="楷体_GB2312"/>
          <w:b/>
          <w:color w:val="000000"/>
          <w:szCs w:val="32"/>
          <w:lang w:val="en-US" w:eastAsia="zh-CN"/>
        </w:rPr>
        <w:t>基本运维及日常业务工作平稳有序</w:t>
      </w:r>
    </w:p>
    <w:p>
      <w:pPr>
        <w:keepNext w:val="0"/>
        <w:keepLines w:val="0"/>
        <w:pageBreakBefore w:val="0"/>
        <w:widowControl w:val="0"/>
        <w:kinsoku/>
        <w:wordWrap/>
        <w:overflowPunct/>
        <w:topLinePunct/>
        <w:autoSpaceDE/>
        <w:bidi w:val="0"/>
        <w:spacing w:line="600" w:lineRule="exact"/>
        <w:ind w:firstLine="640" w:firstLineChars="200"/>
        <w:textAlignment w:val="auto"/>
        <w:rPr>
          <w:rFonts w:hint="default" w:ascii="Times New Roman" w:hAnsi="Times New Roman" w:cs="Times New Roman"/>
          <w:szCs w:val="32"/>
          <w:lang w:val="en-US" w:eastAsia="zh-CN"/>
        </w:rPr>
      </w:pPr>
      <w:r>
        <w:rPr>
          <w:rFonts w:ascii="Times New Roman" w:hAnsi="Times New Roman" w:cs="Times New Roman"/>
          <w:szCs w:val="32"/>
          <w:lang w:val="en-US" w:eastAsia="zh-CN"/>
        </w:rPr>
        <w:t>为满足局机关及直属单位日常业务及运行维护工作需</w:t>
      </w:r>
      <w:r>
        <w:rPr>
          <w:rFonts w:hint="default" w:ascii="Times New Roman" w:hAnsi="Times New Roman" w:cs="Times New Roman"/>
          <w:szCs w:val="32"/>
          <w:lang w:val="en-US" w:eastAsia="zh-CN"/>
        </w:rPr>
        <w:t>求，保证局机关及直属事业单位各项工作顺利开展，202</w:t>
      </w:r>
      <w:r>
        <w:rPr>
          <w:rFonts w:hint="eastAsia" w:ascii="Times New Roman" w:hAnsi="Times New Roman" w:cs="Times New Roman"/>
          <w:szCs w:val="32"/>
          <w:lang w:val="en-US" w:eastAsia="zh-CN"/>
        </w:rPr>
        <w:t>2</w:t>
      </w:r>
      <w:r>
        <w:rPr>
          <w:rFonts w:hint="default" w:ascii="Times New Roman" w:hAnsi="Times New Roman" w:cs="Times New Roman"/>
          <w:szCs w:val="32"/>
          <w:lang w:val="en-US" w:eastAsia="zh-CN"/>
        </w:rPr>
        <w:t>年我</w:t>
      </w:r>
      <w:r>
        <w:rPr>
          <w:rFonts w:hint="eastAsia" w:ascii="Times New Roman" w:hAnsi="Times New Roman" w:cs="Times New Roman"/>
          <w:szCs w:val="32"/>
          <w:lang w:val="en-US" w:eastAsia="zh-CN"/>
        </w:rPr>
        <w:t>单位</w:t>
      </w:r>
      <w:r>
        <w:rPr>
          <w:rFonts w:hint="default" w:ascii="Times New Roman" w:hAnsi="Times New Roman" w:cs="Times New Roman"/>
          <w:szCs w:val="32"/>
          <w:lang w:val="en-US" w:eastAsia="zh-CN"/>
        </w:rPr>
        <w:t>对照年初绩效目标高质量完成了机关党建、系统培训、设备购置</w:t>
      </w:r>
      <w:r>
        <w:rPr>
          <w:rFonts w:hint="eastAsia" w:ascii="Times New Roman" w:hAnsi="Times New Roman" w:cs="Times New Roman"/>
          <w:szCs w:val="32"/>
          <w:lang w:val="en-US" w:eastAsia="zh-CN"/>
        </w:rPr>
        <w:t>、</w:t>
      </w:r>
      <w:r>
        <w:rPr>
          <w:rFonts w:hint="default" w:ascii="Times New Roman" w:hAnsi="Times New Roman" w:cs="Times New Roman"/>
          <w:szCs w:val="32"/>
          <w:lang w:val="en-US" w:eastAsia="zh-CN"/>
        </w:rPr>
        <w:t>信息系统维护和新</w:t>
      </w:r>
      <w:r>
        <w:rPr>
          <w:rFonts w:hint="eastAsia" w:ascii="Times New Roman" w:hAnsi="Times New Roman" w:cs="Times New Roman"/>
          <w:szCs w:val="32"/>
          <w:lang w:val="en-US" w:eastAsia="zh-CN"/>
        </w:rPr>
        <w:t>闻宣传</w:t>
      </w:r>
      <w:r>
        <w:rPr>
          <w:rFonts w:hint="default" w:ascii="Times New Roman" w:hAnsi="Times New Roman" w:cs="Times New Roman"/>
          <w:szCs w:val="32"/>
          <w:lang w:val="en-US" w:eastAsia="zh-CN"/>
        </w:rPr>
        <w:t>等工作。</w:t>
      </w:r>
    </w:p>
    <w:p>
      <w:pPr>
        <w:keepNext w:val="0"/>
        <w:keepLines w:val="0"/>
        <w:pageBreakBefore w:val="0"/>
        <w:widowControl w:val="0"/>
        <w:kinsoku/>
        <w:wordWrap/>
        <w:overflowPunct/>
        <w:topLinePunct/>
        <w:autoSpaceDE/>
        <w:bidi w:val="0"/>
        <w:spacing w:line="600" w:lineRule="exact"/>
        <w:ind w:firstLine="640" w:firstLineChars="200"/>
        <w:textAlignment w:val="auto"/>
        <w:rPr>
          <w:rFonts w:hint="eastAsia"/>
          <w:szCs w:val="32"/>
        </w:rPr>
      </w:pPr>
      <w:r>
        <w:rPr>
          <w:rFonts w:hint="eastAsia" w:ascii="仿宋_GB2312" w:hAnsi="仿宋_GB2312" w:cs="仿宋_GB2312"/>
          <w:color w:val="000000"/>
          <w:spacing w:val="0"/>
          <w:sz w:val="32"/>
          <w:szCs w:val="32"/>
          <w:lang w:val="en-US" w:eastAsia="zh-CN"/>
        </w:rPr>
        <w:t>讲政治、强党建，</w:t>
      </w:r>
      <w:r>
        <w:rPr>
          <w:rFonts w:hint="eastAsia" w:ascii="仿宋_GB2312" w:hAnsi="仿宋_GB2312" w:eastAsia="仿宋_GB2312" w:cs="仿宋_GB2312"/>
          <w:color w:val="000000"/>
          <w:spacing w:val="0"/>
          <w:sz w:val="32"/>
          <w:szCs w:val="32"/>
          <w:lang w:val="en-US" w:eastAsia="zh-CN"/>
        </w:rPr>
        <w:t>围绕党的二十大等主题，党组中心组、各支部开展理论学</w:t>
      </w:r>
      <w:r>
        <w:rPr>
          <w:rFonts w:hint="default" w:ascii="Times New Roman" w:hAnsi="Times New Roman" w:eastAsia="仿宋_GB2312" w:cs="Times New Roman"/>
          <w:color w:val="000000"/>
          <w:spacing w:val="0"/>
          <w:sz w:val="32"/>
          <w:szCs w:val="32"/>
          <w:lang w:val="en-US" w:eastAsia="zh-CN"/>
        </w:rPr>
        <w:t>习200余场次</w:t>
      </w:r>
      <w:r>
        <w:rPr>
          <w:rFonts w:hint="eastAsia" w:ascii="Times New Roman" w:hAnsi="Times New Roman" w:cs="Times New Roman"/>
          <w:color w:val="000000"/>
          <w:spacing w:val="0"/>
          <w:sz w:val="32"/>
          <w:szCs w:val="32"/>
          <w:lang w:val="en-US" w:eastAsia="zh-CN"/>
        </w:rPr>
        <w:t>，</w:t>
      </w:r>
      <w:r>
        <w:rPr>
          <w:rFonts w:hint="eastAsia" w:ascii="仿宋_GB2312" w:hAnsi="仿宋_GB2312" w:cs="仿宋_GB2312"/>
          <w:spacing w:val="0"/>
          <w:sz w:val="32"/>
          <w:szCs w:val="32"/>
          <w:lang w:val="en-US" w:eastAsia="zh-CN"/>
        </w:rPr>
        <w:t>同时</w:t>
      </w:r>
      <w:r>
        <w:rPr>
          <w:rFonts w:hint="default" w:ascii="Times New Roman" w:hAnsi="Times New Roman" w:eastAsia="仿宋_GB2312" w:cs="Times New Roman"/>
          <w:spacing w:val="0"/>
          <w:sz w:val="32"/>
          <w:szCs w:val="32"/>
        </w:rPr>
        <w:t>聘请21名行风</w:t>
      </w:r>
      <w:r>
        <w:rPr>
          <w:rFonts w:hint="eastAsia" w:ascii="仿宋_GB2312" w:hAnsi="仿宋_GB2312" w:eastAsia="仿宋_GB2312" w:cs="仿宋_GB2312"/>
          <w:spacing w:val="0"/>
          <w:sz w:val="32"/>
          <w:szCs w:val="32"/>
        </w:rPr>
        <w:t>监督</w:t>
      </w:r>
      <w:r>
        <w:rPr>
          <w:rFonts w:hint="eastAsia" w:ascii="仿宋_GB2312" w:hAnsi="仿宋_GB2312" w:eastAsia="仿宋_GB2312" w:cs="仿宋_GB2312"/>
          <w:color w:val="000000"/>
          <w:spacing w:val="0"/>
          <w:sz w:val="32"/>
          <w:szCs w:val="32"/>
          <w:lang w:eastAsia="zh-CN"/>
        </w:rPr>
        <w:t>员、</w:t>
      </w:r>
      <w:r>
        <w:rPr>
          <w:rFonts w:hint="eastAsia" w:ascii="Times New Roman" w:hAnsi="Times New Roman" w:eastAsia="仿宋_GB2312" w:cs="Times New Roman"/>
          <w:spacing w:val="0"/>
          <w:sz w:val="32"/>
          <w:szCs w:val="32"/>
          <w:lang w:eastAsia="zh-CN"/>
        </w:rPr>
        <w:t>11名</w:t>
      </w:r>
      <w:r>
        <w:rPr>
          <w:rFonts w:hint="eastAsia" w:ascii="仿宋_GB2312" w:hAnsi="仿宋_GB2312" w:eastAsia="仿宋_GB2312" w:cs="仿宋_GB2312"/>
          <w:color w:val="000000"/>
          <w:spacing w:val="0"/>
          <w:sz w:val="32"/>
          <w:szCs w:val="32"/>
          <w:lang w:eastAsia="zh-CN"/>
        </w:rPr>
        <w:t>营商</w:t>
      </w:r>
      <w:r>
        <w:rPr>
          <w:rFonts w:hint="eastAsia" w:ascii="仿宋_GB2312" w:hAnsi="仿宋_GB2312" w:eastAsia="仿宋_GB2312" w:cs="仿宋_GB2312"/>
          <w:spacing w:val="0"/>
          <w:sz w:val="32"/>
          <w:szCs w:val="32"/>
        </w:rPr>
        <w:t>环境观察员</w:t>
      </w:r>
      <w:r>
        <w:rPr>
          <w:rFonts w:hint="default" w:ascii="Times New Roman" w:hAnsi="Times New Roman" w:cs="Times New Roman"/>
          <w:szCs w:val="32"/>
          <w:lang w:val="en-US" w:eastAsia="zh-CN"/>
        </w:rPr>
        <w:t>；</w:t>
      </w:r>
      <w:r>
        <w:rPr>
          <w:rFonts w:hint="eastAsia" w:ascii="Times New Roman" w:hAnsi="Times New Roman" w:cs="Times New Roman"/>
          <w:szCs w:val="32"/>
          <w:lang w:val="en-US" w:eastAsia="zh-CN"/>
        </w:rPr>
        <w:t>为提高</w:t>
      </w:r>
      <w:r>
        <w:rPr>
          <w:rFonts w:hint="eastAsia"/>
          <w:szCs w:val="32"/>
        </w:rPr>
        <w:t>干部</w:t>
      </w:r>
      <w:r>
        <w:rPr>
          <w:rFonts w:hint="eastAsia"/>
          <w:szCs w:val="32"/>
          <w:lang w:val="en-US" w:eastAsia="zh-CN"/>
        </w:rPr>
        <w:t>政治素质和业务</w:t>
      </w:r>
      <w:r>
        <w:rPr>
          <w:rFonts w:hint="eastAsia"/>
          <w:szCs w:val="32"/>
        </w:rPr>
        <w:t>能力，</w:t>
      </w:r>
      <w:r>
        <w:rPr>
          <w:rFonts w:hint="eastAsia" w:ascii="仿宋" w:hAnsi="仿宋" w:eastAsia="仿宋"/>
          <w:sz w:val="32"/>
          <w:szCs w:val="32"/>
          <w:lang w:eastAsia="zh-CN"/>
        </w:rPr>
        <w:t>举办党建引领城市基层治理培训</w:t>
      </w:r>
      <w:r>
        <w:rPr>
          <w:rFonts w:hint="eastAsia" w:ascii="仿宋" w:hAnsi="仿宋" w:eastAsia="仿宋"/>
          <w:sz w:val="32"/>
          <w:szCs w:val="32"/>
          <w:lang w:val="en-US" w:eastAsia="zh-CN"/>
        </w:rPr>
        <w:t>和</w:t>
      </w:r>
      <w:r>
        <w:rPr>
          <w:rFonts w:hint="eastAsia" w:ascii="仿宋_GB2312" w:hAnsi="仿宋_GB2312" w:eastAsia="仿宋_GB2312" w:cs="仿宋_GB2312"/>
          <w:b w:val="0"/>
          <w:bCs w:val="0"/>
          <w:spacing w:val="0"/>
          <w:sz w:val="32"/>
          <w:szCs w:val="32"/>
          <w:lang w:val="en-US" w:eastAsia="zh-CN"/>
        </w:rPr>
        <w:t>法治、食品安全、知识产权等</w:t>
      </w:r>
      <w:r>
        <w:rPr>
          <w:rFonts w:hint="eastAsia" w:ascii="仿宋_GB2312" w:hAnsi="仿宋_GB2312" w:cs="仿宋_GB2312"/>
          <w:b w:val="0"/>
          <w:bCs w:val="0"/>
          <w:spacing w:val="0"/>
          <w:sz w:val="32"/>
          <w:szCs w:val="32"/>
          <w:lang w:val="en-US" w:eastAsia="zh-CN"/>
        </w:rPr>
        <w:t>各项</w:t>
      </w:r>
      <w:r>
        <w:rPr>
          <w:rFonts w:hint="eastAsia" w:ascii="仿宋_GB2312" w:hAnsi="仿宋_GB2312" w:eastAsia="仿宋_GB2312" w:cs="仿宋_GB2312"/>
          <w:b w:val="0"/>
          <w:bCs w:val="0"/>
          <w:spacing w:val="0"/>
          <w:sz w:val="32"/>
          <w:szCs w:val="32"/>
          <w:lang w:val="en-US" w:eastAsia="zh-CN"/>
        </w:rPr>
        <w:t>专题培训</w:t>
      </w:r>
      <w:r>
        <w:rPr>
          <w:rFonts w:hint="eastAsia" w:ascii="仿宋" w:hAnsi="仿宋" w:eastAsia="仿宋"/>
          <w:sz w:val="32"/>
          <w:szCs w:val="32"/>
          <w:lang w:eastAsia="zh-CN"/>
        </w:rPr>
        <w:t>，</w:t>
      </w:r>
      <w:r>
        <w:rPr>
          <w:rFonts w:hint="eastAsia"/>
          <w:szCs w:val="32"/>
        </w:rPr>
        <w:t>培训干部职工</w:t>
      </w:r>
      <w:r>
        <w:rPr>
          <w:rFonts w:hint="eastAsia"/>
          <w:szCs w:val="32"/>
          <w:lang w:val="en-US" w:eastAsia="zh-CN"/>
        </w:rPr>
        <w:t>上千</w:t>
      </w:r>
      <w:r>
        <w:rPr>
          <w:rFonts w:hint="eastAsia"/>
          <w:szCs w:val="32"/>
        </w:rPr>
        <w:t>人次</w:t>
      </w:r>
      <w:r>
        <w:rPr>
          <w:rFonts w:hint="eastAsia"/>
          <w:szCs w:val="32"/>
          <w:lang w:val="en-US" w:eastAsia="zh-CN"/>
        </w:rPr>
        <w:t>；</w:t>
      </w:r>
      <w:r>
        <w:rPr>
          <w:rFonts w:hint="eastAsia"/>
          <w:szCs w:val="32"/>
        </w:rPr>
        <w:t>按年初预算计划完成了</w:t>
      </w:r>
      <w:r>
        <w:rPr>
          <w:rFonts w:hint="eastAsia"/>
          <w:szCs w:val="32"/>
          <w:lang w:val="en-US" w:eastAsia="zh-CN"/>
        </w:rPr>
        <w:t>剩余部分的</w:t>
      </w:r>
      <w:r>
        <w:rPr>
          <w:rFonts w:hint="eastAsia"/>
          <w:szCs w:val="32"/>
        </w:rPr>
        <w:t>国产电脑更迭和</w:t>
      </w:r>
      <w:r>
        <w:rPr>
          <w:rFonts w:hint="eastAsia"/>
          <w:szCs w:val="32"/>
          <w:lang w:val="en-US" w:eastAsia="zh-CN"/>
        </w:rPr>
        <w:t>购置了</w:t>
      </w:r>
      <w:r>
        <w:rPr>
          <w:rFonts w:hint="eastAsia"/>
          <w:szCs w:val="32"/>
        </w:rPr>
        <w:t>执法公务用车</w:t>
      </w:r>
      <w:r>
        <w:rPr>
          <w:rFonts w:hint="eastAsia"/>
          <w:szCs w:val="32"/>
          <w:lang w:val="en-US" w:eastAsia="zh-CN"/>
        </w:rPr>
        <w:t>3台</w:t>
      </w:r>
      <w:r>
        <w:rPr>
          <w:rFonts w:hint="eastAsia"/>
          <w:szCs w:val="32"/>
        </w:rPr>
        <w:t>；</w:t>
      </w:r>
      <w:r>
        <w:rPr>
          <w:rFonts w:hint="eastAsia" w:ascii="Times New Roman" w:hAnsi="Times New Roman" w:cs="Times New Roman"/>
          <w:szCs w:val="32"/>
          <w:lang w:val="en-US" w:eastAsia="zh-CN"/>
        </w:rPr>
        <w:t>为</w:t>
      </w:r>
      <w:r>
        <w:rPr>
          <w:rFonts w:hint="default" w:ascii="Times New Roman" w:hAnsi="Times New Roman" w:cs="Times New Roman"/>
          <w:szCs w:val="32"/>
          <w:lang w:val="en-US" w:eastAsia="zh-CN"/>
        </w:rPr>
        <w:t>提高</w:t>
      </w:r>
      <w:r>
        <w:rPr>
          <w:rFonts w:hint="eastAsia" w:ascii="Times New Roman" w:hAnsi="Times New Roman" w:cs="Times New Roman"/>
          <w:szCs w:val="32"/>
          <w:lang w:val="en-US" w:eastAsia="zh-CN"/>
        </w:rPr>
        <w:t>检</w:t>
      </w:r>
      <w:r>
        <w:rPr>
          <w:rFonts w:hint="default" w:ascii="Times New Roman" w:hAnsi="Times New Roman" w:cs="Times New Roman"/>
          <w:szCs w:val="32"/>
          <w:lang w:val="en-US" w:eastAsia="zh-CN"/>
        </w:rPr>
        <w:t>测效率及质量，</w:t>
      </w:r>
      <w:r>
        <w:rPr>
          <w:rFonts w:hint="eastAsia" w:ascii="Times New Roman" w:hAnsi="Times New Roman" w:cs="Times New Roman"/>
          <w:szCs w:val="32"/>
          <w:lang w:val="en-US" w:eastAsia="zh-CN"/>
        </w:rPr>
        <w:t>局机关冷链监管仓建设购买专用仪器1套，益阳市食品药品检验所购买药品基层能力建设设备2台，益阳市计量所购买计检定置装备3</w:t>
      </w:r>
      <w:r>
        <w:rPr>
          <w:rFonts w:hint="default" w:ascii="Times New Roman" w:hAnsi="Times New Roman" w:cs="Times New Roman"/>
          <w:szCs w:val="32"/>
          <w:lang w:val="en-US" w:eastAsia="zh-CN"/>
        </w:rPr>
        <w:t>台</w:t>
      </w:r>
      <w:r>
        <w:rPr>
          <w:rFonts w:hint="eastAsia" w:ascii="Times New Roman" w:hAnsi="Times New Roman" w:cs="Times New Roman"/>
          <w:szCs w:val="32"/>
          <w:lang w:val="en-US" w:eastAsia="zh-CN"/>
        </w:rPr>
        <w:t>，益阳市产商品质量监督检验研究院购买检测设备2套；为</w:t>
      </w:r>
      <w:r>
        <w:rPr>
          <w:rFonts w:hint="default" w:ascii="Times New Roman" w:hAnsi="Times New Roman" w:cs="Times New Roman"/>
          <w:szCs w:val="32"/>
          <w:lang w:val="en-US" w:eastAsia="zh-CN"/>
        </w:rPr>
        <w:t>保障</w:t>
      </w:r>
      <w:r>
        <w:rPr>
          <w:rFonts w:hint="eastAsia" w:ascii="Times New Roman" w:hAnsi="Times New Roman" w:cs="Times New Roman"/>
          <w:szCs w:val="32"/>
          <w:lang w:val="en-US" w:eastAsia="zh-CN"/>
        </w:rPr>
        <w:t>业务系统</w:t>
      </w:r>
      <w:r>
        <w:rPr>
          <w:rFonts w:hint="default" w:ascii="Times New Roman" w:hAnsi="Times New Roman" w:cs="Times New Roman"/>
          <w:szCs w:val="32"/>
          <w:lang w:val="en-US" w:eastAsia="zh-CN"/>
        </w:rPr>
        <w:t>日常</w:t>
      </w:r>
      <w:r>
        <w:rPr>
          <w:rFonts w:hint="eastAsia" w:ascii="Times New Roman" w:hAnsi="Times New Roman" w:cs="Times New Roman"/>
          <w:szCs w:val="32"/>
          <w:lang w:val="en-US" w:eastAsia="zh-CN"/>
        </w:rPr>
        <w:t>运行和信息化安全，局机关更新了防火墙</w:t>
      </w:r>
      <w:r>
        <w:rPr>
          <w:rFonts w:hint="default" w:ascii="Times New Roman" w:hAnsi="Times New Roman" w:cs="Times New Roman"/>
          <w:szCs w:val="32"/>
          <w:lang w:val="en-US" w:eastAsia="zh-CN"/>
        </w:rPr>
        <w:t>软件系统，信息系统运行维护服务完成率达到 100%</w:t>
      </w:r>
      <w:r>
        <w:rPr>
          <w:rFonts w:hint="eastAsia" w:ascii="Times New Roman" w:hAnsi="Times New Roman" w:cs="Times New Roman"/>
          <w:szCs w:val="32"/>
          <w:lang w:val="en-US" w:eastAsia="zh-CN"/>
        </w:rPr>
        <w:t>；</w:t>
      </w:r>
      <w:r>
        <w:rPr>
          <w:rFonts w:hint="eastAsia"/>
          <w:szCs w:val="32"/>
          <w:lang w:val="en-US" w:eastAsia="zh-CN"/>
        </w:rPr>
        <w:t>2022年</w:t>
      </w:r>
      <w:r>
        <w:rPr>
          <w:rFonts w:hint="eastAsia"/>
          <w:szCs w:val="32"/>
        </w:rPr>
        <w:t>全市市监系统在各级新闻媒体平台发稿1</w:t>
      </w:r>
      <w:r>
        <w:rPr>
          <w:rFonts w:hint="eastAsia"/>
          <w:szCs w:val="32"/>
          <w:lang w:val="en-US" w:eastAsia="zh-CN"/>
        </w:rPr>
        <w:t>058</w:t>
      </w:r>
      <w:r>
        <w:rPr>
          <w:rFonts w:hint="eastAsia"/>
          <w:szCs w:val="32"/>
        </w:rPr>
        <w:t>篇次，其中在人民日报、学习强国等央级媒体和行业报刊网站发稿86篇次，在湖南日报、湖南新闻联播、省局等省级媒体和网站发稿</w:t>
      </w:r>
      <w:r>
        <w:rPr>
          <w:rFonts w:hint="eastAsia"/>
          <w:szCs w:val="32"/>
          <w:lang w:val="en-US" w:eastAsia="zh-CN"/>
        </w:rPr>
        <w:t>385</w:t>
      </w:r>
      <w:r>
        <w:rPr>
          <w:rFonts w:hint="eastAsia"/>
          <w:szCs w:val="32"/>
        </w:rPr>
        <w:t>篇次</w:t>
      </w:r>
      <w:r>
        <w:rPr>
          <w:rFonts w:hint="eastAsia"/>
          <w:szCs w:val="32"/>
          <w:lang w:eastAsia="zh-CN"/>
        </w:rPr>
        <w:t>，</w:t>
      </w:r>
      <w:r>
        <w:rPr>
          <w:rFonts w:hint="eastAsia" w:ascii="仿宋" w:hAnsi="仿宋" w:eastAsia="仿宋" w:cs="仿宋"/>
          <w:sz w:val="32"/>
          <w:szCs w:val="32"/>
          <w:lang w:val="en-US" w:eastAsia="zh-CN"/>
        </w:rPr>
        <w:t>营造了良好宣传舆论氛围。</w:t>
      </w:r>
    </w:p>
    <w:p>
      <w:pPr>
        <w:keepNext w:val="0"/>
        <w:keepLines w:val="0"/>
        <w:pageBreakBefore w:val="0"/>
        <w:widowControl w:val="0"/>
        <w:kinsoku/>
        <w:wordWrap/>
        <w:overflowPunct/>
        <w:topLinePunct/>
        <w:autoSpaceDE/>
        <w:bidi w:val="0"/>
        <w:spacing w:line="600" w:lineRule="exact"/>
        <w:ind w:firstLine="640" w:firstLineChars="200"/>
        <w:textAlignment w:val="auto"/>
        <w:rPr>
          <w:rFonts w:hint="eastAsia"/>
          <w:szCs w:val="32"/>
        </w:rPr>
      </w:pPr>
      <w:r>
        <w:rPr>
          <w:rFonts w:hint="eastAsia"/>
          <w:szCs w:val="32"/>
        </w:rPr>
        <w:t>内部管理规范化、精细化和科学化水平的不断提高，确保了机关高效的运转，为持续加强市场监管综合执法、营造公平有序的市场环境提供了坚实的后盾。</w:t>
      </w:r>
    </w:p>
    <w:p>
      <w:pPr>
        <w:keepNext w:val="0"/>
        <w:keepLines w:val="0"/>
        <w:pageBreakBefore w:val="0"/>
        <w:widowControl w:val="0"/>
        <w:kinsoku/>
        <w:wordWrap/>
        <w:overflowPunct/>
        <w:autoSpaceDE/>
        <w:bidi w:val="0"/>
        <w:adjustRightInd w:val="0"/>
        <w:snapToGrid w:val="0"/>
        <w:spacing w:line="600" w:lineRule="exact"/>
        <w:ind w:firstLine="640" w:firstLineChars="200"/>
        <w:textAlignment w:val="auto"/>
        <w:rPr>
          <w:rFonts w:hint="eastAsia" w:ascii="楷体_GB2312" w:hAnsi="楷体_GB2312" w:eastAsia="楷体_GB2312" w:cs="楷体_GB2312"/>
          <w:b/>
          <w:color w:val="000000"/>
          <w:szCs w:val="32"/>
        </w:rPr>
      </w:pPr>
      <w:r>
        <w:rPr>
          <w:rFonts w:hint="eastAsia" w:ascii="楷体_GB2312" w:hAnsi="楷体_GB2312" w:eastAsia="楷体_GB2312" w:cs="楷体_GB2312"/>
          <w:b/>
          <w:color w:val="000000"/>
          <w:szCs w:val="32"/>
        </w:rPr>
        <w:t>（二）</w:t>
      </w:r>
      <w:r>
        <w:rPr>
          <w:rFonts w:hint="eastAsia" w:ascii="楷体_GB2312" w:hAnsi="楷体_GB2312" w:eastAsia="楷体_GB2312" w:cs="楷体_GB2312"/>
          <w:b/>
          <w:bCs/>
          <w:spacing w:val="0"/>
          <w:sz w:val="32"/>
          <w:szCs w:val="32"/>
          <w:lang w:val="en-US" w:eastAsia="zh-CN"/>
        </w:rPr>
        <w:t>抓统筹，提品位，市场监管工作格局不断拓展。</w:t>
      </w:r>
    </w:p>
    <w:p>
      <w:pPr>
        <w:keepNext w:val="0"/>
        <w:keepLines w:val="0"/>
        <w:pageBreakBefore w:val="0"/>
        <w:widowControl w:val="0"/>
        <w:pBdr>
          <w:top w:val="none" w:color="000000" w:sz="0" w:space="0"/>
          <w:left w:val="none" w:color="000000" w:sz="0" w:space="0"/>
          <w:bottom w:val="none" w:color="000000" w:sz="0" w:space="21"/>
          <w:right w:val="none" w:color="000000" w:sz="0" w:space="0"/>
        </w:pBdr>
        <w:kinsoku/>
        <w:wordWrap/>
        <w:overflowPunct/>
        <w:autoSpaceDE/>
        <w:autoSpaceDN w:val="0"/>
        <w:bidi w:val="0"/>
        <w:spacing w:line="600" w:lineRule="exact"/>
        <w:ind w:firstLine="640" w:firstLineChars="200"/>
        <w:textAlignment w:val="auto"/>
        <w:rPr>
          <w:rFonts w:hint="eastAsia"/>
          <w:szCs w:val="32"/>
        </w:rPr>
      </w:pPr>
      <w:r>
        <w:rPr>
          <w:rStyle w:val="14"/>
          <w:rFonts w:hint="eastAsia" w:ascii="仿宋_GB2312" w:hAnsi="仿宋_GB2312" w:cs="仿宋_GB2312"/>
          <w:b/>
          <w:bCs/>
          <w:color w:val="000000"/>
          <w:szCs w:val="32"/>
        </w:rPr>
        <w:t>一是</w:t>
      </w:r>
      <w:r>
        <w:rPr>
          <w:rFonts w:hint="eastAsia" w:ascii="仿宋_GB2312" w:hAnsi="仿宋_GB2312" w:eastAsia="仿宋_GB2312" w:cs="仿宋_GB2312"/>
          <w:b/>
          <w:bCs/>
          <w:color w:val="000000"/>
          <w:spacing w:val="0"/>
          <w:kern w:val="2"/>
          <w:sz w:val="32"/>
          <w:szCs w:val="32"/>
          <w:lang w:val="en-US" w:eastAsia="zh-CN" w:bidi="ar-SA"/>
        </w:rPr>
        <w:t>持续深化商事制度改革。</w:t>
      </w:r>
      <w:r>
        <w:rPr>
          <w:rFonts w:hint="eastAsia" w:ascii="仿宋_GB2312" w:hAnsi="仿宋_GB2312" w:eastAsia="仿宋_GB2312" w:cs="仿宋_GB2312"/>
          <w:spacing w:val="0"/>
          <w:sz w:val="32"/>
          <w:szCs w:val="32"/>
          <w:shd w:val="clear" w:color="auto" w:fill="FFFFFF"/>
        </w:rPr>
        <w:t>创</w:t>
      </w:r>
      <w:r>
        <w:rPr>
          <w:rFonts w:hint="eastAsia" w:ascii="仿宋_GB2312" w:hAnsi="仿宋_GB2312" w:eastAsia="仿宋_GB2312" w:cs="仿宋_GB2312"/>
          <w:spacing w:val="0"/>
          <w:sz w:val="32"/>
          <w:szCs w:val="32"/>
        </w:rPr>
        <w:t>新“五办五零”极简</w:t>
      </w:r>
      <w:r>
        <w:rPr>
          <w:rFonts w:hint="eastAsia" w:ascii="仿宋_GB2312" w:hAnsi="仿宋_GB2312" w:eastAsia="仿宋_GB2312" w:cs="仿宋_GB2312"/>
          <w:spacing w:val="0"/>
          <w:sz w:val="32"/>
          <w:szCs w:val="32"/>
          <w:shd w:val="clear" w:color="auto" w:fill="FFFFFF"/>
        </w:rPr>
        <w:t>审批模式，全面落</w:t>
      </w:r>
      <w:r>
        <w:rPr>
          <w:rFonts w:hint="eastAsia" w:ascii="仿宋_GB2312" w:hAnsi="仿宋_GB2312" w:eastAsia="仿宋_GB2312" w:cs="仿宋_GB2312"/>
          <w:spacing w:val="0"/>
          <w:sz w:val="32"/>
          <w:szCs w:val="32"/>
        </w:rPr>
        <w:t>实</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三张清单”</w:t>
      </w:r>
      <w:r>
        <w:rPr>
          <w:rFonts w:hint="eastAsia" w:ascii="仿宋_GB2312" w:hAnsi="仿宋_GB2312" w:eastAsia="仿宋_GB2312" w:cs="仿宋_GB2312"/>
          <w:spacing w:val="0"/>
          <w:sz w:val="32"/>
          <w:szCs w:val="32"/>
          <w:shd w:val="clear" w:color="auto" w:fill="FFFFFF"/>
        </w:rPr>
        <w:t>制度，全面推行许可全程网办，广告发布取消登记、小餐饮告知承诺</w:t>
      </w:r>
      <w:r>
        <w:rPr>
          <w:rFonts w:hint="default" w:ascii="Times New Roman" w:hAnsi="Times New Roman" w:eastAsia="仿宋_GB2312" w:cs="Times New Roman"/>
          <w:color w:val="000000"/>
          <w:spacing w:val="0"/>
          <w:sz w:val="32"/>
          <w:szCs w:val="32"/>
          <w:lang w:eastAsia="zh-CN"/>
        </w:rPr>
        <w:t>制等8项改革</w:t>
      </w:r>
      <w:r>
        <w:rPr>
          <w:rFonts w:hint="default" w:ascii="Times New Roman" w:hAnsi="Times New Roman" w:eastAsia="仿宋_GB2312" w:cs="Times New Roman"/>
          <w:spacing w:val="0"/>
          <w:sz w:val="32"/>
          <w:szCs w:val="32"/>
          <w:shd w:val="clear" w:color="auto" w:fill="FFFFFF"/>
        </w:rPr>
        <w:t>事项全部到位。</w:t>
      </w:r>
      <w:r>
        <w:rPr>
          <w:rFonts w:hint="default" w:ascii="Times New Roman" w:hAnsi="Times New Roman" w:cs="Times New Roman"/>
          <w:spacing w:val="0"/>
          <w:sz w:val="32"/>
          <w:szCs w:val="32"/>
          <w:shd w:val="clear" w:color="auto" w:fill="FFFFFF"/>
          <w:lang w:val="en-US" w:eastAsia="zh-CN"/>
        </w:rPr>
        <w:t>积极响应</w:t>
      </w:r>
      <w:r>
        <w:rPr>
          <w:rFonts w:hint="default" w:ascii="Times New Roman" w:hAnsi="Times New Roman" w:eastAsia="仿宋_GB2312" w:cs="Times New Roman"/>
          <w:spacing w:val="0"/>
          <w:sz w:val="32"/>
          <w:szCs w:val="32"/>
          <w:shd w:val="clear" w:color="auto" w:fill="FFFFFF"/>
        </w:rPr>
        <w:t>全省市场主体倍增工程工作</w:t>
      </w:r>
      <w:r>
        <w:rPr>
          <w:rFonts w:hint="default" w:ascii="Times New Roman" w:hAnsi="Times New Roman" w:cs="Times New Roman"/>
          <w:spacing w:val="0"/>
          <w:sz w:val="32"/>
          <w:szCs w:val="32"/>
          <w:shd w:val="clear" w:color="auto" w:fill="FFFFFF"/>
          <w:lang w:eastAsia="zh-CN"/>
        </w:rPr>
        <w:t>，</w:t>
      </w:r>
      <w:r>
        <w:rPr>
          <w:rFonts w:hint="default" w:ascii="Times New Roman" w:hAnsi="Times New Roman" w:eastAsia="仿宋_GB2312" w:cs="Times New Roman"/>
          <w:spacing w:val="0"/>
          <w:sz w:val="32"/>
          <w:szCs w:val="32"/>
          <w:shd w:val="clear" w:color="auto" w:fill="FFFFFF"/>
        </w:rPr>
        <w:t>全市</w:t>
      </w:r>
      <w:r>
        <w:rPr>
          <w:rFonts w:hint="default" w:ascii="Times New Roman" w:hAnsi="Times New Roman" w:eastAsia="仿宋_GB2312" w:cs="Times New Roman"/>
          <w:color w:val="000000"/>
          <w:spacing w:val="0"/>
          <w:sz w:val="32"/>
          <w:szCs w:val="32"/>
          <w:lang w:eastAsia="zh-CN"/>
        </w:rPr>
        <w:t>市场主体数发</w:t>
      </w:r>
      <w:r>
        <w:rPr>
          <w:rFonts w:hint="default" w:ascii="Times New Roman" w:hAnsi="Times New Roman" w:eastAsia="仿宋_GB2312" w:cs="Times New Roman"/>
          <w:spacing w:val="0"/>
          <w:sz w:val="32"/>
          <w:szCs w:val="32"/>
          <w:lang w:eastAsia="zh-CN"/>
        </w:rPr>
        <w:t>展到38.</w:t>
      </w:r>
      <w:r>
        <w:rPr>
          <w:rFonts w:hint="default" w:ascii="Times New Roman" w:hAnsi="Times New Roman" w:eastAsia="仿宋_GB2312" w:cs="Times New Roman"/>
          <w:spacing w:val="0"/>
          <w:sz w:val="32"/>
          <w:szCs w:val="32"/>
          <w:lang w:val="en-US" w:eastAsia="zh-CN"/>
        </w:rPr>
        <w:t>9</w:t>
      </w:r>
      <w:r>
        <w:rPr>
          <w:rFonts w:hint="default" w:ascii="Times New Roman" w:hAnsi="Times New Roman" w:eastAsia="仿宋_GB2312" w:cs="Times New Roman"/>
          <w:spacing w:val="0"/>
          <w:sz w:val="32"/>
          <w:szCs w:val="32"/>
          <w:lang w:eastAsia="zh-CN"/>
        </w:rPr>
        <w:t>万户</w:t>
      </w:r>
      <w:r>
        <w:rPr>
          <w:rFonts w:hint="default" w:ascii="Times New Roman" w:hAnsi="Times New Roman" w:eastAsia="仿宋_GB2312" w:cs="Times New Roman"/>
          <w:color w:val="000000"/>
          <w:spacing w:val="0"/>
          <w:sz w:val="32"/>
          <w:szCs w:val="32"/>
          <w:lang w:eastAsia="zh-CN"/>
        </w:rPr>
        <w:t>，</w:t>
      </w:r>
      <w:r>
        <w:rPr>
          <w:rFonts w:hint="default" w:ascii="Times New Roman" w:hAnsi="Times New Roman" w:cs="Times New Roman"/>
          <w:color w:val="000000"/>
          <w:spacing w:val="0"/>
          <w:sz w:val="32"/>
          <w:szCs w:val="32"/>
          <w:lang w:val="en-US" w:eastAsia="zh-CN"/>
        </w:rPr>
        <w:t>市场主体增长率达到12.6%，</w:t>
      </w:r>
      <w:r>
        <w:rPr>
          <w:rFonts w:hint="default" w:ascii="Times New Roman" w:hAnsi="Times New Roman" w:eastAsia="仿宋_GB2312" w:cs="Times New Roman"/>
          <w:spacing w:val="0"/>
          <w:sz w:val="32"/>
          <w:szCs w:val="32"/>
          <w:shd w:val="clear" w:color="auto" w:fill="FFFFFF"/>
        </w:rPr>
        <w:t>每万常</w:t>
      </w:r>
      <w:r>
        <w:rPr>
          <w:rFonts w:hint="eastAsia" w:ascii="仿宋_GB2312" w:hAnsi="仿宋_GB2312" w:eastAsia="仿宋_GB2312" w:cs="仿宋_GB2312"/>
          <w:spacing w:val="0"/>
          <w:sz w:val="32"/>
          <w:szCs w:val="32"/>
          <w:shd w:val="clear" w:color="auto" w:fill="FFFFFF"/>
        </w:rPr>
        <w:t>住人口市场主体数居全</w:t>
      </w:r>
      <w:r>
        <w:rPr>
          <w:rFonts w:hint="eastAsia" w:ascii="仿宋_GB2312" w:hAnsi="仿宋_GB2312" w:eastAsia="仿宋_GB2312" w:cs="仿宋_GB2312"/>
          <w:color w:val="000000"/>
          <w:spacing w:val="0"/>
          <w:sz w:val="32"/>
          <w:szCs w:val="32"/>
          <w:lang w:eastAsia="zh-CN"/>
        </w:rPr>
        <w:t>省第三。</w:t>
      </w:r>
      <w:r>
        <w:rPr>
          <w:rFonts w:hint="eastAsia" w:ascii="仿宋_GB2312" w:hAnsi="仿宋_GB2312" w:eastAsia="仿宋_GB2312" w:cs="仿宋_GB2312"/>
          <w:spacing w:val="0"/>
          <w:sz w:val="32"/>
          <w:szCs w:val="32"/>
          <w:shd w:val="clear" w:color="auto" w:fill="FFFFFF"/>
        </w:rPr>
        <w:t>全市企业开办时间压缩至半个工作日。企业登记全程电子化工作领跑全省。</w:t>
      </w:r>
      <w:r>
        <w:rPr>
          <w:rFonts w:hint="eastAsia" w:ascii="仿宋_GB2312" w:hAnsi="仿宋_GB2312" w:cs="仿宋_GB2312"/>
          <w:spacing w:val="0"/>
          <w:sz w:val="32"/>
          <w:szCs w:val="32"/>
          <w:shd w:val="clear" w:color="auto" w:fill="FFFFFF"/>
          <w:lang w:val="en-US" w:eastAsia="zh-CN"/>
        </w:rPr>
        <w:t>我局</w:t>
      </w:r>
      <w:r>
        <w:rPr>
          <w:rFonts w:hint="default" w:ascii="Times New Roman" w:hAnsi="Times New Roman" w:eastAsia="仿宋_GB2312" w:cs="Times New Roman"/>
          <w:spacing w:val="0"/>
          <w:sz w:val="32"/>
          <w:szCs w:val="32"/>
          <w:lang w:val="en-US" w:eastAsia="zh-CN"/>
        </w:rPr>
        <w:t>荣获2021年度国务</w:t>
      </w:r>
      <w:r>
        <w:rPr>
          <w:rFonts w:hint="eastAsia" w:ascii="仿宋_GB2312" w:hAnsi="仿宋_GB2312" w:eastAsia="仿宋_GB2312" w:cs="仿宋_GB2312"/>
          <w:spacing w:val="0"/>
          <w:sz w:val="32"/>
          <w:szCs w:val="32"/>
          <w:lang w:val="en-US" w:eastAsia="zh-CN"/>
        </w:rPr>
        <w:t>院深化商事制度改革工作真抓实干督查激励</w:t>
      </w:r>
      <w:r>
        <w:rPr>
          <w:rFonts w:hint="eastAsia" w:ascii="仿宋_GB2312" w:hAnsi="仿宋_GB2312" w:cs="仿宋_GB2312"/>
          <w:spacing w:val="0"/>
          <w:sz w:val="32"/>
          <w:szCs w:val="32"/>
          <w:lang w:val="en-US" w:eastAsia="zh-CN"/>
        </w:rPr>
        <w:t>。</w:t>
      </w:r>
    </w:p>
    <w:p>
      <w:pPr>
        <w:keepNext w:val="0"/>
        <w:keepLines w:val="0"/>
        <w:pageBreakBefore w:val="0"/>
        <w:widowControl w:val="0"/>
        <w:pBdr>
          <w:top w:val="none" w:color="000000" w:sz="0" w:space="0"/>
          <w:left w:val="none" w:color="000000" w:sz="0" w:space="0"/>
          <w:bottom w:val="none" w:color="000000" w:sz="0" w:space="21"/>
          <w:right w:val="none" w:color="000000" w:sz="0" w:space="0"/>
        </w:pBdr>
        <w:kinsoku/>
        <w:wordWrap/>
        <w:overflowPunct/>
        <w:autoSpaceDE/>
        <w:autoSpaceDN w:val="0"/>
        <w:bidi w:val="0"/>
        <w:spacing w:line="600" w:lineRule="exact"/>
        <w:ind w:firstLine="640" w:firstLineChars="200"/>
        <w:textAlignment w:val="auto"/>
        <w:rPr>
          <w:rFonts w:hint="eastAsia"/>
          <w:b/>
          <w:bCs/>
          <w:szCs w:val="32"/>
        </w:rPr>
      </w:pPr>
      <w:r>
        <w:rPr>
          <w:rStyle w:val="14"/>
          <w:rFonts w:hint="eastAsia"/>
          <w:b/>
          <w:bCs/>
          <w:color w:val="000000"/>
        </w:rPr>
        <w:t>二是</w:t>
      </w:r>
      <w:r>
        <w:rPr>
          <w:rFonts w:hint="eastAsia" w:ascii="仿宋_GB2312" w:hAnsi="仿宋_GB2312" w:eastAsia="仿宋_GB2312" w:cs="仿宋_GB2312"/>
          <w:b/>
          <w:bCs/>
          <w:spacing w:val="0"/>
          <w:sz w:val="32"/>
          <w:szCs w:val="32"/>
          <w:shd w:val="clear" w:color="auto" w:fill="FFFFFF"/>
        </w:rPr>
        <w:t>全力优化营商环境。</w:t>
      </w:r>
      <w:r>
        <w:rPr>
          <w:rFonts w:hint="eastAsia" w:ascii="仿宋_GB2312" w:hAnsi="仿宋_GB2312" w:eastAsia="仿宋_GB2312" w:cs="仿宋_GB2312"/>
          <w:spacing w:val="0"/>
          <w:sz w:val="32"/>
          <w:szCs w:val="32"/>
        </w:rPr>
        <w:t>印发优化营商环境规范执法检查督查工作方案，制定“五严措施”</w:t>
      </w:r>
      <w:r>
        <w:rPr>
          <w:rStyle w:val="14"/>
          <w:rFonts w:hint="eastAsia" w:ascii="仿宋_GB2312" w:hAnsi="仿宋_GB2312" w:eastAsia="仿宋_GB2312" w:cs="仿宋_GB2312"/>
          <w:spacing w:val="0"/>
          <w:kern w:val="2"/>
          <w:sz w:val="32"/>
          <w:szCs w:val="32"/>
        </w:rPr>
        <w:t>，</w:t>
      </w:r>
      <w:r>
        <w:rPr>
          <w:rFonts w:hint="eastAsia" w:ascii="仿宋_GB2312" w:hAnsi="仿宋_GB2312" w:eastAsia="仿宋_GB2312" w:cs="仿宋_GB2312"/>
          <w:spacing w:val="0"/>
          <w:sz w:val="32"/>
          <w:szCs w:val="32"/>
        </w:rPr>
        <w:t>市局涉企检查同比下</w:t>
      </w:r>
      <w:r>
        <w:rPr>
          <w:rFonts w:hint="eastAsia" w:ascii="Times New Roman" w:hAnsi="Times New Roman" w:eastAsia="仿宋_GB2312" w:cs="Times New Roman"/>
          <w:spacing w:val="0"/>
          <w:sz w:val="32"/>
          <w:szCs w:val="32"/>
        </w:rPr>
        <w:t>降</w:t>
      </w:r>
      <w:r>
        <w:rPr>
          <w:rFonts w:hint="eastAsia" w:ascii="Times New Roman" w:hAnsi="Times New Roman" w:eastAsia="仿宋_GB2312" w:cs="Times New Roman"/>
          <w:spacing w:val="0"/>
          <w:sz w:val="32"/>
          <w:szCs w:val="32"/>
          <w:lang w:eastAsia="zh-CN"/>
        </w:rPr>
        <w:t>50%。</w:t>
      </w:r>
      <w:r>
        <w:rPr>
          <w:rFonts w:hint="eastAsia" w:ascii="仿宋_GB2312" w:hAnsi="仿宋_GB2312" w:eastAsia="仿宋_GB2312" w:cs="仿宋_GB2312"/>
          <w:color w:val="000000"/>
          <w:spacing w:val="0"/>
          <w:sz w:val="32"/>
          <w:szCs w:val="32"/>
          <w:lang w:eastAsia="zh-CN"/>
        </w:rPr>
        <w:t>推</w:t>
      </w:r>
      <w:r>
        <w:rPr>
          <w:rFonts w:hint="eastAsia" w:ascii="仿宋_GB2312" w:hAnsi="仿宋_GB2312" w:eastAsia="仿宋_GB2312" w:cs="仿宋_GB2312"/>
          <w:spacing w:val="0"/>
          <w:sz w:val="32"/>
          <w:szCs w:val="32"/>
        </w:rPr>
        <w:t>进跨部门“双随机、一公开”监管。市级</w:t>
      </w:r>
      <w:r>
        <w:rPr>
          <w:rFonts w:hint="eastAsia" w:ascii="仿宋_GB2312" w:hAnsi="仿宋_GB2312" w:eastAsia="仿宋_GB2312" w:cs="仿宋_GB2312"/>
          <w:color w:val="000000"/>
          <w:spacing w:val="0"/>
          <w:sz w:val="32"/>
          <w:szCs w:val="32"/>
          <w:lang w:eastAsia="zh-CN"/>
        </w:rPr>
        <w:t>联合抽查参与部</w:t>
      </w:r>
      <w:r>
        <w:rPr>
          <w:rFonts w:hint="eastAsia" w:ascii="Times New Roman" w:hAnsi="Times New Roman" w:eastAsia="仿宋_GB2312" w:cs="Times New Roman"/>
          <w:spacing w:val="0"/>
          <w:sz w:val="32"/>
          <w:szCs w:val="32"/>
          <w:lang w:eastAsia="zh-CN"/>
        </w:rPr>
        <w:t>门由20个增加至36个，区县（市）单位由140个增加至211个</w:t>
      </w:r>
      <w:r>
        <w:rPr>
          <w:rFonts w:hint="eastAsia" w:ascii="Times New Roman" w:hAnsi="Times New Roman" w:cs="Times New Roman"/>
          <w:spacing w:val="0"/>
          <w:sz w:val="32"/>
          <w:szCs w:val="32"/>
          <w:lang w:eastAsia="zh-CN"/>
        </w:rPr>
        <w:t>，</w:t>
      </w:r>
      <w:r>
        <w:rPr>
          <w:rFonts w:hint="eastAsia" w:ascii="Times New Roman" w:hAnsi="Times New Roman" w:eastAsia="仿宋_GB2312" w:cs="Times New Roman"/>
          <w:b w:val="0"/>
          <w:bCs/>
          <w:color w:val="000000"/>
          <w:sz w:val="32"/>
          <w:szCs w:val="32"/>
          <w:lang w:val="en-US" w:eastAsia="zh-CN"/>
        </w:rPr>
        <w:t>组织实施随抽任务1448项（联查任务410项）</w:t>
      </w:r>
      <w:r>
        <w:rPr>
          <w:rFonts w:hint="eastAsia" w:ascii="仿宋_GB2312" w:hAnsi="仿宋_GB2312" w:eastAsia="仿宋_GB2312" w:cs="仿宋_GB2312"/>
          <w:color w:val="000000"/>
          <w:spacing w:val="0"/>
          <w:sz w:val="32"/>
          <w:szCs w:val="32"/>
          <w:lang w:eastAsia="zh-CN"/>
        </w:rPr>
        <w:t>，是目前全省唯一实现部门和事项全覆盖的市州。新下派抽查监管任务</w:t>
      </w:r>
      <w:r>
        <w:rPr>
          <w:rFonts w:hint="eastAsia" w:ascii="Times New Roman" w:hAnsi="Times New Roman" w:eastAsia="仿宋_GB2312" w:cs="Times New Roman"/>
          <w:spacing w:val="0"/>
          <w:sz w:val="32"/>
          <w:szCs w:val="32"/>
          <w:lang w:eastAsia="zh-CN"/>
        </w:rPr>
        <w:t>139项，</w:t>
      </w:r>
      <w:r>
        <w:rPr>
          <w:rFonts w:hint="eastAsia" w:ascii="仿宋_GB2312" w:hAnsi="仿宋_GB2312" w:eastAsia="仿宋_GB2312" w:cs="仿宋_GB2312"/>
          <w:color w:val="000000"/>
          <w:spacing w:val="0"/>
          <w:sz w:val="32"/>
          <w:szCs w:val="32"/>
          <w:lang w:eastAsia="zh-CN"/>
        </w:rPr>
        <w:t>有效防止市县重复检查、重</w:t>
      </w:r>
      <w:r>
        <w:rPr>
          <w:rFonts w:hint="eastAsia" w:ascii="仿宋_GB2312" w:hAnsi="仿宋_GB2312" w:eastAsia="仿宋_GB2312" w:cs="仿宋_GB2312"/>
          <w:bCs/>
          <w:color w:val="000000"/>
          <w:spacing w:val="0"/>
          <w:sz w:val="32"/>
          <w:szCs w:val="32"/>
        </w:rPr>
        <w:t>复执法</w:t>
      </w:r>
      <w:r>
        <w:rPr>
          <w:rFonts w:hint="eastAsia" w:ascii="仿宋_GB2312" w:hAnsi="仿宋_GB2312" w:eastAsia="仿宋_GB2312" w:cs="仿宋_GB2312"/>
          <w:spacing w:val="0"/>
          <w:sz w:val="32"/>
          <w:szCs w:val="32"/>
        </w:rPr>
        <w:t>，切实为企业减负。</w:t>
      </w:r>
      <w:r>
        <w:rPr>
          <w:rFonts w:hint="eastAsia" w:ascii="仿宋_GB2312" w:hAnsi="仿宋_GB2312" w:eastAsia="仿宋_GB2312" w:cs="仿宋_GB2312"/>
          <w:color w:val="000000"/>
          <w:spacing w:val="0"/>
          <w:kern w:val="0"/>
          <w:sz w:val="32"/>
          <w:szCs w:val="32"/>
        </w:rPr>
        <w:t>制定柔性执</w:t>
      </w:r>
      <w:r>
        <w:rPr>
          <w:rFonts w:hint="eastAsia" w:ascii="仿宋_GB2312" w:hAnsi="仿宋_GB2312" w:eastAsia="仿宋_GB2312" w:cs="仿宋_GB2312"/>
          <w:spacing w:val="0"/>
          <w:sz w:val="32"/>
          <w:szCs w:val="32"/>
        </w:rPr>
        <w:t>法“四张清单”</w:t>
      </w:r>
      <w:r>
        <w:rPr>
          <w:rFonts w:hint="eastAsia" w:ascii="仿宋_GB2312" w:hAnsi="仿宋_GB2312" w:eastAsia="仿宋_GB2312" w:cs="仿宋_GB2312"/>
          <w:color w:val="000000"/>
          <w:spacing w:val="0"/>
          <w:kern w:val="0"/>
          <w:sz w:val="32"/>
          <w:szCs w:val="32"/>
          <w:lang w:eastAsia="zh-CN"/>
        </w:rPr>
        <w:t>，</w:t>
      </w:r>
      <w:r>
        <w:rPr>
          <w:rFonts w:hint="eastAsia" w:ascii="仿宋_GB2312" w:hAnsi="仿宋_GB2312" w:eastAsia="仿宋_GB2312" w:cs="仿宋_GB2312"/>
          <w:b w:val="0"/>
          <w:spacing w:val="0"/>
          <w:kern w:val="2"/>
          <w:sz w:val="32"/>
          <w:szCs w:val="32"/>
          <w:lang w:val="en-US" w:eastAsia="zh-CN" w:bidi="ar-SA"/>
        </w:rPr>
        <w:t>典型做法被国家总局推介。</w:t>
      </w:r>
    </w:p>
    <w:p>
      <w:pPr>
        <w:keepNext w:val="0"/>
        <w:keepLines w:val="0"/>
        <w:pageBreakBefore w:val="0"/>
        <w:widowControl w:val="0"/>
        <w:pBdr>
          <w:top w:val="none" w:color="000000" w:sz="0" w:space="0"/>
          <w:left w:val="none" w:color="000000" w:sz="0" w:space="0"/>
          <w:bottom w:val="none" w:color="000000" w:sz="0" w:space="21"/>
          <w:right w:val="none" w:color="000000" w:sz="0" w:space="0"/>
        </w:pBdr>
        <w:kinsoku/>
        <w:wordWrap/>
        <w:overflowPunct/>
        <w:autoSpaceDE/>
        <w:autoSpaceDN w:val="0"/>
        <w:bidi w:val="0"/>
        <w:spacing w:line="600" w:lineRule="exact"/>
        <w:ind w:firstLine="640" w:firstLineChars="200"/>
        <w:textAlignment w:val="auto"/>
        <w:rPr>
          <w:b/>
          <w:bCs/>
          <w:szCs w:val="32"/>
        </w:rPr>
      </w:pPr>
      <w:r>
        <w:rPr>
          <w:rFonts w:hint="eastAsia"/>
          <w:b/>
          <w:bCs/>
          <w:szCs w:val="32"/>
        </w:rPr>
        <w:t>三</w:t>
      </w:r>
      <w:r>
        <w:rPr>
          <w:b/>
          <w:bCs/>
          <w:szCs w:val="32"/>
        </w:rPr>
        <w:t>是</w:t>
      </w:r>
      <w:r>
        <w:rPr>
          <w:rFonts w:hint="eastAsia" w:ascii="仿宋_GB2312" w:hAnsi="仿宋_GB2312" w:eastAsia="仿宋_GB2312" w:cs="仿宋_GB2312"/>
          <w:b/>
          <w:bCs/>
          <w:spacing w:val="0"/>
          <w:sz w:val="32"/>
          <w:szCs w:val="32"/>
        </w:rPr>
        <w:t>信用监管效能</w:t>
      </w:r>
      <w:r>
        <w:rPr>
          <w:rFonts w:hint="eastAsia" w:ascii="仿宋_GB2312" w:hAnsi="仿宋_GB2312" w:cs="仿宋_GB2312"/>
          <w:b/>
          <w:bCs/>
          <w:spacing w:val="0"/>
          <w:sz w:val="32"/>
          <w:szCs w:val="32"/>
          <w:lang w:val="en-US" w:eastAsia="zh-CN"/>
        </w:rPr>
        <w:t>不断</w:t>
      </w:r>
      <w:r>
        <w:rPr>
          <w:rFonts w:hint="eastAsia" w:ascii="仿宋_GB2312" w:hAnsi="仿宋_GB2312" w:eastAsia="仿宋_GB2312" w:cs="仿宋_GB2312"/>
          <w:b/>
          <w:bCs/>
          <w:spacing w:val="0"/>
          <w:sz w:val="32"/>
          <w:szCs w:val="32"/>
        </w:rPr>
        <w:t>提升。</w:t>
      </w:r>
      <w:r>
        <w:rPr>
          <w:rFonts w:hint="eastAsia" w:ascii="仿宋_GB2312" w:hAnsi="仿宋_GB2312" w:eastAsia="仿宋_GB2312" w:cs="仿宋_GB2312"/>
          <w:spacing w:val="0"/>
          <w:sz w:val="32"/>
          <w:szCs w:val="32"/>
        </w:rPr>
        <w:t>全市市场主体综合年报率</w:t>
      </w:r>
      <w:r>
        <w:rPr>
          <w:rFonts w:hint="eastAsia" w:ascii="Times New Roman" w:hAnsi="Times New Roman" w:eastAsia="仿宋_GB2312" w:cs="Times New Roman"/>
          <w:spacing w:val="0"/>
          <w:sz w:val="32"/>
          <w:szCs w:val="32"/>
          <w:lang w:val="en-US" w:eastAsia="zh-CN"/>
        </w:rPr>
        <w:t>达92%。强化信用公示，新增公示抽检、行政处罚信息3573条。推进信用修复。指导294家企业修复严重违法失信、处罚公示信息，督促160家</w:t>
      </w:r>
      <w:r>
        <w:rPr>
          <w:rFonts w:hint="eastAsia" w:ascii="仿宋_GB2312" w:hAnsi="仿宋_GB2312" w:eastAsia="仿宋_GB2312" w:cs="仿宋_GB2312"/>
          <w:spacing w:val="0"/>
          <w:sz w:val="32"/>
          <w:szCs w:val="32"/>
        </w:rPr>
        <w:t>“黑名单”企业办理注销登记</w:t>
      </w:r>
      <w:r>
        <w:rPr>
          <w:rFonts w:hint="eastAsia" w:ascii="仿宋_GB2312" w:hAnsi="仿宋_GB2312" w:eastAsia="仿宋_GB2312" w:cs="仿宋_GB2312"/>
          <w:bCs/>
          <w:color w:val="000000"/>
          <w:spacing w:val="0"/>
          <w:sz w:val="32"/>
          <w:szCs w:val="32"/>
        </w:rPr>
        <w:t>，实施守信联合激</w:t>
      </w:r>
      <w:r>
        <w:rPr>
          <w:rFonts w:hint="eastAsia" w:ascii="Times New Roman" w:hAnsi="Times New Roman" w:eastAsia="仿宋_GB2312" w:cs="Times New Roman"/>
          <w:spacing w:val="0"/>
          <w:sz w:val="32"/>
          <w:szCs w:val="32"/>
          <w:lang w:val="en-US" w:eastAsia="zh-CN"/>
        </w:rPr>
        <w:t>励68次、失信联合惩戒132次</w:t>
      </w:r>
      <w:r>
        <w:rPr>
          <w:rFonts w:hint="eastAsia" w:ascii="仿宋_GB2312" w:hAnsi="仿宋_GB2312" w:eastAsia="仿宋_GB2312" w:cs="仿宋_GB2312"/>
          <w:spacing w:val="0"/>
          <w:sz w:val="32"/>
          <w:szCs w:val="32"/>
        </w:rPr>
        <w:t>。</w:t>
      </w:r>
    </w:p>
    <w:p>
      <w:pPr>
        <w:keepNext w:val="0"/>
        <w:keepLines w:val="0"/>
        <w:pageBreakBefore w:val="0"/>
        <w:widowControl w:val="0"/>
        <w:pBdr>
          <w:top w:val="none" w:color="000000" w:sz="0" w:space="0"/>
          <w:left w:val="none" w:color="000000" w:sz="0" w:space="0"/>
          <w:bottom w:val="none" w:color="000000" w:sz="0" w:space="21"/>
          <w:right w:val="none" w:color="000000" w:sz="0" w:space="0"/>
        </w:pBdr>
        <w:kinsoku/>
        <w:wordWrap/>
        <w:overflowPunct/>
        <w:autoSpaceDE/>
        <w:autoSpaceDN w:val="0"/>
        <w:bidi w:val="0"/>
        <w:spacing w:line="600" w:lineRule="exact"/>
        <w:ind w:firstLine="640" w:firstLineChars="200"/>
        <w:textAlignment w:val="auto"/>
        <w:rPr>
          <w:rFonts w:hint="eastAsia"/>
          <w:color w:val="000000"/>
          <w:szCs w:val="32"/>
        </w:rPr>
      </w:pPr>
      <w:r>
        <w:rPr>
          <w:rFonts w:hint="eastAsia" w:ascii="仿宋_GB2312" w:hAnsi="仿宋_GB2312" w:cs="仿宋_GB2312"/>
          <w:b/>
          <w:bCs/>
          <w:szCs w:val="32"/>
        </w:rPr>
        <w:t>四是</w:t>
      </w:r>
      <w:r>
        <w:rPr>
          <w:rFonts w:hint="eastAsia" w:ascii="仿宋_GB2312" w:hAnsi="仿宋_GB2312" w:eastAsia="仿宋_GB2312" w:cs="仿宋_GB2312"/>
          <w:b/>
          <w:bCs/>
          <w:spacing w:val="0"/>
          <w:sz w:val="32"/>
          <w:szCs w:val="32"/>
        </w:rPr>
        <w:t>消费环境持续优化。</w:t>
      </w:r>
      <w:r>
        <w:rPr>
          <w:rFonts w:hint="eastAsia" w:ascii="仿宋_GB2312" w:hAnsi="仿宋_GB2312" w:eastAsia="仿宋_GB2312" w:cs="仿宋_GB2312"/>
          <w:spacing w:val="0"/>
          <w:sz w:val="32"/>
          <w:szCs w:val="32"/>
        </w:rPr>
        <w:t>持续推进</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诚信经营放心消费</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示范创建。在全省率先多领域创建示范单</w:t>
      </w:r>
      <w:r>
        <w:rPr>
          <w:rFonts w:hint="eastAsia" w:ascii="Times New Roman" w:hAnsi="Times New Roman" w:eastAsia="仿宋_GB2312" w:cs="Times New Roman"/>
          <w:spacing w:val="0"/>
          <w:sz w:val="32"/>
          <w:szCs w:val="32"/>
          <w:lang w:val="en-US" w:eastAsia="zh-CN"/>
        </w:rPr>
        <w:t>位2115个、示范商圈10个、集贸市场34个，参与线下无理由退货承诺实体门店327家，发展ODR企业139家。</w:t>
      </w:r>
      <w:r>
        <w:rPr>
          <w:rFonts w:hint="eastAsia" w:ascii="Times New Roman" w:hAnsi="Times New Roman" w:cs="Times New Roman"/>
          <w:spacing w:val="0"/>
          <w:sz w:val="32"/>
          <w:szCs w:val="32"/>
          <w:lang w:val="en-US" w:eastAsia="zh-CN"/>
        </w:rPr>
        <w:t>消费者投诉举报受理时间缩短至1.5个工作日，</w:t>
      </w:r>
      <w:r>
        <w:rPr>
          <w:rFonts w:hint="eastAsia" w:ascii="Times New Roman" w:hAnsi="Times New Roman" w:eastAsia="仿宋_GB2312" w:cs="Times New Roman"/>
          <w:spacing w:val="0"/>
          <w:sz w:val="32"/>
          <w:szCs w:val="32"/>
          <w:lang w:val="en-US" w:eastAsia="zh-CN"/>
        </w:rPr>
        <w:t>查处侵害消费者权益</w:t>
      </w:r>
      <w:r>
        <w:rPr>
          <w:rFonts w:hint="eastAsia" w:ascii="Times New Roman" w:hAnsi="Times New Roman" w:cs="Times New Roman"/>
          <w:spacing w:val="0"/>
          <w:sz w:val="32"/>
          <w:szCs w:val="32"/>
          <w:lang w:val="en-US" w:eastAsia="zh-CN"/>
        </w:rPr>
        <w:t>事</w:t>
      </w:r>
      <w:r>
        <w:rPr>
          <w:rFonts w:hint="eastAsia" w:ascii="Times New Roman" w:hAnsi="Times New Roman" w:eastAsia="仿宋_GB2312" w:cs="Times New Roman"/>
          <w:spacing w:val="0"/>
          <w:sz w:val="32"/>
          <w:szCs w:val="32"/>
          <w:lang w:val="en-US" w:eastAsia="zh-CN"/>
        </w:rPr>
        <w:t>件667件，为消费者挽回经济损失942万余元。</w:t>
      </w:r>
    </w:p>
    <w:p>
      <w:pPr>
        <w:keepNext w:val="0"/>
        <w:keepLines w:val="0"/>
        <w:pageBreakBefore w:val="0"/>
        <w:widowControl w:val="0"/>
        <w:pBdr>
          <w:top w:val="none" w:color="000000" w:sz="0" w:space="0"/>
          <w:left w:val="none" w:color="000000" w:sz="0" w:space="0"/>
          <w:bottom w:val="none" w:color="000000" w:sz="0" w:space="21"/>
          <w:right w:val="none" w:color="000000" w:sz="0" w:space="0"/>
        </w:pBdr>
        <w:kinsoku/>
        <w:wordWrap/>
        <w:overflowPunct/>
        <w:autoSpaceDE/>
        <w:autoSpaceDN w:val="0"/>
        <w:bidi w:val="0"/>
        <w:spacing w:line="600" w:lineRule="exact"/>
        <w:ind w:firstLine="640" w:firstLineChars="200"/>
        <w:textAlignment w:val="auto"/>
        <w:rPr>
          <w:rStyle w:val="14"/>
          <w:rFonts w:hint="default" w:ascii="仿宋_GB2312" w:hAnsi="仿宋_GB2312" w:cs="仿宋_GB2312"/>
          <w:b/>
          <w:szCs w:val="32"/>
          <w:lang w:val="en-US"/>
        </w:rPr>
      </w:pPr>
      <w:r>
        <w:rPr>
          <w:rStyle w:val="14"/>
          <w:rFonts w:hint="eastAsia" w:ascii="仿宋_GB2312" w:hAnsi="仿宋_GB2312" w:cs="仿宋_GB2312"/>
          <w:b/>
          <w:szCs w:val="32"/>
          <w:lang w:val="en-US" w:eastAsia="zh-CN"/>
        </w:rPr>
        <w:t>五</w:t>
      </w:r>
      <w:r>
        <w:rPr>
          <w:rStyle w:val="14"/>
          <w:rFonts w:hint="eastAsia" w:ascii="仿宋_GB2312" w:hAnsi="仿宋_GB2312" w:cs="仿宋_GB2312"/>
          <w:b/>
          <w:szCs w:val="32"/>
        </w:rPr>
        <w:t>是</w:t>
      </w:r>
      <w:r>
        <w:rPr>
          <w:rFonts w:hint="eastAsia" w:ascii="仿宋_GB2312" w:hAnsi="仿宋_GB2312" w:eastAsia="仿宋_GB2312" w:cs="仿宋_GB2312"/>
          <w:b/>
          <w:bCs/>
          <w:spacing w:val="0"/>
          <w:sz w:val="32"/>
          <w:szCs w:val="32"/>
        </w:rPr>
        <w:t>市场秩序监管有力。</w:t>
      </w:r>
      <w:r>
        <w:rPr>
          <w:rFonts w:hint="eastAsia" w:ascii="仿宋_GB2312" w:hAnsi="仿宋_GB2312" w:eastAsia="仿宋_GB2312" w:cs="仿宋_GB2312"/>
          <w:spacing w:val="0"/>
          <w:sz w:val="32"/>
          <w:szCs w:val="32"/>
        </w:rPr>
        <w:t>开展涉企收费、水电气等领域价费专项检查</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办结价格违法案件</w:t>
      </w:r>
      <w:r>
        <w:rPr>
          <w:rFonts w:hint="eastAsia" w:ascii="Times New Roman" w:hAnsi="Times New Roman" w:cs="Times New Roman"/>
          <w:spacing w:val="0"/>
          <w:sz w:val="32"/>
          <w:szCs w:val="32"/>
          <w:lang w:val="en-US" w:eastAsia="zh-CN"/>
        </w:rPr>
        <w:t>3</w:t>
      </w:r>
      <w:r>
        <w:rPr>
          <w:rFonts w:hint="eastAsia" w:ascii="Times New Roman" w:hAnsi="Times New Roman" w:eastAsia="仿宋_GB2312" w:cs="Times New Roman"/>
          <w:spacing w:val="0"/>
          <w:sz w:val="32"/>
          <w:szCs w:val="32"/>
          <w:lang w:val="en-US" w:eastAsia="zh-CN"/>
        </w:rPr>
        <w:t>件</w:t>
      </w:r>
      <w:r>
        <w:rPr>
          <w:rFonts w:hint="eastAsia" w:ascii="仿宋_GB2312" w:hAnsi="仿宋_GB2312" w:eastAsia="仿宋_GB2312" w:cs="仿宋_GB2312"/>
          <w:spacing w:val="0"/>
          <w:sz w:val="32"/>
          <w:szCs w:val="32"/>
        </w:rPr>
        <w:t>，</w:t>
      </w:r>
      <w:r>
        <w:rPr>
          <w:rFonts w:hint="eastAsia" w:ascii="仿宋_GB2312" w:hAnsi="仿宋_GB2312" w:eastAsia="仿宋_GB2312" w:cs="仿宋_GB2312"/>
          <w:spacing w:val="0"/>
          <w:sz w:val="32"/>
          <w:szCs w:val="32"/>
          <w:lang w:eastAsia="zh-CN"/>
        </w:rPr>
        <w:t>责令</w:t>
      </w:r>
      <w:r>
        <w:rPr>
          <w:rFonts w:hint="eastAsia" w:ascii="仿宋_GB2312" w:hAnsi="仿宋_GB2312" w:eastAsia="仿宋_GB2312" w:cs="仿宋_GB2312"/>
          <w:spacing w:val="0"/>
          <w:sz w:val="32"/>
          <w:szCs w:val="32"/>
        </w:rPr>
        <w:t>退还</w:t>
      </w:r>
      <w:r>
        <w:rPr>
          <w:rFonts w:hint="eastAsia" w:ascii="仿宋_GB2312" w:hAnsi="仿宋_GB2312" w:eastAsia="仿宋_GB2312" w:cs="仿宋_GB2312"/>
          <w:spacing w:val="0"/>
          <w:sz w:val="32"/>
          <w:szCs w:val="32"/>
          <w:lang w:eastAsia="zh-CN"/>
        </w:rPr>
        <w:t>价</w:t>
      </w:r>
      <w:r>
        <w:rPr>
          <w:rFonts w:hint="eastAsia" w:ascii="Times New Roman" w:hAnsi="Times New Roman" w:eastAsia="仿宋_GB2312" w:cs="Times New Roman"/>
          <w:spacing w:val="0"/>
          <w:sz w:val="32"/>
          <w:szCs w:val="32"/>
          <w:lang w:val="en-US" w:eastAsia="zh-CN"/>
        </w:rPr>
        <w:t>费165万</w:t>
      </w:r>
      <w:r>
        <w:rPr>
          <w:rFonts w:hint="eastAsia" w:ascii="仿宋_GB2312" w:hAnsi="仿宋_GB2312" w:eastAsia="仿宋_GB2312" w:cs="仿宋_GB2312"/>
          <w:spacing w:val="0"/>
          <w:sz w:val="32"/>
          <w:szCs w:val="32"/>
        </w:rPr>
        <w:t>元。</w:t>
      </w:r>
      <w:r>
        <w:rPr>
          <w:rFonts w:hint="default" w:ascii="Times New Roman" w:hAnsi="Times New Roman" w:eastAsia="仿宋_GB2312" w:cs="Times New Roman"/>
          <w:sz w:val="32"/>
          <w:szCs w:val="32"/>
          <w:lang w:val="en-US" w:eastAsia="zh-CN"/>
        </w:rPr>
        <w:t>通过公平竞争审查，撤销了2起限定体检单位选择区域的文件2份。</w:t>
      </w:r>
      <w:r>
        <w:rPr>
          <w:rFonts w:hint="eastAsia" w:ascii="仿宋_GB2312" w:hAnsi="仿宋_GB2312" w:eastAsia="仿宋_GB2312" w:cs="仿宋_GB2312"/>
          <w:spacing w:val="0"/>
          <w:sz w:val="32"/>
          <w:szCs w:val="32"/>
          <w:lang w:eastAsia="zh-CN"/>
        </w:rPr>
        <w:t>开展</w:t>
      </w:r>
      <w:r>
        <w:rPr>
          <w:rFonts w:hint="eastAsia" w:ascii="仿宋_GB2312" w:hAnsi="仿宋_GB2312" w:eastAsia="仿宋_GB2312" w:cs="仿宋_GB2312"/>
          <w:spacing w:val="0"/>
          <w:sz w:val="32"/>
          <w:szCs w:val="32"/>
        </w:rPr>
        <w:t>电商经营主体违法经营行为专项监测，</w:t>
      </w:r>
      <w:r>
        <w:rPr>
          <w:rFonts w:hint="eastAsia" w:ascii="仿宋_GB2312" w:hAnsi="仿宋_GB2312" w:eastAsia="仿宋_GB2312" w:cs="仿宋_GB2312"/>
          <w:spacing w:val="0"/>
          <w:sz w:val="32"/>
          <w:szCs w:val="32"/>
          <w:lang w:eastAsia="zh-CN"/>
        </w:rPr>
        <w:t>发</w:t>
      </w:r>
      <w:r>
        <w:rPr>
          <w:rFonts w:hint="eastAsia" w:ascii="Times New Roman" w:hAnsi="Times New Roman" w:eastAsia="仿宋_GB2312" w:cs="Times New Roman"/>
          <w:spacing w:val="0"/>
          <w:sz w:val="32"/>
          <w:szCs w:val="32"/>
          <w:lang w:val="en-US" w:eastAsia="zh-CN"/>
        </w:rPr>
        <w:t>现违法线索124条。联合公安捣毁传销窝点15个，查办网络传销案件8起。加强广告监管，责令撤除槟榔广告5000余块，查处违法广告案件63件。</w:t>
      </w:r>
    </w:p>
    <w:p>
      <w:pPr>
        <w:keepNext w:val="0"/>
        <w:keepLines w:val="0"/>
        <w:pageBreakBefore w:val="0"/>
        <w:widowControl w:val="0"/>
        <w:pBdr>
          <w:top w:val="none" w:color="000000" w:sz="0" w:space="0"/>
          <w:left w:val="none" w:color="000000" w:sz="0" w:space="0"/>
          <w:bottom w:val="none" w:color="000000" w:sz="0" w:space="21"/>
          <w:right w:val="none" w:color="000000" w:sz="0" w:space="0"/>
        </w:pBdr>
        <w:kinsoku/>
        <w:wordWrap/>
        <w:overflowPunct/>
        <w:autoSpaceDE/>
        <w:autoSpaceDN w:val="0"/>
        <w:bidi w:val="0"/>
        <w:spacing w:line="600" w:lineRule="exact"/>
        <w:ind w:firstLine="640" w:firstLineChars="200"/>
        <w:textAlignment w:val="auto"/>
        <w:rPr>
          <w:rFonts w:hint="eastAsia"/>
        </w:rPr>
      </w:pPr>
      <w:r>
        <w:rPr>
          <w:rStyle w:val="14"/>
          <w:rFonts w:hint="eastAsia" w:ascii="仿宋_GB2312" w:hAnsi="仿宋_GB2312" w:cs="仿宋_GB2312"/>
          <w:b/>
          <w:szCs w:val="32"/>
          <w:lang w:val="en-US" w:eastAsia="zh-CN"/>
        </w:rPr>
        <w:t>六</w:t>
      </w:r>
      <w:r>
        <w:rPr>
          <w:rStyle w:val="14"/>
          <w:rFonts w:hint="eastAsia" w:ascii="仿宋_GB2312" w:hAnsi="仿宋_GB2312" w:cs="仿宋_GB2312"/>
          <w:b/>
          <w:szCs w:val="32"/>
        </w:rPr>
        <w:t>是</w:t>
      </w:r>
      <w:r>
        <w:rPr>
          <w:rFonts w:hint="eastAsia" w:ascii="仿宋_GB2312" w:hAnsi="仿宋_GB2312" w:eastAsia="仿宋_GB2312" w:cs="仿宋_GB2312"/>
          <w:b/>
          <w:bCs/>
          <w:spacing w:val="0"/>
          <w:sz w:val="32"/>
          <w:szCs w:val="32"/>
        </w:rPr>
        <w:t>综合执法纵深推进。</w:t>
      </w:r>
      <w:r>
        <w:rPr>
          <w:rFonts w:hint="eastAsia" w:ascii="仿宋_GB2312" w:hAnsi="仿宋_GB2312" w:eastAsia="仿宋_GB2312" w:cs="仿宋_GB2312"/>
          <w:spacing w:val="0"/>
          <w:sz w:val="32"/>
          <w:szCs w:val="32"/>
        </w:rPr>
        <w:t>深入开展“铁拳</w:t>
      </w:r>
      <w:r>
        <w:rPr>
          <w:rFonts w:hint="eastAsia" w:ascii="仿宋_GB2312" w:hAnsi="仿宋_GB2312" w:eastAsia="仿宋_GB2312" w:cs="仿宋_GB2312"/>
          <w:spacing w:val="0"/>
          <w:sz w:val="32"/>
          <w:szCs w:val="32"/>
          <w:lang w:eastAsia="zh-CN"/>
        </w:rPr>
        <w:t>行动</w:t>
      </w:r>
      <w:r>
        <w:rPr>
          <w:rFonts w:hint="eastAsia" w:ascii="仿宋_GB2312" w:hAnsi="仿宋_GB2312" w:eastAsia="仿宋_GB2312" w:cs="仿宋_GB2312"/>
          <w:spacing w:val="0"/>
          <w:sz w:val="32"/>
          <w:szCs w:val="32"/>
        </w:rPr>
        <w:t>”“年关守护”等综合执法行动，</w:t>
      </w:r>
      <w:r>
        <w:rPr>
          <w:rFonts w:hint="eastAsia" w:ascii="仿宋_GB2312" w:hAnsi="仿宋_GB2312" w:cs="仿宋_GB2312"/>
          <w:spacing w:val="0"/>
          <w:sz w:val="32"/>
          <w:szCs w:val="32"/>
          <w:lang w:val="en-US" w:eastAsia="zh-CN"/>
        </w:rPr>
        <w:t>市局全年共</w:t>
      </w:r>
      <w:r>
        <w:rPr>
          <w:rFonts w:hint="eastAsia" w:ascii="仿宋_GB2312" w:hAnsi="仿宋_GB2312" w:eastAsia="仿宋_GB2312" w:cs="仿宋_GB2312"/>
          <w:spacing w:val="0"/>
          <w:sz w:val="32"/>
          <w:szCs w:val="32"/>
        </w:rPr>
        <w:t>立</w:t>
      </w:r>
      <w:r>
        <w:rPr>
          <w:rFonts w:hint="eastAsia" w:ascii="Times New Roman" w:hAnsi="Times New Roman" w:eastAsia="仿宋_GB2312" w:cs="Times New Roman"/>
          <w:spacing w:val="0"/>
          <w:sz w:val="32"/>
          <w:szCs w:val="32"/>
          <w:lang w:val="en-US" w:eastAsia="zh-CN"/>
        </w:rPr>
        <w:t>案</w:t>
      </w:r>
      <w:r>
        <w:rPr>
          <w:rFonts w:hint="eastAsia" w:ascii="Times New Roman" w:hAnsi="Times New Roman" w:cs="Times New Roman"/>
          <w:spacing w:val="0"/>
          <w:sz w:val="32"/>
          <w:szCs w:val="32"/>
          <w:lang w:val="en-US" w:eastAsia="zh-CN"/>
        </w:rPr>
        <w:t>62</w:t>
      </w:r>
      <w:r>
        <w:rPr>
          <w:rFonts w:hint="eastAsia" w:ascii="Times New Roman" w:hAnsi="Times New Roman" w:eastAsia="仿宋_GB2312" w:cs="Times New Roman"/>
          <w:spacing w:val="0"/>
          <w:sz w:val="32"/>
          <w:szCs w:val="32"/>
          <w:lang w:val="en-US" w:eastAsia="zh-CN"/>
        </w:rPr>
        <w:t>件，罚没款</w:t>
      </w:r>
      <w:r>
        <w:rPr>
          <w:rFonts w:hint="eastAsia" w:ascii="Times New Roman" w:hAnsi="Times New Roman" w:cs="Times New Roman"/>
          <w:spacing w:val="0"/>
          <w:sz w:val="32"/>
          <w:szCs w:val="32"/>
          <w:lang w:val="en-US" w:eastAsia="zh-CN"/>
        </w:rPr>
        <w:t>1520.68</w:t>
      </w:r>
      <w:r>
        <w:rPr>
          <w:rFonts w:hint="eastAsia" w:ascii="Times New Roman" w:hAnsi="Times New Roman" w:eastAsia="仿宋_GB2312" w:cs="Times New Roman"/>
          <w:spacing w:val="0"/>
          <w:sz w:val="32"/>
          <w:szCs w:val="32"/>
          <w:lang w:val="en-US" w:eastAsia="zh-CN"/>
        </w:rPr>
        <w:t>万元，移送公安部门案件</w:t>
      </w:r>
      <w:r>
        <w:rPr>
          <w:rFonts w:hint="eastAsia" w:ascii="Times New Roman" w:hAnsi="Times New Roman" w:cs="Times New Roman"/>
          <w:spacing w:val="0"/>
          <w:sz w:val="32"/>
          <w:szCs w:val="32"/>
          <w:lang w:val="en-US" w:eastAsia="zh-CN"/>
        </w:rPr>
        <w:t>9</w:t>
      </w:r>
      <w:r>
        <w:rPr>
          <w:rFonts w:hint="eastAsia" w:ascii="Times New Roman" w:hAnsi="Times New Roman" w:eastAsia="仿宋_GB2312" w:cs="Times New Roman"/>
          <w:spacing w:val="0"/>
          <w:sz w:val="32"/>
          <w:szCs w:val="32"/>
          <w:lang w:val="en-US" w:eastAsia="zh-CN"/>
        </w:rPr>
        <w:t>件，入选总局、省局典型案例</w:t>
      </w:r>
      <w:r>
        <w:rPr>
          <w:rFonts w:hint="eastAsia" w:ascii="Times New Roman" w:hAnsi="Times New Roman" w:cs="Times New Roman"/>
          <w:spacing w:val="0"/>
          <w:sz w:val="32"/>
          <w:szCs w:val="32"/>
          <w:lang w:val="en-US" w:eastAsia="zh-CN"/>
        </w:rPr>
        <w:t>6</w:t>
      </w:r>
      <w:r>
        <w:rPr>
          <w:rFonts w:hint="eastAsia" w:ascii="仿宋_GB2312" w:hAnsi="仿宋_GB2312" w:eastAsia="仿宋_GB2312" w:cs="仿宋_GB2312"/>
          <w:spacing w:val="0"/>
          <w:sz w:val="32"/>
          <w:szCs w:val="32"/>
        </w:rPr>
        <w:t>件。对</w:t>
      </w:r>
      <w:r>
        <w:rPr>
          <w:rFonts w:hint="eastAsia" w:ascii="仿宋_GB2312" w:hAnsi="仿宋_GB2312" w:eastAsia="仿宋_GB2312" w:cs="仿宋_GB2312"/>
          <w:spacing w:val="0"/>
          <w:sz w:val="32"/>
          <w:szCs w:val="32"/>
          <w:lang w:eastAsia="zh-CN"/>
        </w:rPr>
        <w:t>市县两级</w:t>
      </w:r>
      <w:r>
        <w:rPr>
          <w:rFonts w:hint="eastAsia" w:ascii="Times New Roman" w:hAnsi="Times New Roman" w:eastAsia="仿宋_GB2312" w:cs="Times New Roman"/>
          <w:spacing w:val="0"/>
          <w:sz w:val="32"/>
          <w:szCs w:val="32"/>
          <w:lang w:val="en-US" w:eastAsia="zh-CN"/>
        </w:rPr>
        <w:t>18个政府部门开展公平竞争审查第三方评估。开展歧视性和不公平市场待遇政策措施清理，梳理政策措施746件，修改废止5件。组织开展反垄断和反不正当竞争专项行动，查处不正当竞争案件</w:t>
      </w:r>
      <w:r>
        <w:rPr>
          <w:rFonts w:hint="eastAsia" w:ascii="Times New Roman" w:hAnsi="Times New Roman" w:cs="Times New Roman"/>
          <w:spacing w:val="0"/>
          <w:sz w:val="32"/>
          <w:szCs w:val="32"/>
          <w:lang w:val="en-US" w:eastAsia="zh-CN"/>
        </w:rPr>
        <w:t>2</w:t>
      </w:r>
      <w:r>
        <w:rPr>
          <w:rFonts w:hint="eastAsia" w:ascii="Times New Roman" w:hAnsi="Times New Roman" w:eastAsia="仿宋_GB2312" w:cs="Times New Roman"/>
          <w:spacing w:val="0"/>
          <w:sz w:val="32"/>
          <w:szCs w:val="32"/>
          <w:lang w:val="en-US" w:eastAsia="zh-CN"/>
        </w:rPr>
        <w:t>件</w:t>
      </w:r>
      <w:r>
        <w:rPr>
          <w:rFonts w:hint="eastAsia" w:ascii="仿宋_GB2312" w:hAnsi="仿宋_GB2312" w:eastAsia="仿宋_GB2312" w:cs="仿宋_GB2312"/>
          <w:spacing w:val="0"/>
          <w:sz w:val="32"/>
          <w:szCs w:val="32"/>
        </w:rPr>
        <w:t>。</w:t>
      </w:r>
      <w:r>
        <w:rPr>
          <w:rFonts w:hint="eastAsia" w:ascii="仿宋_GB2312" w:hAnsi="仿宋_GB2312" w:eastAsia="仿宋_GB2312" w:cs="仿宋_GB2312"/>
          <w:b w:val="0"/>
          <w:bCs w:val="0"/>
          <w:spacing w:val="0"/>
          <w:sz w:val="32"/>
          <w:szCs w:val="32"/>
          <w:lang w:eastAsia="zh-CN"/>
        </w:rPr>
        <w:t>公平</w:t>
      </w:r>
      <w:r>
        <w:rPr>
          <w:rFonts w:hint="eastAsia" w:ascii="仿宋_GB2312" w:hAnsi="仿宋_GB2312" w:eastAsia="仿宋_GB2312" w:cs="仿宋_GB2312"/>
          <w:b w:val="0"/>
          <w:bCs w:val="0"/>
          <w:spacing w:val="0"/>
          <w:sz w:val="32"/>
          <w:szCs w:val="32"/>
        </w:rPr>
        <w:t>竞争</w:t>
      </w:r>
      <w:r>
        <w:rPr>
          <w:rFonts w:hint="eastAsia" w:ascii="仿宋_GB2312" w:hAnsi="仿宋_GB2312" w:cs="仿宋_GB2312"/>
          <w:b w:val="0"/>
          <w:bCs w:val="0"/>
          <w:spacing w:val="0"/>
          <w:sz w:val="32"/>
          <w:szCs w:val="32"/>
          <w:lang w:val="en-US" w:eastAsia="zh-CN"/>
        </w:rPr>
        <w:t>得到</w:t>
      </w:r>
      <w:r>
        <w:rPr>
          <w:rFonts w:hint="eastAsia" w:ascii="仿宋_GB2312" w:hAnsi="仿宋_GB2312" w:eastAsia="仿宋_GB2312" w:cs="仿宋_GB2312"/>
          <w:b w:val="0"/>
          <w:bCs w:val="0"/>
          <w:spacing w:val="0"/>
          <w:sz w:val="32"/>
          <w:szCs w:val="32"/>
        </w:rPr>
        <w:t>有效加强</w:t>
      </w:r>
      <w:r>
        <w:rPr>
          <w:rFonts w:hint="eastAsia" w:ascii="仿宋_GB2312" w:hAnsi="仿宋_GB2312" w:eastAsia="仿宋_GB2312" w:cs="仿宋_GB2312"/>
          <w:b/>
          <w:bCs/>
          <w:spacing w:val="0"/>
          <w:sz w:val="32"/>
          <w:szCs w:val="32"/>
        </w:rPr>
        <w:t>。</w:t>
      </w:r>
    </w:p>
    <w:p>
      <w:pPr>
        <w:keepNext w:val="0"/>
        <w:keepLines w:val="0"/>
        <w:pageBreakBefore w:val="0"/>
        <w:widowControl w:val="0"/>
        <w:pBdr>
          <w:top w:val="none" w:color="000000" w:sz="0" w:space="0"/>
          <w:left w:val="none" w:color="000000" w:sz="0" w:space="0"/>
          <w:bottom w:val="none" w:color="000000" w:sz="0" w:space="21"/>
          <w:right w:val="none" w:color="000000" w:sz="0" w:space="0"/>
        </w:pBdr>
        <w:kinsoku/>
        <w:wordWrap/>
        <w:overflowPunct/>
        <w:autoSpaceDE/>
        <w:autoSpaceDN w:val="0"/>
        <w:bidi w:val="0"/>
        <w:spacing w:line="600" w:lineRule="exact"/>
        <w:ind w:firstLine="640" w:firstLineChars="200"/>
        <w:textAlignment w:val="auto"/>
        <w:rPr>
          <w:rFonts w:hint="eastAsia" w:ascii="Times New Roman" w:hAnsi="Times New Roman" w:eastAsia="仿宋_GB2312" w:cs="Times New Roman"/>
          <w:b w:val="0"/>
          <w:bCs w:val="0"/>
          <w:i w:val="0"/>
          <w:caps w:val="0"/>
          <w:color w:val="000000"/>
          <w:spacing w:val="0"/>
          <w:w w:val="100"/>
          <w:kern w:val="0"/>
          <w:sz w:val="32"/>
          <w:szCs w:val="32"/>
          <w:lang w:val="en-US" w:eastAsia="zh-CN" w:bidi="ar"/>
        </w:rPr>
      </w:pPr>
      <w:r>
        <w:rPr>
          <w:rFonts w:hint="eastAsia" w:ascii="仿宋_GB2312" w:hAnsi="仿宋_GB2312" w:cs="仿宋_GB2312"/>
          <w:b/>
          <w:bCs/>
          <w:spacing w:val="0"/>
          <w:sz w:val="32"/>
          <w:szCs w:val="32"/>
          <w:lang w:val="en-US" w:eastAsia="zh-CN"/>
        </w:rPr>
        <w:t>七是加强法制建设，创新法制宣传。</w:t>
      </w:r>
      <w:r>
        <w:rPr>
          <w:rFonts w:ascii="Times New Roman" w:hAnsi="仿宋_GB2312" w:eastAsia="仿宋_GB2312" w:cs="Times New Roman"/>
          <w:sz w:val="32"/>
          <w:szCs w:val="32"/>
        </w:rPr>
        <w:t>修订了市局规范性文件管理制度，将党内规范性文件纳入制度管理序列；开展规范性文件清理，推动部门规范性文件立改废</w:t>
      </w:r>
      <w:r>
        <w:rPr>
          <w:rFonts w:hint="eastAsia" w:ascii="Times New Roman" w:hAnsi="仿宋_GB2312" w:cs="Times New Roman"/>
          <w:sz w:val="32"/>
          <w:szCs w:val="32"/>
          <w:lang w:eastAsia="zh-CN"/>
        </w:rPr>
        <w:t>。</w:t>
      </w:r>
      <w:r>
        <w:rPr>
          <w:rFonts w:hint="eastAsia" w:ascii="仿宋_GB2312" w:hAnsi="仿宋_GB2312" w:eastAsia="仿宋_GB2312" w:cs="仿宋_GB2312"/>
          <w:b w:val="0"/>
          <w:i w:val="0"/>
          <w:caps w:val="0"/>
          <w:spacing w:val="0"/>
          <w:w w:val="100"/>
          <w:sz w:val="32"/>
          <w:szCs w:val="32"/>
          <w:lang w:val="en-US" w:eastAsia="zh-CN"/>
        </w:rPr>
        <w:t>充分利用主流媒体及电梯应急处置公共服务平台等新媒体，建设法治文化宣传栏，拍摄部门普法宣传片</w:t>
      </w:r>
      <w:r>
        <w:rPr>
          <w:rFonts w:hint="default" w:ascii="仿宋_GB2312" w:hAnsi="仿宋_GB2312" w:eastAsia="仿宋_GB2312" w:cs="仿宋_GB2312"/>
          <w:b w:val="0"/>
          <w:i w:val="0"/>
          <w:caps w:val="0"/>
          <w:spacing w:val="0"/>
          <w:w w:val="100"/>
          <w:sz w:val="32"/>
          <w:szCs w:val="32"/>
          <w:lang w:val="en-US" w:eastAsia="zh-CN"/>
        </w:rPr>
        <w:t>。</w:t>
      </w:r>
      <w:r>
        <w:rPr>
          <w:rFonts w:hint="eastAsia" w:ascii="Times New Roman" w:hAnsi="Times New Roman" w:eastAsia="仿宋_GB2312" w:cs="Times New Roman"/>
          <w:b w:val="0"/>
          <w:bCs w:val="0"/>
          <w:i w:val="0"/>
          <w:caps w:val="0"/>
          <w:color w:val="000000"/>
          <w:spacing w:val="0"/>
          <w:w w:val="100"/>
          <w:kern w:val="0"/>
          <w:sz w:val="32"/>
          <w:szCs w:val="32"/>
          <w:lang w:val="en-US" w:eastAsia="zh-CN" w:bidi="ar"/>
        </w:rPr>
        <w:t>组织开展“送法下乡”活动2次，在宪法颁布40周年之际制定宪法宣传周方案，</w:t>
      </w:r>
      <w:r>
        <w:rPr>
          <w:rFonts w:hint="eastAsia" w:ascii="Times New Roman" w:hAnsi="Times New Roman" w:cs="Times New Roman"/>
          <w:b w:val="0"/>
          <w:bCs w:val="0"/>
          <w:i w:val="0"/>
          <w:caps w:val="0"/>
          <w:color w:val="000000"/>
          <w:spacing w:val="0"/>
          <w:w w:val="100"/>
          <w:kern w:val="0"/>
          <w:sz w:val="32"/>
          <w:szCs w:val="32"/>
          <w:lang w:val="en-US" w:eastAsia="zh-CN" w:bidi="ar"/>
        </w:rPr>
        <w:t>营造了良好的普法</w:t>
      </w:r>
      <w:r>
        <w:rPr>
          <w:rFonts w:hint="eastAsia" w:ascii="Times New Roman" w:hAnsi="Times New Roman" w:eastAsia="仿宋_GB2312" w:cs="Times New Roman"/>
          <w:b w:val="0"/>
          <w:bCs w:val="0"/>
          <w:i w:val="0"/>
          <w:caps w:val="0"/>
          <w:color w:val="000000"/>
          <w:spacing w:val="0"/>
          <w:w w:val="100"/>
          <w:kern w:val="0"/>
          <w:sz w:val="32"/>
          <w:szCs w:val="32"/>
          <w:lang w:val="en-US" w:eastAsia="zh-CN" w:bidi="ar"/>
        </w:rPr>
        <w:t>宣传氛围</w:t>
      </w:r>
      <w:r>
        <w:rPr>
          <w:rFonts w:hint="eastAsia" w:ascii="Times New Roman" w:hAnsi="Times New Roman" w:cs="Times New Roman"/>
          <w:b w:val="0"/>
          <w:bCs w:val="0"/>
          <w:i w:val="0"/>
          <w:caps w:val="0"/>
          <w:color w:val="000000"/>
          <w:spacing w:val="0"/>
          <w:w w:val="100"/>
          <w:kern w:val="0"/>
          <w:sz w:val="32"/>
          <w:szCs w:val="32"/>
          <w:lang w:val="en-US" w:eastAsia="zh-CN" w:bidi="ar"/>
        </w:rPr>
        <w:t>，提升了广大群众的</w:t>
      </w:r>
      <w:r>
        <w:rPr>
          <w:rFonts w:hint="eastAsia" w:ascii="Times New Roman" w:hAnsi="Times New Roman" w:eastAsia="仿宋_GB2312" w:cs="Times New Roman"/>
          <w:b w:val="0"/>
          <w:bCs w:val="0"/>
          <w:i w:val="0"/>
          <w:caps w:val="0"/>
          <w:color w:val="000000"/>
          <w:spacing w:val="0"/>
          <w:w w:val="100"/>
          <w:kern w:val="0"/>
          <w:sz w:val="32"/>
          <w:szCs w:val="32"/>
          <w:lang w:val="en-US" w:eastAsia="zh-CN" w:bidi="ar"/>
        </w:rPr>
        <w:t>普法</w:t>
      </w:r>
      <w:r>
        <w:rPr>
          <w:rFonts w:hint="eastAsia" w:ascii="Times New Roman" w:hAnsi="Times New Roman" w:cs="Times New Roman"/>
          <w:b w:val="0"/>
          <w:bCs w:val="0"/>
          <w:i w:val="0"/>
          <w:caps w:val="0"/>
          <w:color w:val="000000"/>
          <w:spacing w:val="0"/>
          <w:w w:val="100"/>
          <w:kern w:val="0"/>
          <w:sz w:val="32"/>
          <w:szCs w:val="32"/>
          <w:lang w:val="en-US" w:eastAsia="zh-CN" w:bidi="ar"/>
        </w:rPr>
        <w:t>意识</w:t>
      </w:r>
      <w:r>
        <w:rPr>
          <w:rFonts w:hint="eastAsia" w:ascii="Times New Roman" w:hAnsi="Times New Roman" w:eastAsia="仿宋_GB2312" w:cs="Times New Roman"/>
          <w:b w:val="0"/>
          <w:bCs w:val="0"/>
          <w:i w:val="0"/>
          <w:caps w:val="0"/>
          <w:color w:val="000000"/>
          <w:spacing w:val="0"/>
          <w:w w:val="100"/>
          <w:kern w:val="0"/>
          <w:sz w:val="32"/>
          <w:szCs w:val="32"/>
          <w:lang w:val="en-US" w:eastAsia="zh-CN" w:bidi="ar"/>
        </w:rPr>
        <w:t>。</w:t>
      </w:r>
    </w:p>
    <w:p>
      <w:pPr>
        <w:keepNext w:val="0"/>
        <w:keepLines w:val="0"/>
        <w:pageBreakBefore w:val="0"/>
        <w:widowControl w:val="0"/>
        <w:pBdr>
          <w:top w:val="none" w:color="000000" w:sz="0" w:space="0"/>
          <w:left w:val="none" w:color="000000" w:sz="0" w:space="0"/>
          <w:bottom w:val="none" w:color="000000" w:sz="0" w:space="21"/>
          <w:right w:val="none" w:color="000000" w:sz="0" w:space="0"/>
        </w:pBdr>
        <w:kinsoku/>
        <w:wordWrap/>
        <w:overflowPunct/>
        <w:autoSpaceDE/>
        <w:autoSpaceDN w:val="0"/>
        <w:bidi w:val="0"/>
        <w:spacing w:line="600" w:lineRule="exact"/>
        <w:ind w:firstLine="640" w:firstLineChars="200"/>
        <w:textAlignment w:val="auto"/>
        <w:rPr>
          <w:rFonts w:hint="default" w:ascii="Times New Roman" w:hAnsi="Times New Roman" w:eastAsia="仿宋_GB2312" w:cs="Times New Roman"/>
          <w:kern w:val="0"/>
          <w:sz w:val="32"/>
          <w:szCs w:val="32"/>
          <w:lang w:val="en-US" w:eastAsia="zh-CN" w:bidi="ar-SA"/>
        </w:rPr>
      </w:pPr>
      <w:r>
        <w:rPr>
          <w:rFonts w:hint="eastAsia" w:ascii="仿宋" w:hAnsi="仿宋" w:eastAsia="仿宋"/>
          <w:b/>
          <w:bCs w:val="0"/>
          <w:color w:val="000000"/>
          <w:kern w:val="0"/>
          <w:sz w:val="32"/>
          <w:szCs w:val="32"/>
          <w:shd w:val="clear" w:color="auto" w:fill="FFFFFF"/>
          <w:lang w:val="en-US" w:eastAsia="zh-CN" w:bidi="ar"/>
        </w:rPr>
        <w:t>八是</w:t>
      </w:r>
      <w:r>
        <w:rPr>
          <w:rFonts w:ascii="仿宋" w:hAnsi="仿宋" w:eastAsia="仿宋"/>
          <w:b/>
          <w:bCs w:val="0"/>
          <w:color w:val="000000"/>
          <w:kern w:val="0"/>
          <w:sz w:val="32"/>
          <w:szCs w:val="32"/>
          <w:shd w:val="clear" w:color="auto" w:fill="FFFFFF"/>
          <w:lang w:bidi="ar"/>
        </w:rPr>
        <w:t>认真履行广告监管职责</w:t>
      </w:r>
      <w:r>
        <w:rPr>
          <w:rFonts w:hint="eastAsia" w:ascii="仿宋" w:hAnsi="仿宋" w:eastAsia="仿宋"/>
          <w:b/>
          <w:bCs w:val="0"/>
          <w:color w:val="000000"/>
          <w:kern w:val="0"/>
          <w:sz w:val="32"/>
          <w:szCs w:val="32"/>
          <w:shd w:val="clear" w:color="auto" w:fill="FFFFFF"/>
          <w:lang w:eastAsia="zh-CN" w:bidi="ar"/>
        </w:rPr>
        <w:t>，</w:t>
      </w:r>
      <w:r>
        <w:rPr>
          <w:rFonts w:ascii="仿宋" w:hAnsi="仿宋" w:eastAsia="仿宋"/>
          <w:b/>
          <w:bCs w:val="0"/>
          <w:color w:val="000000"/>
          <w:kern w:val="0"/>
          <w:sz w:val="32"/>
          <w:szCs w:val="32"/>
          <w:shd w:val="clear" w:color="auto" w:fill="FFFFFF"/>
          <w:lang w:bidi="ar"/>
        </w:rPr>
        <w:t>严厉打击虚假违法广告</w:t>
      </w:r>
      <w:r>
        <w:rPr>
          <w:rFonts w:hint="eastAsia" w:ascii="仿宋" w:hAnsi="仿宋" w:eastAsia="仿宋"/>
          <w:b/>
          <w:bCs w:val="0"/>
          <w:color w:val="000000"/>
          <w:kern w:val="0"/>
          <w:sz w:val="32"/>
          <w:szCs w:val="32"/>
          <w:shd w:val="clear" w:color="auto" w:fill="FFFFFF"/>
          <w:lang w:eastAsia="zh-CN" w:bidi="ar"/>
        </w:rPr>
        <w:t>。</w:t>
      </w:r>
      <w:r>
        <w:rPr>
          <w:rFonts w:hint="default" w:ascii="Times New Roman" w:hAnsi="Times New Roman" w:eastAsia="仿宋_GB2312" w:cs="Times New Roman"/>
          <w:kern w:val="0"/>
          <w:sz w:val="32"/>
          <w:szCs w:val="32"/>
          <w:lang w:val="en-US" w:eastAsia="zh-CN" w:bidi="ar-SA"/>
        </w:rPr>
        <w:t>高度重视户外广告监测工作，</w:t>
      </w:r>
      <w:r>
        <w:rPr>
          <w:rFonts w:hint="default" w:ascii="Times New Roman" w:hAnsi="Times New Roman" w:eastAsia="仿宋_GB2312" w:cs="Times New Roman"/>
          <w:bCs/>
          <w:color w:val="000000"/>
          <w:sz w:val="32"/>
          <w:szCs w:val="32"/>
        </w:rPr>
        <w:t>通过购买第三方服务方式委托山东蓝天云监测机构实施</w:t>
      </w:r>
      <w:r>
        <w:rPr>
          <w:rFonts w:hint="default" w:ascii="Times New Roman" w:hAnsi="Times New Roman" w:eastAsia="仿宋_GB2312" w:cs="Times New Roman"/>
          <w:bCs/>
          <w:color w:val="000000"/>
          <w:sz w:val="32"/>
          <w:szCs w:val="32"/>
          <w:lang w:eastAsia="zh-CN"/>
        </w:rPr>
        <w:t>了</w:t>
      </w:r>
      <w:r>
        <w:rPr>
          <w:rFonts w:hint="default" w:ascii="Times New Roman" w:hAnsi="Times New Roman" w:eastAsia="仿宋_GB2312" w:cs="Times New Roman"/>
          <w:bCs/>
          <w:color w:val="000000"/>
          <w:sz w:val="32"/>
          <w:szCs w:val="32"/>
        </w:rPr>
        <w:t>全市的户外广告监测工作</w:t>
      </w:r>
      <w:r>
        <w:rPr>
          <w:rFonts w:hint="default" w:ascii="Times New Roman" w:hAnsi="Times New Roman" w:eastAsia="仿宋_GB2312" w:cs="Times New Roman"/>
          <w:kern w:val="0"/>
          <w:sz w:val="32"/>
          <w:szCs w:val="32"/>
          <w:lang w:val="en-US" w:eastAsia="zh-CN" w:bidi="ar-SA"/>
        </w:rPr>
        <w:t>，</w:t>
      </w:r>
      <w:r>
        <w:rPr>
          <w:rFonts w:hint="default" w:ascii="Times New Roman" w:hAnsi="Times New Roman" w:eastAsia="仿宋_GB2312" w:cs="Times New Roman"/>
          <w:sz w:val="32"/>
          <w:szCs w:val="32"/>
          <w:lang w:eastAsia="zh-CN"/>
        </w:rPr>
        <w:t>户外广告监测</w:t>
      </w:r>
      <w:r>
        <w:rPr>
          <w:rFonts w:hint="default" w:ascii="Times New Roman" w:hAnsi="Times New Roman" w:eastAsia="仿宋_GB2312" w:cs="Times New Roman"/>
          <w:sz w:val="32"/>
          <w:szCs w:val="32"/>
          <w:lang w:val="en-US" w:eastAsia="zh-CN"/>
        </w:rPr>
        <w:t>12000条次，户外广告检测准确率98%。</w:t>
      </w:r>
      <w:r>
        <w:rPr>
          <w:rFonts w:hint="default" w:ascii="Times New Roman" w:hAnsi="Times New Roman" w:eastAsia="仿宋_GB2312" w:cs="Times New Roman"/>
          <w:bCs/>
          <w:color w:val="000000"/>
          <w:sz w:val="32"/>
          <w:szCs w:val="32"/>
          <w:lang w:val="en-US" w:eastAsia="zh-CN"/>
        </w:rPr>
        <w:t>处理涉嫌违法广告18条。</w:t>
      </w:r>
      <w:r>
        <w:rPr>
          <w:rFonts w:hint="default" w:ascii="Times New Roman" w:hAnsi="Times New Roman" w:eastAsia="仿宋_GB2312" w:cs="Times New Roman"/>
          <w:kern w:val="0"/>
          <w:sz w:val="32"/>
          <w:szCs w:val="32"/>
          <w:lang w:val="en-US" w:eastAsia="zh-CN" w:bidi="ar-SA"/>
        </w:rPr>
        <w:t>市局对本级监管市场主体的广告行为进行监管及违法线索的处理，县市区局负责对本行政辖区内监管的市场主体涉嫌违法违规的广告线索进行核实查处，在户外广告监测工作中做到分级负责、属地监测，充分履行各自职责，做到上下沟通、协同一致，避免重复监测、消耗资源。加大对户外广告监测反馈信息的处理力度，加大对县市区局处理涉嫌违法违规广告线索的督办力度，尤其对涉及政治导向问题和严重虚假违法广告线索，要求迅速采取措施依法处置，做到及时停止发布，及时依法查处。</w:t>
      </w:r>
    </w:p>
    <w:p>
      <w:pPr>
        <w:keepNext w:val="0"/>
        <w:keepLines w:val="0"/>
        <w:pageBreakBefore w:val="0"/>
        <w:widowControl w:val="0"/>
        <w:pBdr>
          <w:top w:val="none" w:color="000000" w:sz="0" w:space="0"/>
          <w:left w:val="none" w:color="000000" w:sz="0" w:space="0"/>
          <w:bottom w:val="none" w:color="000000" w:sz="0" w:space="21"/>
          <w:right w:val="none" w:color="000000" w:sz="0" w:space="0"/>
        </w:pBdr>
        <w:kinsoku/>
        <w:wordWrap/>
        <w:overflowPunct/>
        <w:autoSpaceDE/>
        <w:autoSpaceDN w:val="0"/>
        <w:bidi w:val="0"/>
        <w:spacing w:line="600" w:lineRule="exact"/>
        <w:ind w:firstLine="640" w:firstLineChars="200"/>
        <w:textAlignment w:val="auto"/>
        <w:rPr>
          <w:rFonts w:hint="eastAsia" w:ascii="仿宋" w:hAnsi="仿宋" w:eastAsia="仿宋" w:cs="仿宋"/>
          <w:sz w:val="32"/>
          <w:szCs w:val="32"/>
        </w:rPr>
      </w:pPr>
      <w:r>
        <w:rPr>
          <w:rFonts w:hint="eastAsia" w:ascii="Times New Roman" w:hAnsi="Times New Roman" w:cs="Times New Roman"/>
          <w:b/>
          <w:bCs/>
          <w:kern w:val="2"/>
          <w:sz w:val="32"/>
          <w:szCs w:val="32"/>
          <w:lang w:val="en-US" w:eastAsia="zh-CN" w:bidi="ar"/>
        </w:rPr>
        <w:t>九是</w:t>
      </w:r>
      <w:r>
        <w:rPr>
          <w:rFonts w:hint="eastAsia" w:ascii="Times New Roman" w:hAnsi="Times New Roman" w:eastAsia="仿宋_GB2312" w:cs="Times New Roman"/>
          <w:b/>
          <w:bCs/>
          <w:kern w:val="2"/>
          <w:sz w:val="32"/>
          <w:szCs w:val="32"/>
          <w:lang w:val="en-US" w:eastAsia="zh-CN" w:bidi="ar"/>
        </w:rPr>
        <w:t>加强网络平台监管，推进网络交易规范化。</w:t>
      </w:r>
      <w:r>
        <w:rPr>
          <w:rFonts w:hint="default" w:ascii="Times New Roman" w:hAnsi="Times New Roman" w:eastAsia="仿宋_GB2312" w:cs="Times New Roman"/>
          <w:b w:val="0"/>
          <w:bCs w:val="0"/>
          <w:kern w:val="2"/>
          <w:sz w:val="32"/>
          <w:szCs w:val="32"/>
          <w:lang w:val="en-US" w:eastAsia="zh-Hans" w:bidi="ar"/>
        </w:rPr>
        <w:t>为促进市场公平有序竞争，进一步保护消费者合法权益，对辖区内电子商务经营者销售的产品加强网络监测，督促辖区内电子商务经营者主体履行信息登记核验等主体责任</w:t>
      </w:r>
      <w:r>
        <w:rPr>
          <w:rFonts w:hint="default" w:ascii="Times New Roman" w:hAnsi="Times New Roman" w:eastAsia="仿宋_GB2312" w:cs="Times New Roman"/>
          <w:b w:val="0"/>
          <w:bCs w:val="0"/>
          <w:kern w:val="2"/>
          <w:sz w:val="32"/>
          <w:szCs w:val="32"/>
          <w:lang w:val="en-US" w:eastAsia="zh-CN" w:bidi="ar"/>
        </w:rPr>
        <w:t>。</w:t>
      </w:r>
      <w:r>
        <w:rPr>
          <w:rFonts w:hint="default" w:ascii="Times New Roman" w:hAnsi="Times New Roman" w:eastAsia="仿宋_GB2312" w:cs="Times New Roman"/>
          <w:b w:val="0"/>
          <w:bCs w:val="0"/>
          <w:kern w:val="2"/>
          <w:sz w:val="32"/>
          <w:szCs w:val="32"/>
          <w:lang w:val="en-US" w:eastAsia="zh-Hans" w:bidi="ar"/>
        </w:rPr>
        <w:t>委托第三方机构对我市电商经营主体在全国主流网络零售平台的涉嫌违法经营行为进行专项监测</w:t>
      </w:r>
      <w:r>
        <w:rPr>
          <w:rFonts w:hint="default" w:ascii="Times New Roman" w:hAnsi="Times New Roman" w:eastAsia="仿宋_GB2312" w:cs="Times New Roman"/>
          <w:b w:val="0"/>
          <w:bCs w:val="0"/>
          <w:kern w:val="2"/>
          <w:sz w:val="32"/>
          <w:szCs w:val="32"/>
          <w:lang w:val="en-US" w:eastAsia="zh-CN" w:bidi="ar"/>
        </w:rPr>
        <w:t>，</w:t>
      </w:r>
      <w:r>
        <w:rPr>
          <w:rFonts w:hint="default" w:ascii="Times New Roman" w:hAnsi="Times New Roman" w:eastAsia="仿宋_GB2312" w:cs="Times New Roman"/>
          <w:sz w:val="32"/>
          <w:szCs w:val="32"/>
        </w:rPr>
        <w:t>监测到各类涉嫌违法违规线索</w:t>
      </w:r>
      <w:r>
        <w:rPr>
          <w:rFonts w:hint="default" w:ascii="Times New Roman" w:hAnsi="Times New Roman" w:eastAsia="仿宋_GB2312" w:cs="Times New Roman"/>
          <w:sz w:val="32"/>
          <w:szCs w:val="32"/>
          <w:lang w:val="en-US" w:eastAsia="zh-CN"/>
        </w:rPr>
        <w:t>124</w:t>
      </w:r>
      <w:r>
        <w:rPr>
          <w:rFonts w:hint="default" w:ascii="Times New Roman" w:hAnsi="Times New Roman" w:eastAsia="仿宋_GB2312" w:cs="Times New Roman"/>
          <w:sz w:val="32"/>
          <w:szCs w:val="32"/>
        </w:rPr>
        <w:t>条</w:t>
      </w:r>
      <w:r>
        <w:rPr>
          <w:rFonts w:hint="default" w:ascii="Times New Roman" w:hAnsi="Times New Roman" w:eastAsia="仿宋_GB2312" w:cs="Times New Roman"/>
          <w:sz w:val="32"/>
          <w:szCs w:val="32"/>
          <w:lang w:eastAsia="zh-CN"/>
        </w:rPr>
        <w:t>。全市系统</w:t>
      </w:r>
      <w:r>
        <w:rPr>
          <w:rFonts w:hint="default" w:ascii="Times New Roman" w:hAnsi="Times New Roman" w:eastAsia="仿宋_GB2312" w:cs="Times New Roman"/>
          <w:sz w:val="32"/>
          <w:szCs w:val="32"/>
        </w:rPr>
        <w:t>共出动执法人员1200余人次，网上检查网站、网店492个，实地检查网站、网店经营者194个，责令整改网站21个，查处涉网违法案件</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件。</w:t>
      </w:r>
    </w:p>
    <w:p>
      <w:pPr>
        <w:keepNext w:val="0"/>
        <w:keepLines w:val="0"/>
        <w:pageBreakBefore w:val="0"/>
        <w:widowControl w:val="0"/>
        <w:pBdr>
          <w:top w:val="none" w:color="000000" w:sz="0" w:space="0"/>
          <w:left w:val="none" w:color="000000" w:sz="0" w:space="0"/>
          <w:bottom w:val="none" w:color="000000" w:sz="0" w:space="21"/>
          <w:right w:val="none" w:color="000000" w:sz="0" w:space="0"/>
        </w:pBdr>
        <w:kinsoku/>
        <w:wordWrap/>
        <w:overflowPunct/>
        <w:autoSpaceDE/>
        <w:autoSpaceDN w:val="0"/>
        <w:bidi w:val="0"/>
        <w:spacing w:line="600" w:lineRule="exact"/>
        <w:ind w:firstLine="620" w:firstLineChars="200"/>
        <w:textAlignment w:val="auto"/>
        <w:rPr>
          <w:rFonts w:hint="eastAsia"/>
          <w:szCs w:val="32"/>
          <w:lang w:eastAsia="zh-CN"/>
        </w:rPr>
      </w:pPr>
      <w:r>
        <w:rPr>
          <w:rFonts w:hint="eastAsia" w:ascii="方正仿宋_GBK" w:hAnsi="方正仿宋_GBK" w:eastAsia="方正仿宋_GBK" w:cs="方正仿宋_GBK"/>
          <w:b/>
          <w:bCs/>
          <w:color w:val="000000"/>
          <w:kern w:val="0"/>
          <w:sz w:val="31"/>
          <w:szCs w:val="31"/>
          <w:lang w:val="en-US" w:eastAsia="zh-CN" w:bidi="ar"/>
        </w:rPr>
        <w:t>十是</w:t>
      </w:r>
      <w:r>
        <w:rPr>
          <w:rFonts w:ascii="方正仿宋_GBK" w:hAnsi="方正仿宋_GBK" w:eastAsia="方正仿宋_GBK" w:cs="方正仿宋_GBK"/>
          <w:b/>
          <w:bCs/>
          <w:color w:val="000000"/>
          <w:kern w:val="0"/>
          <w:sz w:val="31"/>
          <w:szCs w:val="31"/>
          <w:lang w:val="en-US" w:eastAsia="zh-CN" w:bidi="ar"/>
        </w:rPr>
        <w:t>引导全</w:t>
      </w:r>
      <w:r>
        <w:rPr>
          <w:rFonts w:hint="eastAsia" w:ascii="方正仿宋_GBK" w:hAnsi="方正仿宋_GBK" w:eastAsia="方正仿宋_GBK" w:cs="方正仿宋_GBK"/>
          <w:b/>
          <w:bCs/>
          <w:color w:val="000000"/>
          <w:kern w:val="0"/>
          <w:sz w:val="31"/>
          <w:szCs w:val="31"/>
          <w:lang w:val="en-US" w:eastAsia="zh-CN" w:bidi="ar"/>
        </w:rPr>
        <w:t>市</w:t>
      </w:r>
      <w:r>
        <w:rPr>
          <w:rFonts w:ascii="方正仿宋_GBK" w:hAnsi="方正仿宋_GBK" w:eastAsia="方正仿宋_GBK" w:cs="方正仿宋_GBK"/>
          <w:b/>
          <w:bCs/>
          <w:color w:val="000000"/>
          <w:kern w:val="0"/>
          <w:sz w:val="31"/>
          <w:szCs w:val="31"/>
          <w:lang w:val="en-US" w:eastAsia="zh-CN" w:bidi="ar"/>
        </w:rPr>
        <w:t>非公经济党组织积极作为，承担社会责任。</w:t>
      </w:r>
      <w:r>
        <w:rPr>
          <w:rFonts w:hint="eastAsia" w:ascii="仿宋_GB2312" w:hAnsi="仿宋_GB2312" w:eastAsia="仿宋_GB2312" w:cs="仿宋_GB2312"/>
          <w:b w:val="0"/>
          <w:bCs w:val="0"/>
          <w:sz w:val="32"/>
          <w:szCs w:val="32"/>
          <w:lang w:val="en-US" w:eastAsia="zh-CN"/>
        </w:rPr>
        <w:t>将非公党建与市场监管职能融合，根据全省市场监管系统非公有制经济组织党建工作会议精神，</w:t>
      </w:r>
      <w:r>
        <w:rPr>
          <w:rFonts w:hint="eastAsia" w:ascii="仿宋_GB2312" w:hAnsi="仿宋_GB2312" w:eastAsia="仿宋_GB2312" w:cs="仿宋_GB2312"/>
          <w:sz w:val="32"/>
          <w:szCs w:val="32"/>
          <w:lang w:val="en-US" w:eastAsia="zh-CN"/>
        </w:rPr>
        <w:t>联合</w:t>
      </w:r>
      <w:r>
        <w:rPr>
          <w:rFonts w:hint="eastAsia" w:ascii="Times New Roman" w:hAnsi="Times New Roman" w:eastAsia="仿宋_GB2312" w:cs="Times New Roman"/>
          <w:sz w:val="32"/>
          <w:szCs w:val="32"/>
          <w:lang w:val="en-US" w:eastAsia="zh-CN"/>
        </w:rPr>
        <w:t>机关20个科室和2个市局直属单位负责人</w:t>
      </w:r>
      <w:r>
        <w:rPr>
          <w:rFonts w:hint="eastAsia" w:ascii="仿宋_GB2312" w:hAnsi="仿宋_GB2312" w:eastAsia="仿宋_GB2312" w:cs="仿宋_GB2312"/>
          <w:sz w:val="32"/>
          <w:szCs w:val="32"/>
          <w:lang w:val="en-US" w:eastAsia="zh-CN"/>
        </w:rPr>
        <w:t>，牵头成立市局小微企业个体工商户专业市场党建工作领导小组，依托市场监管部门职能优势，全面推进全市“小个专”党建工作。</w:t>
      </w:r>
      <w:r>
        <w:rPr>
          <w:rFonts w:hint="eastAsia" w:ascii="仿宋_GB2312" w:hAnsi="仿宋_GB2312" w:eastAsia="仿宋_GB2312" w:cs="仿宋_GB2312"/>
          <w:b w:val="0"/>
          <w:bCs w:val="0"/>
          <w:sz w:val="32"/>
          <w:szCs w:val="32"/>
          <w:lang w:val="en-US" w:eastAsia="zh-CN"/>
        </w:rPr>
        <w:t>以迎接和学习宣传贯彻党的二十大为工作主线，</w:t>
      </w:r>
      <w:r>
        <w:rPr>
          <w:rFonts w:hint="eastAsia" w:cs="仿宋_GB2312"/>
          <w:b w:val="0"/>
          <w:bCs w:val="0"/>
          <w:sz w:val="32"/>
          <w:szCs w:val="32"/>
          <w:lang w:val="en-US" w:eastAsia="zh-CN"/>
        </w:rPr>
        <w:t>开展“学金句、展成就、喜迎党的二十大”宣讲13次，覆盖321人次；组织党员认真观看党的二十大开幕会覆盖党员774名；承办全省市场监管系统非公有制经济组织学习宣传贯彻党的二十大精神暨非公党建工作会议。</w:t>
      </w:r>
      <w:r>
        <w:rPr>
          <w:rFonts w:hint="eastAsia" w:cs="仿宋_GB2312"/>
          <w:sz w:val="32"/>
          <w:szCs w:val="32"/>
          <w:lang w:val="en-US" w:eastAsia="zh-CN"/>
        </w:rPr>
        <w:t>先后组织党务人员参加</w:t>
      </w:r>
      <w:r>
        <w:rPr>
          <w:rFonts w:hint="eastAsia" w:ascii="仿宋_GB2312" w:hAnsi="仿宋_GB2312" w:eastAsia="仿宋_GB2312" w:cs="仿宋_GB2312"/>
          <w:sz w:val="32"/>
          <w:szCs w:val="32"/>
          <w:lang w:val="en-US" w:eastAsia="zh-CN"/>
        </w:rPr>
        <w:t>市委两新工委</w:t>
      </w:r>
      <w:r>
        <w:rPr>
          <w:rFonts w:hint="eastAsia" w:cs="仿宋_GB2312"/>
          <w:sz w:val="32"/>
          <w:szCs w:val="32"/>
          <w:lang w:val="en-US" w:eastAsia="zh-CN"/>
        </w:rPr>
        <w:t>举办的</w:t>
      </w:r>
      <w:r>
        <w:rPr>
          <w:rFonts w:hint="eastAsia" w:ascii="仿宋_GB2312" w:hAnsi="仿宋_GB2312" w:eastAsia="仿宋_GB2312" w:cs="仿宋_GB2312"/>
          <w:sz w:val="32"/>
          <w:szCs w:val="32"/>
          <w:lang w:val="en-US" w:eastAsia="zh-CN"/>
        </w:rPr>
        <w:t>全市两新组织党组织书记培训示范班</w:t>
      </w:r>
      <w:r>
        <w:rPr>
          <w:rFonts w:hint="eastAsia" w:cs="仿宋_GB2312"/>
          <w:sz w:val="32"/>
          <w:szCs w:val="32"/>
          <w:lang w:val="en-US" w:eastAsia="zh-CN"/>
        </w:rPr>
        <w:t>和</w:t>
      </w:r>
      <w:r>
        <w:rPr>
          <w:rFonts w:hint="eastAsia" w:ascii="仿宋_GB2312" w:hAnsi="仿宋_GB2312" w:eastAsia="仿宋_GB2312" w:cs="仿宋_GB2312"/>
          <w:sz w:val="32"/>
          <w:szCs w:val="32"/>
          <w:lang w:val="en-US" w:eastAsia="zh-CN"/>
        </w:rPr>
        <w:t>全市两新领域学习贯彻党的二十大精神示范培训班</w:t>
      </w:r>
      <w:r>
        <w:rPr>
          <w:rFonts w:hint="eastAsia" w:cs="仿宋_GB2312"/>
          <w:sz w:val="32"/>
          <w:szCs w:val="32"/>
          <w:lang w:val="en-US" w:eastAsia="zh-CN"/>
        </w:rPr>
        <w:t>。推荐党务人员参加全国市场监管系统小微企业个体工商户专业市场党建工作培训班，</w:t>
      </w:r>
      <w:r>
        <w:rPr>
          <w:rFonts w:hint="eastAsia" w:ascii="仿宋_GB2312" w:hAnsi="仿宋_GB2312" w:eastAsia="仿宋_GB2312" w:cs="仿宋_GB2312"/>
          <w:sz w:val="32"/>
          <w:szCs w:val="32"/>
          <w:lang w:val="en-US" w:eastAsia="zh-CN"/>
        </w:rPr>
        <w:t>不断提升了党务工作者政治素养和业务水平。</w:t>
      </w:r>
      <w:r>
        <w:rPr>
          <w:rFonts w:hint="eastAsia" w:ascii="Times New Roman" w:hAnsi="Times New Roman" w:cs="Times New Roman"/>
          <w:sz w:val="32"/>
          <w:szCs w:val="32"/>
          <w:lang w:val="en-US" w:eastAsia="zh-CN"/>
        </w:rPr>
        <w:t>市直非公经济组织累计开展二十大学习宣讲13次，覆盖党员298名。</w:t>
      </w:r>
      <w:r>
        <w:rPr>
          <w:rFonts w:hint="eastAsia" w:ascii="仿宋_GB2312" w:hAnsi="仿宋_GB2312" w:eastAsia="仿宋_GB2312" w:cs="仿宋_GB2312"/>
          <w:sz w:val="32"/>
          <w:szCs w:val="32"/>
          <w:lang w:val="en-US" w:eastAsia="zh-CN"/>
        </w:rPr>
        <w:t>开展2022年“迎新春送温暖”慰问</w:t>
      </w:r>
      <w:r>
        <w:rPr>
          <w:rFonts w:hint="eastAsia" w:cs="仿宋_GB2312"/>
          <w:sz w:val="32"/>
          <w:szCs w:val="32"/>
          <w:lang w:val="en-US" w:eastAsia="zh-CN"/>
        </w:rPr>
        <w:t>和“七一”慰问等</w:t>
      </w:r>
      <w:r>
        <w:rPr>
          <w:rFonts w:hint="eastAsia" w:ascii="仿宋_GB2312" w:hAnsi="仿宋_GB2312" w:eastAsia="仿宋_GB2312" w:cs="仿宋_GB2312"/>
          <w:sz w:val="32"/>
          <w:szCs w:val="32"/>
          <w:lang w:val="en-US" w:eastAsia="zh-CN"/>
        </w:rPr>
        <w:t>活动，累计慰问困难党员职工3</w:t>
      </w:r>
      <w:r>
        <w:rPr>
          <w:rFonts w:hint="eastAsia" w:cs="仿宋_GB2312"/>
          <w:sz w:val="32"/>
          <w:szCs w:val="32"/>
          <w:lang w:val="en-US" w:eastAsia="zh-CN"/>
        </w:rPr>
        <w:t>2</w:t>
      </w:r>
      <w:r>
        <w:rPr>
          <w:rFonts w:hint="eastAsia" w:ascii="仿宋_GB2312" w:hAnsi="仿宋_GB2312" w:eastAsia="仿宋_GB2312" w:cs="仿宋_GB2312"/>
          <w:sz w:val="32"/>
          <w:szCs w:val="32"/>
          <w:lang w:val="en-US" w:eastAsia="zh-CN"/>
        </w:rPr>
        <w:t>人，下发慰问金</w:t>
      </w:r>
      <w:r>
        <w:rPr>
          <w:rFonts w:hint="eastAsia" w:cs="仿宋_GB2312"/>
          <w:sz w:val="32"/>
          <w:szCs w:val="32"/>
          <w:lang w:val="en-US" w:eastAsia="zh-CN"/>
        </w:rPr>
        <w:t>3</w:t>
      </w:r>
      <w:r>
        <w:rPr>
          <w:rFonts w:hint="eastAsia" w:ascii="仿宋_GB2312" w:hAnsi="仿宋_GB2312" w:eastAsia="仿宋_GB2312" w:cs="仿宋_GB2312"/>
          <w:sz w:val="32"/>
          <w:szCs w:val="32"/>
          <w:lang w:val="en-US" w:eastAsia="zh-CN"/>
        </w:rPr>
        <w:t>万元</w:t>
      </w:r>
      <w:r>
        <w:rPr>
          <w:rFonts w:hint="eastAsia" w:cs="仿宋_GB2312"/>
          <w:sz w:val="32"/>
          <w:szCs w:val="32"/>
          <w:lang w:val="en-US" w:eastAsia="zh-CN"/>
        </w:rPr>
        <w:t>。在“七一”建党节，为符合条件的六名老党员颁发“光荣在党50年”纪念章。</w:t>
      </w:r>
    </w:p>
    <w:p>
      <w:pPr>
        <w:keepNext w:val="0"/>
        <w:keepLines w:val="0"/>
        <w:pageBreakBefore w:val="0"/>
        <w:widowControl w:val="0"/>
        <w:pBdr>
          <w:top w:val="none" w:color="000000" w:sz="0" w:space="0"/>
          <w:left w:val="none" w:color="000000" w:sz="0" w:space="0"/>
          <w:bottom w:val="none" w:color="000000" w:sz="0" w:space="21"/>
          <w:right w:val="none" w:color="000000" w:sz="0" w:space="0"/>
        </w:pBdr>
        <w:kinsoku/>
        <w:wordWrap/>
        <w:overflowPunct/>
        <w:autoSpaceDE/>
        <w:autoSpaceDN w:val="0"/>
        <w:bidi w:val="0"/>
        <w:spacing w:line="600" w:lineRule="exact"/>
        <w:ind w:firstLine="640" w:firstLineChars="200"/>
        <w:textAlignment w:val="auto"/>
        <w:rPr>
          <w:rFonts w:hint="eastAsia" w:ascii="仿宋_GB2312" w:hAnsi="仿宋_GB2312" w:eastAsia="仿宋_GB2312" w:cs="仿宋_GB2312"/>
          <w:b/>
          <w:bCs/>
          <w:spacing w:val="0"/>
          <w:sz w:val="32"/>
          <w:szCs w:val="32"/>
          <w:lang w:eastAsia="zh-CN"/>
        </w:rPr>
      </w:pPr>
      <w:r>
        <w:rPr>
          <w:rFonts w:hint="eastAsia"/>
          <w:szCs w:val="32"/>
          <w:lang w:eastAsia="zh-CN"/>
        </w:rPr>
        <w:t>2022年</w:t>
      </w:r>
      <w:r>
        <w:rPr>
          <w:szCs w:val="32"/>
        </w:rPr>
        <w:t>共</w:t>
      </w:r>
      <w:r>
        <w:rPr>
          <w:rFonts w:hint="eastAsia"/>
          <w:szCs w:val="32"/>
        </w:rPr>
        <w:t>使用</w:t>
      </w:r>
      <w:r>
        <w:rPr>
          <w:rFonts w:hint="eastAsia"/>
          <w:szCs w:val="32"/>
          <w:lang w:val="en-US" w:eastAsia="zh-CN"/>
        </w:rPr>
        <w:t>市场</w:t>
      </w:r>
      <w:r>
        <w:rPr>
          <w:szCs w:val="32"/>
        </w:rPr>
        <w:t>监管资金</w:t>
      </w:r>
      <w:r>
        <w:rPr>
          <w:rFonts w:hint="eastAsia"/>
          <w:szCs w:val="32"/>
          <w:lang w:val="en-US" w:eastAsia="zh-CN"/>
        </w:rPr>
        <w:t>691</w:t>
      </w:r>
      <w:r>
        <w:rPr>
          <w:szCs w:val="32"/>
        </w:rPr>
        <w:t>万元</w:t>
      </w:r>
      <w:r>
        <w:rPr>
          <w:rFonts w:hint="eastAsia"/>
          <w:szCs w:val="32"/>
        </w:rPr>
        <w:t>，主要</w:t>
      </w:r>
      <w:r>
        <w:rPr>
          <w:rFonts w:hint="eastAsia"/>
          <w:szCs w:val="32"/>
          <w:lang w:val="en-US" w:eastAsia="zh-CN"/>
        </w:rPr>
        <w:t>包括一是业务专用设备、</w:t>
      </w:r>
      <w:r>
        <w:rPr>
          <w:rFonts w:hint="eastAsia"/>
          <w:szCs w:val="32"/>
        </w:rPr>
        <w:t>执法公务用车</w:t>
      </w:r>
      <w:r>
        <w:rPr>
          <w:rFonts w:hint="eastAsia"/>
          <w:szCs w:val="32"/>
          <w:lang w:val="en-US" w:eastAsia="zh-CN"/>
        </w:rPr>
        <w:t>和制式服装等执法装备购置；二是</w:t>
      </w:r>
      <w:r>
        <w:rPr>
          <w:rFonts w:hint="eastAsia"/>
          <w:szCs w:val="32"/>
        </w:rPr>
        <w:t>市场监管各业务线</w:t>
      </w:r>
      <w:r>
        <w:rPr>
          <w:rFonts w:hint="eastAsia"/>
          <w:szCs w:val="32"/>
          <w:lang w:val="en-US" w:eastAsia="zh-CN"/>
        </w:rPr>
        <w:t>日常监管、</w:t>
      </w:r>
      <w:r>
        <w:rPr>
          <w:rFonts w:hint="eastAsia"/>
          <w:szCs w:val="32"/>
        </w:rPr>
        <w:t>专项整治行动、培训、会议、</w:t>
      </w:r>
      <w:r>
        <w:rPr>
          <w:rFonts w:hint="eastAsia"/>
          <w:szCs w:val="32"/>
          <w:lang w:val="en-US" w:eastAsia="zh-CN"/>
        </w:rPr>
        <w:t>印刷</w:t>
      </w:r>
      <w:r>
        <w:rPr>
          <w:rFonts w:hint="eastAsia"/>
          <w:szCs w:val="32"/>
        </w:rPr>
        <w:t>宣传等方面支出</w:t>
      </w:r>
      <w:r>
        <w:rPr>
          <w:rFonts w:hint="eastAsia"/>
          <w:szCs w:val="32"/>
          <w:lang w:val="en-US" w:eastAsia="zh-CN"/>
        </w:rPr>
        <w:t>；三是消费质量合格测评、网监分析服务、网络传销技术服务、打击传销举报奖、执法办案律师代理等业务委托支出</w:t>
      </w:r>
      <w:r>
        <w:rPr>
          <w:rFonts w:hint="eastAsia"/>
          <w:szCs w:val="32"/>
        </w:rPr>
        <w:t>。</w:t>
      </w:r>
      <w:r>
        <w:rPr>
          <w:rFonts w:hint="eastAsia"/>
          <w:szCs w:val="32"/>
          <w:lang w:val="en-US" w:eastAsia="zh-CN"/>
        </w:rPr>
        <w:t>我局在推进市场主体倍增、突出市场</w:t>
      </w:r>
      <w:r>
        <w:rPr>
          <w:rFonts w:hint="default" w:ascii="Times New Roman" w:hAnsi="Times New Roman" w:eastAsia="仿宋_GB2312" w:cs="Times New Roman"/>
          <w:color w:val="auto"/>
          <w:spacing w:val="0"/>
          <w:sz w:val="32"/>
          <w:szCs w:val="32"/>
          <w:lang w:val="en-US" w:eastAsia="zh-CN"/>
        </w:rPr>
        <w:t>监管重点</w:t>
      </w:r>
      <w:r>
        <w:rPr>
          <w:rFonts w:hint="eastAsia" w:ascii="Times New Roman" w:hAnsi="Times New Roman" w:cs="Times New Roman"/>
          <w:color w:val="auto"/>
          <w:spacing w:val="0"/>
          <w:sz w:val="32"/>
          <w:szCs w:val="32"/>
          <w:lang w:val="en-US" w:eastAsia="zh-CN"/>
        </w:rPr>
        <w:t>、</w:t>
      </w:r>
      <w:r>
        <w:rPr>
          <w:rFonts w:hint="eastAsia"/>
          <w:szCs w:val="32"/>
          <w:lang w:val="en-US" w:eastAsia="zh-CN"/>
        </w:rPr>
        <w:t>优化营商环境</w:t>
      </w:r>
      <w:r>
        <w:rPr>
          <w:rFonts w:hint="eastAsia" w:ascii="Times New Roman" w:hAnsi="Times New Roman" w:cs="Times New Roman"/>
          <w:color w:val="auto"/>
          <w:spacing w:val="0"/>
          <w:sz w:val="32"/>
          <w:szCs w:val="32"/>
          <w:lang w:val="en-US" w:eastAsia="zh-CN"/>
        </w:rPr>
        <w:t>等方面成果丰硕</w:t>
      </w:r>
      <w:r>
        <w:rPr>
          <w:rFonts w:hint="default" w:ascii="Times New Roman" w:hAnsi="Times New Roman" w:eastAsia="仿宋_GB2312" w:cs="Times New Roman"/>
          <w:color w:val="auto"/>
          <w:spacing w:val="0"/>
          <w:sz w:val="32"/>
          <w:szCs w:val="32"/>
          <w:lang w:val="en-US" w:eastAsia="zh-CN"/>
        </w:rPr>
        <w:t>，</w:t>
      </w:r>
      <w:r>
        <w:rPr>
          <w:rFonts w:hint="eastAsia" w:ascii="Times New Roman" w:hAnsi="Times New Roman" w:cs="Times New Roman"/>
          <w:color w:val="auto"/>
          <w:spacing w:val="0"/>
          <w:sz w:val="32"/>
          <w:szCs w:val="32"/>
          <w:lang w:val="en-US" w:eastAsia="zh-CN"/>
        </w:rPr>
        <w:t>以</w:t>
      </w:r>
      <w:r>
        <w:rPr>
          <w:rFonts w:hint="eastAsia" w:ascii="仿宋_GB2312" w:hAnsi="仿宋_GB2312" w:eastAsia="仿宋_GB2312" w:cs="仿宋_GB2312"/>
          <w:spacing w:val="0"/>
          <w:sz w:val="32"/>
          <w:szCs w:val="32"/>
          <w:lang w:eastAsia="zh-CN"/>
        </w:rPr>
        <w:t>高质量的市场监管工作助推</w:t>
      </w:r>
      <w:r>
        <w:rPr>
          <w:rFonts w:hint="eastAsia" w:ascii="仿宋_GB2312" w:hAnsi="仿宋_GB2312" w:eastAsia="仿宋_GB2312" w:cs="仿宋_GB2312"/>
          <w:spacing w:val="0"/>
          <w:sz w:val="32"/>
          <w:szCs w:val="32"/>
        </w:rPr>
        <w:t>现代化</w:t>
      </w:r>
      <w:r>
        <w:rPr>
          <w:rFonts w:hint="eastAsia" w:ascii="仿宋_GB2312" w:hAnsi="仿宋_GB2312" w:eastAsia="仿宋_GB2312" w:cs="仿宋_GB2312"/>
          <w:spacing w:val="0"/>
          <w:sz w:val="32"/>
          <w:szCs w:val="32"/>
          <w:lang w:eastAsia="zh-CN"/>
        </w:rPr>
        <w:t>新益阳</w:t>
      </w:r>
      <w:r>
        <w:rPr>
          <w:rFonts w:hint="eastAsia" w:ascii="仿宋_GB2312" w:hAnsi="仿宋_GB2312" w:eastAsia="仿宋_GB2312" w:cs="仿宋_GB2312"/>
          <w:spacing w:val="0"/>
          <w:sz w:val="32"/>
          <w:szCs w:val="32"/>
        </w:rPr>
        <w:t>建设</w:t>
      </w:r>
      <w:r>
        <w:rPr>
          <w:rFonts w:hint="eastAsia" w:ascii="仿宋_GB2312" w:hAnsi="仿宋_GB2312" w:cs="仿宋_GB2312"/>
          <w:spacing w:val="0"/>
          <w:sz w:val="32"/>
          <w:szCs w:val="32"/>
          <w:lang w:eastAsia="zh-CN"/>
        </w:rPr>
        <w:t>。</w:t>
      </w:r>
    </w:p>
    <w:p>
      <w:pPr>
        <w:keepNext w:val="0"/>
        <w:keepLines w:val="0"/>
        <w:pageBreakBefore w:val="0"/>
        <w:widowControl w:val="0"/>
        <w:pBdr>
          <w:top w:val="none" w:color="000000" w:sz="0" w:space="0"/>
          <w:left w:val="none" w:color="000000" w:sz="0" w:space="0"/>
          <w:bottom w:val="none" w:color="000000" w:sz="0" w:space="21"/>
          <w:right w:val="none" w:color="000000" w:sz="0" w:space="0"/>
        </w:pBdr>
        <w:kinsoku/>
        <w:wordWrap/>
        <w:overflowPunct/>
        <w:autoSpaceDE/>
        <w:autoSpaceDN w:val="0"/>
        <w:bidi w:val="0"/>
        <w:spacing w:line="600" w:lineRule="exact"/>
        <w:ind w:firstLine="640" w:firstLineChars="200"/>
        <w:textAlignment w:val="auto"/>
        <w:rPr>
          <w:rFonts w:hint="eastAsia" w:ascii="Times New Roman" w:hAnsi="Times New Roman" w:eastAsia="楷体_GB2312" w:cs="Times New Roman"/>
          <w:b/>
          <w:bCs/>
          <w:szCs w:val="32"/>
        </w:rPr>
      </w:pPr>
      <w:r>
        <w:rPr>
          <w:rFonts w:hint="eastAsia" w:ascii="楷体_GB2312" w:hAnsi="楷体_GB2312" w:eastAsia="楷体_GB2312" w:cs="楷体_GB2312"/>
          <w:b/>
          <w:color w:val="000000"/>
          <w:szCs w:val="32"/>
        </w:rPr>
        <w:t>（三）</w:t>
      </w:r>
      <w:r>
        <w:rPr>
          <w:rFonts w:hint="eastAsia" w:ascii="Times New Roman" w:hAnsi="Times New Roman" w:eastAsia="楷体_GB2312" w:cs="Times New Roman"/>
          <w:b/>
          <w:bCs/>
          <w:szCs w:val="32"/>
        </w:rPr>
        <w:t>强化药品安全监管</w:t>
      </w:r>
      <w:r>
        <w:rPr>
          <w:rFonts w:hint="eastAsia" w:ascii="Times New Roman" w:hAnsi="Times New Roman" w:eastAsia="楷体_GB2312" w:cs="Times New Roman"/>
          <w:b/>
          <w:bCs/>
          <w:szCs w:val="32"/>
          <w:lang w:eastAsia="zh-CN"/>
        </w:rPr>
        <w:t>，</w:t>
      </w:r>
      <w:r>
        <w:rPr>
          <w:rFonts w:hint="eastAsia" w:ascii="Times New Roman" w:hAnsi="Times New Roman" w:eastAsia="楷体_GB2312" w:cs="Times New Roman"/>
          <w:b/>
          <w:bCs/>
          <w:szCs w:val="32"/>
          <w:lang w:val="en-US" w:eastAsia="zh-CN"/>
        </w:rPr>
        <w:t>坚守药品安全底线</w:t>
      </w:r>
      <w:r>
        <w:rPr>
          <w:rFonts w:hint="eastAsia" w:ascii="Times New Roman" w:hAnsi="Times New Roman" w:eastAsia="楷体_GB2312" w:cs="Times New Roman"/>
          <w:b/>
          <w:bCs/>
          <w:szCs w:val="32"/>
        </w:rPr>
        <w:t>。</w:t>
      </w:r>
    </w:p>
    <w:p>
      <w:pPr>
        <w:keepNext w:val="0"/>
        <w:keepLines w:val="0"/>
        <w:pageBreakBefore w:val="0"/>
        <w:widowControl w:val="0"/>
        <w:pBdr>
          <w:top w:val="none" w:color="000000" w:sz="0" w:space="0"/>
          <w:left w:val="none" w:color="000000" w:sz="0" w:space="0"/>
          <w:bottom w:val="none" w:color="000000" w:sz="0" w:space="21"/>
          <w:right w:val="none" w:color="000000" w:sz="0" w:space="0"/>
        </w:pBdr>
        <w:kinsoku/>
        <w:wordWrap/>
        <w:overflowPunct/>
        <w:autoSpaceDE/>
        <w:autoSpaceDN w:val="0"/>
        <w:bidi w:val="0"/>
        <w:spacing w:line="600" w:lineRule="exact"/>
        <w:ind w:firstLine="640" w:firstLineChars="200"/>
        <w:textAlignment w:val="auto"/>
        <w:rPr>
          <w:rFonts w:hint="eastAsia" w:ascii="仿宋_GB2312" w:hAnsi="仿宋_GB2312" w:eastAsia="仿宋_GB2312" w:cs="仿宋_GB2312"/>
          <w:spacing w:val="0"/>
          <w:sz w:val="32"/>
          <w:szCs w:val="32"/>
          <w:lang w:eastAsia="zh-CN"/>
        </w:rPr>
      </w:pPr>
      <w:r>
        <w:rPr>
          <w:rStyle w:val="14"/>
          <w:rFonts w:hint="eastAsia" w:ascii="仿宋_GB2312" w:hAnsi="仿宋_GB2312" w:eastAsia="仿宋_GB2312" w:cs="仿宋_GB2312"/>
          <w:b/>
          <w:bCs/>
          <w:color w:val="000000"/>
          <w:lang w:val="en-US" w:eastAsia="zh-CN"/>
        </w:rPr>
        <w:t>一</w:t>
      </w:r>
      <w:r>
        <w:rPr>
          <w:rStyle w:val="14"/>
          <w:rFonts w:hint="eastAsia" w:ascii="仿宋_GB2312" w:hAnsi="仿宋_GB2312" w:eastAsia="仿宋_GB2312" w:cs="仿宋_GB2312"/>
          <w:b/>
          <w:bCs/>
          <w:color w:val="000000"/>
        </w:rPr>
        <w:t>是</w:t>
      </w:r>
      <w:r>
        <w:rPr>
          <w:rStyle w:val="14"/>
          <w:rFonts w:hint="eastAsia" w:ascii="仿宋_GB2312" w:hAnsi="仿宋_GB2312" w:eastAsia="仿宋_GB2312" w:cs="仿宋_GB2312"/>
          <w:b/>
          <w:bCs/>
          <w:color w:val="000000"/>
          <w:lang w:val="en-US" w:eastAsia="zh-CN"/>
        </w:rPr>
        <w:t>将保障人民生命健康放在第一位，药品专项整治凸显新成效。</w:t>
      </w:r>
      <w:r>
        <w:rPr>
          <w:rFonts w:hint="eastAsia" w:ascii="仿宋_GB2312" w:hAnsi="仿宋_GB2312" w:eastAsia="仿宋_GB2312" w:cs="仿宋_GB2312"/>
          <w:sz w:val="32"/>
          <w:szCs w:val="24"/>
          <w:lang w:val="en-US" w:eastAsia="zh-CN"/>
        </w:rPr>
        <w:t>年初我局</w:t>
      </w:r>
      <w:r>
        <w:rPr>
          <w:rFonts w:hint="eastAsia" w:ascii="仿宋_GB2312" w:hAnsi="仿宋_GB2312" w:eastAsia="仿宋_GB2312" w:cs="仿宋_GB2312"/>
          <w:sz w:val="32"/>
          <w:szCs w:val="24"/>
        </w:rPr>
        <w:t>出台一批细化方案，制定了《益阳市药品安全专项整治行动实施方案》《益阳市药品医疗器械化妆品监督抽检工作实施方案》等系列分项工作方案，确保专项整治工作各重点区域重点环节重点品种重点时段全方位部署，解决一些突出问题和重大安全隐患</w:t>
      </w:r>
      <w:r>
        <w:rPr>
          <w:rFonts w:hint="eastAsia" w:ascii="仿宋_GB2312" w:hAnsi="仿宋_GB2312" w:eastAsia="仿宋_GB2312" w:cs="仿宋_GB2312"/>
          <w:sz w:val="32"/>
          <w:szCs w:val="24"/>
          <w:lang w:eastAsia="zh-CN"/>
        </w:rPr>
        <w:t>，</w:t>
      </w:r>
      <w:r>
        <w:rPr>
          <w:rFonts w:hint="eastAsia" w:ascii="仿宋_GB2312" w:hAnsi="仿宋_GB2312" w:eastAsia="仿宋_GB2312" w:cs="仿宋_GB2312"/>
          <w:sz w:val="32"/>
          <w:szCs w:val="24"/>
          <w:lang w:val="en-US" w:eastAsia="zh-CN"/>
        </w:rPr>
        <w:t>同时</w:t>
      </w:r>
      <w:r>
        <w:rPr>
          <w:rFonts w:hint="eastAsia" w:ascii="仿宋_GB2312" w:hAnsi="仿宋_GB2312" w:eastAsia="仿宋_GB2312" w:cs="仿宋_GB2312"/>
          <w:sz w:val="32"/>
          <w:szCs w:val="24"/>
        </w:rPr>
        <w:t>建立了药品安全风险隐患研判机制、绩效考核机制，与卫健、医保、公安、检察等部门建立打击生产销售假劣药品联席会议工作机制，与检测机构建立涉案产品优先检验机制以及建立投诉举报奖励机制，并在湖南一件事一次办等平台公示，扎实推进社</w:t>
      </w:r>
      <w:r>
        <w:rPr>
          <w:rFonts w:hint="default" w:ascii="Times New Roman" w:hAnsi="Times New Roman" w:eastAsia="仿宋_GB2312" w:cs="Times New Roman"/>
          <w:sz w:val="32"/>
          <w:szCs w:val="24"/>
        </w:rPr>
        <w:t>会共治</w:t>
      </w:r>
      <w:r>
        <w:rPr>
          <w:rFonts w:hint="default" w:ascii="Times New Roman" w:hAnsi="Times New Roman" w:eastAsia="仿宋_GB2312" w:cs="Times New Roman"/>
          <w:sz w:val="32"/>
          <w:szCs w:val="24"/>
          <w:lang w:eastAsia="zh-CN"/>
        </w:rPr>
        <w:t>。</w:t>
      </w:r>
      <w:r>
        <w:rPr>
          <w:rFonts w:hint="default" w:ascii="Times New Roman" w:hAnsi="Times New Roman" w:eastAsia="仿宋_GB2312" w:cs="Times New Roman"/>
          <w:sz w:val="32"/>
          <w:szCs w:val="24"/>
          <w:lang w:val="en-US" w:eastAsia="zh-CN"/>
        </w:rPr>
        <w:t>2022年</w:t>
      </w:r>
      <w:r>
        <w:rPr>
          <w:rFonts w:hint="default" w:ascii="Times New Roman" w:hAnsi="Times New Roman" w:eastAsia="仿宋_GB2312" w:cs="Times New Roman"/>
          <w:spacing w:val="0"/>
          <w:sz w:val="32"/>
          <w:szCs w:val="32"/>
        </w:rPr>
        <w:t>组织开展了农村药品、中药</w:t>
      </w:r>
      <w:r>
        <w:rPr>
          <w:rFonts w:hint="default" w:ascii="Times New Roman" w:hAnsi="Times New Roman" w:eastAsia="仿宋_GB2312" w:cs="Times New Roman"/>
          <w:spacing w:val="0"/>
          <w:sz w:val="32"/>
          <w:szCs w:val="32"/>
          <w:lang w:val="en-US" w:eastAsia="zh-CN"/>
        </w:rPr>
        <w:t>安全等专项整治20余次，</w:t>
      </w:r>
      <w:r>
        <w:rPr>
          <w:rFonts w:hint="eastAsia" w:ascii="仿宋_GB2312" w:hAnsi="仿宋_GB2312" w:eastAsia="仿宋_GB2312" w:cs="仿宋_GB2312"/>
          <w:spacing w:val="0"/>
          <w:sz w:val="32"/>
          <w:szCs w:val="32"/>
          <w:lang w:val="en-US" w:eastAsia="zh-CN"/>
        </w:rPr>
        <w:t>市局获评全省</w:t>
      </w:r>
      <w:r>
        <w:rPr>
          <w:rFonts w:hint="eastAsia" w:ascii="仿宋_GB2312" w:hAnsi="仿宋_GB2312" w:eastAsia="仿宋_GB2312" w:cs="仿宋_GB2312"/>
          <w:spacing w:val="0"/>
          <w:sz w:val="32"/>
          <w:szCs w:val="32"/>
          <w:lang w:eastAsia="zh-CN"/>
        </w:rPr>
        <w:t>药品安全专项整治先进单位。</w:t>
      </w:r>
    </w:p>
    <w:p>
      <w:pPr>
        <w:keepNext w:val="0"/>
        <w:keepLines w:val="0"/>
        <w:pageBreakBefore w:val="0"/>
        <w:widowControl w:val="0"/>
        <w:pBdr>
          <w:top w:val="none" w:color="000000" w:sz="0" w:space="0"/>
          <w:left w:val="none" w:color="000000" w:sz="0" w:space="0"/>
          <w:bottom w:val="none" w:color="000000" w:sz="0" w:space="21"/>
          <w:right w:val="none" w:color="000000" w:sz="0" w:space="0"/>
        </w:pBdr>
        <w:kinsoku/>
        <w:wordWrap/>
        <w:overflowPunct/>
        <w:autoSpaceDE/>
        <w:autoSpaceDN w:val="0"/>
        <w:bidi w:val="0"/>
        <w:spacing w:line="600" w:lineRule="exact"/>
        <w:ind w:firstLine="640" w:firstLineChars="200"/>
        <w:textAlignment w:val="auto"/>
        <w:rPr>
          <w:rFonts w:hint="eastAsia" w:ascii="仿宋_GB2312" w:hAnsi="仿宋_GB2312" w:eastAsia="仿宋_GB2312" w:cs="仿宋_GB2312"/>
          <w:b w:val="0"/>
          <w:bCs w:val="0"/>
          <w:i w:val="0"/>
          <w:iCs w:val="0"/>
          <w:caps w:val="0"/>
          <w:color w:val="000000"/>
          <w:spacing w:val="0"/>
          <w:sz w:val="32"/>
          <w:szCs w:val="32"/>
          <w:shd w:val="clear" w:color="auto" w:fill="FFFFFF"/>
        </w:rPr>
      </w:pPr>
      <w:r>
        <w:rPr>
          <w:rStyle w:val="14"/>
          <w:rFonts w:hint="eastAsia" w:ascii="仿宋_GB2312" w:hAnsi="仿宋_GB2312" w:eastAsia="仿宋_GB2312" w:cs="仿宋_GB2312"/>
          <w:b/>
          <w:bCs/>
          <w:color w:val="000000"/>
          <w:lang w:val="en-US" w:eastAsia="zh-CN"/>
        </w:rPr>
        <w:t>二是认真履职，高质量完成药械化抽验工作。</w:t>
      </w:r>
      <w:r>
        <w:rPr>
          <w:rFonts w:hint="eastAsia" w:ascii="Times New Roman" w:hAnsi="Times New Roman" w:eastAsia="仿宋_GB2312" w:cs="Times New Roman"/>
          <w:sz w:val="32"/>
          <w:szCs w:val="24"/>
        </w:rPr>
        <w:t>2022年度完成药品抽验219批次、化妆品抽验84批次、医疗器械抽验30批</w:t>
      </w:r>
      <w:r>
        <w:rPr>
          <w:rFonts w:hint="eastAsia" w:ascii="仿宋_GB2312" w:hAnsi="仿宋_GB2312" w:eastAsia="仿宋_GB2312" w:cs="仿宋_GB2312"/>
          <w:sz w:val="32"/>
          <w:szCs w:val="24"/>
        </w:rPr>
        <w:t>次。</w:t>
      </w:r>
      <w:r>
        <w:rPr>
          <w:rFonts w:hint="eastAsia" w:ascii="仿宋_GB2312" w:hAnsi="仿宋_GB2312" w:eastAsia="仿宋_GB2312" w:cs="仿宋_GB2312"/>
          <w:i w:val="0"/>
          <w:iCs w:val="0"/>
          <w:caps w:val="0"/>
          <w:color w:val="000000"/>
          <w:spacing w:val="0"/>
          <w:sz w:val="32"/>
          <w:szCs w:val="32"/>
          <w:shd w:val="clear" w:color="auto" w:fill="FFFFFF"/>
          <w:lang w:eastAsia="zh-CN"/>
        </w:rPr>
        <w:t>加强了对重点产品网络风险监测抽检和监督抽检。目前在省抽化妆品中有</w:t>
      </w:r>
      <w:r>
        <w:rPr>
          <w:rFonts w:hint="eastAsia" w:ascii="仿宋_GB2312" w:hAnsi="仿宋_GB2312" w:eastAsia="仿宋_GB2312" w:cs="仿宋_GB2312"/>
          <w:i w:val="0"/>
          <w:iCs w:val="0"/>
          <w:caps w:val="0"/>
          <w:color w:val="000000"/>
          <w:spacing w:val="0"/>
          <w:sz w:val="32"/>
          <w:szCs w:val="32"/>
          <w:shd w:val="clear" w:color="auto" w:fill="FFFFFF"/>
          <w:lang w:val="en-US" w:eastAsia="zh-CN"/>
        </w:rPr>
        <w:t>1个产品抽检不合格（正在立案查处）</w:t>
      </w:r>
      <w:r>
        <w:rPr>
          <w:rFonts w:hint="eastAsia" w:ascii="仿宋_GB2312" w:hAnsi="仿宋_GB2312" w:eastAsia="仿宋_GB2312" w:cs="仿宋_GB2312"/>
          <w:b w:val="0"/>
          <w:bCs w:val="0"/>
          <w:i w:val="0"/>
          <w:iCs w:val="0"/>
          <w:caps w:val="0"/>
          <w:color w:val="000000"/>
          <w:spacing w:val="0"/>
          <w:sz w:val="32"/>
          <w:szCs w:val="32"/>
          <w:shd w:val="clear" w:color="auto" w:fill="FFFFFF"/>
        </w:rPr>
        <w:t>。</w:t>
      </w:r>
    </w:p>
    <w:p>
      <w:pPr>
        <w:keepNext w:val="0"/>
        <w:keepLines w:val="0"/>
        <w:pageBreakBefore w:val="0"/>
        <w:widowControl w:val="0"/>
        <w:pBdr>
          <w:top w:val="none" w:color="000000" w:sz="0" w:space="0"/>
          <w:left w:val="none" w:color="000000" w:sz="0" w:space="0"/>
          <w:bottom w:val="none" w:color="000000" w:sz="0" w:space="21"/>
          <w:right w:val="none" w:color="000000" w:sz="0" w:space="0"/>
        </w:pBdr>
        <w:kinsoku/>
        <w:wordWrap/>
        <w:overflowPunct/>
        <w:autoSpaceDE/>
        <w:autoSpaceDN w:val="0"/>
        <w:bidi w:val="0"/>
        <w:spacing w:line="600" w:lineRule="exact"/>
        <w:ind w:firstLine="640" w:firstLineChars="200"/>
        <w:textAlignment w:val="auto"/>
        <w:rPr>
          <w:rFonts w:hint="eastAsia" w:ascii="仿宋_GB2312" w:hAnsi="仿宋_GB2312" w:eastAsia="仿宋_GB2312" w:cs="仿宋_GB2312"/>
          <w:color w:val="000000"/>
          <w:sz w:val="32"/>
          <w:szCs w:val="24"/>
        </w:rPr>
      </w:pPr>
      <w:r>
        <w:rPr>
          <w:rStyle w:val="14"/>
          <w:rFonts w:hint="eastAsia" w:ascii="仿宋_GB2312" w:hAnsi="仿宋_GB2312" w:eastAsia="仿宋_GB2312" w:cs="仿宋_GB2312"/>
          <w:b/>
          <w:bCs/>
          <w:color w:val="000000"/>
          <w:lang w:val="en-US" w:eastAsia="zh-CN"/>
        </w:rPr>
        <w:t>三是立足日常监测，不良反应发</w:t>
      </w:r>
      <w:r>
        <w:rPr>
          <w:rStyle w:val="14"/>
          <w:rFonts w:hint="eastAsia" w:ascii="仿宋_GB2312" w:hAnsi="仿宋_GB2312" w:eastAsia="仿宋_GB2312" w:cs="仿宋_GB2312"/>
          <w:b/>
          <w:bCs/>
          <w:color w:val="000000"/>
        </w:rPr>
        <w:t>挥行政监管权威作用。</w:t>
      </w:r>
      <w:r>
        <w:rPr>
          <w:rFonts w:hint="eastAsia" w:ascii="Times New Roman" w:hAnsi="Times New Roman" w:eastAsia="仿宋_GB2312" w:cs="Times New Roman"/>
          <w:sz w:val="32"/>
          <w:szCs w:val="24"/>
          <w:lang w:val="en-US" w:eastAsia="zh-CN"/>
        </w:rPr>
        <w:t>2022年</w:t>
      </w:r>
      <w:r>
        <w:rPr>
          <w:rFonts w:hint="eastAsia" w:ascii="Times New Roman" w:hAnsi="Times New Roman" w:eastAsia="仿宋_GB2312" w:cs="Times New Roman"/>
          <w:sz w:val="32"/>
          <w:szCs w:val="24"/>
        </w:rPr>
        <w:t>主</w:t>
      </w:r>
      <w:r>
        <w:rPr>
          <w:rFonts w:hint="eastAsia" w:ascii="仿宋_GB2312" w:hAnsi="仿宋_GB2312" w:eastAsia="仿宋_GB2312" w:cs="仿宋_GB2312"/>
          <w:sz w:val="32"/>
          <w:szCs w:val="24"/>
        </w:rPr>
        <w:t>要对药品不良反应、医疗器械不良事件、化妆品不良反应、药物滥用以及疫</w:t>
      </w:r>
      <w:r>
        <w:rPr>
          <w:rFonts w:hint="eastAsia" w:ascii="Times New Roman" w:hAnsi="Times New Roman" w:eastAsia="仿宋_GB2312" w:cs="Times New Roman"/>
          <w:sz w:val="32"/>
          <w:szCs w:val="24"/>
        </w:rPr>
        <w:t>苗AEFI</w:t>
      </w:r>
      <w:r>
        <w:rPr>
          <w:rFonts w:hint="eastAsia" w:ascii="仿宋_GB2312" w:hAnsi="仿宋_GB2312" w:eastAsia="仿宋_GB2312" w:cs="仿宋_GB2312"/>
          <w:sz w:val="32"/>
          <w:szCs w:val="24"/>
        </w:rPr>
        <w:t>（疑似预防接种异常反应）进行监测，年度监测目标任务提前完成。</w:t>
      </w:r>
      <w:r>
        <w:rPr>
          <w:rFonts w:hint="eastAsia" w:ascii="仿宋_GB2312" w:hAnsi="仿宋_GB2312" w:eastAsia="仿宋_GB2312" w:cs="仿宋_GB2312"/>
          <w:color w:val="000000"/>
          <w:sz w:val="32"/>
          <w:szCs w:val="24"/>
        </w:rPr>
        <w:t>市中心组织编写益阳市药品不良反应、医疗器械不良事件、化妆品不良反应、药物滥用</w:t>
      </w:r>
      <w:r>
        <w:rPr>
          <w:rFonts w:hint="eastAsia" w:ascii="Times New Roman" w:hAnsi="Times New Roman" w:eastAsia="仿宋_GB2312" w:cs="Times New Roman"/>
          <w:sz w:val="32"/>
          <w:szCs w:val="24"/>
        </w:rPr>
        <w:t>监测2022年</w:t>
      </w:r>
      <w:r>
        <w:rPr>
          <w:rFonts w:hint="eastAsia" w:ascii="仿宋_GB2312" w:hAnsi="仿宋_GB2312" w:eastAsia="仿宋_GB2312" w:cs="仿宋_GB2312"/>
          <w:color w:val="000000"/>
          <w:sz w:val="32"/>
          <w:szCs w:val="24"/>
        </w:rPr>
        <w:t>度分析报告书。</w:t>
      </w:r>
    </w:p>
    <w:p>
      <w:pPr>
        <w:keepNext w:val="0"/>
        <w:keepLines w:val="0"/>
        <w:pageBreakBefore w:val="0"/>
        <w:widowControl w:val="0"/>
        <w:pBdr>
          <w:top w:val="none" w:color="000000" w:sz="0" w:space="0"/>
          <w:left w:val="none" w:color="000000" w:sz="0" w:space="0"/>
          <w:bottom w:val="none" w:color="000000" w:sz="0" w:space="21"/>
          <w:right w:val="none" w:color="000000" w:sz="0" w:space="0"/>
        </w:pBdr>
        <w:kinsoku/>
        <w:wordWrap/>
        <w:overflowPunct/>
        <w:autoSpaceDE/>
        <w:autoSpaceDN w:val="0"/>
        <w:bidi w:val="0"/>
        <w:spacing w:line="600" w:lineRule="exact"/>
        <w:ind w:firstLine="640" w:firstLineChars="200"/>
        <w:textAlignment w:val="auto"/>
        <w:rPr>
          <w:rFonts w:hint="eastAsia" w:ascii="仿宋_GB2312" w:hAnsi="仿宋_GB2312" w:eastAsia="仿宋_GB2312" w:cs="仿宋_GB2312"/>
          <w:sz w:val="32"/>
          <w:szCs w:val="24"/>
        </w:rPr>
      </w:pPr>
      <w:r>
        <w:rPr>
          <w:rStyle w:val="14"/>
          <w:rFonts w:hint="eastAsia" w:ascii="仿宋_GB2312" w:hAnsi="仿宋_GB2312" w:eastAsia="仿宋_GB2312" w:cs="仿宋_GB2312"/>
          <w:b/>
          <w:bCs/>
          <w:color w:val="000000"/>
          <w:lang w:val="en-US" w:eastAsia="zh-CN"/>
        </w:rPr>
        <w:t>四是加大</w:t>
      </w:r>
      <w:r>
        <w:rPr>
          <w:rStyle w:val="14"/>
          <w:rFonts w:hint="eastAsia" w:ascii="仿宋_GB2312" w:hAnsi="仿宋_GB2312" w:eastAsia="仿宋_GB2312" w:cs="仿宋_GB2312"/>
          <w:b/>
          <w:bCs/>
          <w:color w:val="000000"/>
        </w:rPr>
        <w:t>宣传力度，</w:t>
      </w:r>
      <w:r>
        <w:rPr>
          <w:rStyle w:val="14"/>
          <w:rFonts w:hint="eastAsia" w:ascii="仿宋_GB2312" w:hAnsi="仿宋_GB2312" w:eastAsia="仿宋_GB2312" w:cs="仿宋_GB2312"/>
          <w:b/>
          <w:bCs/>
          <w:color w:val="000000"/>
          <w:lang w:val="en-US" w:eastAsia="zh-CN"/>
        </w:rPr>
        <w:t>提高用药安全意识。</w:t>
      </w:r>
      <w:r>
        <w:rPr>
          <w:rFonts w:hint="eastAsia" w:ascii="仿宋_GB2312" w:hAnsi="仿宋_GB2312" w:eastAsia="仿宋_GB2312" w:cs="仿宋_GB2312"/>
          <w:sz w:val="32"/>
          <w:szCs w:val="24"/>
        </w:rPr>
        <w:t>制作了禁毒公益海报和宣传片《合理用药远离毒品》，同步在省禁毒办抖音号、市禁毒办抖音号、益阳市电梯安全物联网监控终端等不同平台播放，强化内部管理，开展禁毒知识讲座，组织参观市禁毒教育基地，提升干部职工识毒、防毒、拒毒能力。其次营造良好社会氛围，为切实保障公众用药安全，组织开展了“全国安全用药月”活动和以“监管科学 你我同行”为主题的“药品科技活动周”系列宣传活动。组织志愿者走进社区和学校，发放宣传</w:t>
      </w:r>
      <w:r>
        <w:rPr>
          <w:rFonts w:hint="eastAsia" w:ascii="Times New Roman" w:hAnsi="Times New Roman" w:eastAsia="仿宋_GB2312" w:cs="Times New Roman"/>
          <w:sz w:val="32"/>
          <w:szCs w:val="24"/>
        </w:rPr>
        <w:t>资料21000余份</w:t>
      </w:r>
      <w:r>
        <w:rPr>
          <w:rFonts w:hint="eastAsia" w:ascii="仿宋_GB2312" w:hAnsi="仿宋_GB2312" w:eastAsia="仿宋_GB2312" w:cs="仿宋_GB2312"/>
          <w:sz w:val="32"/>
          <w:szCs w:val="24"/>
        </w:rPr>
        <w:t>，接受用</w:t>
      </w:r>
      <w:r>
        <w:rPr>
          <w:rFonts w:hint="eastAsia" w:ascii="Times New Roman" w:hAnsi="Times New Roman" w:eastAsia="仿宋_GB2312" w:cs="Times New Roman"/>
          <w:sz w:val="32"/>
          <w:szCs w:val="24"/>
        </w:rPr>
        <w:t>药咨询5500余人</w:t>
      </w:r>
      <w:r>
        <w:rPr>
          <w:rFonts w:hint="eastAsia" w:ascii="仿宋_GB2312" w:hAnsi="仿宋_GB2312" w:eastAsia="仿宋_GB2312" w:cs="仿宋_GB2312"/>
          <w:sz w:val="32"/>
          <w:szCs w:val="24"/>
        </w:rPr>
        <w:t>次，开展义诊服务</w:t>
      </w:r>
      <w:r>
        <w:rPr>
          <w:rFonts w:hint="eastAsia" w:ascii="Times New Roman" w:hAnsi="Times New Roman" w:eastAsia="仿宋_GB2312" w:cs="Times New Roman"/>
          <w:sz w:val="32"/>
          <w:szCs w:val="24"/>
        </w:rPr>
        <w:t>2560余人次</w:t>
      </w:r>
      <w:r>
        <w:rPr>
          <w:rFonts w:hint="eastAsia" w:ascii="仿宋_GB2312" w:hAnsi="仿宋_GB2312" w:eastAsia="仿宋_GB2312" w:cs="仿宋_GB2312"/>
          <w:sz w:val="32"/>
          <w:szCs w:val="24"/>
        </w:rPr>
        <w:t>。通过益阳市电梯安全物联网监控终端在全市</w:t>
      </w:r>
      <w:r>
        <w:rPr>
          <w:rFonts w:hint="eastAsia" w:ascii="Times New Roman" w:hAnsi="Times New Roman" w:eastAsia="仿宋_GB2312" w:cs="Times New Roman"/>
          <w:sz w:val="32"/>
          <w:szCs w:val="24"/>
        </w:rPr>
        <w:t>2000余台电梯中滚动播放用药宣传片及法律法规达1个月，为营造</w:t>
      </w:r>
      <w:r>
        <w:rPr>
          <w:rFonts w:hint="eastAsia" w:ascii="仿宋_GB2312" w:hAnsi="仿宋_GB2312" w:eastAsia="仿宋_GB2312" w:cs="仿宋_GB2312"/>
          <w:sz w:val="32"/>
          <w:szCs w:val="24"/>
        </w:rPr>
        <w:t>良好的安全用药环境起到了积极的促进作用。</w:t>
      </w:r>
    </w:p>
    <w:p>
      <w:pPr>
        <w:keepNext w:val="0"/>
        <w:keepLines w:val="0"/>
        <w:pageBreakBefore w:val="0"/>
        <w:widowControl w:val="0"/>
        <w:pBdr>
          <w:top w:val="none" w:color="000000" w:sz="0" w:space="0"/>
          <w:left w:val="none" w:color="000000" w:sz="0" w:space="0"/>
          <w:bottom w:val="none" w:color="000000" w:sz="0" w:space="21"/>
          <w:right w:val="none" w:color="000000" w:sz="0" w:space="0"/>
        </w:pBdr>
        <w:kinsoku/>
        <w:wordWrap/>
        <w:overflowPunct/>
        <w:autoSpaceDE/>
        <w:autoSpaceDN w:val="0"/>
        <w:bidi w:val="0"/>
        <w:spacing w:line="600" w:lineRule="exact"/>
        <w:ind w:firstLine="640" w:firstLineChars="200"/>
        <w:textAlignment w:val="auto"/>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pPr>
      <w:r>
        <w:rPr>
          <w:rFonts w:hint="eastAsia" w:ascii="仿宋_GB2312" w:hAnsi="仿宋_GB2312" w:eastAsia="仿宋_GB2312" w:cs="仿宋_GB2312"/>
          <w:b/>
          <w:bCs/>
          <w:i w:val="0"/>
          <w:iCs w:val="0"/>
          <w:caps w:val="0"/>
          <w:color w:val="333333"/>
          <w:spacing w:val="0"/>
          <w:sz w:val="32"/>
          <w:szCs w:val="32"/>
          <w:lang w:val="en-US" w:eastAsia="zh-CN"/>
        </w:rPr>
        <w:t>五是加强监测人员业务能力，着力组织业务培训。</w:t>
      </w:r>
      <w:r>
        <w:rPr>
          <w:rFonts w:hint="eastAsia" w:ascii="仿宋_GB2312" w:hAnsi="仿宋_GB2312" w:eastAsia="仿宋_GB2312" w:cs="仿宋_GB2312"/>
          <w:color w:val="000000"/>
          <w:sz w:val="32"/>
          <w:szCs w:val="24"/>
        </w:rPr>
        <w:t>对市中心本级及区县局监测人员的</w:t>
      </w:r>
      <w:r>
        <w:rPr>
          <w:rFonts w:hint="eastAsia" w:ascii="仿宋_GB2312" w:hAnsi="仿宋_GB2312" w:eastAsia="仿宋_GB2312" w:cs="仿宋_GB2312"/>
          <w:color w:val="000000"/>
          <w:sz w:val="32"/>
          <w:szCs w:val="24"/>
          <w:lang w:val="en-US" w:eastAsia="zh-CN"/>
        </w:rPr>
        <w:t>不良反应</w:t>
      </w:r>
      <w:r>
        <w:rPr>
          <w:rFonts w:hint="eastAsia" w:ascii="仿宋_GB2312" w:hAnsi="仿宋_GB2312" w:eastAsia="仿宋_GB2312" w:cs="仿宋_GB2312"/>
          <w:color w:val="000000"/>
          <w:sz w:val="32"/>
          <w:szCs w:val="24"/>
        </w:rPr>
        <w:t>培训学习，组织区县局监测人员实操培训班一期，重点解决报告审核、评价等技术难点，利用电梯物联网平台，开展医疗器械不良事件的科普宣传。</w:t>
      </w:r>
      <w:r>
        <w:rPr>
          <w:rFonts w:hint="eastAsia" w:ascii="仿宋_GB2312" w:hAnsi="仿宋_GB2312" w:eastAsia="仿宋_GB2312" w:cs="仿宋_GB2312"/>
          <w:color w:val="000000"/>
          <w:sz w:val="32"/>
          <w:szCs w:val="24"/>
          <w:lang w:val="en-US" w:eastAsia="zh-CN"/>
        </w:rPr>
        <w:t>同时</w:t>
      </w:r>
      <w:r>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t>组织全市部分医疗器械监管人员、医疗器械批发企业负责人、质量</w:t>
      </w:r>
      <w:r>
        <w:rPr>
          <w:rFonts w:hint="eastAsia" w:ascii="Times New Roman" w:hAnsi="Times New Roman" w:eastAsia="仿宋_GB2312" w:cs="Times New Roman"/>
          <w:sz w:val="32"/>
          <w:szCs w:val="24"/>
          <w:lang w:val="en-US" w:eastAsia="zh-CN"/>
        </w:rPr>
        <w:t>负责人共140余人</w:t>
      </w:r>
      <w:r>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t>集中进行《医疗器械监督管理条例》《医疗器械经营监督管理办法》培训。</w:t>
      </w:r>
    </w:p>
    <w:p>
      <w:pPr>
        <w:keepNext w:val="0"/>
        <w:keepLines w:val="0"/>
        <w:pageBreakBefore w:val="0"/>
        <w:widowControl w:val="0"/>
        <w:pBdr>
          <w:top w:val="none" w:color="000000" w:sz="0" w:space="0"/>
          <w:left w:val="none" w:color="000000" w:sz="0" w:space="0"/>
          <w:bottom w:val="none" w:color="000000" w:sz="0" w:space="21"/>
          <w:right w:val="none" w:color="000000" w:sz="0" w:space="0"/>
        </w:pBdr>
        <w:kinsoku/>
        <w:wordWrap/>
        <w:overflowPunct/>
        <w:autoSpaceDE/>
        <w:autoSpaceDN w:val="0"/>
        <w:bidi w:val="0"/>
        <w:spacing w:line="600" w:lineRule="exact"/>
        <w:ind w:firstLine="640" w:firstLineChars="200"/>
        <w:textAlignment w:val="auto"/>
        <w:rPr>
          <w:rFonts w:hint="eastAsia" w:ascii="仿宋_GB2312" w:hAnsi="仿宋_GB2312" w:eastAsia="仿宋_GB2312" w:cs="仿宋_GB2312"/>
          <w:szCs w:val="32"/>
        </w:rPr>
      </w:pPr>
      <w:r>
        <w:rPr>
          <w:rFonts w:hint="eastAsia" w:ascii="Times New Roman" w:hAnsi="Times New Roman" w:eastAsia="仿宋_GB2312" w:cs="Times New Roman"/>
          <w:sz w:val="32"/>
          <w:szCs w:val="24"/>
          <w:lang w:eastAsia="zh-CN"/>
        </w:rPr>
        <w:t>2022年</w:t>
      </w:r>
      <w:r>
        <w:rPr>
          <w:rFonts w:hint="eastAsia" w:ascii="Times New Roman" w:hAnsi="Times New Roman" w:eastAsia="仿宋_GB2312" w:cs="Times New Roman"/>
          <w:sz w:val="32"/>
          <w:szCs w:val="24"/>
        </w:rPr>
        <w:t>共使用药品医疗器械监管资金2</w:t>
      </w:r>
      <w:r>
        <w:rPr>
          <w:rFonts w:hint="eastAsia" w:ascii="Times New Roman" w:hAnsi="Times New Roman" w:eastAsia="仿宋_GB2312" w:cs="Times New Roman"/>
          <w:sz w:val="32"/>
          <w:szCs w:val="24"/>
          <w:lang w:val="en-US" w:eastAsia="zh-CN"/>
        </w:rPr>
        <w:t>4</w:t>
      </w:r>
      <w:r>
        <w:rPr>
          <w:rFonts w:hint="eastAsia" w:ascii="Times New Roman" w:hAnsi="Times New Roman" w:eastAsia="仿宋_GB2312" w:cs="Times New Roman"/>
          <w:sz w:val="32"/>
          <w:szCs w:val="24"/>
        </w:rPr>
        <w:t>6.</w:t>
      </w:r>
      <w:r>
        <w:rPr>
          <w:rFonts w:hint="eastAsia" w:ascii="Times New Roman" w:hAnsi="Times New Roman" w:eastAsia="仿宋_GB2312" w:cs="Times New Roman"/>
          <w:sz w:val="32"/>
          <w:szCs w:val="24"/>
          <w:lang w:val="en-US" w:eastAsia="zh-CN"/>
        </w:rPr>
        <w:t>19</w:t>
      </w:r>
      <w:r>
        <w:rPr>
          <w:rFonts w:hint="eastAsia" w:ascii="Times New Roman" w:hAnsi="Times New Roman" w:eastAsia="仿宋_GB2312" w:cs="Times New Roman"/>
          <w:sz w:val="32"/>
          <w:szCs w:val="24"/>
        </w:rPr>
        <w:t>万元</w:t>
      </w:r>
      <w:r>
        <w:rPr>
          <w:rFonts w:hint="eastAsia" w:ascii="仿宋_GB2312" w:hAnsi="仿宋_GB2312" w:eastAsia="仿宋_GB2312" w:cs="仿宋_GB2312"/>
          <w:szCs w:val="32"/>
        </w:rPr>
        <w:t>，主要用于</w:t>
      </w:r>
      <w:r>
        <w:rPr>
          <w:rFonts w:hint="eastAsia" w:ascii="仿宋_GB2312" w:hAnsi="仿宋_GB2312" w:eastAsia="仿宋_GB2312" w:cs="仿宋_GB2312"/>
          <w:szCs w:val="32"/>
          <w:lang w:val="en-US" w:eastAsia="zh-CN"/>
        </w:rPr>
        <w:t>药</w:t>
      </w:r>
      <w:r>
        <w:rPr>
          <w:rFonts w:hint="eastAsia" w:ascii="仿宋_GB2312" w:hAnsi="仿宋_GB2312" w:eastAsia="仿宋_GB2312" w:cs="仿宋_GB2312"/>
          <w:color w:val="auto"/>
          <w:sz w:val="32"/>
          <w:szCs w:val="24"/>
        </w:rPr>
        <w:t>械化质量安全监管、药械化不良反应监测、科普宣传应急、药械化抽验、稽查执法补助、药品专项整治。</w:t>
      </w:r>
      <w:r>
        <w:rPr>
          <w:rFonts w:hint="eastAsia" w:ascii="仿宋_GB2312" w:hAnsi="仿宋_GB2312" w:eastAsia="仿宋_GB2312" w:cs="仿宋_GB2312"/>
          <w:sz w:val="32"/>
          <w:szCs w:val="24"/>
          <w:lang w:val="en-US" w:eastAsia="zh-CN"/>
        </w:rPr>
        <w:t>今年我局通过</w:t>
      </w:r>
      <w:r>
        <w:rPr>
          <w:rFonts w:hint="eastAsia" w:ascii="仿宋_GB2312" w:hAnsi="仿宋_GB2312" w:eastAsia="仿宋_GB2312" w:cs="仿宋_GB2312"/>
          <w:sz w:val="32"/>
          <w:szCs w:val="24"/>
        </w:rPr>
        <w:t>出台一批药品安全专项整治行动实施方案，查办一批典型案件，对我市辖区内药品领域的违法犯罪行为形成了有力震慑，假冒伪劣产品制售行为不断降低，使得药品安全总体水平不断提高；组织开展“双随机、一公开”检查方式，同时将检查结果在互联网监管平台进行公示，进一步规范了医疗机构的医疗器械使用行为；通过全面检查商场、超市、化妆品专卖店等规模较大的化妆品经营单位，以及各乡镇街道的超市、小卖部、美容店等小规模经营单位，重点检查化妆品是否在有效期、标签是否明示或者暗示具有医疗作用、进口产品是否有中文标签等情况进行检查，有效规范企业经营行为，保障人民群众用妆安全。以“携手共建药物警戒生态”为活动主线，结合市安全用药月、化妆品安全科普宣传周等活动，开展药械化安全科普宣传进企业、进社区、进学校活动，收到良好的社会反响。</w:t>
      </w:r>
    </w:p>
    <w:p>
      <w:pPr>
        <w:keepNext w:val="0"/>
        <w:keepLines w:val="0"/>
        <w:pageBreakBefore w:val="0"/>
        <w:widowControl w:val="0"/>
        <w:pBdr>
          <w:top w:val="none" w:color="000000" w:sz="0" w:space="0"/>
          <w:left w:val="none" w:color="000000" w:sz="0" w:space="0"/>
          <w:bottom w:val="none" w:color="000000" w:sz="0" w:space="21"/>
          <w:right w:val="none" w:color="000000" w:sz="0" w:space="0"/>
        </w:pBdr>
        <w:kinsoku/>
        <w:wordWrap/>
        <w:overflowPunct/>
        <w:autoSpaceDE/>
        <w:autoSpaceDN w:val="0"/>
        <w:bidi w:val="0"/>
        <w:spacing w:line="600" w:lineRule="exact"/>
        <w:ind w:firstLine="640" w:firstLineChars="200"/>
        <w:textAlignment w:val="auto"/>
        <w:rPr>
          <w:rFonts w:hint="eastAsia" w:ascii="楷体_GB2312" w:hAnsi="楷体_GB2312" w:eastAsia="楷体_GB2312" w:cs="楷体_GB2312"/>
          <w:b/>
          <w:bCs/>
          <w:spacing w:val="0"/>
          <w:sz w:val="32"/>
          <w:szCs w:val="32"/>
          <w:lang w:val="en-US" w:eastAsia="zh-CN"/>
        </w:rPr>
      </w:pPr>
      <w:r>
        <w:rPr>
          <w:rFonts w:hint="eastAsia" w:ascii="楷体_GB2312" w:hAnsi="楷体_GB2312" w:eastAsia="楷体_GB2312" w:cs="楷体_GB2312"/>
          <w:b/>
          <w:color w:val="000000"/>
          <w:szCs w:val="32"/>
        </w:rPr>
        <w:t>（四）</w:t>
      </w:r>
      <w:r>
        <w:rPr>
          <w:rFonts w:hint="eastAsia" w:ascii="楷体_GB2312" w:hAnsi="楷体_GB2312" w:eastAsia="楷体_GB2312" w:cs="楷体_GB2312"/>
          <w:b/>
          <w:bCs/>
          <w:spacing w:val="0"/>
          <w:sz w:val="32"/>
          <w:szCs w:val="32"/>
          <w:lang w:val="en-US" w:eastAsia="zh-CN"/>
        </w:rPr>
        <w:t>提质量、树品牌，质量强市战略深入推进。</w:t>
      </w:r>
    </w:p>
    <w:p>
      <w:pPr>
        <w:keepNext w:val="0"/>
        <w:keepLines w:val="0"/>
        <w:pageBreakBefore w:val="0"/>
        <w:widowControl w:val="0"/>
        <w:pBdr>
          <w:top w:val="none" w:color="000000" w:sz="0" w:space="0"/>
          <w:left w:val="none" w:color="000000" w:sz="0" w:space="0"/>
          <w:bottom w:val="none" w:color="000000" w:sz="0" w:space="21"/>
          <w:right w:val="none" w:color="000000" w:sz="0" w:space="0"/>
        </w:pBdr>
        <w:kinsoku/>
        <w:wordWrap/>
        <w:overflowPunct/>
        <w:autoSpaceDE/>
        <w:autoSpaceDN w:val="0"/>
        <w:bidi w:val="0"/>
        <w:spacing w:line="600" w:lineRule="exact"/>
        <w:ind w:firstLine="640" w:firstLineChars="200"/>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b/>
          <w:bCs/>
          <w:szCs w:val="32"/>
        </w:rPr>
        <w:t>一是</w:t>
      </w:r>
      <w:r>
        <w:rPr>
          <w:rFonts w:hint="eastAsia" w:ascii="仿宋_GB2312" w:hAnsi="仿宋_GB2312" w:eastAsia="仿宋_GB2312" w:cs="仿宋_GB2312"/>
          <w:b/>
          <w:bCs/>
          <w:spacing w:val="0"/>
          <w:sz w:val="32"/>
          <w:szCs w:val="32"/>
        </w:rPr>
        <w:t>推进质量强市战略</w:t>
      </w:r>
      <w:r>
        <w:rPr>
          <w:rFonts w:hint="eastAsia" w:ascii="仿宋_GB2312" w:hAnsi="仿宋_GB2312" w:eastAsia="仿宋_GB2312" w:cs="仿宋_GB2312"/>
          <w:b/>
          <w:bCs/>
          <w:spacing w:val="0"/>
          <w:sz w:val="32"/>
          <w:szCs w:val="32"/>
          <w:lang w:eastAsia="zh-CN"/>
        </w:rPr>
        <w:t>，</w:t>
      </w:r>
      <w:r>
        <w:rPr>
          <w:rFonts w:hint="eastAsia" w:ascii="仿宋_GB2312" w:hAnsi="仿宋_GB2312" w:eastAsia="仿宋_GB2312" w:cs="仿宋_GB2312"/>
          <w:b/>
          <w:bCs/>
          <w:spacing w:val="0"/>
          <w:sz w:val="32"/>
          <w:szCs w:val="32"/>
        </w:rPr>
        <w:t>夯实质量基础支撑。</w:t>
      </w:r>
      <w:r>
        <w:rPr>
          <w:rFonts w:hint="eastAsia" w:ascii="仿宋_GB2312" w:hAnsi="仿宋_GB2312" w:eastAsia="仿宋_GB2312" w:cs="仿宋_GB2312"/>
          <w:color w:val="000000"/>
          <w:spacing w:val="0"/>
          <w:kern w:val="0"/>
          <w:sz w:val="32"/>
          <w:szCs w:val="32"/>
          <w:lang w:eastAsia="zh-CN"/>
        </w:rPr>
        <w:t>提请市政府</w:t>
      </w:r>
      <w:r>
        <w:rPr>
          <w:rFonts w:hint="eastAsia" w:ascii="仿宋_GB2312" w:hAnsi="仿宋_GB2312" w:eastAsia="仿宋_GB2312" w:cs="仿宋_GB2312"/>
          <w:color w:val="000000"/>
          <w:spacing w:val="0"/>
          <w:kern w:val="0"/>
          <w:sz w:val="32"/>
          <w:szCs w:val="32"/>
        </w:rPr>
        <w:t>成立市长任组长的质量强市工作领导小组，组织召开了全市质量大会。高规格承办了全省质量月活动启动仪式。高标准做好省政府质量工作考核迎检工</w:t>
      </w:r>
      <w:r>
        <w:rPr>
          <w:rFonts w:hint="eastAsia" w:ascii="仿宋_GB2312" w:hAnsi="仿宋_GB2312" w:eastAsia="仿宋_GB2312" w:cs="仿宋_GB2312"/>
          <w:color w:val="000000"/>
          <w:spacing w:val="0"/>
          <w:sz w:val="32"/>
          <w:szCs w:val="32"/>
          <w:lang w:eastAsia="zh-CN"/>
        </w:rPr>
        <w:t>作。</w:t>
      </w:r>
      <w:r>
        <w:rPr>
          <w:rFonts w:hint="eastAsia" w:ascii="仿宋_GB2312" w:hAnsi="仿宋_GB2312" w:eastAsia="仿宋_GB2312" w:cs="仿宋_GB2312"/>
          <w:color w:val="000000"/>
          <w:spacing w:val="0"/>
          <w:kern w:val="0"/>
          <w:sz w:val="32"/>
          <w:szCs w:val="32"/>
          <w:lang w:eastAsia="zh-CN"/>
        </w:rPr>
        <w:t>推进</w:t>
      </w:r>
      <w:r>
        <w:rPr>
          <w:rFonts w:hint="eastAsia" w:ascii="仿宋_GB2312" w:hAnsi="仿宋_GB2312" w:eastAsia="仿宋_GB2312" w:cs="仿宋_GB2312"/>
          <w:color w:val="000000"/>
          <w:spacing w:val="0"/>
          <w:kern w:val="0"/>
          <w:sz w:val="32"/>
          <w:szCs w:val="32"/>
        </w:rPr>
        <w:t>国家电容器产品质量检测中心申报筹建，已通过国家总局资料形式审查，新建市级社会公用计</w:t>
      </w:r>
      <w:r>
        <w:rPr>
          <w:rFonts w:hint="default" w:ascii="Times New Roman" w:hAnsi="Times New Roman" w:eastAsia="仿宋_GB2312" w:cs="Times New Roman"/>
          <w:color w:val="000000"/>
          <w:spacing w:val="0"/>
          <w:kern w:val="0"/>
          <w:sz w:val="32"/>
          <w:szCs w:val="32"/>
        </w:rPr>
        <w:t>量标准</w:t>
      </w:r>
      <w:r>
        <w:rPr>
          <w:rFonts w:hint="default" w:ascii="Times New Roman" w:hAnsi="Times New Roman" w:eastAsia="仿宋_GB2312" w:cs="Times New Roman"/>
          <w:color w:val="000000"/>
          <w:spacing w:val="0"/>
          <w:kern w:val="0"/>
          <w:sz w:val="32"/>
          <w:szCs w:val="32"/>
          <w:lang w:val="en-US" w:eastAsia="zh-CN"/>
        </w:rPr>
        <w:t>7</w:t>
      </w:r>
      <w:r>
        <w:rPr>
          <w:rFonts w:hint="default" w:ascii="Times New Roman" w:hAnsi="Times New Roman" w:eastAsia="仿宋_GB2312" w:cs="Times New Roman"/>
          <w:color w:val="000000"/>
          <w:spacing w:val="0"/>
          <w:kern w:val="0"/>
          <w:sz w:val="32"/>
          <w:szCs w:val="32"/>
        </w:rPr>
        <w:t>个。建成赫山、安化</w:t>
      </w:r>
      <w:r>
        <w:rPr>
          <w:rFonts w:hint="default" w:ascii="Times New Roman" w:hAnsi="Times New Roman" w:eastAsia="仿宋_GB2312" w:cs="Times New Roman"/>
          <w:color w:val="000000"/>
          <w:spacing w:val="0"/>
          <w:kern w:val="0"/>
          <w:sz w:val="32"/>
          <w:szCs w:val="32"/>
          <w:lang w:eastAsia="zh-CN"/>
        </w:rPr>
        <w:t>、</w:t>
      </w:r>
      <w:r>
        <w:rPr>
          <w:rFonts w:hint="default" w:ascii="Times New Roman" w:hAnsi="Times New Roman" w:eastAsia="仿宋_GB2312" w:cs="Times New Roman"/>
          <w:color w:val="000000"/>
          <w:spacing w:val="0"/>
          <w:sz w:val="32"/>
          <w:szCs w:val="32"/>
          <w:lang w:eastAsia="zh-CN"/>
        </w:rPr>
        <w:t>南</w:t>
      </w:r>
      <w:r>
        <w:rPr>
          <w:rFonts w:hint="default" w:ascii="Times New Roman" w:hAnsi="Times New Roman" w:eastAsia="仿宋_GB2312" w:cs="Times New Roman"/>
          <w:spacing w:val="0"/>
          <w:sz w:val="32"/>
          <w:szCs w:val="32"/>
          <w:lang w:eastAsia="zh-CN"/>
        </w:rPr>
        <w:t>县3个</w:t>
      </w:r>
      <w:r>
        <w:rPr>
          <w:rFonts w:hint="eastAsia" w:ascii="仿宋_GB2312" w:hAnsi="仿宋_GB2312" w:eastAsia="仿宋_GB2312" w:cs="仿宋_GB2312"/>
          <w:color w:val="000000"/>
          <w:spacing w:val="0"/>
          <w:sz w:val="32"/>
          <w:szCs w:val="32"/>
          <w:lang w:eastAsia="zh-CN"/>
        </w:rPr>
        <w:t>县</w:t>
      </w:r>
      <w:r>
        <w:rPr>
          <w:rFonts w:hint="eastAsia" w:ascii="仿宋_GB2312" w:hAnsi="仿宋_GB2312" w:eastAsia="仿宋_GB2312" w:cs="仿宋_GB2312"/>
          <w:spacing w:val="0"/>
          <w:sz w:val="32"/>
          <w:szCs w:val="32"/>
        </w:rPr>
        <w:t>级“一站式”服</w:t>
      </w:r>
      <w:r>
        <w:rPr>
          <w:rFonts w:hint="eastAsia" w:ascii="仿宋_GB2312" w:hAnsi="仿宋_GB2312" w:eastAsia="仿宋_GB2312" w:cs="仿宋_GB2312"/>
          <w:color w:val="000000"/>
          <w:spacing w:val="0"/>
          <w:kern w:val="0"/>
          <w:sz w:val="32"/>
          <w:szCs w:val="32"/>
        </w:rPr>
        <w:t>务平台</w:t>
      </w:r>
      <w:r>
        <w:rPr>
          <w:rFonts w:hint="eastAsia" w:ascii="Times New Roman" w:hAnsi="Times New Roman" w:eastAsia="仿宋_GB2312" w:cs="Times New Roman"/>
          <w:color w:val="000000"/>
          <w:spacing w:val="0"/>
          <w:kern w:val="0"/>
          <w:sz w:val="32"/>
          <w:szCs w:val="32"/>
        </w:rPr>
        <w:t>。获批</w:t>
      </w:r>
      <w:r>
        <w:rPr>
          <w:rFonts w:hint="eastAsia" w:ascii="Times New Roman" w:hAnsi="Times New Roman" w:eastAsia="仿宋_GB2312" w:cs="Times New Roman"/>
          <w:color w:val="000000"/>
          <w:spacing w:val="0"/>
          <w:kern w:val="0"/>
          <w:sz w:val="32"/>
          <w:szCs w:val="32"/>
          <w:lang w:val="en-US" w:eastAsia="zh-CN"/>
        </w:rPr>
        <w:t>2个</w:t>
      </w:r>
      <w:r>
        <w:rPr>
          <w:rFonts w:hint="eastAsia" w:ascii="Times New Roman" w:hAnsi="Times New Roman" w:eastAsia="仿宋_GB2312" w:cs="Times New Roman"/>
          <w:color w:val="000000"/>
          <w:spacing w:val="0"/>
          <w:kern w:val="0"/>
          <w:sz w:val="32"/>
          <w:szCs w:val="32"/>
        </w:rPr>
        <w:t>地方标准制修</w:t>
      </w:r>
      <w:r>
        <w:rPr>
          <w:rFonts w:hint="eastAsia" w:ascii="Times New Roman" w:hAnsi="Times New Roman" w:eastAsia="仿宋_GB2312" w:cs="Times New Roman"/>
          <w:color w:val="000000"/>
          <w:spacing w:val="0"/>
          <w:kern w:val="0"/>
          <w:sz w:val="32"/>
          <w:szCs w:val="32"/>
          <w:lang w:val="en-US" w:eastAsia="zh-CN"/>
        </w:rPr>
        <w:t>订项目、1个省级标准化试点示范项目。沅江大头鱼等5个团体标准批准发布。全市有效认证证书2074张，获证组织740家。</w:t>
      </w:r>
    </w:p>
    <w:p>
      <w:pPr>
        <w:keepNext w:val="0"/>
        <w:keepLines w:val="0"/>
        <w:pageBreakBefore w:val="0"/>
        <w:widowControl w:val="0"/>
        <w:pBdr>
          <w:top w:val="none" w:color="000000" w:sz="0" w:space="0"/>
          <w:left w:val="none" w:color="000000" w:sz="0" w:space="0"/>
          <w:bottom w:val="none" w:color="000000" w:sz="0" w:space="21"/>
          <w:right w:val="none" w:color="000000" w:sz="0" w:space="0"/>
        </w:pBdr>
        <w:kinsoku/>
        <w:wordWrap/>
        <w:overflowPunct/>
        <w:autoSpaceDE/>
        <w:autoSpaceDN w:val="0"/>
        <w:bidi w:val="0"/>
        <w:spacing w:line="600" w:lineRule="exact"/>
        <w:ind w:firstLine="640" w:firstLineChars="200"/>
        <w:textAlignment w:val="auto"/>
        <w:rPr>
          <w:rFonts w:hint="eastAsia" w:ascii="Times New Roman" w:hAnsi="Times New Roman" w:eastAsia="仿宋_GB2312" w:cs="Times New Roman"/>
          <w:color w:val="000000"/>
          <w:spacing w:val="0"/>
          <w:kern w:val="0"/>
          <w:sz w:val="32"/>
          <w:szCs w:val="32"/>
        </w:rPr>
      </w:pPr>
      <w:r>
        <w:rPr>
          <w:rFonts w:hint="eastAsia" w:ascii="仿宋_GB2312" w:hAnsi="仿宋_GB2312" w:eastAsia="仿宋_GB2312" w:cs="仿宋_GB2312"/>
          <w:b/>
          <w:bCs/>
          <w:spacing w:val="0"/>
          <w:sz w:val="32"/>
          <w:szCs w:val="32"/>
          <w:lang w:val="en-US" w:eastAsia="zh-CN"/>
        </w:rPr>
        <w:t>二是</w:t>
      </w:r>
      <w:r>
        <w:rPr>
          <w:rFonts w:hint="eastAsia" w:ascii="仿宋_GB2312" w:hAnsi="仿宋_GB2312" w:eastAsia="仿宋_GB2312" w:cs="仿宋_GB2312"/>
          <w:b/>
          <w:bCs/>
          <w:spacing w:val="0"/>
          <w:sz w:val="32"/>
          <w:szCs w:val="32"/>
        </w:rPr>
        <w:t>强化重点工业产品安全监管。</w:t>
      </w:r>
      <w:r>
        <w:rPr>
          <w:rFonts w:hint="eastAsia" w:ascii="仿宋_GB2312" w:hAnsi="仿宋_GB2312" w:eastAsia="仿宋_GB2312" w:cs="仿宋_GB2312"/>
          <w:spacing w:val="0"/>
          <w:sz w:val="32"/>
          <w:szCs w:val="32"/>
          <w:lang w:val="en-US" w:eastAsia="zh-CN"/>
        </w:rPr>
        <w:t>加强检验检测技术服务，承担棉花公</w:t>
      </w:r>
      <w:r>
        <w:rPr>
          <w:rFonts w:hint="eastAsia" w:ascii="Times New Roman" w:hAnsi="Times New Roman" w:eastAsia="仿宋_GB2312" w:cs="Times New Roman"/>
          <w:color w:val="000000"/>
          <w:spacing w:val="0"/>
          <w:kern w:val="0"/>
          <w:sz w:val="32"/>
          <w:szCs w:val="32"/>
          <w:lang w:val="en-US" w:eastAsia="zh-CN"/>
        </w:rPr>
        <w:t>检20万吨，产品质量检验570余批次，检定强检计量器具7.5万台件。</w:t>
      </w:r>
      <w:r>
        <w:rPr>
          <w:rFonts w:hint="eastAsia" w:ascii="Times New Roman" w:hAnsi="Times New Roman" w:eastAsia="仿宋_GB2312" w:cs="Times New Roman"/>
          <w:color w:val="000000"/>
          <w:spacing w:val="0"/>
          <w:kern w:val="0"/>
          <w:sz w:val="32"/>
          <w:szCs w:val="32"/>
        </w:rPr>
        <w:t>推进产品</w:t>
      </w:r>
      <w:r>
        <w:rPr>
          <w:rFonts w:hint="eastAsia" w:ascii="Times New Roman" w:hAnsi="Times New Roman" w:eastAsia="仿宋_GB2312" w:cs="Times New Roman"/>
          <w:color w:val="000000"/>
          <w:spacing w:val="0"/>
          <w:kern w:val="0"/>
          <w:sz w:val="32"/>
          <w:szCs w:val="32"/>
          <w:lang w:val="en-US" w:eastAsia="zh-CN"/>
        </w:rPr>
        <w:t>质量合格证规范使用，云平台注册生产企业500家,完成率居全省第2。开展危险化学品、成品油、儿童学生用品等专项整治13次，全市产品质量监督抽查合格率95.6%，不合格产品处理完成率100%</w:t>
      </w:r>
      <w:r>
        <w:rPr>
          <w:rFonts w:hint="eastAsia" w:ascii="Times New Roman" w:hAnsi="Times New Roman" w:eastAsia="仿宋_GB2312" w:cs="Times New Roman"/>
          <w:color w:val="000000"/>
          <w:spacing w:val="0"/>
          <w:kern w:val="0"/>
          <w:sz w:val="32"/>
          <w:szCs w:val="32"/>
        </w:rPr>
        <w:t>。</w:t>
      </w:r>
    </w:p>
    <w:p>
      <w:pPr>
        <w:keepNext w:val="0"/>
        <w:keepLines w:val="0"/>
        <w:pageBreakBefore w:val="0"/>
        <w:widowControl w:val="0"/>
        <w:pBdr>
          <w:top w:val="none" w:color="000000" w:sz="0" w:space="0"/>
          <w:left w:val="none" w:color="000000" w:sz="0" w:space="0"/>
          <w:bottom w:val="none" w:color="000000" w:sz="0" w:space="21"/>
          <w:right w:val="none" w:color="000000" w:sz="0" w:space="0"/>
        </w:pBdr>
        <w:kinsoku/>
        <w:wordWrap/>
        <w:overflowPunct/>
        <w:autoSpaceDE/>
        <w:autoSpaceDN w:val="0"/>
        <w:bidi w:val="0"/>
        <w:spacing w:line="600" w:lineRule="exact"/>
        <w:ind w:firstLine="640" w:firstLineChars="200"/>
        <w:textAlignment w:val="auto"/>
        <w:rPr>
          <w:rFonts w:hint="eastAsia" w:ascii="仿宋_GB2312" w:hAnsi="仿宋_GB2312" w:eastAsia="仿宋_GB2312" w:cs="仿宋_GB2312"/>
          <w:spacing w:val="0"/>
          <w:sz w:val="32"/>
          <w:szCs w:val="32"/>
          <w:lang w:eastAsia="zh-CN"/>
        </w:rPr>
      </w:pPr>
      <w:r>
        <w:rPr>
          <w:rFonts w:hint="eastAsia" w:ascii="仿宋_GB2312" w:hAnsi="仿宋_GB2312" w:eastAsia="仿宋_GB2312" w:cs="仿宋_GB2312"/>
          <w:b/>
          <w:bCs/>
          <w:spacing w:val="0"/>
          <w:sz w:val="32"/>
          <w:szCs w:val="32"/>
          <w:lang w:val="en-US" w:eastAsia="zh-CN"/>
        </w:rPr>
        <w:t>三是</w:t>
      </w:r>
      <w:r>
        <w:rPr>
          <w:rFonts w:hint="eastAsia" w:ascii="仿宋_GB2312" w:hAnsi="仿宋_GB2312" w:eastAsia="仿宋_GB2312" w:cs="仿宋_GB2312"/>
          <w:b/>
          <w:bCs/>
          <w:spacing w:val="0"/>
          <w:sz w:val="32"/>
          <w:szCs w:val="32"/>
        </w:rPr>
        <w:t>强化特种设备安全监管。</w:t>
      </w:r>
      <w:r>
        <w:rPr>
          <w:rFonts w:hint="eastAsia" w:ascii="仿宋_GB2312" w:hAnsi="仿宋_GB2312" w:eastAsia="仿宋_GB2312" w:cs="仿宋_GB2312"/>
          <w:spacing w:val="0"/>
          <w:sz w:val="32"/>
          <w:szCs w:val="32"/>
          <w:lang w:eastAsia="zh-CN"/>
        </w:rPr>
        <w:t>深入开展电梯、压力容器等专项整治，</w:t>
      </w:r>
      <w:r>
        <w:rPr>
          <w:rFonts w:hint="eastAsia" w:ascii="仿宋_GB2312" w:hAnsi="仿宋_GB2312" w:eastAsia="仿宋_GB2312" w:cs="仿宋_GB2312"/>
          <w:spacing w:val="0"/>
          <w:sz w:val="32"/>
          <w:szCs w:val="32"/>
          <w:lang w:val="en-US" w:eastAsia="zh-CN"/>
        </w:rPr>
        <w:t>下达安全监察指</w:t>
      </w:r>
      <w:r>
        <w:rPr>
          <w:rFonts w:hint="eastAsia" w:ascii="Times New Roman" w:hAnsi="Times New Roman" w:eastAsia="仿宋_GB2312" w:cs="Times New Roman"/>
          <w:color w:val="000000"/>
          <w:spacing w:val="0"/>
          <w:kern w:val="0"/>
          <w:sz w:val="32"/>
          <w:szCs w:val="32"/>
          <w:lang w:val="en-US" w:eastAsia="zh-CN"/>
        </w:rPr>
        <w:t>令1230份，立案101起，封停设备32台，其中典型案例13起，媒体公开曝光案例98起，倒逼企业落实主体责任。创新智慧监管，升级电梯应急救援处置服务平台和智慧气瓶监管平台，在用电梯信息化监管率92%，78家气瓶充装单位120多万只气瓶在全省率先实现质量安全追溯管</w:t>
      </w:r>
      <w:r>
        <w:rPr>
          <w:rFonts w:hint="eastAsia" w:ascii="Times New Roman" w:hAnsi="Times New Roman" w:eastAsia="仿宋_GB2312" w:cs="Times New Roman"/>
          <w:color w:val="000000"/>
          <w:spacing w:val="0"/>
          <w:kern w:val="0"/>
          <w:sz w:val="32"/>
          <w:szCs w:val="32"/>
        </w:rPr>
        <w:t>理。</w:t>
      </w:r>
      <w:r>
        <w:rPr>
          <w:rFonts w:hint="eastAsia" w:ascii="Times New Roman" w:hAnsi="Times New Roman" w:eastAsia="仿宋_GB2312" w:cs="Times New Roman"/>
          <w:color w:val="000000"/>
          <w:spacing w:val="0"/>
          <w:kern w:val="0"/>
          <w:sz w:val="32"/>
          <w:szCs w:val="32"/>
          <w:lang w:val="en-US" w:eastAsia="zh-CN"/>
        </w:rPr>
        <w:t>重点特种设备使用单位抽查完成率100%，</w:t>
      </w:r>
      <w:r>
        <w:rPr>
          <w:rFonts w:hint="eastAsia" w:ascii="Times New Roman" w:hAnsi="Times New Roman" w:eastAsia="仿宋_GB2312" w:cs="Times New Roman"/>
          <w:color w:val="000000"/>
          <w:spacing w:val="0"/>
          <w:kern w:val="0"/>
          <w:sz w:val="32"/>
          <w:szCs w:val="32"/>
          <w:lang w:eastAsia="zh-CN"/>
        </w:rPr>
        <w:t>全</w:t>
      </w:r>
      <w:r>
        <w:rPr>
          <w:rFonts w:hint="eastAsia" w:ascii="仿宋_GB2312" w:hAnsi="仿宋_GB2312" w:eastAsia="仿宋_GB2312" w:cs="仿宋_GB2312"/>
          <w:spacing w:val="0"/>
          <w:sz w:val="32"/>
          <w:szCs w:val="32"/>
          <w:lang w:eastAsia="zh-CN"/>
        </w:rPr>
        <w:t>市在用电梯投保率、特种设备安全责任保险任务完成率全省领先。市局获评全省特种</w:t>
      </w:r>
      <w:r>
        <w:rPr>
          <w:rFonts w:hint="eastAsia" w:ascii="仿宋_GB2312" w:hAnsi="仿宋_GB2312" w:eastAsia="仿宋_GB2312" w:cs="仿宋_GB2312"/>
          <w:color w:val="auto"/>
          <w:spacing w:val="0"/>
          <w:sz w:val="32"/>
          <w:szCs w:val="32"/>
          <w:lang w:eastAsia="zh-CN"/>
        </w:rPr>
        <w:t>设备</w:t>
      </w:r>
      <w:r>
        <w:rPr>
          <w:rFonts w:hint="eastAsia" w:ascii="仿宋_GB2312" w:hAnsi="仿宋_GB2312" w:eastAsia="仿宋_GB2312" w:cs="仿宋_GB2312"/>
          <w:spacing w:val="0"/>
          <w:sz w:val="32"/>
          <w:szCs w:val="32"/>
          <w:lang w:eastAsia="zh-CN"/>
        </w:rPr>
        <w:t>安全监察先进单位。</w:t>
      </w:r>
    </w:p>
    <w:p>
      <w:pPr>
        <w:keepNext w:val="0"/>
        <w:keepLines w:val="0"/>
        <w:pageBreakBefore w:val="0"/>
        <w:widowControl w:val="0"/>
        <w:pBdr>
          <w:top w:val="none" w:color="000000" w:sz="0" w:space="0"/>
          <w:left w:val="none" w:color="000000" w:sz="0" w:space="0"/>
          <w:bottom w:val="none" w:color="000000" w:sz="0" w:space="21"/>
          <w:right w:val="none" w:color="000000" w:sz="0" w:space="0"/>
        </w:pBdr>
        <w:kinsoku/>
        <w:wordWrap/>
        <w:overflowPunct/>
        <w:autoSpaceDE/>
        <w:autoSpaceDN w:val="0"/>
        <w:bidi w:val="0"/>
        <w:spacing w:line="600" w:lineRule="exact"/>
        <w:ind w:firstLine="640" w:firstLineChars="200"/>
        <w:textAlignment w:val="auto"/>
        <w:rPr>
          <w:rFonts w:hint="eastAsia" w:ascii="Times New Roman" w:hAnsi="Times New Roman" w:eastAsia="仿宋_GB2312" w:cs="Times New Roman"/>
          <w:color w:val="000000"/>
          <w:spacing w:val="0"/>
          <w:kern w:val="0"/>
          <w:sz w:val="32"/>
          <w:szCs w:val="32"/>
          <w:lang w:val="en-US" w:eastAsia="zh-CN"/>
        </w:rPr>
      </w:pPr>
      <w:r>
        <w:rPr>
          <w:rStyle w:val="14"/>
          <w:rFonts w:hint="eastAsia" w:ascii="仿宋_GB2312" w:hAnsi="仿宋_GB2312" w:eastAsia="仿宋_GB2312" w:cs="仿宋_GB2312"/>
          <w:b/>
          <w:bCs/>
          <w:color w:val="000000"/>
          <w:szCs w:val="32"/>
        </w:rPr>
        <w:t>四是交通顽瘴痼疾整治和涉环监管得到加强。</w:t>
      </w:r>
      <w:r>
        <w:rPr>
          <w:rFonts w:hint="eastAsia" w:ascii="仿宋_GB2312" w:hAnsi="仿宋_GB2312" w:eastAsia="仿宋_GB2312" w:cs="仿宋_GB2312"/>
          <w:color w:val="000000"/>
          <w:szCs w:val="32"/>
        </w:rPr>
        <w:t>开展低速三四轮电动车、非法改装车辆、车检机构专项检查整治，</w:t>
      </w:r>
      <w:r>
        <w:rPr>
          <w:rFonts w:hint="eastAsia" w:ascii="仿宋_GB2312" w:hAnsi="仿宋_GB2312" w:eastAsia="仿宋_GB2312" w:cs="仿宋_GB2312"/>
          <w:color w:val="000000"/>
          <w:kern w:val="0"/>
          <w:szCs w:val="32"/>
        </w:rPr>
        <w:t>加大交通顽瘴痼疾问题执法力度，</w:t>
      </w:r>
      <w:r>
        <w:rPr>
          <w:rFonts w:hint="eastAsia" w:ascii="仿宋_GB2312" w:hAnsi="仿宋_GB2312" w:eastAsia="仿宋_GB2312" w:cs="仿宋_GB2312"/>
          <w:color w:val="000000"/>
          <w:sz w:val="32"/>
          <w:szCs w:val="32"/>
          <w:lang w:eastAsia="zh-CN"/>
        </w:rPr>
        <w:t>今年办结相关违法行为案件</w:t>
      </w:r>
      <w:r>
        <w:rPr>
          <w:rFonts w:hint="eastAsia" w:ascii="仿宋_GB2312" w:hAnsi="仿宋_GB2312" w:eastAsia="仿宋_GB2312" w:cs="仿宋_GB2312"/>
          <w:color w:val="000000"/>
          <w:sz w:val="32"/>
          <w:szCs w:val="32"/>
          <w:lang w:val="en-US" w:eastAsia="zh-CN"/>
        </w:rPr>
        <w:t>405起，</w:t>
      </w:r>
      <w:r>
        <w:rPr>
          <w:rFonts w:hint="eastAsia" w:ascii="仿宋_GB2312" w:hAnsi="仿宋_GB2312" w:eastAsia="仿宋_GB2312" w:cs="仿宋_GB2312"/>
          <w:sz w:val="32"/>
          <w:szCs w:val="32"/>
          <w:lang w:val="en-US" w:eastAsia="zh-CN"/>
        </w:rPr>
        <w:t>其中车辆生产销售源头治</w:t>
      </w:r>
      <w:r>
        <w:rPr>
          <w:rFonts w:hint="eastAsia" w:ascii="Times New Roman" w:hAnsi="Times New Roman" w:eastAsia="仿宋_GB2312" w:cs="Times New Roman"/>
          <w:color w:val="000000"/>
          <w:spacing w:val="0"/>
          <w:kern w:val="0"/>
          <w:sz w:val="32"/>
          <w:szCs w:val="32"/>
          <w:lang w:val="en-US" w:eastAsia="zh-CN"/>
        </w:rPr>
        <w:t>理案件79起</w:t>
      </w:r>
      <w:r>
        <w:rPr>
          <w:rFonts w:hint="eastAsia" w:ascii="仿宋_GB2312" w:hAnsi="仿宋_GB2312" w:eastAsia="仿宋_GB2312" w:cs="仿宋_GB2312"/>
          <w:sz w:val="32"/>
          <w:szCs w:val="32"/>
          <w:lang w:val="en-US" w:eastAsia="zh-CN"/>
        </w:rPr>
        <w:t>，销售“底盘车辆”及生产厂家违反一致性规定</w:t>
      </w:r>
      <w:r>
        <w:rPr>
          <w:rFonts w:hint="eastAsia" w:ascii="Times New Roman" w:hAnsi="Times New Roman" w:eastAsia="仿宋_GB2312" w:cs="Times New Roman"/>
          <w:color w:val="000000"/>
          <w:spacing w:val="0"/>
          <w:kern w:val="0"/>
          <w:sz w:val="32"/>
          <w:szCs w:val="32"/>
          <w:lang w:val="en-US" w:eastAsia="zh-CN"/>
        </w:rPr>
        <w:t>案件63起，</w:t>
      </w:r>
      <w:r>
        <w:rPr>
          <w:rFonts w:hint="eastAsia" w:ascii="仿宋_GB2312" w:hAnsi="仿宋_GB2312" w:eastAsia="仿宋_GB2312" w:cs="仿宋_GB2312"/>
          <w:sz w:val="32"/>
          <w:szCs w:val="32"/>
          <w:lang w:val="en-US" w:eastAsia="zh-CN"/>
        </w:rPr>
        <w:t>非法改装“黑窝点”案件74起，车辆检验环节违法违规情况</w:t>
      </w:r>
      <w:r>
        <w:rPr>
          <w:rFonts w:hint="eastAsia" w:ascii="Times New Roman" w:hAnsi="Times New Roman" w:eastAsia="仿宋_GB2312" w:cs="Times New Roman"/>
          <w:color w:val="000000"/>
          <w:spacing w:val="0"/>
          <w:kern w:val="0"/>
          <w:sz w:val="32"/>
          <w:szCs w:val="32"/>
          <w:lang w:val="en-US" w:eastAsia="zh-CN"/>
        </w:rPr>
        <w:t>案件25起，报废机动车回收拆解环节监管案件45起，生产销售改装、非标的摩托车、电动自行车</w:t>
      </w:r>
      <w:r>
        <w:rPr>
          <w:rFonts w:hint="eastAsia" w:ascii="Times New Roman" w:hAnsi="Times New Roman" w:cs="Times New Roman"/>
          <w:color w:val="000000"/>
          <w:spacing w:val="0"/>
          <w:kern w:val="0"/>
          <w:sz w:val="32"/>
          <w:szCs w:val="32"/>
          <w:lang w:val="en-US" w:eastAsia="zh-CN"/>
        </w:rPr>
        <w:t>（</w:t>
      </w:r>
      <w:r>
        <w:rPr>
          <w:rFonts w:hint="eastAsia" w:ascii="Times New Roman" w:hAnsi="Times New Roman" w:eastAsia="仿宋_GB2312" w:cs="Times New Roman"/>
          <w:color w:val="000000"/>
          <w:spacing w:val="0"/>
          <w:kern w:val="0"/>
          <w:sz w:val="32"/>
          <w:szCs w:val="32"/>
          <w:lang w:val="en-US" w:eastAsia="zh-CN"/>
        </w:rPr>
        <w:t>含超标车</w:t>
      </w:r>
      <w:r>
        <w:rPr>
          <w:rFonts w:hint="eastAsia" w:ascii="Times New Roman" w:hAnsi="Times New Roman" w:cs="Times New Roman"/>
          <w:color w:val="000000"/>
          <w:spacing w:val="0"/>
          <w:kern w:val="0"/>
          <w:sz w:val="32"/>
          <w:szCs w:val="32"/>
          <w:lang w:val="en-US" w:eastAsia="zh-CN"/>
        </w:rPr>
        <w:t>）</w:t>
      </w:r>
      <w:r>
        <w:rPr>
          <w:rFonts w:hint="eastAsia" w:ascii="Times New Roman" w:hAnsi="Times New Roman" w:eastAsia="仿宋_GB2312" w:cs="Times New Roman"/>
          <w:color w:val="000000"/>
          <w:spacing w:val="0"/>
          <w:kern w:val="0"/>
          <w:sz w:val="32"/>
          <w:szCs w:val="32"/>
          <w:lang w:val="en-US" w:eastAsia="zh-CN"/>
        </w:rPr>
        <w:t xml:space="preserve">，非法加装伞具案件119起对违反市场监管领域相关法律法规的行为形成了有力震慑。 </w:t>
      </w:r>
    </w:p>
    <w:p>
      <w:pPr>
        <w:keepNext w:val="0"/>
        <w:keepLines w:val="0"/>
        <w:pageBreakBefore w:val="0"/>
        <w:widowControl w:val="0"/>
        <w:pBdr>
          <w:top w:val="none" w:color="000000" w:sz="0" w:space="0"/>
          <w:left w:val="none" w:color="000000" w:sz="0" w:space="0"/>
          <w:bottom w:val="none" w:color="000000" w:sz="0" w:space="21"/>
          <w:right w:val="none" w:color="000000" w:sz="0" w:space="0"/>
        </w:pBdr>
        <w:kinsoku/>
        <w:wordWrap/>
        <w:overflowPunct/>
        <w:autoSpaceDE/>
        <w:autoSpaceDN w:val="0"/>
        <w:bidi w:val="0"/>
        <w:spacing w:line="600" w:lineRule="exact"/>
        <w:ind w:firstLine="640" w:firstLineChars="200"/>
        <w:textAlignment w:val="auto"/>
        <w:rPr>
          <w:rFonts w:hint="eastAsia" w:ascii="仿宋_GB2312" w:hAnsi="仿宋_GB2312" w:eastAsia="仿宋_GB2312" w:cs="仿宋_GB2312"/>
          <w:szCs w:val="32"/>
        </w:rPr>
      </w:pPr>
      <w:r>
        <w:rPr>
          <w:rFonts w:hint="eastAsia" w:ascii="仿宋_GB2312" w:hAnsi="仿宋_GB2312" w:eastAsia="仿宋_GB2312" w:cs="仿宋_GB2312"/>
          <w:szCs w:val="32"/>
          <w:lang w:val="en-US" w:eastAsia="zh-CN"/>
        </w:rPr>
        <w:t>开展</w:t>
      </w:r>
      <w:r>
        <w:rPr>
          <w:rFonts w:hint="eastAsia" w:ascii="仿宋_GB2312" w:hAnsi="仿宋_GB2312" w:eastAsia="仿宋_GB2312" w:cs="仿宋_GB2312"/>
          <w:szCs w:val="32"/>
        </w:rPr>
        <w:t>洗涤用品专项</w:t>
      </w:r>
      <w:r>
        <w:rPr>
          <w:rFonts w:hint="eastAsia" w:ascii="Times New Roman" w:hAnsi="Times New Roman" w:eastAsia="仿宋_GB2312" w:cs="Times New Roman"/>
          <w:color w:val="000000"/>
          <w:spacing w:val="0"/>
          <w:kern w:val="0"/>
          <w:sz w:val="32"/>
          <w:szCs w:val="32"/>
        </w:rPr>
        <w:t>抽检</w:t>
      </w:r>
      <w:r>
        <w:rPr>
          <w:rFonts w:hint="eastAsia" w:ascii="Times New Roman" w:hAnsi="Times New Roman" w:eastAsia="仿宋_GB2312" w:cs="Times New Roman"/>
          <w:color w:val="000000"/>
          <w:spacing w:val="0"/>
          <w:kern w:val="0"/>
          <w:sz w:val="32"/>
          <w:szCs w:val="32"/>
          <w:lang w:val="en-US" w:eastAsia="zh-CN"/>
        </w:rPr>
        <w:t>260</w:t>
      </w:r>
      <w:r>
        <w:rPr>
          <w:rFonts w:hint="eastAsia" w:ascii="Times New Roman" w:hAnsi="Times New Roman" w:eastAsia="仿宋_GB2312" w:cs="Times New Roman"/>
          <w:color w:val="000000"/>
          <w:spacing w:val="0"/>
          <w:kern w:val="0"/>
          <w:sz w:val="32"/>
          <w:szCs w:val="32"/>
        </w:rPr>
        <w:t>批次</w:t>
      </w:r>
      <w:r>
        <w:rPr>
          <w:rFonts w:hint="eastAsia" w:ascii="仿宋_GB2312" w:hAnsi="仿宋_GB2312" w:eastAsia="仿宋_GB2312" w:cs="仿宋_GB2312"/>
          <w:szCs w:val="32"/>
        </w:rPr>
        <w:t>。大通湖流域全面禁止生产销售含磷洗涤用品。市建成区连续三年没有燃煤锅炉污染源，全面禁止烟花爆竹市场准入。</w:t>
      </w:r>
    </w:p>
    <w:p>
      <w:pPr>
        <w:keepNext w:val="0"/>
        <w:keepLines w:val="0"/>
        <w:pageBreakBefore w:val="0"/>
        <w:widowControl w:val="0"/>
        <w:pBdr>
          <w:top w:val="none" w:color="000000" w:sz="0" w:space="0"/>
          <w:left w:val="none" w:color="000000" w:sz="0" w:space="0"/>
          <w:bottom w:val="none" w:color="000000" w:sz="0" w:space="21"/>
          <w:right w:val="none" w:color="000000" w:sz="0" w:space="0"/>
        </w:pBdr>
        <w:kinsoku/>
        <w:wordWrap/>
        <w:overflowPunct/>
        <w:autoSpaceDE/>
        <w:autoSpaceDN w:val="0"/>
        <w:bidi w:val="0"/>
        <w:spacing w:line="600" w:lineRule="exact"/>
        <w:ind w:firstLine="640" w:firstLineChars="200"/>
        <w:textAlignment w:val="auto"/>
        <w:rPr>
          <w:rFonts w:hint="eastAsia" w:ascii="仿宋_GB2312" w:hAnsi="仿宋_GB2312" w:eastAsia="仿宋_GB2312" w:cs="仿宋_GB2312"/>
          <w:szCs w:val="32"/>
        </w:rPr>
      </w:pPr>
      <w:r>
        <w:rPr>
          <w:rFonts w:hint="eastAsia" w:ascii="Times New Roman" w:hAnsi="Times New Roman" w:eastAsia="仿宋_GB2312" w:cs="Times New Roman"/>
          <w:color w:val="000000"/>
          <w:spacing w:val="0"/>
          <w:kern w:val="0"/>
          <w:sz w:val="32"/>
          <w:szCs w:val="32"/>
          <w:lang w:eastAsia="zh-CN"/>
        </w:rPr>
        <w:t>2022年</w:t>
      </w:r>
      <w:r>
        <w:rPr>
          <w:rFonts w:hint="eastAsia" w:ascii="Times New Roman" w:hAnsi="Times New Roman" w:eastAsia="仿宋_GB2312" w:cs="Times New Roman"/>
          <w:color w:val="000000"/>
          <w:spacing w:val="0"/>
          <w:kern w:val="0"/>
          <w:sz w:val="32"/>
          <w:szCs w:val="32"/>
        </w:rPr>
        <w:t>共使用质量监管专项</w:t>
      </w:r>
      <w:r>
        <w:rPr>
          <w:rFonts w:hint="eastAsia" w:ascii="Times New Roman" w:hAnsi="Times New Roman" w:eastAsia="仿宋_GB2312" w:cs="Times New Roman"/>
          <w:color w:val="000000"/>
          <w:spacing w:val="0"/>
          <w:kern w:val="0"/>
          <w:sz w:val="32"/>
          <w:szCs w:val="32"/>
          <w:lang w:val="en-US" w:eastAsia="zh-CN"/>
        </w:rPr>
        <w:t>168</w:t>
      </w:r>
      <w:r>
        <w:rPr>
          <w:rFonts w:hint="eastAsia" w:ascii="Times New Roman" w:hAnsi="Times New Roman" w:eastAsia="仿宋_GB2312" w:cs="Times New Roman"/>
          <w:color w:val="000000"/>
          <w:spacing w:val="0"/>
          <w:kern w:val="0"/>
          <w:sz w:val="32"/>
          <w:szCs w:val="32"/>
        </w:rPr>
        <w:t>万</w:t>
      </w:r>
      <w:r>
        <w:rPr>
          <w:rFonts w:hint="eastAsia" w:ascii="仿宋_GB2312" w:hAnsi="仿宋_GB2312" w:eastAsia="仿宋_GB2312" w:cs="仿宋_GB2312"/>
          <w:szCs w:val="32"/>
        </w:rPr>
        <w:t>元，产商品质量安全抽检、</w:t>
      </w:r>
      <w:r>
        <w:rPr>
          <w:rFonts w:hint="eastAsia" w:ascii="仿宋_GB2312" w:hAnsi="仿宋_GB2312" w:eastAsia="仿宋_GB2312" w:cs="仿宋_GB2312"/>
          <w:szCs w:val="32"/>
          <w:lang w:val="en-US" w:eastAsia="zh-CN"/>
        </w:rPr>
        <w:t>全省质量月启动仪式活动</w:t>
      </w:r>
      <w:r>
        <w:rPr>
          <w:rFonts w:hint="eastAsia" w:ascii="仿宋_GB2312" w:hAnsi="仿宋_GB2312" w:eastAsia="仿宋_GB2312" w:cs="仿宋_GB2312"/>
          <w:szCs w:val="32"/>
        </w:rPr>
        <w:t>、</w:t>
      </w:r>
      <w:r>
        <w:rPr>
          <w:rFonts w:hint="eastAsia" w:ascii="仿宋_GB2312" w:hAnsi="仿宋_GB2312" w:eastAsia="仿宋_GB2312" w:cs="仿宋_GB2312"/>
          <w:szCs w:val="32"/>
          <w:lang w:val="en-US" w:eastAsia="zh-CN"/>
        </w:rPr>
        <w:t>质量大讲堂、</w:t>
      </w:r>
      <w:r>
        <w:rPr>
          <w:rFonts w:hint="eastAsia" w:ascii="仿宋_GB2312" w:hAnsi="仿宋_GB2312" w:eastAsia="仿宋_GB2312" w:cs="仿宋_GB2312"/>
          <w:szCs w:val="32"/>
        </w:rPr>
        <w:t>市长质量奖评审、特种设备</w:t>
      </w:r>
      <w:r>
        <w:rPr>
          <w:rFonts w:hint="eastAsia" w:ascii="仿宋_GB2312" w:hAnsi="仿宋_GB2312" w:eastAsia="仿宋_GB2312" w:cs="仿宋_GB2312"/>
          <w:szCs w:val="32"/>
          <w:lang w:val="en-US" w:eastAsia="zh-CN"/>
        </w:rPr>
        <w:t>维护和</w:t>
      </w:r>
      <w:r>
        <w:rPr>
          <w:rFonts w:hint="eastAsia" w:ascii="仿宋_GB2312" w:hAnsi="仿宋_GB2312" w:eastAsia="仿宋_GB2312" w:cs="仿宋_GB2312"/>
          <w:szCs w:val="32"/>
        </w:rPr>
        <w:t>应急救援服务、认证与认可监管，计量、标准化等方面支出。各项工作以争先创优的决心完成，在深化质量管理改革创新、深入推进质量提升行动、强化质量基础“一站式”服务、推动“益阳产品”向“益阳品牌”跨越、推动制造产业向价值链中高端跃升上跨出了新台阶。</w:t>
      </w:r>
      <w:r>
        <w:rPr>
          <w:rFonts w:hint="eastAsia" w:ascii="仿宋_GB2312" w:hAnsi="仿宋_GB2312" w:eastAsia="仿宋_GB2312" w:cs="仿宋_GB2312"/>
          <w:szCs w:val="32"/>
          <w:lang w:val="en-US" w:eastAsia="zh-CN"/>
        </w:rPr>
        <w:t>市局</w:t>
      </w:r>
      <w:r>
        <w:rPr>
          <w:rFonts w:hint="eastAsia" w:ascii="仿宋_GB2312" w:hAnsi="仿宋_GB2312" w:eastAsia="仿宋_GB2312" w:cs="仿宋_GB2312"/>
          <w:spacing w:val="0"/>
          <w:sz w:val="32"/>
          <w:szCs w:val="32"/>
          <w:lang w:val="en-US" w:eastAsia="zh-CN"/>
        </w:rPr>
        <w:t>列入国务院</w:t>
      </w:r>
      <w:r>
        <w:rPr>
          <w:rFonts w:hint="eastAsia" w:ascii="Times New Roman" w:hAnsi="Times New Roman" w:eastAsia="仿宋_GB2312" w:cs="Times New Roman"/>
          <w:color w:val="000000"/>
          <w:spacing w:val="0"/>
          <w:kern w:val="0"/>
          <w:sz w:val="32"/>
          <w:szCs w:val="32"/>
          <w:lang w:val="en-US" w:eastAsia="zh-CN"/>
        </w:rPr>
        <w:t>2022年度</w:t>
      </w:r>
      <w:r>
        <w:rPr>
          <w:rFonts w:hint="eastAsia" w:ascii="仿宋_GB2312" w:hAnsi="仿宋_GB2312" w:eastAsia="仿宋_GB2312" w:cs="仿宋_GB2312"/>
          <w:spacing w:val="0"/>
          <w:sz w:val="32"/>
          <w:szCs w:val="32"/>
          <w:lang w:val="en-US" w:eastAsia="zh-CN"/>
        </w:rPr>
        <w:t>质量工作真抓实干督查激励公示名单。</w:t>
      </w:r>
    </w:p>
    <w:p>
      <w:pPr>
        <w:keepNext w:val="0"/>
        <w:keepLines w:val="0"/>
        <w:pageBreakBefore w:val="0"/>
        <w:widowControl w:val="0"/>
        <w:pBdr>
          <w:top w:val="none" w:color="000000" w:sz="0" w:space="0"/>
          <w:left w:val="none" w:color="000000" w:sz="0" w:space="0"/>
          <w:bottom w:val="none" w:color="000000" w:sz="0" w:space="21"/>
          <w:right w:val="none" w:color="000000" w:sz="0" w:space="0"/>
        </w:pBdr>
        <w:kinsoku/>
        <w:wordWrap/>
        <w:overflowPunct/>
        <w:autoSpaceDE/>
        <w:autoSpaceDN w:val="0"/>
        <w:bidi w:val="0"/>
        <w:spacing w:line="600" w:lineRule="exact"/>
        <w:ind w:firstLine="640" w:firstLineChars="200"/>
        <w:textAlignment w:val="auto"/>
        <w:rPr>
          <w:rFonts w:hint="eastAsia" w:ascii="楷体_GB2312" w:hAnsi="楷体_GB2312" w:eastAsia="楷体_GB2312" w:cs="楷体_GB2312"/>
          <w:b/>
          <w:color w:val="000000"/>
          <w:szCs w:val="32"/>
        </w:rPr>
      </w:pPr>
      <w:r>
        <w:rPr>
          <w:rFonts w:hint="eastAsia" w:ascii="楷体_GB2312" w:hAnsi="楷体_GB2312" w:eastAsia="楷体_GB2312" w:cs="楷体_GB2312"/>
          <w:b/>
          <w:color w:val="000000"/>
          <w:szCs w:val="32"/>
        </w:rPr>
        <w:t>（五）</w:t>
      </w:r>
      <w:r>
        <w:rPr>
          <w:rFonts w:hint="eastAsia" w:ascii="楷体_GB2312" w:hAnsi="楷体_GB2312" w:eastAsia="楷体_GB2312" w:cs="楷体_GB2312"/>
          <w:b/>
          <w:color w:val="000000"/>
          <w:szCs w:val="32"/>
          <w:lang w:val="en-US" w:eastAsia="zh-CN"/>
        </w:rPr>
        <w:t>严格落实</w:t>
      </w:r>
      <w:r>
        <w:rPr>
          <w:rFonts w:hint="eastAsia" w:ascii="楷体_GB2312" w:hAnsi="楷体_GB2312" w:eastAsia="楷体_GB2312" w:cs="楷体_GB2312"/>
          <w:b/>
          <w:color w:val="000000"/>
          <w:szCs w:val="32"/>
          <w:lang w:eastAsia="zh-CN"/>
        </w:rPr>
        <w:t>“</w:t>
      </w:r>
      <w:r>
        <w:rPr>
          <w:rFonts w:hint="eastAsia" w:ascii="楷体_GB2312" w:hAnsi="楷体_GB2312" w:eastAsia="楷体_GB2312" w:cs="楷体_GB2312"/>
          <w:b/>
          <w:color w:val="000000"/>
          <w:szCs w:val="32"/>
          <w:lang w:val="en-US" w:eastAsia="zh-CN"/>
        </w:rPr>
        <w:t>四个最严</w:t>
      </w:r>
      <w:r>
        <w:rPr>
          <w:rFonts w:hint="eastAsia" w:ascii="楷体_GB2312" w:hAnsi="楷体_GB2312" w:eastAsia="楷体_GB2312" w:cs="楷体_GB2312"/>
          <w:b/>
          <w:color w:val="000000"/>
          <w:szCs w:val="32"/>
          <w:lang w:eastAsia="zh-CN"/>
        </w:rPr>
        <w:t>”</w:t>
      </w:r>
      <w:r>
        <w:rPr>
          <w:rFonts w:hint="eastAsia" w:ascii="楷体_GB2312" w:hAnsi="楷体_GB2312" w:eastAsia="楷体_GB2312" w:cs="楷体_GB2312"/>
          <w:b/>
          <w:color w:val="000000"/>
          <w:szCs w:val="32"/>
          <w:lang w:val="en-US" w:eastAsia="zh-CN"/>
        </w:rPr>
        <w:t>要求</w:t>
      </w:r>
      <w:r>
        <w:rPr>
          <w:rFonts w:hint="eastAsia" w:ascii="楷体_GB2312" w:hAnsi="楷体_GB2312" w:eastAsia="楷体_GB2312" w:cs="楷体_GB2312"/>
          <w:b/>
          <w:color w:val="000000"/>
          <w:szCs w:val="32"/>
        </w:rPr>
        <w:t>，</w:t>
      </w:r>
      <w:r>
        <w:rPr>
          <w:rFonts w:hint="eastAsia" w:ascii="楷体_GB2312" w:hAnsi="楷体_GB2312" w:eastAsia="楷体_GB2312" w:cs="楷体_GB2312"/>
          <w:b/>
          <w:color w:val="000000"/>
          <w:szCs w:val="32"/>
          <w:lang w:eastAsia="zh-CN"/>
        </w:rPr>
        <w:t>维护食品安全稳定</w:t>
      </w:r>
      <w:r>
        <w:rPr>
          <w:rFonts w:hint="eastAsia" w:ascii="楷体_GB2312" w:hAnsi="楷体_GB2312" w:eastAsia="楷体_GB2312" w:cs="楷体_GB2312"/>
          <w:b/>
          <w:color w:val="000000"/>
          <w:szCs w:val="32"/>
        </w:rPr>
        <w:t>。</w:t>
      </w:r>
    </w:p>
    <w:p>
      <w:pPr>
        <w:keepNext w:val="0"/>
        <w:keepLines w:val="0"/>
        <w:pageBreakBefore w:val="0"/>
        <w:widowControl w:val="0"/>
        <w:pBdr>
          <w:top w:val="none" w:color="000000" w:sz="0" w:space="0"/>
          <w:left w:val="none" w:color="000000" w:sz="0" w:space="0"/>
          <w:bottom w:val="none" w:color="000000" w:sz="0" w:space="21"/>
          <w:right w:val="none" w:color="000000" w:sz="0" w:space="0"/>
        </w:pBdr>
        <w:kinsoku/>
        <w:wordWrap/>
        <w:overflowPunct/>
        <w:autoSpaceDE/>
        <w:autoSpaceDN w:val="0"/>
        <w:bidi w:val="0"/>
        <w:spacing w:line="600" w:lineRule="exact"/>
        <w:ind w:firstLine="640" w:firstLineChars="200"/>
        <w:textAlignment w:val="auto"/>
        <w:rPr>
          <w:rFonts w:hint="eastAsia" w:ascii="Times New Roman" w:hAnsi="Times New Roman" w:eastAsia="仿宋_GB2312" w:cs="Times New Roman"/>
          <w:bCs/>
          <w:sz w:val="32"/>
          <w:szCs w:val="32"/>
          <w:lang w:val="en-US" w:eastAsia="zh-CN"/>
        </w:rPr>
      </w:pPr>
      <w:r>
        <w:rPr>
          <w:b/>
          <w:bCs/>
          <w:szCs w:val="32"/>
        </w:rPr>
        <w:t>一是</w:t>
      </w:r>
      <w:r>
        <w:rPr>
          <w:rFonts w:hint="eastAsia"/>
          <w:b/>
          <w:bCs/>
          <w:szCs w:val="32"/>
          <w:lang w:val="en-US" w:eastAsia="zh-CN"/>
        </w:rPr>
        <w:t>防范重大食品安全风险取得明显进展。</w:t>
      </w:r>
      <w:r>
        <w:rPr>
          <w:rFonts w:hint="eastAsia" w:ascii="仿宋_GB2312" w:hAnsi="仿宋_GB2312" w:eastAsia="仿宋_GB2312" w:cs="仿宋_GB2312"/>
          <w:color w:val="000000"/>
          <w:sz w:val="32"/>
          <w:szCs w:val="32"/>
          <w:lang w:val="en-US" w:eastAsia="zh-CN"/>
        </w:rPr>
        <w:t>大米方面：以“百日”整治专项检查、夜间突击检查、风险隐患治理“回头看”为主要内容开展大米质量安全提升行动。</w:t>
      </w:r>
      <w:r>
        <w:rPr>
          <w:rFonts w:hint="default" w:ascii="Times New Roman" w:hAnsi="Times New Roman" w:eastAsia="仿宋_GB2312" w:cs="Times New Roman"/>
          <w:color w:val="000000"/>
          <w:sz w:val="32"/>
          <w:szCs w:val="32"/>
          <w:lang w:val="en-US" w:eastAsia="zh-CN"/>
        </w:rPr>
        <w:t>全市</w:t>
      </w:r>
      <w:r>
        <w:rPr>
          <w:rFonts w:hint="eastAsia" w:ascii="Times New Roman" w:hAnsi="Times New Roman" w:eastAsia="仿宋_GB2312" w:cs="Times New Roman"/>
          <w:color w:val="000000"/>
          <w:sz w:val="32"/>
          <w:szCs w:val="32"/>
          <w:lang w:val="en-US" w:eastAsia="zh-CN"/>
        </w:rPr>
        <w:t>194家</w:t>
      </w:r>
      <w:r>
        <w:rPr>
          <w:rFonts w:hint="default" w:ascii="Times New Roman" w:hAnsi="Times New Roman" w:eastAsia="仿宋_GB2312" w:cs="Times New Roman"/>
          <w:color w:val="000000"/>
          <w:kern w:val="0"/>
          <w:sz w:val="32"/>
          <w:szCs w:val="32"/>
          <w:lang w:val="en-US" w:eastAsia="zh-CN"/>
        </w:rPr>
        <w:t>大米生产企业</w:t>
      </w:r>
      <w:r>
        <w:rPr>
          <w:rFonts w:hint="eastAsia" w:ascii="Times New Roman" w:hAnsi="Times New Roman" w:eastAsia="仿宋_GB2312" w:cs="Times New Roman"/>
          <w:color w:val="000000"/>
          <w:kern w:val="0"/>
          <w:sz w:val="32"/>
          <w:szCs w:val="32"/>
          <w:lang w:val="en-US" w:eastAsia="zh-CN"/>
        </w:rPr>
        <w:t>风</w:t>
      </w:r>
      <w:r>
        <w:rPr>
          <w:rFonts w:hint="default" w:ascii="Times New Roman" w:hAnsi="Times New Roman" w:eastAsia="仿宋_GB2312" w:cs="Times New Roman"/>
          <w:color w:val="000000"/>
          <w:kern w:val="0"/>
          <w:sz w:val="32"/>
          <w:szCs w:val="32"/>
          <w:lang w:val="en-US" w:eastAsia="zh-CN"/>
        </w:rPr>
        <w:t>险分级</w:t>
      </w:r>
      <w:r>
        <w:rPr>
          <w:rFonts w:hint="eastAsia" w:ascii="Times New Roman" w:hAnsi="Times New Roman" w:eastAsia="仿宋_GB2312" w:cs="Times New Roman"/>
          <w:color w:val="000000"/>
          <w:kern w:val="0"/>
          <w:sz w:val="32"/>
          <w:szCs w:val="32"/>
          <w:lang w:val="en-US" w:eastAsia="zh-CN"/>
        </w:rPr>
        <w:t>由</w:t>
      </w:r>
      <w:r>
        <w:rPr>
          <w:rFonts w:hint="default" w:ascii="Times New Roman" w:hAnsi="Times New Roman" w:eastAsia="仿宋_GB2312" w:cs="Times New Roman"/>
          <w:color w:val="000000"/>
          <w:kern w:val="0"/>
          <w:sz w:val="32"/>
          <w:szCs w:val="32"/>
          <w:lang w:val="en-US" w:eastAsia="zh-CN"/>
        </w:rPr>
        <w:t>2020年底主体B级</w:t>
      </w:r>
      <w:r>
        <w:rPr>
          <w:rFonts w:hint="eastAsia" w:ascii="Times New Roman" w:hAnsi="Times New Roman" w:eastAsia="仿宋_GB2312" w:cs="Times New Roman"/>
          <w:color w:val="000000"/>
          <w:kern w:val="0"/>
          <w:sz w:val="32"/>
          <w:szCs w:val="32"/>
          <w:lang w:val="en-US" w:eastAsia="zh-CN"/>
        </w:rPr>
        <w:t>（</w:t>
      </w:r>
      <w:r>
        <w:rPr>
          <w:rFonts w:hint="default" w:ascii="Times New Roman" w:hAnsi="Times New Roman" w:eastAsia="仿宋_GB2312" w:cs="Times New Roman"/>
          <w:color w:val="000000"/>
          <w:kern w:val="0"/>
          <w:sz w:val="32"/>
          <w:szCs w:val="32"/>
          <w:lang w:val="en-US" w:eastAsia="zh-CN"/>
        </w:rPr>
        <w:t>占比62.9%</w:t>
      </w:r>
      <w:r>
        <w:rPr>
          <w:rFonts w:hint="eastAsia" w:ascii="Times New Roman" w:hAnsi="Times New Roman" w:eastAsia="仿宋_GB2312" w:cs="Times New Roman"/>
          <w:color w:val="000000"/>
          <w:kern w:val="0"/>
          <w:sz w:val="32"/>
          <w:szCs w:val="32"/>
          <w:lang w:val="en-US" w:eastAsia="zh-CN"/>
        </w:rPr>
        <w:t>）</w:t>
      </w:r>
      <w:r>
        <w:rPr>
          <w:rFonts w:hint="default" w:ascii="Times New Roman" w:hAnsi="Times New Roman" w:eastAsia="仿宋_GB2312" w:cs="Times New Roman"/>
          <w:color w:val="000000"/>
          <w:kern w:val="0"/>
          <w:sz w:val="32"/>
          <w:szCs w:val="32"/>
          <w:lang w:val="en-US" w:eastAsia="zh-CN"/>
        </w:rPr>
        <w:t>调整为D级</w:t>
      </w:r>
      <w:r>
        <w:rPr>
          <w:rFonts w:hint="eastAsia" w:ascii="Times New Roman" w:hAnsi="Times New Roman" w:eastAsia="仿宋_GB2312" w:cs="Times New Roman"/>
          <w:color w:val="000000"/>
          <w:kern w:val="0"/>
          <w:sz w:val="32"/>
          <w:szCs w:val="32"/>
          <w:lang w:val="en-US" w:eastAsia="zh-CN"/>
        </w:rPr>
        <w:t>（</w:t>
      </w:r>
      <w:r>
        <w:rPr>
          <w:rFonts w:hint="default" w:ascii="Times New Roman" w:hAnsi="Times New Roman" w:eastAsia="仿宋_GB2312" w:cs="Times New Roman"/>
          <w:color w:val="000000"/>
          <w:kern w:val="0"/>
          <w:sz w:val="32"/>
          <w:szCs w:val="32"/>
          <w:lang w:val="en-US" w:eastAsia="zh-CN"/>
        </w:rPr>
        <w:t>占比65%</w:t>
      </w:r>
      <w:r>
        <w:rPr>
          <w:rFonts w:hint="eastAsia" w:ascii="Times New Roman" w:hAnsi="Times New Roman" w:eastAsia="仿宋_GB2312" w:cs="Times New Roman"/>
          <w:color w:val="000000"/>
          <w:kern w:val="0"/>
          <w:sz w:val="32"/>
          <w:szCs w:val="32"/>
          <w:lang w:val="en-US" w:eastAsia="zh-CN"/>
        </w:rPr>
        <w:t>）</w:t>
      </w:r>
      <w:r>
        <w:rPr>
          <w:rFonts w:hint="default" w:ascii="Times New Roman" w:hAnsi="Times New Roman" w:eastAsia="仿宋_GB2312" w:cs="Times New Roman"/>
          <w:color w:val="000000"/>
          <w:kern w:val="0"/>
          <w:sz w:val="32"/>
          <w:szCs w:val="32"/>
          <w:lang w:val="en-US" w:eastAsia="zh-CN"/>
        </w:rPr>
        <w:t>。</w:t>
      </w:r>
      <w:r>
        <w:rPr>
          <w:rFonts w:hint="eastAsia" w:ascii="仿宋_GB2312" w:hAnsi="仿宋_GB2312" w:eastAsia="仿宋_GB2312" w:cs="仿宋_GB2312"/>
          <w:color w:val="000000"/>
          <w:sz w:val="32"/>
          <w:szCs w:val="32"/>
          <w:lang w:val="en-US" w:eastAsia="zh-CN"/>
        </w:rPr>
        <w:t>“百日”整治</w:t>
      </w:r>
      <w:r>
        <w:rPr>
          <w:rFonts w:hint="default" w:ascii="Times New Roman" w:hAnsi="Times New Roman" w:eastAsia="仿宋_GB2312" w:cs="Times New Roman"/>
          <w:color w:val="000000"/>
          <w:sz w:val="32"/>
          <w:szCs w:val="32"/>
          <w:lang w:val="en-US" w:eastAsia="zh-CN"/>
        </w:rPr>
        <w:t>期间，共检查大米生产经营者2294家次，发现问题461个，整改问题415个，其中大米生产企业205家次，发现问题421个，整改问题375个</w:t>
      </w:r>
      <w:r>
        <w:rPr>
          <w:rFonts w:hint="eastAsia" w:ascii="Times New Roman" w:hAnsi="Times New Roman" w:eastAsia="仿宋_GB2312" w:cs="Times New Roman"/>
          <w:color w:val="000000"/>
          <w:sz w:val="32"/>
          <w:szCs w:val="32"/>
          <w:lang w:val="en-US" w:eastAsia="zh-CN"/>
        </w:rPr>
        <w:t>。</w:t>
      </w:r>
      <w:r>
        <w:rPr>
          <w:rFonts w:hint="eastAsia" w:ascii="Times New Roman" w:hAnsi="Times New Roman" w:eastAsia="仿宋_GB2312"/>
          <w:color w:val="000000"/>
          <w:sz w:val="32"/>
          <w:szCs w:val="32"/>
          <w:lang w:eastAsia="zh-CN"/>
        </w:rPr>
        <w:t>通过持续加强监管，全市大米质量安全水平明显提升。</w:t>
      </w:r>
      <w:r>
        <w:rPr>
          <w:rFonts w:hint="eastAsia" w:ascii="Times New Roman" w:hAnsi="Times New Roman"/>
          <w:color w:val="000000"/>
          <w:sz w:val="32"/>
          <w:szCs w:val="32"/>
          <w:lang w:val="en-US" w:eastAsia="zh-CN"/>
        </w:rPr>
        <w:t>黑茶方面：</w:t>
      </w:r>
      <w:r>
        <w:rPr>
          <w:rFonts w:hint="eastAsia" w:ascii="Times New Roman" w:hAnsi="Times New Roman" w:eastAsia="仿宋_GB2312" w:cs="Times New Roman"/>
          <w:bCs/>
          <w:sz w:val="32"/>
          <w:szCs w:val="32"/>
          <w:lang w:val="en-US" w:eastAsia="zh-CN"/>
        </w:rPr>
        <w:t>市食安委出台了《促进黑茶产业高质量发展的实施意见（试行）》，建</w:t>
      </w:r>
      <w:r>
        <w:rPr>
          <w:rFonts w:hint="default" w:ascii="Times New Roman" w:hAnsi="Times New Roman" w:eastAsia="仿宋_GB2312" w:cs="Times New Roman"/>
          <w:bCs/>
          <w:sz w:val="32"/>
          <w:szCs w:val="32"/>
          <w:lang w:val="en-US" w:eastAsia="zh-CN"/>
        </w:rPr>
        <w:t>立</w:t>
      </w:r>
      <w:r>
        <w:rPr>
          <w:rFonts w:hint="eastAsia" w:ascii="Times New Roman" w:hAnsi="Times New Roman" w:eastAsia="仿宋_GB2312" w:cs="Times New Roman"/>
          <w:bCs/>
          <w:sz w:val="32"/>
          <w:szCs w:val="32"/>
          <w:lang w:val="en-US" w:eastAsia="zh-CN"/>
        </w:rPr>
        <w:t>促进</w:t>
      </w:r>
      <w:r>
        <w:rPr>
          <w:rFonts w:hint="default" w:ascii="Times New Roman" w:hAnsi="Times New Roman" w:eastAsia="仿宋_GB2312" w:cs="Times New Roman"/>
          <w:bCs/>
          <w:sz w:val="32"/>
          <w:szCs w:val="32"/>
          <w:lang w:val="en-US" w:eastAsia="zh-CN"/>
        </w:rPr>
        <w:t>黑茶产业高质量发展</w:t>
      </w:r>
      <w:r>
        <w:rPr>
          <w:rFonts w:hint="eastAsia" w:ascii="Times New Roman" w:hAnsi="Times New Roman" w:eastAsia="仿宋_GB2312" w:cs="Times New Roman"/>
          <w:bCs/>
          <w:sz w:val="32"/>
          <w:szCs w:val="32"/>
          <w:lang w:val="en-US" w:eastAsia="zh-CN"/>
        </w:rPr>
        <w:t>工作协调机制，在市食安委的统一领导下开展工作。全市黑茶被抽检525批次（含茯茶等紧压茶），不合格19批次，不合格率3.62%，同比去年（582批次，不合格43批次，不合格率7.39%）明显下降，砖茶氟超标情况明显好转。</w:t>
      </w:r>
    </w:p>
    <w:p>
      <w:pPr>
        <w:keepNext w:val="0"/>
        <w:keepLines w:val="0"/>
        <w:pageBreakBefore w:val="0"/>
        <w:widowControl w:val="0"/>
        <w:pBdr>
          <w:top w:val="none" w:color="000000" w:sz="0" w:space="0"/>
          <w:left w:val="none" w:color="000000" w:sz="0" w:space="0"/>
          <w:bottom w:val="none" w:color="000000" w:sz="0" w:space="21"/>
          <w:right w:val="none" w:color="000000" w:sz="0" w:space="0"/>
        </w:pBdr>
        <w:kinsoku/>
        <w:wordWrap/>
        <w:overflowPunct/>
        <w:autoSpaceDE/>
        <w:autoSpaceDN w:val="0"/>
        <w:bidi w:val="0"/>
        <w:spacing w:line="600" w:lineRule="exact"/>
        <w:ind w:firstLine="640" w:firstLineChars="200"/>
        <w:textAlignment w:val="auto"/>
        <w:rPr>
          <w:rFonts w:hint="eastAsia" w:ascii="Times New Roman" w:hAnsi="Times New Roman" w:eastAsia="仿宋_GB2312" w:cs="Times New Roman"/>
          <w:b w:val="0"/>
          <w:bCs w:val="0"/>
          <w:color w:val="000000"/>
          <w:kern w:val="0"/>
          <w:sz w:val="32"/>
          <w:szCs w:val="32"/>
          <w:lang w:val="en-US" w:eastAsia="zh-CN" w:bidi="ar"/>
        </w:rPr>
      </w:pPr>
      <w:r>
        <w:rPr>
          <w:rStyle w:val="14"/>
          <w:rFonts w:hint="eastAsia"/>
          <w:b/>
          <w:bCs/>
          <w:color w:val="000000"/>
        </w:rPr>
        <w:t>二是</w:t>
      </w:r>
      <w:r>
        <w:rPr>
          <w:rStyle w:val="14"/>
          <w:rFonts w:hint="eastAsia"/>
          <w:b/>
          <w:bCs/>
          <w:color w:val="000000"/>
          <w:lang w:val="en-US" w:eastAsia="zh-CN"/>
        </w:rPr>
        <w:t>突出地方特色产品抽检，强化重点领域食品抽检。</w:t>
      </w:r>
      <w:r>
        <w:rPr>
          <w:rStyle w:val="14"/>
          <w:rFonts w:hint="eastAsia"/>
          <w:b w:val="0"/>
          <w:bCs w:val="0"/>
          <w:color w:val="000000"/>
          <w:lang w:val="en-US" w:eastAsia="zh-CN"/>
        </w:rPr>
        <w:t>今年我</w:t>
      </w:r>
      <w:r>
        <w:rPr>
          <w:rFonts w:hint="eastAsia" w:ascii="Times New Roman" w:hAnsi="Times New Roman" w:eastAsia="仿宋_GB2312" w:cs="Times New Roman"/>
          <w:color w:val="000000"/>
          <w:kern w:val="0"/>
          <w:sz w:val="32"/>
          <w:szCs w:val="32"/>
          <w:lang w:val="en-US" w:eastAsia="zh-CN" w:bidi="ar"/>
        </w:rPr>
        <w:t>局完成任务</w:t>
      </w:r>
      <w:r>
        <w:rPr>
          <w:rFonts w:hint="eastAsia" w:ascii="Times New Roman" w:hAnsi="Times New Roman" w:cs="Times New Roman"/>
          <w:color w:val="000000"/>
          <w:kern w:val="0"/>
          <w:sz w:val="32"/>
          <w:szCs w:val="32"/>
          <w:lang w:val="en-US" w:eastAsia="zh-CN" w:bidi="ar"/>
        </w:rPr>
        <w:t>食品抽检</w:t>
      </w:r>
      <w:r>
        <w:rPr>
          <w:rFonts w:hint="eastAsia" w:ascii="Times New Roman" w:hAnsi="Times New Roman" w:eastAsia="仿宋_GB2312" w:cs="Times New Roman"/>
          <w:color w:val="000000"/>
          <w:kern w:val="0"/>
          <w:sz w:val="32"/>
          <w:szCs w:val="32"/>
          <w:lang w:val="en-US" w:eastAsia="zh-CN" w:bidi="ar"/>
        </w:rPr>
        <w:t>380</w:t>
      </w:r>
      <w:r>
        <w:rPr>
          <w:rFonts w:hint="eastAsia" w:ascii="Times New Roman" w:hAnsi="Times New Roman" w:cs="Times New Roman"/>
          <w:color w:val="000000"/>
          <w:kern w:val="0"/>
          <w:sz w:val="32"/>
          <w:szCs w:val="32"/>
          <w:lang w:val="en-US" w:eastAsia="zh-CN" w:bidi="ar"/>
        </w:rPr>
        <w:t>0</w:t>
      </w:r>
      <w:r>
        <w:rPr>
          <w:rFonts w:hint="eastAsia" w:ascii="Times New Roman" w:hAnsi="Times New Roman" w:eastAsia="仿宋_GB2312" w:cs="Times New Roman"/>
          <w:color w:val="000000"/>
          <w:kern w:val="0"/>
          <w:sz w:val="32"/>
          <w:szCs w:val="32"/>
          <w:lang w:val="en-US" w:eastAsia="zh-CN" w:bidi="ar"/>
        </w:rPr>
        <w:t>批次，任务完成率100%，检出不合格样品137批次，不合格率3.60%</w:t>
      </w:r>
      <w:r>
        <w:rPr>
          <w:rFonts w:hint="eastAsia" w:ascii="Times New Roman" w:hAnsi="Times New Roman" w:cs="Times New Roman"/>
          <w:color w:val="000000"/>
          <w:kern w:val="0"/>
          <w:sz w:val="32"/>
          <w:szCs w:val="32"/>
          <w:lang w:val="en-US" w:eastAsia="zh-CN" w:bidi="ar"/>
        </w:rPr>
        <w:t>。</w:t>
      </w:r>
      <w:r>
        <w:rPr>
          <w:rFonts w:hint="eastAsia" w:ascii="Times New Roman" w:hAnsi="Times New Roman" w:eastAsia="仿宋_GB2312" w:cs="Times New Roman"/>
          <w:b w:val="0"/>
          <w:bCs w:val="0"/>
          <w:color w:val="000000"/>
          <w:kern w:val="0"/>
          <w:sz w:val="32"/>
          <w:szCs w:val="32"/>
          <w:lang w:val="en-US" w:eastAsia="zh-CN" w:bidi="ar"/>
        </w:rPr>
        <w:t>全市市场监管系统对大米、砖茶、</w:t>
      </w:r>
      <w:r>
        <w:rPr>
          <w:rFonts w:hint="default" w:ascii="Times New Roman" w:hAnsi="Times New Roman" w:eastAsia="仿宋_GB2312" w:cs="Times New Roman"/>
          <w:color w:val="000000"/>
          <w:kern w:val="0"/>
          <w:sz w:val="32"/>
          <w:szCs w:val="32"/>
        </w:rPr>
        <w:t>湿米粉</w:t>
      </w:r>
      <w:r>
        <w:rPr>
          <w:rFonts w:hint="eastAsia" w:ascii="Times New Roman" w:hAnsi="Times New Roman" w:eastAsia="仿宋_GB2312" w:cs="Times New Roman"/>
          <w:color w:val="000000"/>
          <w:kern w:val="0"/>
          <w:sz w:val="32"/>
          <w:szCs w:val="32"/>
          <w:lang w:eastAsia="zh-CN"/>
        </w:rPr>
        <w:t>、</w:t>
      </w:r>
      <w:r>
        <w:rPr>
          <w:rFonts w:hint="eastAsia" w:ascii="Times New Roman" w:hAnsi="Times New Roman" w:eastAsia="仿宋_GB2312" w:cs="Times New Roman"/>
          <w:b w:val="0"/>
          <w:bCs w:val="0"/>
          <w:color w:val="000000"/>
          <w:kern w:val="0"/>
          <w:sz w:val="32"/>
          <w:szCs w:val="32"/>
          <w:lang w:val="en-US" w:eastAsia="zh-CN" w:bidi="ar"/>
        </w:rPr>
        <w:t>瓶（桶）装饮用水、</w:t>
      </w:r>
      <w:r>
        <w:rPr>
          <w:rFonts w:hint="default" w:ascii="Times New Roman" w:hAnsi="Times New Roman" w:eastAsia="仿宋_GB2312" w:cs="Times New Roman"/>
          <w:b w:val="0"/>
          <w:bCs w:val="0"/>
          <w:color w:val="000000"/>
          <w:kern w:val="0"/>
          <w:sz w:val="32"/>
          <w:szCs w:val="32"/>
          <w:lang w:val="en-US" w:eastAsia="zh-CN" w:bidi="ar"/>
        </w:rPr>
        <w:t>酱腌菜</w:t>
      </w:r>
      <w:r>
        <w:rPr>
          <w:rFonts w:hint="eastAsia" w:ascii="Times New Roman" w:hAnsi="Times New Roman" w:eastAsia="仿宋_GB2312" w:cs="Times New Roman"/>
          <w:b w:val="0"/>
          <w:bCs w:val="0"/>
          <w:color w:val="000000"/>
          <w:kern w:val="0"/>
          <w:sz w:val="32"/>
          <w:szCs w:val="32"/>
          <w:lang w:val="en-US" w:eastAsia="zh-CN" w:bidi="ar"/>
        </w:rPr>
        <w:t>、</w:t>
      </w:r>
      <w:r>
        <w:rPr>
          <w:rFonts w:hint="default" w:ascii="Times New Roman" w:hAnsi="Times New Roman" w:eastAsia="仿宋_GB2312" w:cs="Times New Roman"/>
          <w:b w:val="0"/>
          <w:bCs w:val="0"/>
          <w:color w:val="000000"/>
          <w:kern w:val="0"/>
          <w:sz w:val="32"/>
          <w:szCs w:val="32"/>
          <w:lang w:val="en-US" w:eastAsia="zh-CN" w:bidi="ar"/>
        </w:rPr>
        <w:t>肉制品</w:t>
      </w:r>
      <w:r>
        <w:rPr>
          <w:rFonts w:hint="eastAsia" w:ascii="Times New Roman" w:hAnsi="Times New Roman" w:eastAsia="仿宋_GB2312" w:cs="Times New Roman"/>
          <w:b w:val="0"/>
          <w:bCs w:val="0"/>
          <w:color w:val="000000"/>
          <w:kern w:val="0"/>
          <w:sz w:val="32"/>
          <w:szCs w:val="32"/>
          <w:lang w:val="en-US" w:eastAsia="zh-CN" w:bidi="ar"/>
        </w:rPr>
        <w:t>等加大了监督抽检力度，全年抽检</w:t>
      </w:r>
      <w:r>
        <w:rPr>
          <w:rFonts w:hint="default" w:ascii="Times New Roman" w:hAnsi="Times New Roman" w:eastAsia="仿宋_GB2312" w:cs="Times New Roman"/>
          <w:b w:val="0"/>
          <w:bCs w:val="0"/>
          <w:color w:val="000000"/>
          <w:kern w:val="0"/>
          <w:sz w:val="32"/>
          <w:szCs w:val="32"/>
          <w:lang w:val="en-US" w:eastAsia="zh-CN" w:bidi="ar"/>
        </w:rPr>
        <w:t>大米</w:t>
      </w:r>
      <w:r>
        <w:rPr>
          <w:rFonts w:hint="eastAsia" w:ascii="Times New Roman" w:hAnsi="Times New Roman" w:eastAsia="仿宋_GB2312" w:cs="Times New Roman"/>
          <w:b w:val="0"/>
          <w:bCs w:val="0"/>
          <w:color w:val="000000"/>
          <w:kern w:val="0"/>
          <w:sz w:val="32"/>
          <w:szCs w:val="32"/>
          <w:lang w:val="en-US" w:eastAsia="zh-CN" w:bidi="ar"/>
        </w:rPr>
        <w:t>776</w:t>
      </w:r>
      <w:r>
        <w:rPr>
          <w:rFonts w:hint="default" w:ascii="Times New Roman" w:hAnsi="Times New Roman" w:eastAsia="仿宋_GB2312" w:cs="Times New Roman"/>
          <w:b w:val="0"/>
          <w:bCs w:val="0"/>
          <w:color w:val="000000"/>
          <w:kern w:val="0"/>
          <w:sz w:val="32"/>
          <w:szCs w:val="32"/>
          <w:lang w:val="en-US" w:eastAsia="zh-CN" w:bidi="ar"/>
        </w:rPr>
        <w:t>批次，1批次不合格，合格率99.</w:t>
      </w:r>
      <w:r>
        <w:rPr>
          <w:rFonts w:hint="eastAsia" w:ascii="Times New Roman" w:hAnsi="Times New Roman" w:eastAsia="仿宋_GB2312" w:cs="Times New Roman"/>
          <w:b w:val="0"/>
          <w:bCs w:val="0"/>
          <w:color w:val="000000"/>
          <w:kern w:val="0"/>
          <w:sz w:val="32"/>
          <w:szCs w:val="32"/>
          <w:lang w:val="en-US" w:eastAsia="zh-CN" w:bidi="ar"/>
        </w:rPr>
        <w:t>87</w:t>
      </w:r>
      <w:r>
        <w:rPr>
          <w:rFonts w:hint="default" w:ascii="Times New Roman" w:hAnsi="Times New Roman" w:eastAsia="仿宋_GB2312" w:cs="Times New Roman"/>
          <w:b w:val="0"/>
          <w:bCs w:val="0"/>
          <w:color w:val="000000"/>
          <w:kern w:val="0"/>
          <w:sz w:val="32"/>
          <w:szCs w:val="32"/>
          <w:lang w:val="en-US" w:eastAsia="zh-CN" w:bidi="ar"/>
        </w:rPr>
        <w:t>%；</w:t>
      </w:r>
      <w:r>
        <w:rPr>
          <w:rFonts w:hint="eastAsia" w:ascii="Times New Roman" w:hAnsi="Times New Roman" w:eastAsia="仿宋_GB2312" w:cs="Times New Roman"/>
          <w:b w:val="0"/>
          <w:bCs w:val="0"/>
          <w:color w:val="000000"/>
          <w:kern w:val="0"/>
          <w:sz w:val="32"/>
          <w:szCs w:val="32"/>
          <w:lang w:val="en-US" w:eastAsia="zh-CN" w:bidi="ar"/>
        </w:rPr>
        <w:t>砖茶抽检122批次，1批次不合格，合格率99.18%；湿米粉抽检62批次，2批次不合格，合格率96.77%；瓶（桶）装饮用水抽检64批次，9批次不合格，合格率85.93%；酱腌菜抽检530批次，13批次不合格，合格率97.55%；肉制品抽检414批次，7批次不合格，合格率98.31%。</w:t>
      </w:r>
      <w:r>
        <w:rPr>
          <w:rFonts w:hint="eastAsia" w:ascii="Times New Roman" w:hAnsi="Times New Roman" w:cs="Times New Roman"/>
          <w:b w:val="0"/>
          <w:bCs w:val="0"/>
          <w:color w:val="000000"/>
          <w:kern w:val="0"/>
          <w:sz w:val="32"/>
          <w:szCs w:val="32"/>
          <w:lang w:val="en-US" w:eastAsia="zh-CN" w:bidi="ar"/>
        </w:rPr>
        <w:t>同时，</w:t>
      </w:r>
      <w:r>
        <w:rPr>
          <w:rFonts w:hint="eastAsia" w:ascii="Times New Roman" w:hAnsi="Times New Roman" w:cs="Times New Roman"/>
          <w:sz w:val="32"/>
          <w:szCs w:val="32"/>
          <w:lang w:val="en-US" w:eastAsia="zh-CN"/>
        </w:rPr>
        <w:t>还</w:t>
      </w:r>
      <w:r>
        <w:rPr>
          <w:rFonts w:hint="eastAsia" w:ascii="Times New Roman" w:hAnsi="Times New Roman" w:eastAsia="仿宋_GB2312" w:cs="Times New Roman"/>
          <w:sz w:val="32"/>
          <w:szCs w:val="32"/>
          <w:lang w:eastAsia="zh-CN"/>
        </w:rPr>
        <w:t>开展了“护老”“护苗”专项监督抽检，突出“一老一少”重点人群，强化养老机构及校园食品的监督抽检，一是</w:t>
      </w:r>
      <w:r>
        <w:rPr>
          <w:rFonts w:hint="default" w:ascii="Times New Roman" w:hAnsi="Times New Roman" w:eastAsia="仿宋_GB2312" w:cs="Times New Roman"/>
          <w:sz w:val="32"/>
          <w:szCs w:val="32"/>
        </w:rPr>
        <w:t>对</w:t>
      </w:r>
      <w:r>
        <w:rPr>
          <w:rFonts w:hint="default" w:ascii="Times New Roman" w:hAnsi="Times New Roman" w:eastAsia="仿宋_GB2312" w:cs="Times New Roman"/>
          <w:sz w:val="32"/>
          <w:szCs w:val="32"/>
          <w:lang w:eastAsia="zh-CN"/>
        </w:rPr>
        <w:t>全市</w:t>
      </w:r>
      <w:r>
        <w:rPr>
          <w:rFonts w:hint="default" w:ascii="Times New Roman" w:hAnsi="Times New Roman" w:eastAsia="仿宋_GB2312" w:cs="Times New Roman"/>
          <w:sz w:val="32"/>
          <w:szCs w:val="32"/>
        </w:rPr>
        <w:t>大、中、小学校和幼儿园（含托管托教机构）食堂</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校内小卖店、校外供餐单位等开展</w:t>
      </w:r>
      <w:r>
        <w:rPr>
          <w:rFonts w:hint="default" w:ascii="Times New Roman" w:hAnsi="Times New Roman" w:eastAsia="仿宋_GB2312" w:cs="Times New Roman"/>
          <w:sz w:val="32"/>
          <w:szCs w:val="32"/>
          <w:lang w:eastAsia="zh-CN"/>
        </w:rPr>
        <w:t>了校园食品专项监督</w:t>
      </w:r>
      <w:r>
        <w:rPr>
          <w:rFonts w:hint="default" w:ascii="Times New Roman" w:hAnsi="Times New Roman" w:eastAsia="仿宋_GB2312" w:cs="Times New Roman"/>
          <w:sz w:val="32"/>
          <w:szCs w:val="32"/>
        </w:rPr>
        <w:t>抽检</w:t>
      </w:r>
      <w:r>
        <w:rPr>
          <w:rFonts w:hint="default" w:ascii="Times New Roman" w:hAnsi="Times New Roman" w:eastAsia="仿宋_GB2312" w:cs="Times New Roman"/>
          <w:sz w:val="32"/>
          <w:szCs w:val="32"/>
          <w:lang w:eastAsia="zh-CN"/>
        </w:rPr>
        <w:t>，全市共在</w:t>
      </w:r>
      <w:r>
        <w:rPr>
          <w:rFonts w:hint="eastAsia" w:ascii="Times New Roman" w:hAnsi="Times New Roman" w:eastAsia="仿宋_GB2312" w:cs="Times New Roman"/>
          <w:sz w:val="32"/>
          <w:szCs w:val="32"/>
          <w:lang w:val="en-US" w:eastAsia="zh-CN"/>
        </w:rPr>
        <w:t>347</w:t>
      </w:r>
      <w:r>
        <w:rPr>
          <w:rFonts w:hint="default" w:ascii="Times New Roman" w:hAnsi="Times New Roman" w:eastAsia="仿宋_GB2312" w:cs="Times New Roman"/>
          <w:sz w:val="32"/>
          <w:szCs w:val="32"/>
          <w:lang w:val="en-US" w:eastAsia="zh-CN"/>
        </w:rPr>
        <w:t>家被抽样单位抽检</w:t>
      </w:r>
      <w:r>
        <w:rPr>
          <w:rFonts w:hint="eastAsia" w:ascii="Times New Roman" w:hAnsi="Times New Roman" w:eastAsia="仿宋_GB2312" w:cs="Times New Roman"/>
          <w:sz w:val="32"/>
          <w:szCs w:val="32"/>
          <w:lang w:val="en-US" w:eastAsia="zh-CN"/>
        </w:rPr>
        <w:t>986</w:t>
      </w:r>
      <w:r>
        <w:rPr>
          <w:rFonts w:hint="default" w:ascii="Times New Roman" w:hAnsi="Times New Roman" w:eastAsia="仿宋_GB2312" w:cs="Times New Roman"/>
          <w:sz w:val="32"/>
          <w:szCs w:val="32"/>
          <w:lang w:val="en-US" w:eastAsia="zh-CN"/>
        </w:rPr>
        <w:t>批次食品，</w:t>
      </w:r>
      <w:r>
        <w:rPr>
          <w:rFonts w:hint="default" w:ascii="Times New Roman" w:hAnsi="Times New Roman" w:eastAsia="仿宋_GB2312" w:cs="Times New Roman"/>
          <w:color w:val="auto"/>
          <w:sz w:val="32"/>
          <w:szCs w:val="32"/>
        </w:rPr>
        <w:t>共检出不合格样品</w:t>
      </w:r>
      <w:r>
        <w:rPr>
          <w:rFonts w:hint="eastAsia" w:ascii="Times New Roman" w:hAnsi="Times New Roman" w:eastAsia="仿宋_GB2312" w:cs="Times New Roman"/>
          <w:color w:val="auto"/>
          <w:sz w:val="32"/>
          <w:szCs w:val="32"/>
          <w:lang w:val="en-US" w:eastAsia="zh-CN"/>
        </w:rPr>
        <w:t>34</w:t>
      </w:r>
      <w:r>
        <w:rPr>
          <w:rFonts w:hint="default" w:ascii="Times New Roman" w:hAnsi="Times New Roman" w:eastAsia="仿宋_GB2312" w:cs="Times New Roman"/>
          <w:color w:val="auto"/>
          <w:sz w:val="32"/>
          <w:szCs w:val="32"/>
        </w:rPr>
        <w:t>批次，不合格率为</w:t>
      </w:r>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4</w:t>
      </w:r>
      <w:r>
        <w:rPr>
          <w:rFonts w:hint="eastAsia"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000000"/>
          <w:kern w:val="0"/>
          <w:sz w:val="32"/>
          <w:szCs w:val="32"/>
        </w:rPr>
        <w:t>涉及</w:t>
      </w:r>
      <w:r>
        <w:rPr>
          <w:rFonts w:hint="eastAsia" w:ascii="Times New Roman" w:hAnsi="Times New Roman" w:eastAsia="仿宋_GB2312" w:cs="Times New Roman"/>
          <w:color w:val="000000"/>
          <w:kern w:val="0"/>
          <w:sz w:val="32"/>
          <w:szCs w:val="32"/>
          <w:lang w:val="en-US" w:eastAsia="zh-CN"/>
        </w:rPr>
        <w:t>30</w:t>
      </w:r>
      <w:r>
        <w:rPr>
          <w:rFonts w:hint="default" w:ascii="Times New Roman" w:hAnsi="Times New Roman" w:eastAsia="仿宋_GB2312" w:cs="Times New Roman"/>
          <w:color w:val="000000"/>
          <w:kern w:val="0"/>
          <w:sz w:val="32"/>
          <w:szCs w:val="32"/>
        </w:rPr>
        <w:t>家学校</w:t>
      </w:r>
      <w:r>
        <w:rPr>
          <w:rFonts w:hint="default" w:ascii="Times New Roman" w:hAnsi="Times New Roman" w:eastAsia="仿宋_GB2312" w:cs="Times New Roman"/>
          <w:color w:val="000000"/>
          <w:kern w:val="0"/>
          <w:sz w:val="32"/>
          <w:szCs w:val="32"/>
          <w:lang w:eastAsia="zh-CN"/>
        </w:rPr>
        <w:t>、</w:t>
      </w:r>
      <w:r>
        <w:rPr>
          <w:rFonts w:hint="default" w:ascii="Times New Roman" w:hAnsi="Times New Roman" w:eastAsia="仿宋_GB2312" w:cs="Times New Roman"/>
          <w:color w:val="000000"/>
          <w:kern w:val="0"/>
          <w:sz w:val="32"/>
          <w:szCs w:val="32"/>
        </w:rPr>
        <w:t>托幼食堂，不合格样品涉及</w:t>
      </w:r>
      <w:r>
        <w:rPr>
          <w:rFonts w:hint="eastAsia" w:ascii="Times New Roman" w:hAnsi="Times New Roman" w:eastAsia="仿宋_GB2312" w:cs="Times New Roman"/>
          <w:color w:val="000000"/>
          <w:kern w:val="0"/>
          <w:sz w:val="32"/>
          <w:szCs w:val="32"/>
          <w:lang w:val="en-US" w:eastAsia="zh-CN"/>
        </w:rPr>
        <w:t>6</w:t>
      </w:r>
      <w:r>
        <w:rPr>
          <w:rFonts w:hint="default" w:ascii="Times New Roman" w:hAnsi="Times New Roman" w:eastAsia="仿宋_GB2312" w:cs="Times New Roman"/>
          <w:color w:val="000000"/>
          <w:kern w:val="0"/>
          <w:sz w:val="32"/>
          <w:szCs w:val="32"/>
        </w:rPr>
        <w:t>个食品大类，</w:t>
      </w:r>
      <w:r>
        <w:rPr>
          <w:rFonts w:hint="eastAsia" w:ascii="Times New Roman" w:hAnsi="Times New Roman" w:eastAsia="仿宋_GB2312" w:cs="Times New Roman"/>
          <w:color w:val="000000"/>
          <w:kern w:val="0"/>
          <w:sz w:val="32"/>
          <w:szCs w:val="32"/>
          <w:lang w:eastAsia="zh-CN"/>
        </w:rPr>
        <w:t>主要不合格项目为</w:t>
      </w:r>
      <w:r>
        <w:rPr>
          <w:rFonts w:hint="default" w:ascii="Times New Roman" w:hAnsi="Times New Roman" w:eastAsia="仿宋_GB2312" w:cs="Times New Roman"/>
          <w:color w:val="000000"/>
          <w:kern w:val="0"/>
          <w:sz w:val="32"/>
          <w:szCs w:val="32"/>
          <w:lang w:eastAsia="zh-CN"/>
        </w:rPr>
        <w:t>农药残留</w:t>
      </w:r>
      <w:r>
        <w:rPr>
          <w:rFonts w:hint="eastAsia" w:ascii="Times New Roman" w:hAnsi="Times New Roman" w:eastAsia="仿宋_GB2312" w:cs="Times New Roman"/>
          <w:color w:val="000000"/>
          <w:kern w:val="0"/>
          <w:sz w:val="32"/>
          <w:szCs w:val="32"/>
          <w:lang w:eastAsia="zh-CN"/>
        </w:rPr>
        <w:t>、</w:t>
      </w:r>
      <w:r>
        <w:rPr>
          <w:rFonts w:hint="default" w:ascii="Times New Roman" w:hAnsi="Times New Roman" w:eastAsia="仿宋_GB2312" w:cs="Times New Roman"/>
          <w:color w:val="000000"/>
          <w:kern w:val="0"/>
          <w:sz w:val="32"/>
          <w:szCs w:val="32"/>
          <w:lang w:eastAsia="zh-CN"/>
        </w:rPr>
        <w:t>重金属</w:t>
      </w:r>
      <w:r>
        <w:rPr>
          <w:rFonts w:hint="eastAsia" w:ascii="Times New Roman" w:hAnsi="Times New Roman" w:eastAsia="仿宋_GB2312" w:cs="Times New Roman"/>
          <w:color w:val="000000"/>
          <w:kern w:val="0"/>
          <w:sz w:val="32"/>
          <w:szCs w:val="32"/>
          <w:lang w:eastAsia="zh-CN"/>
        </w:rPr>
        <w:t>、微生物、食品添加剂等指标。二是对全市养老机构开展了监督抽检，共计抽检养老机构</w:t>
      </w:r>
      <w:r>
        <w:rPr>
          <w:rFonts w:hint="eastAsia" w:ascii="Times New Roman" w:hAnsi="Times New Roman" w:eastAsia="仿宋_GB2312" w:cs="Times New Roman"/>
          <w:color w:val="000000"/>
          <w:kern w:val="0"/>
          <w:sz w:val="32"/>
          <w:szCs w:val="32"/>
          <w:lang w:val="en-US" w:eastAsia="zh-CN"/>
        </w:rPr>
        <w:t>21</w:t>
      </w:r>
      <w:r>
        <w:rPr>
          <w:rFonts w:hint="eastAsia" w:ascii="Times New Roman" w:hAnsi="Times New Roman" w:eastAsia="仿宋_GB2312" w:cs="Times New Roman"/>
          <w:color w:val="000000"/>
          <w:kern w:val="0"/>
          <w:sz w:val="32"/>
          <w:szCs w:val="32"/>
          <w:lang w:eastAsia="zh-CN"/>
        </w:rPr>
        <w:t>家，抽检</w:t>
      </w:r>
      <w:r>
        <w:rPr>
          <w:rFonts w:hint="eastAsia" w:ascii="Times New Roman" w:hAnsi="Times New Roman" w:eastAsia="仿宋_GB2312" w:cs="Times New Roman"/>
          <w:color w:val="000000"/>
          <w:kern w:val="0"/>
          <w:sz w:val="32"/>
          <w:szCs w:val="32"/>
          <w:lang w:val="en-US" w:eastAsia="zh-CN"/>
        </w:rPr>
        <w:t>48</w:t>
      </w:r>
      <w:r>
        <w:rPr>
          <w:rFonts w:hint="eastAsia" w:ascii="Times New Roman" w:hAnsi="Times New Roman" w:eastAsia="仿宋_GB2312" w:cs="Times New Roman"/>
          <w:color w:val="000000"/>
          <w:kern w:val="0"/>
          <w:sz w:val="32"/>
          <w:szCs w:val="32"/>
          <w:lang w:eastAsia="zh-CN"/>
        </w:rPr>
        <w:t>批次食品，检出不合格样品7批次，</w:t>
      </w:r>
      <w:r>
        <w:rPr>
          <w:rFonts w:hint="default" w:ascii="Times New Roman" w:hAnsi="Times New Roman" w:eastAsia="仿宋_GB2312" w:cs="Times New Roman"/>
          <w:color w:val="auto"/>
          <w:sz w:val="32"/>
          <w:szCs w:val="32"/>
        </w:rPr>
        <w:t>不合格率为</w:t>
      </w:r>
      <w:r>
        <w:rPr>
          <w:rFonts w:hint="eastAsia" w:ascii="Times New Roman" w:hAnsi="Times New Roman" w:eastAsia="仿宋_GB2312" w:cs="Times New Roman"/>
          <w:color w:val="auto"/>
          <w:sz w:val="32"/>
          <w:szCs w:val="32"/>
          <w:lang w:val="en-US" w:eastAsia="zh-CN"/>
        </w:rPr>
        <w:t>14.58</w:t>
      </w:r>
      <w:r>
        <w:rPr>
          <w:rFonts w:hint="default"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eastAsia="zh-CN"/>
        </w:rPr>
        <w:t>不合格样品涉及</w:t>
      </w:r>
      <w:r>
        <w:rPr>
          <w:rFonts w:hint="eastAsia" w:ascii="Times New Roman" w:hAnsi="Times New Roman" w:eastAsia="仿宋_GB2312" w:cs="Times New Roman"/>
          <w:color w:val="auto"/>
          <w:sz w:val="32"/>
          <w:szCs w:val="32"/>
          <w:lang w:val="en-US" w:eastAsia="zh-CN"/>
        </w:rPr>
        <w:t>3个大类，</w:t>
      </w:r>
      <w:r>
        <w:rPr>
          <w:rFonts w:hint="eastAsia" w:ascii="Times New Roman" w:hAnsi="Times New Roman" w:eastAsia="仿宋_GB2312" w:cs="Times New Roman"/>
          <w:color w:val="000000"/>
          <w:kern w:val="0"/>
          <w:sz w:val="32"/>
          <w:szCs w:val="32"/>
          <w:lang w:eastAsia="zh-CN"/>
        </w:rPr>
        <w:t>主要不合格项目为</w:t>
      </w:r>
      <w:r>
        <w:rPr>
          <w:rFonts w:hint="default" w:ascii="Times New Roman" w:hAnsi="Times New Roman" w:eastAsia="仿宋_GB2312" w:cs="Times New Roman"/>
          <w:color w:val="000000"/>
          <w:kern w:val="0"/>
          <w:sz w:val="32"/>
          <w:szCs w:val="32"/>
          <w:lang w:eastAsia="zh-CN"/>
        </w:rPr>
        <w:t>重金属</w:t>
      </w:r>
      <w:r>
        <w:rPr>
          <w:rFonts w:hint="eastAsia" w:ascii="Times New Roman" w:hAnsi="Times New Roman" w:eastAsia="仿宋_GB2312" w:cs="Times New Roman"/>
          <w:color w:val="000000"/>
          <w:kern w:val="0"/>
          <w:sz w:val="32"/>
          <w:szCs w:val="32"/>
          <w:lang w:eastAsia="zh-CN"/>
        </w:rPr>
        <w:t>、微生物、食品添加剂等指标。</w:t>
      </w:r>
    </w:p>
    <w:p>
      <w:pPr>
        <w:keepNext w:val="0"/>
        <w:keepLines w:val="0"/>
        <w:pageBreakBefore w:val="0"/>
        <w:widowControl w:val="0"/>
        <w:pBdr>
          <w:top w:val="none" w:color="000000" w:sz="0" w:space="0"/>
          <w:left w:val="none" w:color="000000" w:sz="0" w:space="0"/>
          <w:bottom w:val="none" w:color="000000" w:sz="0" w:space="21"/>
          <w:right w:val="none" w:color="000000" w:sz="0" w:space="0"/>
        </w:pBdr>
        <w:kinsoku/>
        <w:wordWrap/>
        <w:overflowPunct/>
        <w:autoSpaceDE/>
        <w:autoSpaceDN w:val="0"/>
        <w:bidi w:val="0"/>
        <w:spacing w:line="600" w:lineRule="exact"/>
        <w:ind w:firstLine="640" w:firstLineChars="200"/>
        <w:textAlignment w:val="auto"/>
        <w:rPr>
          <w:rFonts w:hint="eastAsia" w:ascii="仿宋_GB2312" w:hAnsi="仿宋_GB2312" w:eastAsia="仿宋_GB2312" w:cs="仿宋_GB2312"/>
          <w:szCs w:val="32"/>
        </w:rPr>
      </w:pPr>
      <w:r>
        <w:rPr>
          <w:rStyle w:val="14"/>
          <w:rFonts w:hint="eastAsia" w:ascii="仿宋_GB2312" w:hAnsi="仿宋_GB2312" w:eastAsia="仿宋_GB2312" w:cs="仿宋_GB2312"/>
          <w:b/>
          <w:bCs/>
          <w:color w:val="000000"/>
          <w:szCs w:val="32"/>
        </w:rPr>
        <w:t>三是</w:t>
      </w:r>
      <w:r>
        <w:rPr>
          <w:rStyle w:val="14"/>
          <w:rFonts w:hint="eastAsia" w:ascii="仿宋_GB2312" w:hAnsi="仿宋_GB2312" w:eastAsia="仿宋_GB2312" w:cs="仿宋_GB2312"/>
          <w:b/>
          <w:bCs/>
          <w:color w:val="000000"/>
          <w:szCs w:val="32"/>
          <w:lang w:val="en-US" w:eastAsia="zh-CN"/>
        </w:rPr>
        <w:t>一以贯之推进长江禁捕专项行动。</w:t>
      </w:r>
      <w:r>
        <w:rPr>
          <w:rFonts w:hint="eastAsia" w:ascii="仿宋_GB2312" w:hAnsi="仿宋_GB2312" w:eastAsia="仿宋_GB2312" w:cs="仿宋_GB2312"/>
          <w:sz w:val="32"/>
          <w:szCs w:val="32"/>
          <w:lang w:val="en-US" w:eastAsia="zh-CN"/>
        </w:rPr>
        <w:t>年初我局印发</w:t>
      </w:r>
      <w:bookmarkStart w:id="0" w:name="_GoBack"/>
      <w:r>
        <w:rPr>
          <w:rFonts w:hint="default" w:ascii="Times New Roman" w:hAnsi="Times New Roman" w:eastAsia="仿宋_GB2312" w:cs="Times New Roman"/>
          <w:sz w:val="32"/>
          <w:szCs w:val="32"/>
          <w:lang w:val="en-US" w:eastAsia="zh-CN"/>
        </w:rPr>
        <w:t>《2022年</w:t>
      </w:r>
      <w:bookmarkEnd w:id="0"/>
      <w:r>
        <w:rPr>
          <w:rFonts w:hint="eastAsia" w:ascii="仿宋_GB2312" w:hAnsi="仿宋_GB2312" w:eastAsia="仿宋_GB2312" w:cs="仿宋_GB2312"/>
          <w:sz w:val="32"/>
          <w:szCs w:val="32"/>
          <w:lang w:val="en-US" w:eastAsia="zh-CN"/>
        </w:rPr>
        <w:t>打击市场销售长江流域重点水域非法</w:t>
      </w:r>
      <w:r>
        <w:rPr>
          <w:rFonts w:hint="eastAsia" w:ascii="仿宋_GB2312" w:hAnsi="仿宋_GB2312" w:eastAsia="仿宋_GB2312" w:cs="仿宋_GB2312"/>
          <w:sz w:val="32"/>
          <w:szCs w:val="32"/>
          <w:lang w:eastAsia="zh-CN"/>
        </w:rPr>
        <w:t>捕捞渔获物专项行动实施方案》</w:t>
      </w:r>
      <w:r>
        <w:rPr>
          <w:rFonts w:hint="eastAsia" w:ascii="仿宋_GB2312" w:hAnsi="仿宋_GB2312" w:eastAsia="仿宋_GB2312" w:cs="仿宋_GB2312"/>
          <w:sz w:val="32"/>
          <w:szCs w:val="32"/>
          <w:lang w:val="en-US" w:eastAsia="zh-CN"/>
        </w:rPr>
        <w:t>《益阳市市场监督管理局关于开展枯水期内保护渔业资源打击非法交易专项整治行动方案》等文件，同时还</w:t>
      </w:r>
      <w:r>
        <w:rPr>
          <w:rFonts w:hint="eastAsia" w:ascii="仿宋_GB2312" w:hAnsi="仿宋_GB2312" w:eastAsia="仿宋_GB2312" w:cs="仿宋_GB2312"/>
          <w:color w:val="000000"/>
          <w:sz w:val="32"/>
          <w:szCs w:val="32"/>
          <w:lang w:val="en-US" w:eastAsia="zh-CN"/>
        </w:rPr>
        <w:t>印发了宣传海报、悬挂宣传横幅</w:t>
      </w:r>
      <w:r>
        <w:rPr>
          <w:rFonts w:hint="eastAsia" w:ascii="Times New Roman" w:hAnsi="Times New Roman" w:eastAsia="仿宋_GB2312" w:cs="Times New Roman"/>
          <w:color w:val="000000"/>
          <w:kern w:val="0"/>
          <w:sz w:val="32"/>
          <w:szCs w:val="32"/>
          <w:lang w:val="en-US" w:eastAsia="zh-CN"/>
        </w:rPr>
        <w:t>等3万余份，编印宣传手册1.5万册。通过严格日常监管，全程严管，共检查水产品交易市场、餐饮门店等</w:t>
      </w:r>
      <w:r>
        <w:rPr>
          <w:rFonts w:hint="eastAsia" w:ascii="Times New Roman" w:hAnsi="Times New Roman" w:eastAsia="仿宋_GB2312" w:cs="Times New Roman"/>
          <w:color w:val="000000"/>
          <w:kern w:val="0"/>
          <w:sz w:val="32"/>
          <w:szCs w:val="32"/>
          <w:lang w:eastAsia="zh-CN"/>
        </w:rPr>
        <w:t>市场</w:t>
      </w:r>
      <w:r>
        <w:rPr>
          <w:rFonts w:hint="eastAsia" w:ascii="Times New Roman" w:hAnsi="Times New Roman" w:eastAsia="仿宋_GB2312" w:cs="Times New Roman"/>
          <w:color w:val="000000"/>
          <w:kern w:val="0"/>
          <w:sz w:val="32"/>
          <w:szCs w:val="32"/>
          <w:lang w:val="en-US" w:eastAsia="zh-CN"/>
        </w:rPr>
        <w:t>主体6.3万家次，监测指导电商平台220个次，督促下架违规信息12条。定期督导检查，联合公安、农业农村等部门开展专项检查与督查15次，</w:t>
      </w:r>
      <w:r>
        <w:rPr>
          <w:rFonts w:hint="eastAsia" w:ascii="仿宋_GB2312" w:hAnsi="仿宋_GB2312" w:eastAsia="仿宋_GB2312" w:cs="仿宋_GB2312"/>
          <w:color w:val="000000"/>
          <w:sz w:val="32"/>
          <w:szCs w:val="32"/>
          <w:lang w:val="en-US" w:eastAsia="zh-CN"/>
        </w:rPr>
        <w:t>共向区县（市）移交问题线</w:t>
      </w:r>
      <w:r>
        <w:rPr>
          <w:rFonts w:hint="default" w:ascii="Times New Roman" w:hAnsi="Times New Roman" w:eastAsia="仿宋_GB2312" w:cs="Times New Roman"/>
          <w:color w:val="000000"/>
          <w:sz w:val="32"/>
          <w:szCs w:val="32"/>
          <w:lang w:val="en-US" w:eastAsia="zh-CN"/>
        </w:rPr>
        <w:t>索22个，</w:t>
      </w:r>
      <w:r>
        <w:rPr>
          <w:rFonts w:hint="eastAsia" w:ascii="仿宋_GB2312" w:hAnsi="仿宋_GB2312" w:eastAsia="仿宋_GB2312" w:cs="仿宋_GB2312"/>
          <w:color w:val="000000"/>
          <w:sz w:val="32"/>
          <w:szCs w:val="32"/>
          <w:lang w:val="en-US" w:eastAsia="zh-CN"/>
        </w:rPr>
        <w:t>目前已全部处置到位。</w:t>
      </w:r>
      <w:r>
        <w:rPr>
          <w:rFonts w:hint="eastAsia" w:ascii="仿宋_GB2312" w:hAnsi="仿宋_GB2312" w:eastAsia="仿宋_GB2312" w:cs="仿宋_GB2312"/>
          <w:spacing w:val="0"/>
          <w:sz w:val="32"/>
          <w:szCs w:val="32"/>
        </w:rPr>
        <w:t>持续开展“长江禁捕 打非断链”专项行动，</w:t>
      </w:r>
      <w:r>
        <w:rPr>
          <w:rFonts w:hint="eastAsia" w:ascii="仿宋_GB2312" w:hAnsi="仿宋_GB2312" w:eastAsia="仿宋_GB2312" w:cs="仿宋_GB2312"/>
          <w:spacing w:val="0"/>
          <w:sz w:val="32"/>
          <w:szCs w:val="32"/>
          <w:lang w:eastAsia="zh-CN"/>
        </w:rPr>
        <w:t>查办</w:t>
      </w:r>
      <w:r>
        <w:rPr>
          <w:rFonts w:hint="eastAsia" w:ascii="Times New Roman" w:hAnsi="Times New Roman" w:eastAsia="仿宋_GB2312" w:cs="Times New Roman"/>
          <w:spacing w:val="0"/>
          <w:sz w:val="32"/>
          <w:szCs w:val="32"/>
          <w:lang w:val="en-US" w:eastAsia="zh-CN"/>
        </w:rPr>
        <w:t>案件143件</w:t>
      </w:r>
      <w:r>
        <w:rPr>
          <w:rFonts w:hint="eastAsia" w:ascii="仿宋_GB2312" w:hAnsi="仿宋_GB2312" w:eastAsia="仿宋_GB2312" w:cs="仿宋_GB2312"/>
          <w:spacing w:val="0"/>
          <w:sz w:val="32"/>
          <w:szCs w:val="32"/>
        </w:rPr>
        <w:t>，全省排名第一。</w:t>
      </w:r>
      <w:r>
        <w:rPr>
          <w:rFonts w:hint="eastAsia" w:ascii="仿宋_GB2312" w:hAnsi="仿宋_GB2312" w:cs="仿宋_GB2312"/>
          <w:spacing w:val="0"/>
          <w:sz w:val="32"/>
          <w:szCs w:val="32"/>
          <w:lang w:eastAsia="zh-CN"/>
        </w:rPr>
        <w:t>我</w:t>
      </w:r>
      <w:r>
        <w:rPr>
          <w:rFonts w:hint="eastAsia" w:ascii="仿宋_GB2312" w:hAnsi="仿宋_GB2312" w:eastAsia="仿宋_GB2312" w:cs="仿宋_GB2312"/>
          <w:spacing w:val="0"/>
          <w:sz w:val="32"/>
          <w:szCs w:val="32"/>
          <w:lang w:eastAsia="zh-CN"/>
        </w:rPr>
        <w:t>局获评</w:t>
      </w:r>
      <w:r>
        <w:rPr>
          <w:rFonts w:hint="eastAsia" w:ascii="仿宋_GB2312" w:hAnsi="仿宋_GB2312" w:eastAsia="仿宋_GB2312" w:cs="仿宋_GB2312"/>
          <w:spacing w:val="0"/>
          <w:sz w:val="32"/>
          <w:szCs w:val="32"/>
          <w:lang w:val="en-US" w:eastAsia="zh-CN"/>
        </w:rPr>
        <w:t>全国长江禁渔</w:t>
      </w:r>
      <w:r>
        <w:rPr>
          <w:rFonts w:hint="eastAsia" w:ascii="仿宋_GB2312" w:hAnsi="仿宋_GB2312" w:eastAsia="仿宋_GB2312" w:cs="仿宋_GB2312"/>
          <w:sz w:val="32"/>
          <w:szCs w:val="32"/>
          <w:lang w:val="en-US" w:eastAsia="zh-CN"/>
        </w:rPr>
        <w:t>执法监管</w:t>
      </w:r>
      <w:r>
        <w:rPr>
          <w:rFonts w:hint="eastAsia" w:ascii="仿宋_GB2312" w:hAnsi="仿宋_GB2312" w:cs="仿宋_GB2312"/>
          <w:spacing w:val="0"/>
          <w:sz w:val="32"/>
          <w:szCs w:val="32"/>
          <w:lang w:val="en-US" w:eastAsia="zh-CN"/>
        </w:rPr>
        <w:t>先进单位。</w:t>
      </w:r>
    </w:p>
    <w:p>
      <w:pPr>
        <w:keepNext w:val="0"/>
        <w:keepLines w:val="0"/>
        <w:pageBreakBefore w:val="0"/>
        <w:widowControl w:val="0"/>
        <w:pBdr>
          <w:top w:val="none" w:color="000000" w:sz="0" w:space="0"/>
          <w:left w:val="none" w:color="000000" w:sz="0" w:space="0"/>
          <w:bottom w:val="none" w:color="000000" w:sz="0" w:space="21"/>
          <w:right w:val="none" w:color="000000" w:sz="0" w:space="0"/>
        </w:pBdr>
        <w:kinsoku/>
        <w:wordWrap/>
        <w:overflowPunct/>
        <w:autoSpaceDE/>
        <w:autoSpaceDN w:val="0"/>
        <w:bidi w:val="0"/>
        <w:spacing w:line="600" w:lineRule="exact"/>
        <w:ind w:firstLine="640" w:firstLineChars="200"/>
        <w:textAlignment w:val="auto"/>
        <w:rPr>
          <w:rFonts w:hint="eastAsia" w:ascii="仿宋_GB2312" w:hAnsi="仿宋_GB2312" w:eastAsia="仿宋_GB2312" w:cs="仿宋_GB2312"/>
          <w:spacing w:val="0"/>
          <w:sz w:val="32"/>
          <w:szCs w:val="32"/>
          <w:lang w:eastAsia="zh-CN"/>
        </w:rPr>
      </w:pPr>
      <w:r>
        <w:rPr>
          <w:rFonts w:hint="eastAsia" w:ascii="仿宋_GB2312" w:hAnsi="仿宋_GB2312" w:eastAsia="仿宋_GB2312" w:cs="仿宋_GB2312"/>
          <w:b/>
          <w:bCs/>
          <w:spacing w:val="0"/>
          <w:sz w:val="32"/>
          <w:szCs w:val="32"/>
          <w:lang w:val="en-US" w:eastAsia="zh-CN"/>
        </w:rPr>
        <w:t>四是</w:t>
      </w:r>
      <w:r>
        <w:rPr>
          <w:rFonts w:hint="eastAsia" w:ascii="仿宋_GB2312" w:hAnsi="仿宋_GB2312" w:eastAsia="仿宋_GB2312" w:cs="仿宋_GB2312"/>
          <w:b/>
          <w:bCs/>
          <w:spacing w:val="0"/>
          <w:sz w:val="32"/>
          <w:szCs w:val="32"/>
        </w:rPr>
        <w:t>推进全国文明城市创建。</w:t>
      </w:r>
      <w:r>
        <w:rPr>
          <w:rFonts w:hint="eastAsia" w:ascii="仿宋_GB2312" w:hAnsi="仿宋_GB2312" w:eastAsia="仿宋_GB2312" w:cs="仿宋_GB2312"/>
          <w:color w:val="000000"/>
          <w:spacing w:val="0"/>
          <w:kern w:val="0"/>
          <w:sz w:val="32"/>
          <w:szCs w:val="32"/>
          <w:lang w:eastAsia="zh-CN"/>
        </w:rPr>
        <w:t>推进食品“三小”整治。</w:t>
      </w:r>
      <w:r>
        <w:rPr>
          <w:rFonts w:hint="eastAsia" w:ascii="仿宋_GB2312" w:hAnsi="仿宋_GB2312" w:eastAsia="仿宋_GB2312" w:cs="仿宋_GB2312"/>
          <w:color w:val="000000"/>
          <w:spacing w:val="0"/>
          <w:kern w:val="0"/>
          <w:sz w:val="32"/>
          <w:szCs w:val="32"/>
        </w:rPr>
        <w:t>开展文明餐桌行动</w:t>
      </w:r>
      <w:r>
        <w:rPr>
          <w:rFonts w:hint="eastAsia" w:ascii="仿宋_GB2312" w:hAnsi="仿宋_GB2312" w:eastAsia="仿宋_GB2312" w:cs="仿宋_GB2312"/>
          <w:color w:val="000000"/>
          <w:spacing w:val="0"/>
          <w:kern w:val="0"/>
          <w:sz w:val="32"/>
          <w:szCs w:val="32"/>
          <w:lang w:eastAsia="zh-CN"/>
        </w:rPr>
        <w:t>，</w:t>
      </w:r>
      <w:r>
        <w:rPr>
          <w:rFonts w:hint="eastAsia" w:ascii="仿宋_GB2312" w:hAnsi="仿宋_GB2312" w:eastAsia="仿宋_GB2312" w:cs="仿宋_GB2312"/>
          <w:color w:val="000000"/>
          <w:spacing w:val="0"/>
          <w:kern w:val="0"/>
          <w:sz w:val="32"/>
          <w:szCs w:val="32"/>
        </w:rPr>
        <w:t>免费</w:t>
      </w:r>
      <w:r>
        <w:rPr>
          <w:rFonts w:hint="eastAsia" w:ascii="仿宋_GB2312" w:hAnsi="仿宋_GB2312" w:eastAsia="仿宋_GB2312" w:cs="仿宋_GB2312"/>
          <w:color w:val="000000"/>
          <w:spacing w:val="0"/>
          <w:sz w:val="32"/>
          <w:szCs w:val="32"/>
          <w:lang w:eastAsia="zh-CN"/>
        </w:rPr>
        <w:t>下</w:t>
      </w:r>
      <w:r>
        <w:rPr>
          <w:rFonts w:hint="eastAsia" w:ascii="Times New Roman" w:hAnsi="Times New Roman" w:eastAsia="仿宋_GB2312" w:cs="Times New Roman"/>
          <w:color w:val="000000"/>
          <w:kern w:val="0"/>
          <w:sz w:val="32"/>
          <w:szCs w:val="32"/>
          <w:lang w:eastAsia="zh-CN"/>
        </w:rPr>
        <w:t>发</w:t>
      </w:r>
      <w:r>
        <w:rPr>
          <w:rFonts w:hint="eastAsia" w:ascii="Times New Roman" w:hAnsi="Times New Roman" w:eastAsia="仿宋_GB2312" w:cs="Times New Roman"/>
          <w:color w:val="000000"/>
          <w:kern w:val="0"/>
          <w:sz w:val="32"/>
          <w:szCs w:val="32"/>
          <w:lang w:val="en-US" w:eastAsia="zh-CN"/>
        </w:rPr>
        <w:t>10万双</w:t>
      </w:r>
      <w:r>
        <w:rPr>
          <w:rFonts w:hint="eastAsia" w:ascii="仿宋_GB2312" w:hAnsi="仿宋_GB2312" w:eastAsia="仿宋_GB2312" w:cs="仿宋_GB2312"/>
          <w:color w:val="000000"/>
          <w:spacing w:val="0"/>
          <w:sz w:val="32"/>
          <w:szCs w:val="32"/>
          <w:lang w:eastAsia="zh-CN"/>
        </w:rPr>
        <w:t>公筷，评选“文明餐桌行动”示范单</w:t>
      </w:r>
      <w:r>
        <w:rPr>
          <w:rFonts w:hint="eastAsia" w:ascii="Times New Roman" w:hAnsi="Times New Roman" w:eastAsia="仿宋_GB2312" w:cs="Times New Roman"/>
          <w:color w:val="000000"/>
          <w:kern w:val="0"/>
          <w:sz w:val="32"/>
          <w:szCs w:val="32"/>
          <w:lang w:val="en-US" w:eastAsia="zh-CN"/>
        </w:rPr>
        <w:t>位15家</w:t>
      </w:r>
      <w:r>
        <w:rPr>
          <w:rFonts w:hint="eastAsia" w:ascii="Times New Roman" w:hAnsi="Times New Roman" w:eastAsia="仿宋_GB2312" w:cs="Times New Roman"/>
          <w:color w:val="000000"/>
          <w:kern w:val="0"/>
          <w:sz w:val="32"/>
          <w:szCs w:val="32"/>
          <w:lang w:eastAsia="zh-CN"/>
        </w:rPr>
        <w:t>。组织开展校园及周边环境治理，规范酒类销售行为。文明创建</w:t>
      </w:r>
      <w:r>
        <w:rPr>
          <w:rFonts w:hint="eastAsia" w:ascii="Times New Roman" w:hAnsi="Times New Roman" w:eastAsia="仿宋_GB2312" w:cs="Times New Roman"/>
          <w:color w:val="000000"/>
          <w:kern w:val="0"/>
          <w:sz w:val="32"/>
          <w:szCs w:val="32"/>
          <w:lang w:val="en-US" w:eastAsia="zh-CN"/>
        </w:rPr>
        <w:t>工作在2022年1-5月</w:t>
      </w:r>
      <w:r>
        <w:rPr>
          <w:rFonts w:hint="eastAsia" w:ascii="Times New Roman" w:hAnsi="Times New Roman" w:eastAsia="仿宋_GB2312" w:cs="Times New Roman"/>
          <w:color w:val="000000"/>
          <w:kern w:val="0"/>
          <w:sz w:val="32"/>
          <w:szCs w:val="32"/>
          <w:lang w:eastAsia="zh-CN"/>
        </w:rPr>
        <w:t>综</w:t>
      </w:r>
      <w:r>
        <w:rPr>
          <w:rFonts w:hint="eastAsia" w:ascii="仿宋_GB2312" w:hAnsi="仿宋_GB2312" w:eastAsia="仿宋_GB2312" w:cs="仿宋_GB2312"/>
          <w:color w:val="000000"/>
          <w:spacing w:val="0"/>
          <w:sz w:val="32"/>
          <w:szCs w:val="32"/>
          <w:lang w:eastAsia="zh-CN"/>
        </w:rPr>
        <w:t>合</w:t>
      </w:r>
      <w:r>
        <w:rPr>
          <w:rFonts w:hint="eastAsia" w:ascii="仿宋_GB2312" w:hAnsi="仿宋_GB2312" w:eastAsia="仿宋_GB2312" w:cs="仿宋_GB2312"/>
          <w:spacing w:val="0"/>
          <w:sz w:val="32"/>
          <w:szCs w:val="32"/>
          <w:lang w:eastAsia="zh-CN"/>
        </w:rPr>
        <w:t>考核中获全市二类单位的第一名。</w:t>
      </w:r>
    </w:p>
    <w:p>
      <w:pPr>
        <w:keepNext w:val="0"/>
        <w:keepLines w:val="0"/>
        <w:pageBreakBefore w:val="0"/>
        <w:widowControl w:val="0"/>
        <w:pBdr>
          <w:top w:val="none" w:color="000000" w:sz="0" w:space="0"/>
          <w:left w:val="none" w:color="000000" w:sz="0" w:space="0"/>
          <w:bottom w:val="none" w:color="000000" w:sz="0" w:space="21"/>
          <w:right w:val="none" w:color="000000" w:sz="0" w:space="0"/>
        </w:pBdr>
        <w:kinsoku/>
        <w:wordWrap/>
        <w:overflowPunct/>
        <w:autoSpaceDE/>
        <w:autoSpaceDN w:val="0"/>
        <w:bidi w:val="0"/>
        <w:spacing w:line="600" w:lineRule="exact"/>
        <w:ind w:firstLine="640" w:firstLineChars="200"/>
        <w:textAlignment w:val="auto"/>
        <w:rPr>
          <w:rFonts w:hint="eastAsia" w:ascii="仿宋_GB2312" w:hAnsi="仿宋_GB2312" w:eastAsia="仿宋_GB2312" w:cs="仿宋_GB2312"/>
          <w:szCs w:val="32"/>
          <w:lang w:val="en-US" w:eastAsia="zh-CN"/>
        </w:rPr>
      </w:pPr>
      <w:r>
        <w:rPr>
          <w:rStyle w:val="11"/>
          <w:rFonts w:hint="eastAsia" w:ascii="仿宋_GB2312" w:hAnsi="仿宋_GB2312" w:eastAsia="仿宋_GB2312" w:cs="仿宋_GB2312"/>
          <w:b/>
          <w:bCs/>
          <w:color w:val="030303"/>
          <w:kern w:val="0"/>
          <w:sz w:val="32"/>
          <w:szCs w:val="32"/>
          <w:u w:val="none"/>
          <w:lang w:val="en-US" w:eastAsia="zh-CN" w:bidi="ar-SA"/>
        </w:rPr>
        <w:t>五是冷链监管仓建设运行</w:t>
      </w:r>
      <w:r>
        <w:rPr>
          <w:rFonts w:hint="eastAsia" w:ascii="仿宋_GB2312" w:hAnsi="仿宋_GB2312" w:eastAsia="仿宋_GB2312" w:cs="仿宋_GB2312"/>
          <w:b/>
          <w:sz w:val="32"/>
          <w:szCs w:val="32"/>
        </w:rPr>
        <w:t>高</w:t>
      </w:r>
      <w:r>
        <w:rPr>
          <w:rStyle w:val="11"/>
          <w:rFonts w:hint="eastAsia" w:ascii="仿宋_GB2312" w:hAnsi="仿宋_GB2312" w:eastAsia="仿宋_GB2312" w:cs="仿宋_GB2312"/>
          <w:b/>
          <w:bCs/>
          <w:color w:val="030303"/>
          <w:kern w:val="0"/>
          <w:sz w:val="32"/>
          <w:szCs w:val="32"/>
          <w:u w:val="none"/>
          <w:lang w:val="en-US" w:eastAsia="zh-CN" w:bidi="ar-SA"/>
        </w:rPr>
        <w:t>速有效。</w:t>
      </w:r>
      <w:r>
        <w:rPr>
          <w:rStyle w:val="21"/>
          <w:rFonts w:hint="eastAsia" w:ascii="仿宋_GB2312" w:hAnsi="仿宋_GB2312" w:eastAsia="仿宋_GB2312" w:cs="仿宋_GB2312"/>
          <w:color w:val="000000"/>
          <w:u w:val="none"/>
          <w:lang w:val="en-US" w:eastAsia="zh-CN"/>
        </w:rPr>
        <w:t>今年</w:t>
      </w:r>
      <w:r>
        <w:rPr>
          <w:rFonts w:hint="eastAsia" w:ascii="Times New Roman" w:hAnsi="Times New Roman" w:eastAsia="仿宋_GB2312" w:cs="Times New Roman"/>
          <w:color w:val="000000"/>
          <w:kern w:val="0"/>
          <w:sz w:val="32"/>
          <w:szCs w:val="32"/>
          <w:lang w:eastAsia="zh-CN"/>
        </w:rPr>
        <w:t>改建冻库面积1000平方米、库容700吨</w:t>
      </w:r>
      <w:r>
        <w:rPr>
          <w:rFonts w:hint="eastAsia" w:ascii="Times New Roman" w:hAnsi="Times New Roman" w:eastAsia="仿宋_GB2312" w:cs="Times New Roman"/>
          <w:color w:val="000000"/>
          <w:kern w:val="0"/>
          <w:sz w:val="32"/>
          <w:szCs w:val="32"/>
          <w:lang w:val="en-US" w:eastAsia="zh-CN"/>
        </w:rPr>
        <w:t>的</w:t>
      </w:r>
      <w:r>
        <w:rPr>
          <w:rFonts w:hint="eastAsia" w:ascii="Times New Roman" w:hAnsi="Times New Roman" w:eastAsia="仿宋_GB2312" w:cs="Times New Roman"/>
          <w:color w:val="000000"/>
          <w:kern w:val="0"/>
          <w:sz w:val="32"/>
          <w:szCs w:val="32"/>
          <w:lang w:eastAsia="zh-CN"/>
        </w:rPr>
        <w:t>进口冷链食品集中监管仓</w:t>
      </w:r>
      <w:r>
        <w:rPr>
          <w:rFonts w:hint="eastAsia" w:ascii="Times New Roman" w:hAnsi="Times New Roman" w:eastAsia="仿宋_GB2312" w:cs="Times New Roman"/>
          <w:color w:val="000000"/>
          <w:kern w:val="0"/>
          <w:sz w:val="32"/>
          <w:szCs w:val="32"/>
          <w:lang w:val="en-US" w:eastAsia="zh-CN"/>
        </w:rPr>
        <w:t>于4月1日正</w:t>
      </w:r>
      <w:r>
        <w:rPr>
          <w:rStyle w:val="21"/>
          <w:rFonts w:hint="eastAsia" w:ascii="仿宋_GB2312" w:hAnsi="仿宋_GB2312" w:eastAsia="仿宋_GB2312" w:cs="仿宋_GB2312"/>
          <w:lang w:val="en-US" w:eastAsia="zh-CN"/>
        </w:rPr>
        <w:t>式运行。</w:t>
      </w:r>
      <w:r>
        <w:rPr>
          <w:rFonts w:hint="eastAsia" w:ascii="仿宋_GB2312" w:hAnsi="仿宋_GB2312" w:eastAsia="仿宋_GB2312" w:cs="仿宋_GB2312"/>
          <w:sz w:val="32"/>
          <w:szCs w:val="32"/>
          <w:lang w:val="en-US" w:eastAsia="zh-CN"/>
        </w:rPr>
        <w:t>自运行以来</w:t>
      </w:r>
      <w:r>
        <w:rPr>
          <w:rStyle w:val="23"/>
          <w:rFonts w:hint="eastAsia" w:ascii="仿宋_GB2312" w:hAnsi="仿宋_GB2312" w:eastAsia="仿宋_GB2312" w:cs="仿宋_GB2312"/>
        </w:rPr>
        <w:t>严格</w:t>
      </w:r>
      <w:r>
        <w:rPr>
          <w:rStyle w:val="23"/>
          <w:rFonts w:hint="eastAsia" w:ascii="仿宋_GB2312" w:hAnsi="仿宋_GB2312" w:eastAsia="仿宋_GB2312" w:cs="仿宋_GB2312"/>
          <w:lang w:eastAsia="zh-CN"/>
        </w:rPr>
        <w:t>对入仓</w:t>
      </w:r>
      <w:r>
        <w:rPr>
          <w:rStyle w:val="23"/>
          <w:rFonts w:hint="eastAsia" w:ascii="仿宋_GB2312" w:hAnsi="仿宋_GB2312" w:eastAsia="仿宋_GB2312" w:cs="仿宋_GB2312"/>
        </w:rPr>
        <w:t>冷冻畜禽肉、水产品履行查验、消杀、核酸检测等手续，</w:t>
      </w:r>
      <w:r>
        <w:rPr>
          <w:rFonts w:hint="eastAsia" w:ascii="仿宋_GB2312" w:hAnsi="仿宋_GB2312" w:eastAsia="仿宋_GB2312" w:cs="仿宋_GB2312"/>
          <w:color w:val="000000"/>
          <w:sz w:val="32"/>
          <w:szCs w:val="32"/>
        </w:rPr>
        <w:t>共完成进口冷链食品出入</w:t>
      </w:r>
      <w:r>
        <w:rPr>
          <w:rFonts w:hint="eastAsia" w:ascii="Times New Roman" w:hAnsi="Times New Roman" w:eastAsia="仿宋_GB2312" w:cs="Times New Roman"/>
          <w:color w:val="000000"/>
          <w:kern w:val="0"/>
          <w:sz w:val="32"/>
          <w:szCs w:val="32"/>
          <w:lang w:eastAsia="zh-CN"/>
        </w:rPr>
        <w:t>仓508批次、8058.18吨，核酸采样检测样品22200管，应急</w:t>
      </w:r>
      <w:r>
        <w:rPr>
          <w:rFonts w:hint="eastAsia" w:ascii="仿宋_GB2312" w:hAnsi="仿宋_GB2312" w:eastAsia="仿宋_GB2312" w:cs="仿宋_GB2312"/>
          <w:color w:val="000000"/>
          <w:sz w:val="32"/>
          <w:szCs w:val="32"/>
        </w:rPr>
        <w:t>处置涉疫“越进口小公鱼干”</w:t>
      </w:r>
      <w:r>
        <w:rPr>
          <w:rFonts w:hint="eastAsia" w:ascii="Times New Roman" w:hAnsi="Times New Roman" w:eastAsia="仿宋_GB2312" w:cs="Times New Roman"/>
          <w:color w:val="000000"/>
          <w:kern w:val="0"/>
          <w:sz w:val="32"/>
          <w:szCs w:val="32"/>
          <w:lang w:eastAsia="zh-CN"/>
        </w:rPr>
        <w:t>2起。</w:t>
      </w:r>
      <w:r>
        <w:rPr>
          <w:rFonts w:hint="eastAsia" w:ascii="仿宋_GB2312" w:hAnsi="仿宋_GB2312" w:eastAsia="仿宋_GB2312" w:cs="仿宋_GB2312"/>
          <w:color w:val="000000"/>
          <w:sz w:val="32"/>
          <w:szCs w:val="32"/>
        </w:rPr>
        <w:t>有效保障了全市进口冷链食品安全和人民群众身体健康，为疫情防控筑起了一道外防输入的坚固屏障。</w:t>
      </w:r>
    </w:p>
    <w:p>
      <w:pPr>
        <w:keepNext w:val="0"/>
        <w:keepLines w:val="0"/>
        <w:pageBreakBefore w:val="0"/>
        <w:widowControl w:val="0"/>
        <w:pBdr>
          <w:top w:val="none" w:color="000000" w:sz="0" w:space="0"/>
          <w:left w:val="none" w:color="000000" w:sz="0" w:space="0"/>
          <w:bottom w:val="none" w:color="000000" w:sz="0" w:space="21"/>
          <w:right w:val="none" w:color="000000" w:sz="0" w:space="0"/>
        </w:pBdr>
        <w:kinsoku/>
        <w:wordWrap/>
        <w:overflowPunct/>
        <w:autoSpaceDE/>
        <w:autoSpaceDN w:val="0"/>
        <w:bidi w:val="0"/>
        <w:spacing w:line="600" w:lineRule="exact"/>
        <w:ind w:firstLine="640" w:firstLineChars="200"/>
        <w:textAlignment w:val="auto"/>
        <w:rPr>
          <w:rFonts w:hint="eastAsia" w:ascii="仿宋_GB2312" w:hAnsi="仿宋_GB2312" w:eastAsia="仿宋_GB2312" w:cs="仿宋_GB2312"/>
          <w:szCs w:val="32"/>
        </w:rPr>
      </w:pPr>
      <w:r>
        <w:rPr>
          <w:rFonts w:hint="eastAsia" w:ascii="仿宋_GB2312" w:hAnsi="仿宋_GB2312" w:eastAsia="仿宋_GB2312" w:cs="仿宋_GB2312"/>
          <w:szCs w:val="32"/>
        </w:rPr>
        <w:t>全年共使用食品安全监管经费</w:t>
      </w:r>
      <w:r>
        <w:rPr>
          <w:rFonts w:hint="eastAsia" w:ascii="Times New Roman" w:hAnsi="Times New Roman" w:eastAsia="仿宋_GB2312" w:cs="Times New Roman"/>
          <w:color w:val="000000"/>
          <w:kern w:val="0"/>
          <w:sz w:val="32"/>
          <w:szCs w:val="32"/>
          <w:lang w:eastAsia="zh-CN"/>
        </w:rPr>
        <w:t>3</w:t>
      </w:r>
      <w:r>
        <w:rPr>
          <w:rFonts w:hint="eastAsia" w:ascii="Times New Roman" w:hAnsi="Times New Roman" w:eastAsia="仿宋_GB2312" w:cs="Times New Roman"/>
          <w:color w:val="000000"/>
          <w:kern w:val="0"/>
          <w:sz w:val="32"/>
          <w:szCs w:val="32"/>
          <w:lang w:val="en-US" w:eastAsia="zh-CN"/>
        </w:rPr>
        <w:t>41.53</w:t>
      </w:r>
      <w:r>
        <w:rPr>
          <w:rFonts w:hint="eastAsia" w:ascii="Times New Roman" w:hAnsi="Times New Roman" w:eastAsia="仿宋_GB2312" w:cs="Times New Roman"/>
          <w:color w:val="000000"/>
          <w:kern w:val="0"/>
          <w:sz w:val="32"/>
          <w:szCs w:val="32"/>
          <w:lang w:eastAsia="zh-CN"/>
        </w:rPr>
        <w:t>万元，</w:t>
      </w:r>
      <w:r>
        <w:rPr>
          <w:rFonts w:hint="eastAsia" w:ascii="仿宋_GB2312" w:hAnsi="仿宋_GB2312" w:eastAsia="仿宋_GB2312" w:cs="仿宋_GB2312"/>
          <w:szCs w:val="32"/>
          <w:lang w:val="en-US" w:eastAsia="zh-CN"/>
        </w:rPr>
        <w:t>另</w:t>
      </w:r>
      <w:r>
        <w:rPr>
          <w:rFonts w:hint="eastAsia" w:ascii="仿宋_GB2312" w:hAnsi="仿宋_GB2312" w:eastAsia="仿宋_GB2312" w:cs="仿宋_GB2312"/>
          <w:szCs w:val="32"/>
        </w:rPr>
        <w:t>进口冷链食品</w:t>
      </w:r>
      <w:r>
        <w:rPr>
          <w:rFonts w:hint="eastAsia" w:ascii="仿宋_GB2312" w:hAnsi="仿宋_GB2312" w:eastAsia="仿宋_GB2312" w:cs="仿宋_GB2312"/>
          <w:szCs w:val="32"/>
          <w:lang w:val="en-US" w:eastAsia="zh-CN"/>
        </w:rPr>
        <w:t>监管仓建设与运行使用</w:t>
      </w:r>
      <w:r>
        <w:rPr>
          <w:rFonts w:hint="eastAsia" w:ascii="Times New Roman" w:hAnsi="Times New Roman" w:eastAsia="仿宋_GB2312" w:cs="Times New Roman"/>
          <w:color w:val="000000"/>
          <w:kern w:val="0"/>
          <w:sz w:val="32"/>
          <w:szCs w:val="32"/>
          <w:lang w:val="en-US" w:eastAsia="zh-CN"/>
        </w:rPr>
        <w:t>资金195.66万元，</w:t>
      </w:r>
      <w:r>
        <w:rPr>
          <w:rFonts w:hint="eastAsia" w:ascii="仿宋_GB2312" w:hAnsi="仿宋_GB2312" w:eastAsia="仿宋_GB2312" w:cs="仿宋_GB2312"/>
          <w:szCs w:val="32"/>
        </w:rPr>
        <w:t>做到了守住一条底线：全市连</w:t>
      </w:r>
      <w:r>
        <w:rPr>
          <w:rFonts w:hint="eastAsia" w:ascii="Times New Roman" w:hAnsi="Times New Roman" w:eastAsia="仿宋_GB2312" w:cs="Times New Roman"/>
          <w:color w:val="000000"/>
          <w:kern w:val="0"/>
          <w:sz w:val="32"/>
          <w:szCs w:val="32"/>
          <w:lang w:eastAsia="zh-CN"/>
        </w:rPr>
        <w:t>续10年以</w:t>
      </w:r>
      <w:r>
        <w:rPr>
          <w:rFonts w:hint="eastAsia" w:ascii="仿宋_GB2312" w:hAnsi="仿宋_GB2312" w:eastAsia="仿宋_GB2312" w:cs="仿宋_GB2312"/>
          <w:szCs w:val="32"/>
        </w:rPr>
        <w:t>上未发生较大以上食品安全事故，保障了人民群众的健康权益。实现了二个提升，即：提升了食品安全日常监管水平，监管体制改革全面到位；提升了食品安全专项整治力度，“护苗”“护老”“治违禁 控药残 促提升”“</w:t>
      </w:r>
      <w:r>
        <w:rPr>
          <w:rFonts w:hint="eastAsia" w:ascii="仿宋_GB2312" w:hAnsi="仿宋_GB2312" w:eastAsia="仿宋_GB2312" w:cs="仿宋_GB2312"/>
          <w:szCs w:val="32"/>
          <w:lang w:val="en-US" w:eastAsia="zh-CN"/>
        </w:rPr>
        <w:t>守查保</w:t>
      </w:r>
      <w:r>
        <w:rPr>
          <w:rFonts w:hint="eastAsia" w:ascii="仿宋_GB2312" w:hAnsi="仿宋_GB2312" w:eastAsia="仿宋_GB2312" w:cs="仿宋_GB2312"/>
          <w:szCs w:val="32"/>
        </w:rPr>
        <w:t>”</w:t>
      </w:r>
      <w:r>
        <w:rPr>
          <w:rFonts w:hint="eastAsia" w:ascii="仿宋_GB2312" w:hAnsi="仿宋_GB2312" w:eastAsia="仿宋_GB2312" w:cs="仿宋_GB2312"/>
          <w:b w:val="0"/>
          <w:bCs w:val="0"/>
          <w:szCs w:val="32"/>
          <w:lang w:eastAsia="zh-CN"/>
        </w:rPr>
        <w:t>“</w:t>
      </w:r>
      <w:r>
        <w:rPr>
          <w:rFonts w:hint="eastAsia" w:ascii="仿宋_GB2312" w:hAnsi="仿宋_GB2312" w:eastAsia="仿宋_GB2312" w:cs="仿宋_GB2312"/>
          <w:b w:val="0"/>
          <w:bCs w:val="0"/>
          <w:sz w:val="32"/>
          <w:szCs w:val="32"/>
        </w:rPr>
        <w:t>斩非断链</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szCs w:val="32"/>
        </w:rPr>
        <w:t>等专项整治卓有成效。</w:t>
      </w:r>
      <w:r>
        <w:rPr>
          <w:rFonts w:hint="eastAsia" w:ascii="仿宋_GB2312" w:hAnsi="仿宋_GB2312" w:eastAsia="仿宋_GB2312" w:cs="仿宋_GB2312"/>
          <w:szCs w:val="32"/>
          <w:lang w:val="en-US" w:eastAsia="zh-CN"/>
        </w:rPr>
        <w:t>通过</w:t>
      </w:r>
      <w:r>
        <w:rPr>
          <w:rFonts w:hint="eastAsia" w:ascii="仿宋_GB2312" w:hAnsi="仿宋_GB2312" w:eastAsia="仿宋_GB2312" w:cs="仿宋_GB2312"/>
          <w:szCs w:val="32"/>
        </w:rPr>
        <w:t>高度重视食品安全工作，遵循预防为主、标本兼治、全程监管、社会共治的原则，坚持问题导向</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树立食品安全社会共治和科学监管理念，形成了政府主导、部门监管、企业自律、社会监管的机制，为不断提高食品安全社会共治水平提供了保障。</w:t>
      </w:r>
    </w:p>
    <w:p>
      <w:pPr>
        <w:keepNext w:val="0"/>
        <w:keepLines w:val="0"/>
        <w:pageBreakBefore w:val="0"/>
        <w:widowControl w:val="0"/>
        <w:pBdr>
          <w:top w:val="none" w:color="000000" w:sz="0" w:space="0"/>
          <w:left w:val="none" w:color="000000" w:sz="0" w:space="0"/>
          <w:bottom w:val="none" w:color="000000" w:sz="0" w:space="21"/>
          <w:right w:val="none" w:color="000000" w:sz="0" w:space="0"/>
        </w:pBdr>
        <w:kinsoku/>
        <w:wordWrap/>
        <w:overflowPunct/>
        <w:autoSpaceDE/>
        <w:autoSpaceDN w:val="0"/>
        <w:bidi w:val="0"/>
        <w:spacing w:line="600" w:lineRule="exact"/>
        <w:ind w:firstLine="640" w:firstLineChars="200"/>
        <w:textAlignment w:val="auto"/>
        <w:rPr>
          <w:rFonts w:hint="eastAsia" w:ascii="仿宋_GB2312" w:hAnsi="仿宋_GB2312" w:eastAsia="仿宋_GB2312" w:cs="仿宋_GB2312"/>
          <w:szCs w:val="32"/>
        </w:rPr>
      </w:pPr>
      <w:r>
        <w:rPr>
          <w:rFonts w:hint="eastAsia" w:ascii="Times New Roman" w:hAnsi="Times New Roman" w:eastAsia="仿宋_GB2312" w:cs="Times New Roman"/>
          <w:color w:val="000000"/>
          <w:kern w:val="0"/>
          <w:sz w:val="32"/>
          <w:szCs w:val="32"/>
          <w:lang w:eastAsia="zh-CN"/>
        </w:rPr>
        <w:t>2022年，我市在省级食品安全公众满意度调查中得分8</w:t>
      </w:r>
      <w:r>
        <w:rPr>
          <w:rFonts w:hint="eastAsia" w:ascii="Times New Roman" w:hAnsi="Times New Roman" w:eastAsia="仿宋_GB2312" w:cs="Times New Roman"/>
          <w:color w:val="000000"/>
          <w:kern w:val="0"/>
          <w:sz w:val="32"/>
          <w:szCs w:val="32"/>
          <w:lang w:val="en-US" w:eastAsia="zh-CN"/>
        </w:rPr>
        <w:t>6.97</w:t>
      </w:r>
      <w:r>
        <w:rPr>
          <w:rFonts w:hint="eastAsia" w:ascii="Times New Roman" w:hAnsi="Times New Roman" w:eastAsia="仿宋_GB2312" w:cs="Times New Roman"/>
          <w:color w:val="000000"/>
          <w:kern w:val="0"/>
          <w:sz w:val="32"/>
          <w:szCs w:val="32"/>
          <w:lang w:eastAsia="zh-CN"/>
        </w:rPr>
        <w:t>分，较上年度提高3.</w:t>
      </w:r>
      <w:r>
        <w:rPr>
          <w:rFonts w:hint="eastAsia" w:ascii="Times New Roman" w:hAnsi="Times New Roman" w:eastAsia="仿宋_GB2312" w:cs="Times New Roman"/>
          <w:color w:val="000000"/>
          <w:kern w:val="0"/>
          <w:sz w:val="32"/>
          <w:szCs w:val="32"/>
          <w:lang w:val="en-US" w:eastAsia="zh-CN"/>
        </w:rPr>
        <w:t>64</w:t>
      </w:r>
      <w:r>
        <w:rPr>
          <w:rFonts w:hint="eastAsia" w:ascii="Times New Roman" w:hAnsi="Times New Roman" w:eastAsia="仿宋_GB2312" w:cs="Times New Roman"/>
          <w:color w:val="000000"/>
          <w:kern w:val="0"/>
          <w:sz w:val="32"/>
          <w:szCs w:val="32"/>
          <w:lang w:eastAsia="zh-CN"/>
        </w:rPr>
        <w:t>分。</w:t>
      </w:r>
    </w:p>
    <w:p>
      <w:pPr>
        <w:keepNext w:val="0"/>
        <w:keepLines w:val="0"/>
        <w:pageBreakBefore w:val="0"/>
        <w:widowControl w:val="0"/>
        <w:pBdr>
          <w:top w:val="none" w:color="000000" w:sz="0" w:space="0"/>
          <w:left w:val="none" w:color="000000" w:sz="0" w:space="0"/>
          <w:bottom w:val="none" w:color="000000" w:sz="0" w:space="21"/>
          <w:right w:val="none" w:color="000000" w:sz="0" w:space="0"/>
        </w:pBdr>
        <w:kinsoku/>
        <w:wordWrap/>
        <w:overflowPunct/>
        <w:autoSpaceDE/>
        <w:autoSpaceDN w:val="0"/>
        <w:bidi w:val="0"/>
        <w:spacing w:line="600" w:lineRule="exact"/>
        <w:ind w:firstLine="640" w:firstLineChars="200"/>
        <w:textAlignment w:val="auto"/>
        <w:rPr>
          <w:rFonts w:hint="eastAsia" w:ascii="楷体_GB2312" w:hAnsi="楷体_GB2312" w:eastAsia="楷体_GB2312" w:cs="楷体_GB2312"/>
          <w:b/>
          <w:color w:val="000000"/>
          <w:szCs w:val="32"/>
        </w:rPr>
      </w:pPr>
      <w:r>
        <w:rPr>
          <w:rFonts w:hint="eastAsia" w:ascii="楷体_GB2312" w:hAnsi="楷体_GB2312" w:eastAsia="楷体_GB2312" w:cs="楷体_GB2312"/>
          <w:b/>
          <w:color w:val="000000"/>
          <w:szCs w:val="32"/>
        </w:rPr>
        <w:t>（六）知识产权战略推进专项收到实效</w:t>
      </w:r>
    </w:p>
    <w:p>
      <w:pPr>
        <w:keepNext w:val="0"/>
        <w:keepLines w:val="0"/>
        <w:pageBreakBefore w:val="0"/>
        <w:widowControl w:val="0"/>
        <w:pBdr>
          <w:top w:val="none" w:color="000000" w:sz="0" w:space="0"/>
          <w:left w:val="none" w:color="000000" w:sz="0" w:space="0"/>
          <w:bottom w:val="none" w:color="000000" w:sz="0" w:space="21"/>
          <w:right w:val="none" w:color="000000" w:sz="0" w:space="0"/>
        </w:pBdr>
        <w:kinsoku/>
        <w:wordWrap/>
        <w:overflowPunct/>
        <w:autoSpaceDE/>
        <w:autoSpaceDN w:val="0"/>
        <w:bidi w:val="0"/>
        <w:spacing w:line="600" w:lineRule="exact"/>
        <w:ind w:firstLine="640" w:firstLineChars="200"/>
        <w:textAlignment w:val="auto"/>
        <w:rPr>
          <w:rFonts w:hint="eastAsia" w:ascii="仿宋_GB2312" w:hAnsi="仿宋_GB2312" w:eastAsia="仿宋_GB2312" w:cs="仿宋_GB2312"/>
          <w:color w:val="000000"/>
          <w:spacing w:val="0"/>
          <w:kern w:val="0"/>
          <w:sz w:val="32"/>
          <w:szCs w:val="32"/>
        </w:rPr>
      </w:pPr>
      <w:r>
        <w:rPr>
          <w:rFonts w:hint="eastAsia" w:ascii="仿宋_GB2312" w:hAnsi="仿宋_GB2312" w:eastAsia="仿宋_GB2312" w:cs="仿宋_GB2312"/>
          <w:b/>
          <w:bCs/>
          <w:spacing w:val="0"/>
          <w:sz w:val="32"/>
          <w:szCs w:val="32"/>
          <w:lang w:val="en-US" w:eastAsia="zh-CN"/>
        </w:rPr>
        <w:t>一是创造质量稳步提升</w:t>
      </w:r>
      <w:r>
        <w:rPr>
          <w:rFonts w:hint="eastAsia" w:ascii="仿宋_GB2312" w:hAnsi="仿宋_GB2312" w:eastAsia="仿宋_GB2312" w:cs="仿宋_GB2312"/>
          <w:b/>
          <w:bCs/>
          <w:spacing w:val="0"/>
          <w:sz w:val="32"/>
          <w:szCs w:val="32"/>
        </w:rPr>
        <w:t>。</w:t>
      </w:r>
      <w:r>
        <w:rPr>
          <w:rFonts w:hint="eastAsia" w:ascii="仿宋_GB2312" w:hAnsi="仿宋_GB2312" w:eastAsia="仿宋_GB2312" w:cs="仿宋_GB2312"/>
          <w:color w:val="000000"/>
          <w:spacing w:val="0"/>
          <w:kern w:val="0"/>
          <w:sz w:val="32"/>
          <w:szCs w:val="32"/>
        </w:rPr>
        <w:t>全市有效发</w:t>
      </w:r>
      <w:r>
        <w:rPr>
          <w:rFonts w:hint="eastAsia" w:ascii="仿宋_GB2312" w:hAnsi="仿宋_GB2312" w:eastAsia="仿宋_GB2312" w:cs="仿宋_GB2312"/>
          <w:spacing w:val="0"/>
          <w:sz w:val="32"/>
          <w:szCs w:val="32"/>
          <w:lang w:val="en-US" w:eastAsia="zh-CN"/>
        </w:rPr>
        <w:t>明</w:t>
      </w:r>
      <w:r>
        <w:rPr>
          <w:rFonts w:hint="eastAsia" w:ascii="Times New Roman" w:hAnsi="Times New Roman" w:eastAsia="仿宋_GB2312" w:cs="Times New Roman"/>
          <w:color w:val="000000"/>
          <w:kern w:val="0"/>
          <w:sz w:val="32"/>
          <w:szCs w:val="32"/>
          <w:lang w:val="en-US" w:eastAsia="zh-CN"/>
        </w:rPr>
        <w:t>专利1955件</w:t>
      </w:r>
      <w:r>
        <w:rPr>
          <w:rFonts w:hint="eastAsia" w:ascii="Times New Roman" w:hAnsi="Times New Roman" w:eastAsia="仿宋_GB2312" w:cs="Times New Roman"/>
          <w:color w:val="000000"/>
          <w:kern w:val="0"/>
          <w:sz w:val="32"/>
          <w:szCs w:val="32"/>
          <w:lang w:eastAsia="zh-CN"/>
        </w:rPr>
        <w:t>，每万人有效发明专利拥有</w:t>
      </w:r>
      <w:r>
        <w:rPr>
          <w:rFonts w:hint="eastAsia" w:ascii="Times New Roman" w:hAnsi="Times New Roman" w:eastAsia="仿宋_GB2312" w:cs="Times New Roman"/>
          <w:color w:val="000000"/>
          <w:kern w:val="0"/>
          <w:sz w:val="32"/>
          <w:szCs w:val="32"/>
          <w:lang w:val="en-US" w:eastAsia="zh-CN"/>
        </w:rPr>
        <w:t>量5.04件</w:t>
      </w:r>
      <w:r>
        <w:rPr>
          <w:rFonts w:hint="eastAsia" w:ascii="Times New Roman" w:hAnsi="Times New Roman" w:eastAsia="仿宋_GB2312" w:cs="Times New Roman"/>
          <w:color w:val="000000"/>
          <w:kern w:val="0"/>
          <w:sz w:val="32"/>
          <w:szCs w:val="32"/>
          <w:lang w:eastAsia="zh-CN"/>
        </w:rPr>
        <w:t>，列全省第一方阵全省排名第五，进入全省第一方阵，同类地区排名第一。申请PCT专利</w:t>
      </w:r>
      <w:r>
        <w:rPr>
          <w:rFonts w:hint="eastAsia" w:ascii="Times New Roman" w:hAnsi="Times New Roman" w:eastAsia="仿宋_GB2312" w:cs="Times New Roman"/>
          <w:color w:val="000000"/>
          <w:kern w:val="0"/>
          <w:sz w:val="32"/>
          <w:szCs w:val="32"/>
          <w:lang w:val="en-US" w:eastAsia="zh-CN"/>
        </w:rPr>
        <w:t>18</w:t>
      </w:r>
      <w:r>
        <w:rPr>
          <w:rFonts w:hint="eastAsia" w:ascii="Times New Roman" w:hAnsi="Times New Roman" w:eastAsia="仿宋_GB2312" w:cs="Times New Roman"/>
          <w:color w:val="000000"/>
          <w:kern w:val="0"/>
          <w:sz w:val="32"/>
          <w:szCs w:val="32"/>
          <w:lang w:eastAsia="zh-CN"/>
        </w:rPr>
        <w:t>件，</w:t>
      </w:r>
      <w:r>
        <w:rPr>
          <w:rFonts w:hint="eastAsia" w:ascii="仿宋_GB2312" w:hAnsi="仿宋_GB2312" w:eastAsia="仿宋_GB2312" w:cs="仿宋_GB2312"/>
          <w:sz w:val="32"/>
          <w:szCs w:val="32"/>
        </w:rPr>
        <w:t>全省</w:t>
      </w:r>
      <w:r>
        <w:rPr>
          <w:rFonts w:hint="eastAsia" w:ascii="仿宋_GB2312" w:hAnsi="仿宋_GB2312" w:eastAsia="仿宋_GB2312" w:cs="仿宋_GB2312"/>
          <w:sz w:val="32"/>
          <w:szCs w:val="32"/>
          <w:lang w:eastAsia="zh-CN"/>
        </w:rPr>
        <w:t>排名</w:t>
      </w: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rPr>
        <w:t>，同类地区排名第一</w:t>
      </w:r>
      <w:r>
        <w:rPr>
          <w:rFonts w:hint="eastAsia" w:ascii="Times New Roman" w:hAnsi="Times New Roman" w:eastAsia="仿宋_GB2312" w:cs="Times New Roman"/>
          <w:color w:val="000000"/>
          <w:kern w:val="0"/>
          <w:sz w:val="32"/>
          <w:szCs w:val="32"/>
          <w:lang w:eastAsia="zh-CN"/>
        </w:rPr>
        <w:t>。按省局部署，今年第一批非正常专利申请106件，撤回率</w:t>
      </w:r>
      <w:r>
        <w:rPr>
          <w:rFonts w:hint="eastAsia" w:ascii="Times New Roman" w:hAnsi="Times New Roman" w:eastAsia="仿宋_GB2312" w:cs="Times New Roman"/>
          <w:color w:val="000000"/>
          <w:kern w:val="0"/>
          <w:sz w:val="32"/>
          <w:szCs w:val="32"/>
          <w:lang w:val="en-US" w:eastAsia="zh-CN"/>
        </w:rPr>
        <w:t>100</w:t>
      </w:r>
      <w:r>
        <w:rPr>
          <w:rFonts w:hint="eastAsia" w:ascii="Times New Roman" w:hAnsi="Times New Roman" w:eastAsia="仿宋_GB2312" w:cs="Times New Roman"/>
          <w:color w:val="000000"/>
          <w:kern w:val="0"/>
          <w:sz w:val="32"/>
          <w:szCs w:val="32"/>
          <w:lang w:eastAsia="zh-CN"/>
        </w:rPr>
        <w:t>%，第二批非正常专利申请</w:t>
      </w:r>
      <w:r>
        <w:rPr>
          <w:rFonts w:hint="eastAsia" w:ascii="Times New Roman" w:hAnsi="Times New Roman" w:eastAsia="仿宋_GB2312" w:cs="Times New Roman"/>
          <w:color w:val="000000"/>
          <w:kern w:val="0"/>
          <w:sz w:val="32"/>
          <w:szCs w:val="32"/>
          <w:lang w:val="en-US" w:eastAsia="zh-CN"/>
        </w:rPr>
        <w:t>392件，</w:t>
      </w:r>
      <w:r>
        <w:rPr>
          <w:rFonts w:hint="eastAsia" w:ascii="Times New Roman" w:hAnsi="Times New Roman" w:eastAsia="仿宋_GB2312" w:cs="Times New Roman"/>
          <w:color w:val="000000"/>
          <w:kern w:val="0"/>
          <w:sz w:val="32"/>
          <w:szCs w:val="32"/>
          <w:lang w:eastAsia="zh-CN"/>
        </w:rPr>
        <w:t>撤回</w:t>
      </w:r>
      <w:r>
        <w:rPr>
          <w:rFonts w:hint="eastAsia" w:ascii="Times New Roman" w:hAnsi="Times New Roman" w:eastAsia="仿宋_GB2312" w:cs="Times New Roman"/>
          <w:color w:val="000000"/>
          <w:kern w:val="0"/>
          <w:sz w:val="32"/>
          <w:szCs w:val="32"/>
          <w:lang w:val="en-US" w:eastAsia="zh-CN"/>
        </w:rPr>
        <w:t>362件，撤回率达92.3%，均高于全省平均撤回率85.8%与全国平均撤回率85.3%，全市没有发生重大商标恶性抢注案件。</w:t>
      </w:r>
      <w:r>
        <w:rPr>
          <w:rFonts w:hint="eastAsia" w:ascii="Times New Roman" w:hAnsi="Times New Roman" w:eastAsia="仿宋_GB2312" w:cs="Times New Roman"/>
          <w:color w:val="000000"/>
          <w:kern w:val="0"/>
          <w:sz w:val="32"/>
          <w:szCs w:val="32"/>
          <w:lang w:eastAsia="zh-CN"/>
        </w:rPr>
        <w:t>全市国家知识产权示范企业</w:t>
      </w:r>
      <w:r>
        <w:rPr>
          <w:rFonts w:hint="eastAsia" w:ascii="Times New Roman" w:hAnsi="Times New Roman" w:eastAsia="仿宋_GB2312" w:cs="Times New Roman"/>
          <w:color w:val="000000"/>
          <w:kern w:val="0"/>
          <w:sz w:val="32"/>
          <w:szCs w:val="32"/>
          <w:lang w:val="en-US" w:eastAsia="zh-CN"/>
        </w:rPr>
        <w:t>3家</w:t>
      </w:r>
      <w:r>
        <w:rPr>
          <w:rFonts w:hint="eastAsia" w:ascii="Times New Roman" w:hAnsi="Times New Roman" w:eastAsia="仿宋_GB2312" w:cs="Times New Roman"/>
          <w:color w:val="000000"/>
          <w:kern w:val="0"/>
          <w:sz w:val="32"/>
          <w:szCs w:val="32"/>
          <w:lang w:eastAsia="zh-CN"/>
        </w:rPr>
        <w:t>，优势企</w:t>
      </w:r>
      <w:r>
        <w:rPr>
          <w:rFonts w:hint="eastAsia" w:ascii="Times New Roman" w:hAnsi="Times New Roman" w:eastAsia="仿宋_GB2312" w:cs="Times New Roman"/>
          <w:color w:val="000000"/>
          <w:kern w:val="0"/>
          <w:sz w:val="32"/>
          <w:szCs w:val="32"/>
          <w:lang w:val="en-US" w:eastAsia="zh-CN"/>
        </w:rPr>
        <w:t>业31家</w:t>
      </w:r>
      <w:r>
        <w:rPr>
          <w:rFonts w:hint="eastAsia" w:ascii="仿宋_GB2312" w:hAnsi="仿宋_GB2312" w:eastAsia="仿宋_GB2312" w:cs="仿宋_GB2312"/>
          <w:color w:val="000000"/>
          <w:spacing w:val="0"/>
          <w:sz w:val="32"/>
          <w:szCs w:val="32"/>
          <w:lang w:eastAsia="zh-CN"/>
        </w:rPr>
        <w:t>，位列全省第二。开展的</w:t>
      </w:r>
      <w:r>
        <w:rPr>
          <w:rFonts w:hint="eastAsia" w:ascii="仿宋_GB2312" w:hAnsi="仿宋_GB2312" w:eastAsia="仿宋_GB2312" w:cs="仿宋_GB2312"/>
          <w:color w:val="000000"/>
          <w:spacing w:val="0"/>
          <w:kern w:val="0"/>
          <w:sz w:val="32"/>
          <w:szCs w:val="32"/>
        </w:rPr>
        <w:t>竹凉席行业知识产权强链护链工作，入围全国知识产权强国建设典型案例。</w:t>
      </w:r>
    </w:p>
    <w:p>
      <w:pPr>
        <w:keepNext w:val="0"/>
        <w:keepLines w:val="0"/>
        <w:pageBreakBefore w:val="0"/>
        <w:widowControl w:val="0"/>
        <w:pBdr>
          <w:top w:val="none" w:color="000000" w:sz="0" w:space="0"/>
          <w:left w:val="none" w:color="000000" w:sz="0" w:space="0"/>
          <w:bottom w:val="none" w:color="000000" w:sz="0" w:space="21"/>
          <w:right w:val="none" w:color="000000" w:sz="0" w:space="0"/>
        </w:pBdr>
        <w:kinsoku/>
        <w:wordWrap/>
        <w:overflowPunct/>
        <w:autoSpaceDE/>
        <w:autoSpaceDN w:val="0"/>
        <w:bidi w:val="0"/>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b/>
          <w:bCs/>
          <w:sz w:val="32"/>
          <w:szCs w:val="32"/>
        </w:rPr>
        <w:t>运用效益成效明显。</w:t>
      </w:r>
      <w:r>
        <w:rPr>
          <w:rFonts w:hint="eastAsia" w:ascii="仿宋_GB2312" w:hAnsi="仿宋_GB2312" w:eastAsia="仿宋_GB2312" w:cs="仿宋_GB2312"/>
          <w:sz w:val="32"/>
          <w:szCs w:val="32"/>
        </w:rPr>
        <w:t>探索建立具有益阳特色的知识产权质押融资发展路径，在全省系统率先制定了专利权质押贷款补助办法，为专利成果转化提供了</w:t>
      </w:r>
      <w:r>
        <w:rPr>
          <w:rFonts w:hint="eastAsia" w:ascii="Times New Roman" w:hAnsi="Times New Roman" w:eastAsia="仿宋_GB2312" w:cs="Times New Roman"/>
          <w:color w:val="000000"/>
          <w:kern w:val="0"/>
          <w:sz w:val="32"/>
          <w:szCs w:val="32"/>
          <w:lang w:eastAsia="zh-CN"/>
        </w:rPr>
        <w:t>有力支撑。</w:t>
      </w:r>
      <w:r>
        <w:rPr>
          <w:rFonts w:hint="eastAsia" w:ascii="Times New Roman" w:hAnsi="Times New Roman" w:eastAsia="仿宋_GB2312" w:cs="Times New Roman"/>
          <w:color w:val="000000"/>
          <w:kern w:val="0"/>
          <w:sz w:val="32"/>
          <w:szCs w:val="32"/>
          <w:lang w:val="en-US" w:eastAsia="zh-CN"/>
        </w:rPr>
        <w:t>专利质押登记26笔，出质专利100件，质押金额24819.65万元。商标质押登记3笔，出质商标181件，质押金额16.55亿元，商标质押融资</w:t>
      </w:r>
      <w:r>
        <w:rPr>
          <w:rFonts w:hint="eastAsia" w:ascii="Times New Roman" w:hAnsi="Times New Roman" w:eastAsia="仿宋_GB2312" w:cs="Times New Roman"/>
          <w:color w:val="000000"/>
          <w:kern w:val="0"/>
          <w:sz w:val="32"/>
          <w:szCs w:val="32"/>
          <w:lang w:eastAsia="zh-CN"/>
        </w:rPr>
        <w:t>全省第一。我市累计有地理标志保护产品3个，地理标志商标22个。规范地理标志专用标志使用，今年新增地理标志许可使用企业73家，新增地理标志专用标志使用企业5</w:t>
      </w:r>
      <w:r>
        <w:rPr>
          <w:rFonts w:hint="eastAsia" w:ascii="Times New Roman" w:hAnsi="Times New Roman" w:eastAsia="仿宋_GB2312" w:cs="Times New Roman"/>
          <w:color w:val="000000"/>
          <w:kern w:val="0"/>
          <w:sz w:val="32"/>
          <w:szCs w:val="32"/>
          <w:lang w:val="en-US" w:eastAsia="zh-CN"/>
        </w:rPr>
        <w:t>5</w:t>
      </w:r>
      <w:r>
        <w:rPr>
          <w:rFonts w:hint="eastAsia" w:ascii="Times New Roman" w:hAnsi="Times New Roman" w:eastAsia="仿宋_GB2312" w:cs="Times New Roman"/>
          <w:color w:val="000000"/>
          <w:kern w:val="0"/>
          <w:sz w:val="32"/>
          <w:szCs w:val="32"/>
          <w:lang w:eastAsia="zh-CN"/>
        </w:rPr>
        <w:t>家，地标使用企业累计数量全省第一。组织5个地理标志16家企业参加双品网购节数商兴农专场活动，全省地理标志成交额达30.5万元。</w:t>
      </w:r>
    </w:p>
    <w:p>
      <w:pPr>
        <w:keepNext w:val="0"/>
        <w:keepLines w:val="0"/>
        <w:pageBreakBefore w:val="0"/>
        <w:widowControl w:val="0"/>
        <w:pBdr>
          <w:top w:val="none" w:color="000000" w:sz="0" w:space="0"/>
          <w:left w:val="none" w:color="000000" w:sz="0" w:space="0"/>
          <w:bottom w:val="none" w:color="000000" w:sz="0" w:space="21"/>
          <w:right w:val="none" w:color="000000" w:sz="0" w:space="0"/>
        </w:pBdr>
        <w:kinsoku/>
        <w:wordWrap/>
        <w:overflowPunct/>
        <w:autoSpaceDE/>
        <w:autoSpaceDN w:val="0"/>
        <w:bidi w:val="0"/>
        <w:spacing w:line="600" w:lineRule="exact"/>
        <w:ind w:firstLine="640" w:firstLineChars="200"/>
        <w:textAlignment w:val="auto"/>
        <w:rPr>
          <w:rFonts w:hint="eastAsia" w:ascii="仿宋_GB2312" w:hAnsi="仿宋_GB2312" w:eastAsia="仿宋_GB2312" w:cs="仿宋_GB2312"/>
          <w:szCs w:val="32"/>
        </w:rPr>
      </w:pPr>
      <w:r>
        <w:rPr>
          <w:rFonts w:hint="eastAsia" w:ascii="仿宋_GB2312" w:hAnsi="仿宋_GB2312" w:eastAsia="仿宋_GB2312" w:cs="仿宋_GB2312"/>
          <w:b/>
          <w:bCs/>
          <w:szCs w:val="32"/>
        </w:rPr>
        <w:t>三是</w:t>
      </w:r>
      <w:r>
        <w:rPr>
          <w:rFonts w:hint="eastAsia" w:ascii="仿宋_GB2312" w:hAnsi="仿宋_GB2312" w:eastAsia="仿宋_GB2312" w:cs="仿宋_GB2312"/>
          <w:b/>
          <w:bCs/>
          <w:szCs w:val="32"/>
          <w:lang w:val="en-US" w:eastAsia="zh-CN"/>
        </w:rPr>
        <w:t>服务企业多措并举</w:t>
      </w:r>
      <w:r>
        <w:rPr>
          <w:rFonts w:hint="eastAsia" w:ascii="仿宋_GB2312" w:hAnsi="仿宋_GB2312" w:eastAsia="仿宋_GB2312" w:cs="仿宋_GB2312"/>
          <w:b/>
          <w:bCs/>
          <w:szCs w:val="32"/>
        </w:rPr>
        <w:t>。</w:t>
      </w:r>
      <w:r>
        <w:rPr>
          <w:rFonts w:hint="eastAsia" w:ascii="仿宋_GB2312" w:hAnsi="仿宋_GB2312" w:eastAsia="仿宋_GB2312" w:cs="仿宋_GB2312"/>
          <w:sz w:val="32"/>
          <w:szCs w:val="32"/>
          <w:lang w:eastAsia="zh-CN"/>
        </w:rPr>
        <w:t>积极组</w:t>
      </w:r>
      <w:r>
        <w:rPr>
          <w:rFonts w:hint="eastAsia" w:ascii="Times New Roman" w:hAnsi="Times New Roman" w:eastAsia="仿宋_GB2312" w:cs="Times New Roman"/>
          <w:color w:val="000000"/>
          <w:kern w:val="0"/>
          <w:sz w:val="32"/>
          <w:szCs w:val="32"/>
          <w:lang w:eastAsia="zh-CN"/>
        </w:rPr>
        <w:t>织40家企业申报国家知识产权优势示范企业，</w:t>
      </w:r>
      <w:r>
        <w:rPr>
          <w:rFonts w:hint="eastAsia" w:ascii="Times New Roman" w:hAnsi="Times New Roman" w:eastAsia="仿宋_GB2312" w:cs="Times New Roman"/>
          <w:color w:val="000000"/>
          <w:kern w:val="0"/>
          <w:sz w:val="32"/>
          <w:szCs w:val="32"/>
          <w:lang w:val="en-US" w:eastAsia="zh-CN"/>
        </w:rPr>
        <w:t>新增2家示范企业，13家优势企业，</w:t>
      </w:r>
      <w:r>
        <w:rPr>
          <w:rFonts w:hint="eastAsia" w:ascii="Times New Roman" w:hAnsi="Times New Roman" w:eastAsia="仿宋_GB2312" w:cs="Times New Roman"/>
          <w:color w:val="000000"/>
          <w:kern w:val="0"/>
          <w:sz w:val="32"/>
          <w:szCs w:val="32"/>
          <w:lang w:eastAsia="zh-CN"/>
        </w:rPr>
        <w:t>目前全市国家知识产权示范企业</w:t>
      </w:r>
      <w:r>
        <w:rPr>
          <w:rFonts w:hint="eastAsia" w:ascii="Times New Roman" w:hAnsi="Times New Roman" w:eastAsia="仿宋_GB2312" w:cs="Times New Roman"/>
          <w:color w:val="000000"/>
          <w:kern w:val="0"/>
          <w:sz w:val="32"/>
          <w:szCs w:val="32"/>
          <w:lang w:val="en-US" w:eastAsia="zh-CN"/>
        </w:rPr>
        <w:t>3家，优势企业31家，示范优势企业数量居全省第二。</w:t>
      </w:r>
      <w:r>
        <w:rPr>
          <w:rFonts w:hint="eastAsia" w:ascii="Times New Roman" w:hAnsi="Times New Roman" w:eastAsia="仿宋_GB2312" w:cs="Times New Roman"/>
          <w:color w:val="000000"/>
          <w:kern w:val="0"/>
          <w:sz w:val="32"/>
          <w:szCs w:val="32"/>
          <w:lang w:eastAsia="zh-CN"/>
        </w:rPr>
        <w:t>组织全市48个单位申报湖南省知识产权专项项目，立项</w:t>
      </w:r>
      <w:r>
        <w:rPr>
          <w:rFonts w:hint="eastAsia" w:ascii="Times New Roman" w:hAnsi="Times New Roman" w:eastAsia="仿宋_GB2312" w:cs="Times New Roman"/>
          <w:color w:val="000000"/>
          <w:kern w:val="0"/>
          <w:sz w:val="32"/>
          <w:szCs w:val="32"/>
          <w:lang w:val="en-US" w:eastAsia="zh-CN"/>
        </w:rPr>
        <w:t>18个，共</w:t>
      </w:r>
      <w:r>
        <w:rPr>
          <w:rFonts w:hint="eastAsia" w:ascii="Times New Roman" w:hAnsi="Times New Roman" w:eastAsia="仿宋_GB2312" w:cs="Times New Roman"/>
          <w:color w:val="000000"/>
          <w:kern w:val="0"/>
          <w:sz w:val="32"/>
          <w:szCs w:val="32"/>
          <w:lang w:eastAsia="zh-CN"/>
        </w:rPr>
        <w:t>争取省级项目资金（含后补助资金）共</w:t>
      </w:r>
      <w:r>
        <w:rPr>
          <w:rFonts w:hint="eastAsia" w:ascii="Times New Roman" w:hAnsi="Times New Roman" w:eastAsia="仿宋_GB2312" w:cs="Times New Roman"/>
          <w:color w:val="000000"/>
          <w:kern w:val="0"/>
          <w:sz w:val="32"/>
          <w:szCs w:val="32"/>
          <w:lang w:val="en-US" w:eastAsia="zh-CN"/>
        </w:rPr>
        <w:t>412</w:t>
      </w:r>
      <w:r>
        <w:rPr>
          <w:rFonts w:hint="eastAsia" w:ascii="仿宋_GB2312" w:hAnsi="仿宋_GB2312" w:eastAsia="仿宋_GB2312" w:cs="仿宋_GB2312"/>
          <w:sz w:val="32"/>
          <w:szCs w:val="32"/>
          <w:lang w:val="en-US" w:eastAsia="zh-CN"/>
        </w:rPr>
        <w:t>万元</w:t>
      </w:r>
      <w:r>
        <w:rPr>
          <w:rFonts w:hint="eastAsia" w:ascii="仿宋_GB2312" w:hAnsi="仿宋_GB2312" w:eastAsia="仿宋_GB2312" w:cs="仿宋_GB2312"/>
          <w:sz w:val="32"/>
          <w:szCs w:val="32"/>
          <w:lang w:eastAsia="zh-CN"/>
        </w:rPr>
        <w:t>。</w:t>
      </w:r>
    </w:p>
    <w:p>
      <w:pPr>
        <w:keepNext w:val="0"/>
        <w:keepLines w:val="0"/>
        <w:pageBreakBefore w:val="0"/>
        <w:widowControl w:val="0"/>
        <w:pBdr>
          <w:top w:val="none" w:color="000000" w:sz="0" w:space="0"/>
          <w:left w:val="none" w:color="000000" w:sz="0" w:space="0"/>
          <w:bottom w:val="none" w:color="000000" w:sz="0" w:space="21"/>
          <w:right w:val="none" w:color="000000" w:sz="0" w:space="0"/>
        </w:pBdr>
        <w:kinsoku/>
        <w:wordWrap/>
        <w:overflowPunct/>
        <w:autoSpaceDE/>
        <w:autoSpaceDN w:val="0"/>
        <w:bidi w:val="0"/>
        <w:spacing w:line="600" w:lineRule="exact"/>
        <w:ind w:firstLine="640" w:firstLineChars="200"/>
        <w:textAlignment w:val="auto"/>
        <w:rPr>
          <w:rFonts w:hint="eastAsia" w:ascii="Times New Roman" w:hAnsi="Times New Roman" w:eastAsia="仿宋_GB2312" w:cs="Times New Roman"/>
          <w:color w:val="000000"/>
          <w:kern w:val="0"/>
          <w:sz w:val="32"/>
          <w:szCs w:val="32"/>
          <w:lang w:val="en-US" w:eastAsia="zh-CN"/>
        </w:rPr>
      </w:pPr>
      <w:r>
        <w:rPr>
          <w:rFonts w:hint="eastAsia" w:ascii="仿宋_GB2312" w:hAnsi="仿宋_GB2312" w:eastAsia="仿宋_GB2312" w:cs="仿宋_GB2312"/>
          <w:b/>
          <w:bCs/>
          <w:sz w:val="32"/>
          <w:szCs w:val="32"/>
          <w:lang w:val="en-US" w:eastAsia="zh-CN"/>
        </w:rPr>
        <w:t>四是开展知识产权保护社会共治。</w:t>
      </w:r>
      <w:r>
        <w:rPr>
          <w:rFonts w:hint="eastAsia" w:ascii="仿宋_GB2312" w:hAnsi="仿宋_GB2312" w:eastAsia="仿宋_GB2312" w:cs="仿宋_GB2312"/>
          <w:sz w:val="32"/>
          <w:szCs w:val="32"/>
          <w:lang w:val="en-US" w:eastAsia="zh-CN"/>
        </w:rPr>
        <w:t>今年完成了知识产权口审庭建设，成立了益阳市知识</w:t>
      </w:r>
      <w:r>
        <w:rPr>
          <w:rFonts w:hint="eastAsia" w:ascii="Times New Roman" w:hAnsi="Times New Roman" w:eastAsia="仿宋_GB2312" w:cs="Times New Roman"/>
          <w:color w:val="000000"/>
          <w:kern w:val="0"/>
          <w:sz w:val="32"/>
          <w:szCs w:val="32"/>
          <w:lang w:val="en-US" w:eastAsia="zh-CN"/>
        </w:rPr>
        <w:t>产权纠纷人民调解委员会，已处理知识产权纠纷158件，涉案金额799万元。其中商标案件71件，著作权案件87件，调解成功22件，申请司法确认2件。</w:t>
      </w:r>
    </w:p>
    <w:p>
      <w:pPr>
        <w:keepNext w:val="0"/>
        <w:keepLines w:val="0"/>
        <w:pageBreakBefore w:val="0"/>
        <w:widowControl w:val="0"/>
        <w:pBdr>
          <w:top w:val="none" w:color="000000" w:sz="0" w:space="0"/>
          <w:left w:val="none" w:color="000000" w:sz="0" w:space="0"/>
          <w:bottom w:val="none" w:color="000000" w:sz="0" w:space="21"/>
          <w:right w:val="none" w:color="000000" w:sz="0" w:space="0"/>
        </w:pBdr>
        <w:kinsoku/>
        <w:wordWrap/>
        <w:overflowPunct/>
        <w:autoSpaceDE/>
        <w:autoSpaceDN w:val="0"/>
        <w:bidi w:val="0"/>
        <w:spacing w:line="600" w:lineRule="exact"/>
        <w:ind w:firstLine="640" w:firstLineChars="200"/>
        <w:textAlignment w:val="auto"/>
        <w:rPr>
          <w:rFonts w:hint="eastAsia" w:ascii="仿宋_GB2312" w:hAnsi="仿宋_GB2312" w:eastAsia="仿宋_GB2312" w:cs="仿宋_GB2312"/>
          <w:szCs w:val="32"/>
        </w:rPr>
      </w:pPr>
      <w:r>
        <w:rPr>
          <w:rFonts w:hint="eastAsia" w:ascii="Times New Roman" w:hAnsi="Times New Roman" w:eastAsia="仿宋_GB2312" w:cs="Times New Roman"/>
          <w:color w:val="000000"/>
          <w:kern w:val="0"/>
          <w:sz w:val="32"/>
          <w:szCs w:val="32"/>
          <w:lang w:eastAsia="zh-CN"/>
        </w:rPr>
        <w:t>2022年共使用知识产权战略经费</w:t>
      </w:r>
      <w:r>
        <w:rPr>
          <w:rFonts w:hint="eastAsia" w:ascii="Times New Roman" w:hAnsi="Times New Roman" w:eastAsia="仿宋_GB2312" w:cs="Times New Roman"/>
          <w:color w:val="000000"/>
          <w:kern w:val="0"/>
          <w:sz w:val="32"/>
          <w:szCs w:val="32"/>
          <w:lang w:val="en-US" w:eastAsia="zh-CN"/>
        </w:rPr>
        <w:t>110.23</w:t>
      </w:r>
      <w:r>
        <w:rPr>
          <w:rFonts w:hint="eastAsia" w:ascii="Times New Roman" w:hAnsi="Times New Roman" w:eastAsia="仿宋_GB2312" w:cs="Times New Roman"/>
          <w:color w:val="000000"/>
          <w:kern w:val="0"/>
          <w:sz w:val="32"/>
          <w:szCs w:val="32"/>
          <w:lang w:eastAsia="zh-CN"/>
        </w:rPr>
        <w:t>万元，</w:t>
      </w:r>
      <w:r>
        <w:rPr>
          <w:rFonts w:hint="eastAsia" w:ascii="仿宋_GB2312" w:hAnsi="仿宋_GB2312" w:eastAsia="仿宋_GB2312" w:cs="仿宋_GB2312"/>
          <w:szCs w:val="32"/>
        </w:rPr>
        <w:t>主要用于发明专利授权资助（含国防专利、向国外专利申请资助、湖南专利奖、专利权质押融资评估费补贴、马德里商标国际申请资助、注册地理标志商标资助）、发明专利申请和维持经费、</w:t>
      </w:r>
      <w:r>
        <w:rPr>
          <w:rFonts w:hint="eastAsia" w:ascii="仿宋_GB2312" w:hAnsi="仿宋_GB2312" w:eastAsia="仿宋_GB2312" w:cs="仿宋_GB2312"/>
          <w:szCs w:val="32"/>
          <w:lang w:val="en-US" w:eastAsia="zh-CN"/>
        </w:rPr>
        <w:t>知识产权纠纷人民调解庭建设、国家知识产权强市试点城市建设启动仪式等</w:t>
      </w:r>
      <w:r>
        <w:rPr>
          <w:rFonts w:hint="eastAsia" w:ascii="仿宋_GB2312" w:hAnsi="仿宋_GB2312" w:eastAsia="仿宋_GB2312" w:cs="仿宋_GB2312"/>
          <w:szCs w:val="32"/>
        </w:rPr>
        <w:t>知识产权创造保护运用方面</w:t>
      </w:r>
      <w:r>
        <w:rPr>
          <w:rFonts w:hint="eastAsia" w:ascii="仿宋_GB2312" w:hAnsi="仿宋_GB2312" w:eastAsia="仿宋_GB2312" w:cs="仿宋_GB2312"/>
          <w:szCs w:val="32"/>
          <w:lang w:val="en-US" w:eastAsia="zh-CN"/>
        </w:rPr>
        <w:t>的支出</w:t>
      </w:r>
      <w:r>
        <w:rPr>
          <w:rFonts w:hint="eastAsia" w:ascii="仿宋_GB2312" w:hAnsi="仿宋_GB2312" w:eastAsia="仿宋_GB2312" w:cs="仿宋_GB2312"/>
          <w:szCs w:val="32"/>
        </w:rPr>
        <w:t>。通过开展以上知识产权战略工作，加强了技术创新，加强了知识产权运用、服务、管理与保护。鼓励了企业根据自身发展需求引进高价值专利，减少研发费用，实现快速发展。</w:t>
      </w:r>
      <w:r>
        <w:rPr>
          <w:rFonts w:hint="eastAsia" w:ascii="仿宋_GB2312" w:hAnsi="仿宋_GB2312" w:eastAsia="仿宋_GB2312" w:cs="仿宋_GB2312"/>
          <w:szCs w:val="32"/>
          <w:lang w:val="en-US" w:eastAsia="zh-CN"/>
        </w:rPr>
        <w:t>今年我市</w:t>
      </w:r>
      <w:r>
        <w:rPr>
          <w:rFonts w:hint="eastAsia" w:ascii="仿宋_GB2312" w:hAnsi="仿宋_GB2312" w:eastAsia="仿宋_GB2312" w:cs="仿宋_GB2312"/>
          <w:color w:val="000000"/>
          <w:spacing w:val="0"/>
          <w:kern w:val="0"/>
          <w:sz w:val="32"/>
          <w:szCs w:val="32"/>
        </w:rPr>
        <w:t>获批国家知识产权强市建设试点城市</w:t>
      </w:r>
      <w:r>
        <w:rPr>
          <w:rFonts w:hint="eastAsia" w:ascii="仿宋_GB2312" w:hAnsi="仿宋_GB2312" w:eastAsia="仿宋_GB2312" w:cs="仿宋_GB2312"/>
          <w:color w:val="000000"/>
          <w:spacing w:val="0"/>
          <w:kern w:val="0"/>
          <w:sz w:val="32"/>
          <w:szCs w:val="32"/>
          <w:lang w:eastAsia="zh-CN"/>
        </w:rPr>
        <w:t>，</w:t>
      </w:r>
      <w:r>
        <w:rPr>
          <w:rFonts w:hint="eastAsia" w:ascii="仿宋_GB2312" w:hAnsi="仿宋_GB2312" w:eastAsia="仿宋_GB2312" w:cs="仿宋_GB2312"/>
          <w:color w:val="000000"/>
          <w:spacing w:val="0"/>
          <w:kern w:val="0"/>
          <w:sz w:val="32"/>
          <w:szCs w:val="32"/>
          <w:lang w:val="en-US" w:eastAsia="zh-CN"/>
        </w:rPr>
        <w:t>同时</w:t>
      </w:r>
      <w:r>
        <w:rPr>
          <w:rFonts w:hint="eastAsia" w:ascii="仿宋_GB2312" w:hAnsi="仿宋_GB2312" w:eastAsia="仿宋_GB2312" w:cs="仿宋_GB2312"/>
          <w:color w:val="000000"/>
          <w:spacing w:val="0"/>
          <w:kern w:val="0"/>
          <w:sz w:val="32"/>
          <w:szCs w:val="32"/>
        </w:rPr>
        <w:t>举办了</w:t>
      </w:r>
      <w:r>
        <w:rPr>
          <w:rFonts w:hint="eastAsia" w:ascii="仿宋_GB2312" w:hAnsi="仿宋_GB2312" w:eastAsia="仿宋_GB2312" w:cs="仿宋_GB2312"/>
          <w:color w:val="000000"/>
          <w:spacing w:val="0"/>
          <w:kern w:val="2"/>
          <w:sz w:val="32"/>
          <w:szCs w:val="32"/>
          <w:lang w:val="en-US" w:eastAsia="zh-CN" w:bidi="ar-SA"/>
        </w:rPr>
        <w:t>国家知识产权强市试点城市建设启动仪式，</w:t>
      </w:r>
      <w:r>
        <w:rPr>
          <w:rFonts w:hint="eastAsia" w:ascii="仿宋_GB2312" w:hAnsi="仿宋_GB2312" w:eastAsia="仿宋_GB2312" w:cs="仿宋_GB2312"/>
          <w:color w:val="000000"/>
          <w:spacing w:val="0"/>
          <w:kern w:val="0"/>
          <w:sz w:val="32"/>
          <w:szCs w:val="32"/>
          <w:lang w:val="en-US" w:eastAsia="zh-CN"/>
        </w:rPr>
        <w:t>进一步</w:t>
      </w:r>
      <w:r>
        <w:rPr>
          <w:rFonts w:hint="eastAsia" w:ascii="仿宋_GB2312" w:hAnsi="仿宋_GB2312" w:eastAsia="仿宋_GB2312" w:cs="仿宋_GB2312"/>
          <w:szCs w:val="32"/>
        </w:rPr>
        <w:t>促进了知识产权价值实现，</w:t>
      </w:r>
      <w:r>
        <w:rPr>
          <w:rFonts w:hint="eastAsia" w:ascii="仿宋_GB2312" w:hAnsi="仿宋_GB2312" w:eastAsia="仿宋_GB2312" w:cs="仿宋_GB2312"/>
          <w:szCs w:val="32"/>
          <w:lang w:val="en-US" w:eastAsia="zh-CN"/>
        </w:rPr>
        <w:t>为</w:t>
      </w:r>
      <w:r>
        <w:rPr>
          <w:rFonts w:hint="eastAsia" w:ascii="仿宋_GB2312" w:hAnsi="仿宋_GB2312" w:eastAsia="仿宋_GB2312" w:cs="仿宋_GB2312"/>
          <w:sz w:val="32"/>
          <w:szCs w:val="32"/>
        </w:rPr>
        <w:t>实现知识产权创造、运用、保护、管理和服务全链条发展</w:t>
      </w:r>
      <w:r>
        <w:rPr>
          <w:rFonts w:hint="eastAsia" w:ascii="仿宋_GB2312" w:hAnsi="仿宋_GB2312" w:eastAsia="仿宋_GB2312" w:cs="仿宋_GB2312"/>
          <w:sz w:val="32"/>
          <w:szCs w:val="32"/>
          <w:lang w:val="en-US" w:eastAsia="zh-CN"/>
        </w:rPr>
        <w:t>打下良好的基础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进一步</w:t>
      </w:r>
      <w:r>
        <w:rPr>
          <w:rFonts w:hint="eastAsia" w:ascii="仿宋_GB2312" w:hAnsi="仿宋_GB2312" w:eastAsia="仿宋_GB2312" w:cs="仿宋_GB2312"/>
          <w:szCs w:val="32"/>
        </w:rPr>
        <w:t>助力了我市经济高质量发展</w:t>
      </w:r>
      <w:r>
        <w:rPr>
          <w:rFonts w:hint="eastAsia" w:ascii="仿宋_GB2312" w:hAnsi="仿宋_GB2312" w:eastAsia="仿宋_GB2312" w:cs="仿宋_GB2312"/>
          <w:sz w:val="32"/>
          <w:szCs w:val="32"/>
        </w:rPr>
        <w:t>。</w:t>
      </w:r>
    </w:p>
    <w:p>
      <w:pPr>
        <w:keepNext w:val="0"/>
        <w:keepLines w:val="0"/>
        <w:pageBreakBefore w:val="0"/>
        <w:widowControl w:val="0"/>
        <w:pBdr>
          <w:top w:val="none" w:color="000000" w:sz="0" w:space="0"/>
          <w:left w:val="none" w:color="000000" w:sz="0" w:space="0"/>
          <w:bottom w:val="none" w:color="000000" w:sz="0" w:space="21"/>
          <w:right w:val="none" w:color="000000" w:sz="0" w:space="0"/>
        </w:pBdr>
        <w:kinsoku/>
        <w:wordWrap/>
        <w:overflowPunct/>
        <w:autoSpaceDE/>
        <w:autoSpaceDN w:val="0"/>
        <w:bidi w:val="0"/>
        <w:spacing w:line="600" w:lineRule="exact"/>
        <w:ind w:firstLine="608" w:firstLineChars="200"/>
        <w:textAlignment w:val="auto"/>
        <w:rPr>
          <w:rFonts w:hint="eastAsia" w:ascii="黑体" w:hAnsi="黑体" w:eastAsia="黑体" w:cs="黑体"/>
          <w:spacing w:val="-8"/>
          <w:szCs w:val="32"/>
        </w:rPr>
      </w:pPr>
      <w:r>
        <w:rPr>
          <w:rFonts w:hint="eastAsia" w:ascii="黑体" w:hAnsi="黑体" w:eastAsia="黑体" w:cs="黑体"/>
          <w:spacing w:val="-8"/>
          <w:szCs w:val="32"/>
        </w:rPr>
        <w:t>七、存在的问题及原因分析</w:t>
      </w:r>
    </w:p>
    <w:p>
      <w:pPr>
        <w:keepNext w:val="0"/>
        <w:keepLines w:val="0"/>
        <w:pageBreakBefore w:val="0"/>
        <w:widowControl w:val="0"/>
        <w:pBdr>
          <w:top w:val="none" w:color="000000" w:sz="0" w:space="0"/>
          <w:left w:val="none" w:color="000000" w:sz="0" w:space="0"/>
          <w:bottom w:val="none" w:color="000000" w:sz="0" w:space="21"/>
          <w:right w:val="none" w:color="000000" w:sz="0" w:space="0"/>
        </w:pBdr>
        <w:kinsoku/>
        <w:wordWrap/>
        <w:overflowPunct/>
        <w:autoSpaceDE/>
        <w:autoSpaceDN w:val="0"/>
        <w:bidi w:val="0"/>
        <w:spacing w:line="600" w:lineRule="exact"/>
        <w:ind w:firstLine="640" w:firstLineChars="200"/>
        <w:textAlignment w:val="auto"/>
        <w:rPr>
          <w:rFonts w:hint="eastAsia" w:ascii="楷体_GB2312" w:hAnsi="楷体_GB2312" w:eastAsia="楷体_GB2312" w:cs="楷体_GB2312"/>
          <w:b/>
          <w:color w:val="000000"/>
          <w:szCs w:val="32"/>
        </w:rPr>
      </w:pPr>
      <w:r>
        <w:rPr>
          <w:rFonts w:hint="eastAsia" w:ascii="楷体_GB2312" w:hAnsi="楷体_GB2312" w:eastAsia="楷体_GB2312" w:cs="楷体_GB2312"/>
          <w:b/>
          <w:color w:val="000000"/>
          <w:szCs w:val="32"/>
        </w:rPr>
        <w:t>（一）市场监管经费存在缺口</w:t>
      </w:r>
    </w:p>
    <w:p>
      <w:pPr>
        <w:keepNext w:val="0"/>
        <w:keepLines w:val="0"/>
        <w:pageBreakBefore w:val="0"/>
        <w:widowControl w:val="0"/>
        <w:pBdr>
          <w:top w:val="none" w:color="000000" w:sz="0" w:space="0"/>
          <w:left w:val="none" w:color="000000" w:sz="0" w:space="0"/>
          <w:bottom w:val="none" w:color="000000" w:sz="0" w:space="21"/>
          <w:right w:val="none" w:color="000000" w:sz="0" w:space="0"/>
        </w:pBdr>
        <w:kinsoku/>
        <w:wordWrap/>
        <w:overflowPunct/>
        <w:autoSpaceDE/>
        <w:autoSpaceDN w:val="0"/>
        <w:bidi w:val="0"/>
        <w:spacing w:line="600" w:lineRule="exact"/>
        <w:ind w:firstLine="640" w:firstLineChars="200"/>
        <w:textAlignment w:val="auto"/>
        <w:rPr>
          <w:rFonts w:hint="eastAsia" w:ascii="仿宋_GB2312" w:hAnsi="仿宋_GB2312" w:eastAsia="仿宋_GB2312" w:cs="仿宋_GB2312"/>
          <w:szCs w:val="32"/>
        </w:rPr>
      </w:pPr>
      <w:r>
        <w:rPr>
          <w:rFonts w:hint="default" w:ascii="Times New Roman" w:hAnsi="Times New Roman" w:eastAsia="仿宋_GB2312" w:cs="Times New Roman"/>
          <w:szCs w:val="32"/>
          <w:lang w:val="en-US" w:eastAsia="zh-CN"/>
        </w:rPr>
        <w:t>1</w:t>
      </w:r>
      <w:r>
        <w:rPr>
          <w:rFonts w:hint="default" w:ascii="Times New Roman" w:hAnsi="Times New Roman" w:eastAsia="仿宋_GB2312" w:cs="Times New Roman"/>
          <w:szCs w:val="32"/>
        </w:rPr>
        <w:t>.食品抽检经费预算存在缺口。根据《中共中央 国务院关于深化改革加强食品安全工作意见》，到2020年，基于风险和供应链管理的食品安全监管体系初步建立。食品抽检量应达到4</w:t>
      </w:r>
      <w:r>
        <w:rPr>
          <w:rFonts w:hint="eastAsia" w:ascii="仿宋_GB2312" w:hAnsi="仿宋_GB2312" w:eastAsia="仿宋_GB2312" w:cs="仿宋_GB2312"/>
          <w:szCs w:val="32"/>
        </w:rPr>
        <w:t>批次/千人，食品抽检合格率稳定</w:t>
      </w:r>
      <w:r>
        <w:rPr>
          <w:rFonts w:hint="eastAsia" w:ascii="Times New Roman" w:hAnsi="Times New Roman" w:eastAsia="仿宋_GB2312" w:cs="Times New Roman"/>
          <w:szCs w:val="32"/>
          <w:lang w:val="en-US" w:eastAsia="zh-CN"/>
        </w:rPr>
        <w:t>在98%以上。据测算全市需安排食品抽检费2100万元左右，按省局要求，市级层面要承担30%的食品抽检任务，约需食品抽检资金630万元。市财政及市食安委仅在食品安全监管专项经费中安排了216万元食</w:t>
      </w:r>
      <w:r>
        <w:rPr>
          <w:rFonts w:hint="eastAsia" w:ascii="仿宋_GB2312" w:hAnsi="仿宋_GB2312" w:eastAsia="仿宋_GB2312" w:cs="仿宋_GB2312"/>
          <w:szCs w:val="32"/>
        </w:rPr>
        <w:t>品抽检经费预算，而要完成国务院下达的食品抽检任务，市级层面食品抽检预算资金</w:t>
      </w:r>
      <w:r>
        <w:rPr>
          <w:rFonts w:hint="eastAsia" w:ascii="仿宋_GB2312" w:hAnsi="仿宋_GB2312" w:eastAsia="仿宋_GB2312" w:cs="仿宋_GB2312"/>
          <w:szCs w:val="32"/>
          <w:lang w:eastAsia="zh-CN"/>
        </w:rPr>
        <w:t>存在</w:t>
      </w:r>
      <w:r>
        <w:rPr>
          <w:rFonts w:hint="eastAsia" w:ascii="仿宋_GB2312" w:hAnsi="仿宋_GB2312" w:eastAsia="仿宋_GB2312" w:cs="仿宋_GB2312"/>
          <w:szCs w:val="32"/>
        </w:rPr>
        <w:t>缺</w:t>
      </w:r>
      <w:r>
        <w:rPr>
          <w:rFonts w:hint="eastAsia" w:ascii="仿宋_GB2312" w:hAnsi="仿宋_GB2312" w:eastAsia="仿宋_GB2312" w:cs="仿宋_GB2312"/>
          <w:szCs w:val="32"/>
          <w:lang w:eastAsia="zh-CN"/>
        </w:rPr>
        <w:t>口</w:t>
      </w:r>
      <w:r>
        <w:rPr>
          <w:rFonts w:hint="eastAsia" w:ascii="仿宋_GB2312" w:hAnsi="仿宋_GB2312" w:eastAsia="仿宋_GB2312" w:cs="仿宋_GB2312"/>
          <w:szCs w:val="32"/>
        </w:rPr>
        <w:t>。</w:t>
      </w:r>
    </w:p>
    <w:p>
      <w:pPr>
        <w:keepNext w:val="0"/>
        <w:keepLines w:val="0"/>
        <w:pageBreakBefore w:val="0"/>
        <w:widowControl w:val="0"/>
        <w:pBdr>
          <w:top w:val="none" w:color="000000" w:sz="0" w:space="0"/>
          <w:left w:val="none" w:color="000000" w:sz="0" w:space="0"/>
          <w:bottom w:val="none" w:color="000000" w:sz="0" w:space="21"/>
          <w:right w:val="none" w:color="000000" w:sz="0" w:space="0"/>
        </w:pBdr>
        <w:kinsoku/>
        <w:wordWrap/>
        <w:overflowPunct/>
        <w:autoSpaceDE/>
        <w:autoSpaceDN w:val="0"/>
        <w:bidi w:val="0"/>
        <w:spacing w:line="600" w:lineRule="exact"/>
        <w:ind w:firstLine="640" w:firstLineChars="200"/>
        <w:textAlignment w:val="auto"/>
        <w:rPr>
          <w:rFonts w:hint="eastAsia" w:ascii="仿宋_GB2312" w:hAnsi="仿宋_GB2312" w:eastAsia="仿宋_GB2312" w:cs="仿宋_GB2312"/>
          <w:szCs w:val="32"/>
        </w:rPr>
      </w:pPr>
      <w:r>
        <w:rPr>
          <w:rFonts w:hint="eastAsia" w:ascii="仿宋_GB2312" w:hAnsi="仿宋_GB2312" w:eastAsia="仿宋_GB2312" w:cs="仿宋_GB2312"/>
          <w:szCs w:val="32"/>
        </w:rPr>
        <w:t>食品安全监管资金管长远的经费投入不足。目前，我市的食品安全综合监管经费只能保抽检、保运转，对于推进城乡食品和食用农产品流通供应体系建设，病死畜禽无害化处理能力建设，农贸市场升级提质，城乡居民饮用水安全管理、信息化智慧监管等管长远的基础性建设靠现有投入水平无法保障。</w:t>
      </w:r>
    </w:p>
    <w:p>
      <w:pPr>
        <w:keepNext w:val="0"/>
        <w:keepLines w:val="0"/>
        <w:pageBreakBefore w:val="0"/>
        <w:widowControl w:val="0"/>
        <w:pBdr>
          <w:top w:val="none" w:color="000000" w:sz="0" w:space="0"/>
          <w:left w:val="none" w:color="000000" w:sz="0" w:space="0"/>
          <w:bottom w:val="none" w:color="000000" w:sz="0" w:space="21"/>
          <w:right w:val="none" w:color="000000" w:sz="0" w:space="0"/>
        </w:pBdr>
        <w:kinsoku/>
        <w:wordWrap/>
        <w:overflowPunct/>
        <w:autoSpaceDE/>
        <w:autoSpaceDN w:val="0"/>
        <w:bidi w:val="0"/>
        <w:spacing w:line="600" w:lineRule="exact"/>
        <w:ind w:firstLine="640" w:firstLineChars="200"/>
        <w:textAlignment w:val="auto"/>
        <w:rPr>
          <w:rFonts w:hint="eastAsia" w:ascii="仿宋_GB2312" w:hAnsi="仿宋_GB2312" w:eastAsia="仿宋_GB2312" w:cs="仿宋_GB2312"/>
          <w:szCs w:val="32"/>
        </w:rPr>
      </w:pPr>
      <w:r>
        <w:rPr>
          <w:rFonts w:hint="eastAsia" w:ascii="Times New Roman" w:hAnsi="Times New Roman" w:eastAsia="仿宋_GB2312" w:cs="Times New Roman"/>
          <w:szCs w:val="32"/>
          <w:lang w:val="en-US" w:eastAsia="zh-CN"/>
        </w:rPr>
        <w:t>2.今</w:t>
      </w:r>
      <w:r>
        <w:rPr>
          <w:rFonts w:hint="eastAsia" w:ascii="仿宋_GB2312" w:hAnsi="仿宋_GB2312" w:eastAsia="仿宋_GB2312" w:cs="仿宋_GB2312"/>
          <w:color w:val="auto"/>
          <w:sz w:val="32"/>
          <w:szCs w:val="32"/>
          <w:lang w:val="en-US" w:eastAsia="zh-CN"/>
        </w:rPr>
        <w:t>年</w:t>
      </w:r>
      <w:r>
        <w:rPr>
          <w:rFonts w:hint="eastAsia" w:ascii="仿宋_GB2312" w:hAnsi="仿宋_GB2312" w:eastAsia="仿宋_GB2312" w:cs="仿宋_GB2312"/>
          <w:color w:val="000000"/>
          <w:sz w:val="32"/>
          <w:szCs w:val="32"/>
        </w:rPr>
        <w:t>我市</w:t>
      </w:r>
      <w:r>
        <w:rPr>
          <w:rFonts w:hint="eastAsia" w:ascii="仿宋_GB2312" w:hAnsi="仿宋_GB2312" w:eastAsia="仿宋_GB2312" w:cs="仿宋_GB2312"/>
          <w:color w:val="000000"/>
          <w:sz w:val="32"/>
          <w:szCs w:val="32"/>
          <w:lang w:eastAsia="zh-CN"/>
        </w:rPr>
        <w:t>安排了知识产权战略激励资</w:t>
      </w:r>
      <w:r>
        <w:rPr>
          <w:rFonts w:hint="eastAsia" w:ascii="Times New Roman" w:hAnsi="Times New Roman" w:eastAsia="仿宋_GB2312" w:cs="Times New Roman"/>
          <w:szCs w:val="32"/>
          <w:lang w:val="en-US" w:eastAsia="zh-CN"/>
        </w:rPr>
        <w:t>金320万元</w:t>
      </w:r>
      <w:r>
        <w:rPr>
          <w:rFonts w:hint="eastAsia" w:ascii="仿宋_GB2312" w:hAnsi="仿宋_GB2312" w:eastAsia="仿宋_GB2312" w:cs="仿宋_GB2312"/>
          <w:color w:val="000000"/>
          <w:sz w:val="32"/>
          <w:szCs w:val="32"/>
          <w:lang w:eastAsia="zh-CN"/>
        </w:rPr>
        <w:t>，本与试点城市建设需求还有很大差距，却被《益阳市推进先进制造业高质量发展专项资金管理办法（试行）》调</w:t>
      </w:r>
      <w:r>
        <w:rPr>
          <w:rFonts w:hint="eastAsia" w:ascii="Times New Roman" w:hAnsi="Times New Roman" w:eastAsia="仿宋_GB2312" w:cs="Times New Roman"/>
          <w:szCs w:val="32"/>
          <w:lang w:val="en-US" w:eastAsia="zh-CN"/>
        </w:rPr>
        <w:t>节207万</w:t>
      </w:r>
      <w:r>
        <w:rPr>
          <w:rFonts w:hint="eastAsia" w:ascii="仿宋_GB2312" w:hAnsi="仿宋_GB2312" w:eastAsia="仿宋_GB2312" w:cs="仿宋_GB2312"/>
          <w:color w:val="000000"/>
          <w:sz w:val="32"/>
          <w:szCs w:val="32"/>
          <w:lang w:val="en-US" w:eastAsia="zh-CN"/>
        </w:rPr>
        <w:t>元，根本无法满足知识产权工作的正常发展</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auto"/>
          <w:sz w:val="32"/>
          <w:szCs w:val="32"/>
        </w:rPr>
        <w:t>我市本级近几年知识产权投入均低于省财政投入，且逐年递减</w:t>
      </w:r>
      <w:r>
        <w:rPr>
          <w:rFonts w:hint="eastAsia" w:ascii="仿宋_GB2312" w:hAnsi="仿宋_GB2312" w:eastAsia="仿宋_GB2312" w:cs="仿宋_GB2312"/>
          <w:color w:val="auto"/>
          <w:sz w:val="32"/>
          <w:szCs w:val="32"/>
          <w:lang w:eastAsia="zh-CN"/>
        </w:rPr>
        <w:t>。市财政知识产权经费投入与国家、省政策要求和我市高质量发展需求不相适应。</w:t>
      </w:r>
    </w:p>
    <w:p>
      <w:pPr>
        <w:keepNext w:val="0"/>
        <w:keepLines w:val="0"/>
        <w:pageBreakBefore w:val="0"/>
        <w:widowControl w:val="0"/>
        <w:pBdr>
          <w:top w:val="none" w:color="000000" w:sz="0" w:space="0"/>
          <w:left w:val="none" w:color="000000" w:sz="0" w:space="0"/>
          <w:bottom w:val="none" w:color="000000" w:sz="0" w:space="21"/>
          <w:right w:val="none" w:color="000000" w:sz="0" w:space="0"/>
        </w:pBdr>
        <w:kinsoku/>
        <w:wordWrap/>
        <w:overflowPunct/>
        <w:autoSpaceDE/>
        <w:autoSpaceDN w:val="0"/>
        <w:bidi w:val="0"/>
        <w:spacing w:line="600" w:lineRule="exact"/>
        <w:ind w:firstLine="640" w:firstLineChars="200"/>
        <w:textAlignment w:val="auto"/>
        <w:rPr>
          <w:rFonts w:hint="eastAsia" w:ascii="仿宋_GB2312" w:hAnsi="仿宋_GB2312" w:eastAsia="仿宋_GB2312" w:cs="仿宋_GB2312"/>
          <w:color w:val="000000"/>
          <w:szCs w:val="32"/>
        </w:rPr>
      </w:pPr>
      <w:r>
        <w:rPr>
          <w:rFonts w:hint="eastAsia" w:ascii="楷体_GB2312" w:hAnsi="楷体_GB2312" w:eastAsia="楷体_GB2312" w:cs="楷体_GB2312"/>
          <w:b/>
          <w:color w:val="000000"/>
          <w:szCs w:val="32"/>
        </w:rPr>
        <w:t>（二）项目绩效指标编制不够精细合理。</w:t>
      </w:r>
      <w:r>
        <w:rPr>
          <w:rFonts w:hint="eastAsia" w:ascii="仿宋_GB2312" w:hAnsi="仿宋_GB2312" w:eastAsia="仿宋_GB2312" w:cs="仿宋_GB2312"/>
          <w:color w:val="000000"/>
          <w:szCs w:val="32"/>
        </w:rPr>
        <w:t>我单位整合了原药监局、原质监局、原工商局三个单位以及原属科技局的知识产权战略实施和原属发改委的价格监管职能职责，各类专项目标考核就有三十多个，在部门整体绩效申报时绩效目标的设置质量不高、绩效目标分解不清晰，绩效指标对项目的一些重要工作领域设置还可以更具体、细化、量化，已设定数量指标、质量指标等因上级对我单位下达的计划目标值在实际操作中有所调整，影响项目计划开展和完成情况的偏离。</w:t>
      </w:r>
    </w:p>
    <w:p>
      <w:pPr>
        <w:keepNext w:val="0"/>
        <w:keepLines w:val="0"/>
        <w:pageBreakBefore w:val="0"/>
        <w:widowControl w:val="0"/>
        <w:pBdr>
          <w:top w:val="none" w:color="000000" w:sz="0" w:space="0"/>
          <w:left w:val="none" w:color="000000" w:sz="0" w:space="0"/>
          <w:bottom w:val="none" w:color="000000" w:sz="0" w:space="21"/>
          <w:right w:val="none" w:color="000000" w:sz="0" w:space="0"/>
        </w:pBdr>
        <w:kinsoku/>
        <w:wordWrap/>
        <w:overflowPunct/>
        <w:autoSpaceDE/>
        <w:autoSpaceDN w:val="0"/>
        <w:bidi w:val="0"/>
        <w:spacing w:line="600" w:lineRule="exact"/>
        <w:ind w:firstLine="640" w:firstLineChars="200"/>
        <w:textAlignment w:val="auto"/>
        <w:rPr>
          <w:rFonts w:hint="eastAsia" w:ascii="仿宋_GB2312" w:hAnsi="仿宋_GB2312" w:eastAsia="仿宋_GB2312" w:cs="仿宋_GB2312"/>
        </w:rPr>
      </w:pPr>
      <w:r>
        <w:rPr>
          <w:rFonts w:hint="eastAsia" w:ascii="楷体_GB2312" w:hAnsi="楷体_GB2312" w:eastAsia="楷体_GB2312" w:cs="楷体_GB2312"/>
          <w:b/>
          <w:color w:val="000000"/>
          <w:szCs w:val="32"/>
          <w:lang w:eastAsia="zh-CN"/>
        </w:rPr>
        <w:t>（三）</w:t>
      </w:r>
      <w:r>
        <w:rPr>
          <w:rFonts w:hint="eastAsia" w:ascii="楷体_GB2312" w:hAnsi="楷体_GB2312" w:eastAsia="楷体_GB2312" w:cs="楷体_GB2312"/>
          <w:b/>
          <w:color w:val="000000"/>
          <w:szCs w:val="32"/>
          <w:lang w:val="en-US" w:eastAsia="zh-CN"/>
        </w:rPr>
        <w:t>业务线预算绩效管理工作沟通意识有待加强。</w:t>
      </w:r>
      <w:r>
        <w:rPr>
          <w:rFonts w:hint="eastAsia" w:ascii="仿宋_GB2312" w:hAnsi="仿宋_GB2312" w:eastAsia="仿宋_GB2312" w:cs="仿宋_GB2312"/>
          <w:color w:val="000000"/>
          <w:szCs w:val="32"/>
          <w:lang w:val="en-US" w:eastAsia="zh-CN"/>
        </w:rPr>
        <w:t>部分业务科室没有很好的结合职责职能、业务性质特点和实际工作情况，制定具体可行的项目管理制度，业务线基本依赖财务部门实施绩效管理，绩效跟踪监督意识不强。</w:t>
      </w:r>
    </w:p>
    <w:p>
      <w:pPr>
        <w:keepNext w:val="0"/>
        <w:keepLines w:val="0"/>
        <w:pageBreakBefore w:val="0"/>
        <w:widowControl w:val="0"/>
        <w:pBdr>
          <w:top w:val="none" w:color="000000" w:sz="0" w:space="0"/>
          <w:left w:val="none" w:color="000000" w:sz="0" w:space="0"/>
          <w:bottom w:val="none" w:color="000000" w:sz="0" w:space="21"/>
          <w:right w:val="none" w:color="000000" w:sz="0" w:space="0"/>
        </w:pBdr>
        <w:kinsoku/>
        <w:wordWrap/>
        <w:overflowPunct/>
        <w:autoSpaceDE/>
        <w:autoSpaceDN w:val="0"/>
        <w:bidi w:val="0"/>
        <w:spacing w:line="600" w:lineRule="exact"/>
        <w:ind w:firstLine="640" w:firstLineChars="200"/>
        <w:textAlignment w:val="auto"/>
        <w:rPr>
          <w:rFonts w:hint="eastAsia" w:ascii="黑体" w:hAnsi="黑体" w:eastAsia="黑体" w:cs="黑体"/>
          <w:bCs/>
          <w:szCs w:val="32"/>
        </w:rPr>
      </w:pPr>
      <w:r>
        <w:rPr>
          <w:rFonts w:hint="eastAsia" w:ascii="黑体" w:hAnsi="黑体" w:eastAsia="黑体" w:cs="黑体"/>
          <w:bCs/>
          <w:szCs w:val="32"/>
        </w:rPr>
        <w:t>八、下一步改进措施</w:t>
      </w:r>
    </w:p>
    <w:p>
      <w:pPr>
        <w:keepNext w:val="0"/>
        <w:keepLines w:val="0"/>
        <w:pageBreakBefore w:val="0"/>
        <w:widowControl w:val="0"/>
        <w:pBdr>
          <w:top w:val="none" w:color="000000" w:sz="0" w:space="0"/>
          <w:left w:val="none" w:color="000000" w:sz="0" w:space="0"/>
          <w:bottom w:val="none" w:color="000000" w:sz="0" w:space="21"/>
          <w:right w:val="none" w:color="000000" w:sz="0" w:space="0"/>
        </w:pBdr>
        <w:kinsoku/>
        <w:wordWrap/>
        <w:overflowPunct/>
        <w:autoSpaceDE/>
        <w:autoSpaceDN w:val="0"/>
        <w:bidi w:val="0"/>
        <w:spacing w:line="600" w:lineRule="exact"/>
        <w:ind w:firstLine="640" w:firstLineChars="200"/>
        <w:textAlignment w:val="auto"/>
        <w:rPr>
          <w:rFonts w:hint="eastAsia" w:ascii="楷体_GB2312" w:hAnsi="楷体_GB2312" w:eastAsia="楷体_GB2312" w:cs="楷体_GB2312"/>
          <w:b/>
          <w:color w:val="000000"/>
          <w:szCs w:val="32"/>
        </w:rPr>
      </w:pPr>
      <w:r>
        <w:rPr>
          <w:rFonts w:hint="eastAsia" w:ascii="楷体_GB2312" w:hAnsi="楷体_GB2312" w:eastAsia="楷体_GB2312" w:cs="楷体_GB2312"/>
          <w:b/>
          <w:color w:val="000000"/>
          <w:szCs w:val="32"/>
        </w:rPr>
        <w:t>（一）请求财政加大对市场监管经费的政策支持。</w:t>
      </w:r>
    </w:p>
    <w:p>
      <w:pPr>
        <w:keepNext w:val="0"/>
        <w:keepLines w:val="0"/>
        <w:pageBreakBefore w:val="0"/>
        <w:widowControl w:val="0"/>
        <w:pBdr>
          <w:top w:val="none" w:color="000000" w:sz="0" w:space="0"/>
          <w:left w:val="none" w:color="000000" w:sz="0" w:space="0"/>
          <w:bottom w:val="none" w:color="000000" w:sz="0" w:space="21"/>
          <w:right w:val="none" w:color="000000" w:sz="0" w:space="0"/>
        </w:pBdr>
        <w:kinsoku/>
        <w:wordWrap/>
        <w:overflowPunct/>
        <w:autoSpaceDE/>
        <w:autoSpaceDN w:val="0"/>
        <w:bidi w:val="0"/>
        <w:spacing w:line="600" w:lineRule="exact"/>
        <w:ind w:firstLine="640" w:firstLineChars="200"/>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lang w:val="en-US" w:eastAsia="zh-CN"/>
        </w:rPr>
        <w:t>1.</w:t>
      </w:r>
      <w:r>
        <w:rPr>
          <w:rFonts w:hint="default" w:ascii="Times New Roman" w:hAnsi="Times New Roman" w:eastAsia="仿宋_GB2312" w:cs="Times New Roman"/>
          <w:szCs w:val="32"/>
        </w:rPr>
        <w:t>鉴于国务院对食品安全监管、食品抽检有明确要求，请求市财政将市级食品抽检经费缺口纳入重点项目预算，并请严格执行市政府2019年第46次常务会议纪要，将重点项目食品安全监管经费每年递增10%安排经费预算。</w:t>
      </w:r>
    </w:p>
    <w:p>
      <w:pPr>
        <w:keepNext w:val="0"/>
        <w:keepLines w:val="0"/>
        <w:pageBreakBefore w:val="0"/>
        <w:widowControl w:val="0"/>
        <w:pBdr>
          <w:top w:val="none" w:color="000000" w:sz="0" w:space="0"/>
          <w:left w:val="none" w:color="000000" w:sz="0" w:space="0"/>
          <w:bottom w:val="none" w:color="000000" w:sz="0" w:space="21"/>
          <w:right w:val="none" w:color="000000" w:sz="0" w:space="0"/>
        </w:pBdr>
        <w:kinsoku/>
        <w:wordWrap/>
        <w:overflowPunct/>
        <w:autoSpaceDE/>
        <w:autoSpaceDN w:val="0"/>
        <w:bidi w:val="0"/>
        <w:spacing w:line="600" w:lineRule="exact"/>
        <w:ind w:firstLine="640" w:firstLineChars="200"/>
        <w:textAlignment w:val="auto"/>
        <w:rPr>
          <w:rFonts w:hint="eastAsia" w:ascii="仿宋_GB2312" w:hAnsi="仿宋_GB2312" w:eastAsia="仿宋_GB2312" w:cs="仿宋_GB2312"/>
          <w:szCs w:val="32"/>
          <w:shd w:val="clear" w:color="auto" w:fill="FFFFFF"/>
        </w:rPr>
      </w:pPr>
      <w:r>
        <w:rPr>
          <w:rFonts w:hint="default" w:ascii="Times New Roman" w:hAnsi="Times New Roman" w:eastAsia="仿宋_GB2312" w:cs="Times New Roman"/>
          <w:szCs w:val="32"/>
          <w:lang w:val="en-US" w:eastAsia="zh-CN"/>
        </w:rPr>
        <w:t>2</w:t>
      </w:r>
      <w:r>
        <w:rPr>
          <w:rFonts w:hint="default" w:ascii="Times New Roman" w:hAnsi="Times New Roman" w:eastAsia="仿宋_GB2312" w:cs="Times New Roman"/>
          <w:szCs w:val="32"/>
        </w:rPr>
        <w:t>.</w:t>
      </w:r>
      <w:r>
        <w:rPr>
          <w:rFonts w:hint="default" w:ascii="Times New Roman" w:hAnsi="Times New Roman" w:eastAsia="仿宋_GB2312" w:cs="Times New Roman"/>
          <w:color w:val="000000"/>
          <w:sz w:val="32"/>
          <w:szCs w:val="32"/>
          <w:lang w:eastAsia="zh-CN"/>
        </w:rPr>
        <w:t>建议专项资金不</w:t>
      </w:r>
      <w:r>
        <w:rPr>
          <w:rFonts w:hint="eastAsia" w:ascii="仿宋_GB2312" w:hAnsi="仿宋_GB2312" w:eastAsia="仿宋_GB2312" w:cs="仿宋_GB2312"/>
          <w:color w:val="000000"/>
          <w:sz w:val="32"/>
          <w:szCs w:val="32"/>
          <w:lang w:eastAsia="zh-CN"/>
        </w:rPr>
        <w:t>被调节，且在试点期间内每年</w:t>
      </w:r>
      <w:r>
        <w:rPr>
          <w:rFonts w:hint="default" w:ascii="Times New Roman" w:hAnsi="Times New Roman" w:eastAsia="仿宋_GB2312" w:cs="Times New Roman"/>
          <w:color w:val="000000"/>
          <w:sz w:val="32"/>
          <w:szCs w:val="32"/>
          <w:lang w:eastAsia="zh-CN"/>
        </w:rPr>
        <w:t>追加</w:t>
      </w:r>
      <w:r>
        <w:rPr>
          <w:rFonts w:hint="default" w:ascii="Times New Roman" w:hAnsi="Times New Roman" w:eastAsia="仿宋_GB2312" w:cs="Times New Roman"/>
          <w:color w:val="000000"/>
          <w:sz w:val="32"/>
          <w:szCs w:val="32"/>
          <w:lang w:val="en-US" w:eastAsia="zh-CN"/>
        </w:rPr>
        <w:t>200万</w:t>
      </w:r>
      <w:r>
        <w:rPr>
          <w:rFonts w:hint="eastAsia" w:ascii="仿宋_GB2312" w:hAnsi="仿宋_GB2312" w:eastAsia="仿宋_GB2312" w:cs="仿宋_GB2312"/>
          <w:color w:val="000000"/>
          <w:sz w:val="32"/>
          <w:szCs w:val="32"/>
          <w:lang w:val="en-US" w:eastAsia="zh-CN"/>
        </w:rPr>
        <w:t>元</w:t>
      </w:r>
      <w:r>
        <w:rPr>
          <w:rFonts w:hint="eastAsia" w:ascii="仿宋_GB2312" w:hAnsi="仿宋_GB2312" w:eastAsia="仿宋_GB2312" w:cs="仿宋_GB2312"/>
          <w:color w:val="000000"/>
          <w:sz w:val="32"/>
          <w:szCs w:val="32"/>
          <w:lang w:eastAsia="zh-CN"/>
        </w:rPr>
        <w:t>试点城市建设</w:t>
      </w:r>
      <w:r>
        <w:rPr>
          <w:rFonts w:hint="eastAsia" w:ascii="仿宋_GB2312" w:hAnsi="仿宋_GB2312" w:eastAsia="仿宋_GB2312" w:cs="仿宋_GB2312"/>
          <w:color w:val="000000"/>
          <w:sz w:val="32"/>
          <w:szCs w:val="32"/>
          <w:lang w:val="en-US" w:eastAsia="zh-CN"/>
        </w:rPr>
        <w:t>专项经费，</w:t>
      </w:r>
      <w:r>
        <w:rPr>
          <w:rFonts w:hint="eastAsia" w:ascii="仿宋_GB2312" w:hAnsi="仿宋_GB2312" w:eastAsia="仿宋_GB2312" w:cs="仿宋_GB2312"/>
          <w:color w:val="000000"/>
          <w:sz w:val="32"/>
          <w:szCs w:val="32"/>
          <w:lang w:eastAsia="zh-CN"/>
        </w:rPr>
        <w:t>用于进一步提升</w:t>
      </w:r>
      <w:r>
        <w:rPr>
          <w:rFonts w:hint="eastAsia" w:ascii="仿宋_GB2312" w:hAnsi="仿宋_GB2312" w:eastAsia="仿宋_GB2312" w:cs="仿宋_GB2312"/>
          <w:color w:val="000000"/>
          <w:sz w:val="32"/>
          <w:szCs w:val="32"/>
        </w:rPr>
        <w:t>知识产权创造、运用、保护、管理</w:t>
      </w:r>
      <w:r>
        <w:rPr>
          <w:rFonts w:hint="eastAsia" w:ascii="仿宋_GB2312" w:hAnsi="仿宋_GB2312" w:eastAsia="仿宋_GB2312" w:cs="仿宋_GB2312"/>
          <w:color w:val="000000"/>
          <w:sz w:val="32"/>
          <w:szCs w:val="32"/>
          <w:lang w:eastAsia="zh-CN"/>
        </w:rPr>
        <w:t>和</w:t>
      </w:r>
      <w:r>
        <w:rPr>
          <w:rFonts w:hint="eastAsia" w:ascii="仿宋_GB2312" w:hAnsi="仿宋_GB2312" w:eastAsia="仿宋_GB2312" w:cs="仿宋_GB2312"/>
          <w:color w:val="000000"/>
          <w:sz w:val="32"/>
          <w:szCs w:val="32"/>
        </w:rPr>
        <w:t>服务全链条的发展</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szCs w:val="32"/>
        </w:rPr>
        <w:t>以更全面更有力的扶持政策来激励科技创新与知识产权工作，</w:t>
      </w:r>
      <w:r>
        <w:rPr>
          <w:rFonts w:hint="eastAsia" w:ascii="仿宋_GB2312" w:hAnsi="仿宋_GB2312" w:eastAsia="仿宋_GB2312" w:cs="仿宋_GB2312"/>
          <w:szCs w:val="32"/>
          <w:shd w:val="clear" w:color="auto" w:fill="FFFFFF"/>
        </w:rPr>
        <w:t>推动</w:t>
      </w:r>
      <w:r>
        <w:rPr>
          <w:rFonts w:hint="eastAsia" w:ascii="仿宋_GB2312" w:hAnsi="仿宋_GB2312" w:eastAsia="仿宋_GB2312" w:cs="仿宋_GB2312"/>
          <w:szCs w:val="32"/>
        </w:rPr>
        <w:t>我市经济</w:t>
      </w:r>
      <w:r>
        <w:rPr>
          <w:rFonts w:hint="eastAsia" w:ascii="仿宋_GB2312" w:hAnsi="仿宋_GB2312" w:eastAsia="仿宋_GB2312" w:cs="仿宋_GB2312"/>
          <w:szCs w:val="32"/>
          <w:shd w:val="clear" w:color="auto" w:fill="FFFFFF"/>
        </w:rPr>
        <w:t>高质量发展。</w:t>
      </w:r>
    </w:p>
    <w:p>
      <w:pPr>
        <w:keepNext w:val="0"/>
        <w:keepLines w:val="0"/>
        <w:pageBreakBefore w:val="0"/>
        <w:widowControl w:val="0"/>
        <w:pBdr>
          <w:top w:val="none" w:color="000000" w:sz="0" w:space="0"/>
          <w:left w:val="none" w:color="000000" w:sz="0" w:space="0"/>
          <w:bottom w:val="none" w:color="000000" w:sz="0" w:space="21"/>
          <w:right w:val="none" w:color="000000" w:sz="0" w:space="0"/>
        </w:pBdr>
        <w:kinsoku/>
        <w:wordWrap/>
        <w:overflowPunct/>
        <w:autoSpaceDE/>
        <w:autoSpaceDN w:val="0"/>
        <w:bidi w:val="0"/>
        <w:spacing w:line="600" w:lineRule="exact"/>
        <w:ind w:firstLine="640" w:firstLineChars="200"/>
        <w:textAlignment w:val="auto"/>
        <w:rPr>
          <w:rFonts w:hint="eastAsia" w:ascii="楷体_GB2312" w:hAnsi="楷体_GB2312" w:eastAsia="楷体_GB2312" w:cs="楷体_GB2312"/>
          <w:b/>
          <w:color w:val="000000"/>
          <w:szCs w:val="32"/>
        </w:rPr>
      </w:pPr>
      <w:r>
        <w:rPr>
          <w:rFonts w:hint="eastAsia" w:ascii="楷体_GB2312" w:hAnsi="楷体_GB2312" w:eastAsia="楷体_GB2312" w:cs="楷体_GB2312"/>
          <w:b/>
          <w:color w:val="000000"/>
          <w:szCs w:val="32"/>
        </w:rPr>
        <w:t>（二）完善项目管理制度，</w:t>
      </w:r>
      <w:r>
        <w:rPr>
          <w:rFonts w:hint="eastAsia" w:ascii="楷体_GB2312" w:hAnsi="楷体_GB2312" w:eastAsia="楷体_GB2312" w:cs="楷体_GB2312"/>
          <w:b/>
          <w:color w:val="000000"/>
          <w:szCs w:val="32"/>
          <w:lang w:eastAsia="zh-CN"/>
        </w:rPr>
        <w:t>优化绩效管理模式</w:t>
      </w:r>
      <w:r>
        <w:rPr>
          <w:rFonts w:hint="eastAsia" w:ascii="楷体_GB2312" w:hAnsi="楷体_GB2312" w:eastAsia="楷体_GB2312" w:cs="楷体_GB2312"/>
          <w:b/>
          <w:color w:val="000000"/>
          <w:szCs w:val="32"/>
        </w:rPr>
        <w:t>。</w:t>
      </w:r>
    </w:p>
    <w:p>
      <w:pPr>
        <w:keepNext w:val="0"/>
        <w:keepLines w:val="0"/>
        <w:pageBreakBefore w:val="0"/>
        <w:widowControl w:val="0"/>
        <w:pBdr>
          <w:top w:val="none" w:color="000000" w:sz="0" w:space="0"/>
          <w:left w:val="none" w:color="000000" w:sz="0" w:space="0"/>
          <w:bottom w:val="none" w:color="000000" w:sz="0" w:space="21"/>
          <w:right w:val="none" w:color="000000" w:sz="0" w:space="0"/>
        </w:pBdr>
        <w:kinsoku/>
        <w:wordWrap/>
        <w:overflowPunct/>
        <w:autoSpaceDE/>
        <w:autoSpaceDN w:val="0"/>
        <w:bidi w:val="0"/>
        <w:spacing w:line="600" w:lineRule="exact"/>
        <w:ind w:firstLine="640" w:firstLineChars="200"/>
        <w:textAlignment w:val="auto"/>
        <w:rPr>
          <w:rFonts w:hint="eastAsia" w:ascii="仿宋_GB2312" w:hAnsi="仿宋_GB2312" w:eastAsia="仿宋_GB2312" w:cs="仿宋_GB2312"/>
          <w:szCs w:val="32"/>
          <w:lang w:val="en-US"/>
        </w:rPr>
      </w:pPr>
      <w:r>
        <w:rPr>
          <w:rFonts w:hint="eastAsia" w:ascii="仿宋_GB2312" w:hAnsi="仿宋_GB2312" w:eastAsia="仿宋_GB2312" w:cs="仿宋_GB2312"/>
          <w:szCs w:val="32"/>
          <w:lang w:val="en-US" w:eastAsia="zh-CN"/>
        </w:rPr>
        <w:t>根据近几年绩效管理情况，梳理问题清单，以问题为导向，按照市财政局绩效管理的要求和我局实际情况，修订《益阳市市场监督管理局专项资金绩效管理办法，调整修改考核评分权重。结合各单位各处室职责职能，深入了解项目性质和工作目标，协助各归口项目科室确定核心指标。完善制度设计，调整归口管理科室绩效管理的侧重点。</w:t>
      </w:r>
    </w:p>
    <w:p>
      <w:pPr>
        <w:keepNext w:val="0"/>
        <w:keepLines w:val="0"/>
        <w:pageBreakBefore w:val="0"/>
        <w:widowControl w:val="0"/>
        <w:pBdr>
          <w:top w:val="none" w:color="000000" w:sz="0" w:space="0"/>
          <w:left w:val="none" w:color="000000" w:sz="0" w:space="0"/>
          <w:bottom w:val="none" w:color="000000" w:sz="0" w:space="21"/>
          <w:right w:val="none" w:color="000000" w:sz="0" w:space="0"/>
        </w:pBdr>
        <w:kinsoku/>
        <w:wordWrap/>
        <w:overflowPunct/>
        <w:autoSpaceDE/>
        <w:autoSpaceDN w:val="0"/>
        <w:bidi w:val="0"/>
        <w:spacing w:line="600" w:lineRule="exact"/>
        <w:ind w:firstLine="640" w:firstLineChars="200"/>
        <w:textAlignment w:val="auto"/>
        <w:rPr>
          <w:rFonts w:hint="eastAsia" w:ascii="楷体_GB2312" w:hAnsi="楷体_GB2312" w:eastAsia="楷体_GB2312" w:cs="楷体_GB2312"/>
          <w:b/>
          <w:color w:val="000000"/>
          <w:szCs w:val="32"/>
          <w:lang w:eastAsia="zh-CN"/>
        </w:rPr>
      </w:pPr>
      <w:r>
        <w:rPr>
          <w:rFonts w:hint="eastAsia" w:ascii="楷体_GB2312" w:hAnsi="楷体_GB2312" w:eastAsia="楷体_GB2312" w:cs="楷体_GB2312"/>
          <w:b/>
          <w:color w:val="000000"/>
          <w:szCs w:val="32"/>
        </w:rPr>
        <w:t>（三）科学设立绩效指标，</w:t>
      </w:r>
      <w:r>
        <w:rPr>
          <w:rFonts w:hint="eastAsia" w:ascii="楷体_GB2312" w:hAnsi="楷体_GB2312" w:eastAsia="楷体_GB2312" w:cs="楷体_GB2312"/>
          <w:b/>
          <w:color w:val="000000"/>
          <w:szCs w:val="32"/>
          <w:lang w:eastAsia="zh-CN"/>
        </w:rPr>
        <w:t>强化全过程绩效管理。</w:t>
      </w:r>
    </w:p>
    <w:p>
      <w:pPr>
        <w:keepNext w:val="0"/>
        <w:keepLines w:val="0"/>
        <w:pageBreakBefore w:val="0"/>
        <w:widowControl w:val="0"/>
        <w:pBdr>
          <w:top w:val="none" w:color="000000" w:sz="0" w:space="0"/>
          <w:left w:val="none" w:color="000000" w:sz="0" w:space="0"/>
          <w:bottom w:val="none" w:color="000000" w:sz="0" w:space="21"/>
          <w:right w:val="none" w:color="000000" w:sz="0" w:space="0"/>
        </w:pBdr>
        <w:kinsoku/>
        <w:wordWrap/>
        <w:overflowPunct/>
        <w:autoSpaceDE/>
        <w:autoSpaceDN w:val="0"/>
        <w:bidi w:val="0"/>
        <w:spacing w:line="600" w:lineRule="exact"/>
        <w:ind w:firstLine="640" w:firstLineChars="200"/>
        <w:textAlignment w:val="auto"/>
        <w:rPr>
          <w:rFonts w:hint="eastAsia" w:ascii="仿宋_GB2312" w:hAnsi="仿宋_GB2312" w:eastAsia="仿宋_GB2312" w:cs="仿宋_GB2312"/>
          <w:szCs w:val="32"/>
          <w:lang w:val="en-US" w:eastAsia="zh-CN"/>
        </w:rPr>
      </w:pPr>
      <w:r>
        <w:rPr>
          <w:rFonts w:hint="eastAsia" w:ascii="仿宋_GB2312" w:hAnsi="仿宋_GB2312" w:eastAsia="仿宋_GB2312" w:cs="仿宋_GB2312"/>
          <w:szCs w:val="32"/>
          <w:lang w:val="en-US" w:eastAsia="zh-CN"/>
        </w:rPr>
        <w:t>一是科学进行绩效目标设置。加强项目的事前绩效评估，提高绩效目标设立的科学性，业务科室结合三定方案、现有预算绩效指标体系及相关法律、法规，根据业务重点方向进一步优化绩效指标体系，明确具体业务指定指标与可选指标。将绩效目标设置作为资金预算安排的前置条件，通过绩效目标来约束资金管理。二是加强项目库管理。建立项目库管理及项目库动态管理制度，对项目实施绩效情况进行动态监控。三是规范项目实施管理。结合市场监管情况、业务性质及特点，完善项目管理制度，加强对各类项目事前、事中、事后等全过程绩效管理。</w:t>
      </w:r>
    </w:p>
    <w:p>
      <w:pPr>
        <w:keepNext w:val="0"/>
        <w:keepLines w:val="0"/>
        <w:pageBreakBefore w:val="0"/>
        <w:widowControl w:val="0"/>
        <w:pBdr>
          <w:top w:val="none" w:color="000000" w:sz="0" w:space="0"/>
          <w:left w:val="none" w:color="000000" w:sz="0" w:space="0"/>
          <w:bottom w:val="none" w:color="000000" w:sz="0" w:space="21"/>
          <w:right w:val="none" w:color="000000" w:sz="0" w:space="0"/>
        </w:pBdr>
        <w:kinsoku/>
        <w:wordWrap/>
        <w:overflowPunct/>
        <w:autoSpaceDE/>
        <w:autoSpaceDN w:val="0"/>
        <w:bidi w:val="0"/>
        <w:spacing w:line="600" w:lineRule="exact"/>
        <w:ind w:firstLine="640" w:firstLineChars="200"/>
        <w:textAlignment w:val="auto"/>
        <w:rPr>
          <w:rFonts w:hint="eastAsia" w:ascii="黑体" w:hAnsi="黑体" w:eastAsia="黑体" w:cs="黑体"/>
          <w:bCs/>
          <w:szCs w:val="32"/>
        </w:rPr>
      </w:pPr>
      <w:r>
        <w:rPr>
          <w:rFonts w:hint="eastAsia" w:ascii="黑体" w:hAnsi="黑体" w:eastAsia="黑体" w:cs="黑体"/>
          <w:bCs/>
          <w:szCs w:val="32"/>
        </w:rPr>
        <w:t>九、部门整体支出绩效自评结果拟应用和公开情况</w:t>
      </w:r>
    </w:p>
    <w:p>
      <w:pPr>
        <w:keepNext w:val="0"/>
        <w:keepLines w:val="0"/>
        <w:pageBreakBefore w:val="0"/>
        <w:widowControl w:val="0"/>
        <w:pBdr>
          <w:top w:val="none" w:color="000000" w:sz="0" w:space="0"/>
          <w:left w:val="none" w:color="000000" w:sz="0" w:space="0"/>
          <w:bottom w:val="none" w:color="000000" w:sz="0" w:space="21"/>
          <w:right w:val="none" w:color="000000" w:sz="0" w:space="0"/>
        </w:pBdr>
        <w:kinsoku/>
        <w:wordWrap/>
        <w:overflowPunct/>
        <w:autoSpaceDE/>
        <w:autoSpaceDN w:val="0"/>
        <w:bidi w:val="0"/>
        <w:spacing w:line="600" w:lineRule="exact"/>
        <w:ind w:firstLine="640" w:firstLineChars="200"/>
        <w:textAlignment w:val="auto"/>
        <w:rPr>
          <w:rFonts w:hint="eastAsia" w:ascii="仿宋_GB2312" w:hAnsi="仿宋_GB2312" w:eastAsia="仿宋_GB2312" w:cs="仿宋_GB2312"/>
          <w:color w:val="000000"/>
          <w:szCs w:val="32"/>
        </w:rPr>
      </w:pPr>
      <w:r>
        <w:rPr>
          <w:rFonts w:hint="default" w:ascii="Times New Roman" w:hAnsi="Times New Roman" w:eastAsia="仿宋_GB2312" w:cs="Times New Roman"/>
          <w:color w:val="000000"/>
          <w:szCs w:val="32"/>
          <w:lang w:eastAsia="zh-CN"/>
        </w:rPr>
        <w:t>2022年</w:t>
      </w:r>
      <w:r>
        <w:rPr>
          <w:rFonts w:hint="default" w:ascii="Times New Roman" w:hAnsi="Times New Roman" w:eastAsia="仿宋_GB2312" w:cs="Times New Roman"/>
          <w:color w:val="000000"/>
          <w:szCs w:val="32"/>
        </w:rPr>
        <w:t>度部门整体支出绩效评价指标评分9</w:t>
      </w:r>
      <w:r>
        <w:rPr>
          <w:rFonts w:hint="default" w:ascii="Times New Roman" w:hAnsi="Times New Roman" w:eastAsia="仿宋_GB2312" w:cs="Times New Roman"/>
          <w:color w:val="000000"/>
          <w:szCs w:val="32"/>
          <w:lang w:val="en-US" w:eastAsia="zh-CN"/>
        </w:rPr>
        <w:t>4.5</w:t>
      </w:r>
      <w:r>
        <w:rPr>
          <w:rFonts w:hint="default" w:ascii="Times New Roman" w:hAnsi="Times New Roman" w:eastAsia="仿宋_GB2312" w:cs="Times New Roman"/>
          <w:color w:val="000000"/>
          <w:szCs w:val="32"/>
        </w:rPr>
        <w:t>分，资金使用和效果达到了预期的经济、环境和社会效益。完成自评后我单位将及时通报自评结果，认真分析评价结果所反映的问题，我单位将不断细化绩效评价指标，提高资金使用效益，制定改进和提高工作的措施，将绩效评价结果作为编制以后年度预算的重要依据。并根据市财政部门关于</w:t>
      </w:r>
      <w:r>
        <w:rPr>
          <w:rFonts w:hint="default" w:ascii="Times New Roman" w:hAnsi="Times New Roman" w:eastAsia="仿宋_GB2312" w:cs="Times New Roman"/>
          <w:color w:val="000000"/>
          <w:sz w:val="32"/>
          <w:szCs w:val="32"/>
        </w:rPr>
        <w:t>部门绩效自评工作通知的要求，于202</w:t>
      </w:r>
      <w:r>
        <w:rPr>
          <w:rFonts w:hint="default" w:ascii="Times New Roman" w:hAnsi="Times New Roman" w:eastAsia="仿宋_GB2312" w:cs="Times New Roman"/>
          <w:color w:val="000000"/>
          <w:sz w:val="32"/>
          <w:szCs w:val="32"/>
          <w:lang w:val="en-US" w:eastAsia="zh-CN"/>
        </w:rPr>
        <w:t>3</w:t>
      </w:r>
      <w:r>
        <w:rPr>
          <w:rFonts w:hint="default" w:ascii="Times New Roman" w:hAnsi="Times New Roman" w:eastAsia="仿宋_GB2312" w:cs="Times New Roman"/>
          <w:color w:val="000000"/>
          <w:sz w:val="32"/>
          <w:szCs w:val="32"/>
        </w:rPr>
        <w:t>年</w:t>
      </w:r>
      <w:r>
        <w:rPr>
          <w:rFonts w:hint="default" w:ascii="Times New Roman" w:hAnsi="Times New Roman" w:eastAsia="仿宋_GB2312" w:cs="Times New Roman"/>
          <w:color w:val="000000"/>
          <w:sz w:val="32"/>
          <w:szCs w:val="32"/>
          <w:lang w:val="en-US" w:eastAsia="zh-CN"/>
        </w:rPr>
        <w:t>3</w:t>
      </w:r>
      <w:r>
        <w:rPr>
          <w:rFonts w:hint="default" w:ascii="Times New Roman" w:hAnsi="Times New Roman" w:eastAsia="仿宋_GB2312" w:cs="Times New Roman"/>
          <w:color w:val="000000"/>
          <w:sz w:val="32"/>
          <w:szCs w:val="32"/>
        </w:rPr>
        <w:t>月2</w:t>
      </w:r>
      <w:r>
        <w:rPr>
          <w:rFonts w:hint="default" w:ascii="Times New Roman" w:hAnsi="Times New Roman" w:eastAsia="仿宋_GB2312" w:cs="Times New Roman"/>
          <w:color w:val="000000"/>
          <w:sz w:val="32"/>
          <w:szCs w:val="32"/>
          <w:lang w:val="en-US" w:eastAsia="zh-CN"/>
        </w:rPr>
        <w:t>0</w:t>
      </w:r>
      <w:r>
        <w:rPr>
          <w:rFonts w:hint="default" w:ascii="Times New Roman" w:hAnsi="Times New Roman" w:eastAsia="仿宋_GB2312" w:cs="Times New Roman"/>
          <w:color w:val="000000"/>
          <w:sz w:val="32"/>
          <w:szCs w:val="32"/>
        </w:rPr>
        <w:t>日在单位门户网站上公开，接受</w:t>
      </w:r>
      <w:r>
        <w:rPr>
          <w:rFonts w:hint="eastAsia" w:ascii="仿宋_GB2312" w:hAnsi="仿宋_GB2312" w:eastAsia="仿宋_GB2312" w:cs="仿宋_GB2312"/>
          <w:color w:val="000000"/>
          <w:szCs w:val="32"/>
        </w:rPr>
        <w:t>社会监督。</w:t>
      </w:r>
    </w:p>
    <w:p>
      <w:pPr>
        <w:keepNext w:val="0"/>
        <w:keepLines w:val="0"/>
        <w:pageBreakBefore w:val="0"/>
        <w:widowControl w:val="0"/>
        <w:pBdr>
          <w:top w:val="none" w:color="000000" w:sz="0" w:space="0"/>
          <w:left w:val="none" w:color="000000" w:sz="0" w:space="0"/>
          <w:bottom w:val="none" w:color="000000" w:sz="0" w:space="21"/>
          <w:right w:val="none" w:color="000000" w:sz="0" w:space="1"/>
        </w:pBdr>
        <w:kinsoku/>
        <w:wordWrap/>
        <w:overflowPunct/>
        <w:autoSpaceDE/>
        <w:autoSpaceDN w:val="0"/>
        <w:bidi w:val="0"/>
        <w:spacing w:line="600" w:lineRule="exact"/>
        <w:ind w:firstLine="640" w:firstLineChars="200"/>
        <w:textAlignment w:val="auto"/>
        <w:rPr>
          <w:rFonts w:hint="default" w:ascii="Times New Roman" w:hAnsi="Times New Roman" w:eastAsia="仿宋_GB2312" w:cs="Times New Roman"/>
          <w:color w:val="000000"/>
          <w:szCs w:val="32"/>
        </w:rPr>
      </w:pPr>
      <w:r>
        <w:rPr>
          <w:rFonts w:hint="default" w:ascii="Times New Roman" w:hAnsi="Times New Roman" w:eastAsia="仿宋_GB2312" w:cs="Times New Roman"/>
          <w:color w:val="000000"/>
          <w:szCs w:val="32"/>
        </w:rPr>
        <w:t>附件：1、部门整体支出绩效评价基础数据表</w:t>
      </w:r>
    </w:p>
    <w:p>
      <w:pPr>
        <w:keepNext w:val="0"/>
        <w:keepLines w:val="0"/>
        <w:pageBreakBefore w:val="0"/>
        <w:widowControl w:val="0"/>
        <w:pBdr>
          <w:top w:val="none" w:color="000000" w:sz="0" w:space="0"/>
          <w:left w:val="none" w:color="000000" w:sz="0" w:space="0"/>
          <w:bottom w:val="none" w:color="000000" w:sz="0" w:space="21"/>
          <w:right w:val="none" w:color="000000" w:sz="0" w:space="1"/>
        </w:pBdr>
        <w:kinsoku/>
        <w:wordWrap/>
        <w:overflowPunct/>
        <w:autoSpaceDE/>
        <w:autoSpaceDN w:val="0"/>
        <w:bidi w:val="0"/>
        <w:spacing w:line="600" w:lineRule="exact"/>
        <w:ind w:firstLine="1600" w:firstLineChars="500"/>
        <w:textAlignment w:val="auto"/>
        <w:rPr>
          <w:rFonts w:hint="default" w:ascii="Times New Roman" w:hAnsi="Times New Roman" w:eastAsia="仿宋_GB2312" w:cs="Times New Roman"/>
          <w:color w:val="000000"/>
          <w:szCs w:val="32"/>
        </w:rPr>
      </w:pPr>
      <w:r>
        <w:rPr>
          <w:rFonts w:hint="default" w:ascii="Times New Roman" w:hAnsi="Times New Roman" w:eastAsia="仿宋_GB2312" w:cs="Times New Roman"/>
          <w:color w:val="000000"/>
          <w:szCs w:val="32"/>
        </w:rPr>
        <w:t>2、部门整体支出绩效自评表</w:t>
      </w:r>
    </w:p>
    <w:p>
      <w:pPr>
        <w:keepNext w:val="0"/>
        <w:keepLines w:val="0"/>
        <w:pageBreakBefore w:val="0"/>
        <w:widowControl w:val="0"/>
        <w:pBdr>
          <w:top w:val="none" w:color="000000" w:sz="0" w:space="0"/>
          <w:left w:val="none" w:color="000000" w:sz="0" w:space="0"/>
          <w:bottom w:val="none" w:color="000000" w:sz="0" w:space="21"/>
          <w:right w:val="none" w:color="000000" w:sz="0" w:space="1"/>
        </w:pBdr>
        <w:kinsoku/>
        <w:wordWrap/>
        <w:overflowPunct/>
        <w:autoSpaceDE/>
        <w:autoSpaceDN w:val="0"/>
        <w:bidi w:val="0"/>
        <w:spacing w:line="600" w:lineRule="exact"/>
        <w:ind w:firstLine="1600" w:firstLineChars="500"/>
        <w:textAlignment w:val="auto"/>
        <w:rPr>
          <w:rFonts w:hint="default" w:ascii="Times New Roman" w:hAnsi="Times New Roman" w:eastAsia="仿宋_GB2312" w:cs="Times New Roman"/>
          <w:color w:val="000000"/>
          <w:szCs w:val="32"/>
        </w:rPr>
      </w:pPr>
    </w:p>
    <w:p>
      <w:pPr>
        <w:keepNext w:val="0"/>
        <w:keepLines w:val="0"/>
        <w:pageBreakBefore w:val="0"/>
        <w:widowControl w:val="0"/>
        <w:pBdr>
          <w:top w:val="none" w:color="000000" w:sz="0" w:space="0"/>
          <w:left w:val="none" w:color="000000" w:sz="0" w:space="0"/>
          <w:bottom w:val="none" w:color="000000" w:sz="0" w:space="21"/>
          <w:right w:val="none" w:color="000000" w:sz="0" w:space="0"/>
        </w:pBdr>
        <w:kinsoku/>
        <w:wordWrap/>
        <w:overflowPunct/>
        <w:autoSpaceDE/>
        <w:autoSpaceDN w:val="0"/>
        <w:bidi w:val="0"/>
        <w:spacing w:line="600" w:lineRule="exact"/>
        <w:ind w:firstLine="640" w:firstLineChars="200"/>
        <w:textAlignment w:val="auto"/>
        <w:rPr>
          <w:rFonts w:hint="default"/>
        </w:rPr>
      </w:pPr>
      <w:r>
        <w:rPr>
          <w:rFonts w:hint="default" w:ascii="Times New Roman" w:hAnsi="Times New Roman" w:eastAsia="仿宋_GB2312" w:cs="Times New Roman"/>
          <w:color w:val="000000"/>
          <w:szCs w:val="32"/>
        </w:rPr>
        <w:t xml:space="preserve">                         益阳市市场监督管理局</w:t>
      </w:r>
    </w:p>
    <w:p>
      <w:pPr>
        <w:keepNext w:val="0"/>
        <w:keepLines w:val="0"/>
        <w:pageBreakBefore w:val="0"/>
        <w:widowControl w:val="0"/>
        <w:pBdr>
          <w:top w:val="none" w:color="000000" w:sz="0" w:space="0"/>
          <w:left w:val="none" w:color="000000" w:sz="0" w:space="0"/>
          <w:bottom w:val="none" w:color="000000" w:sz="0" w:space="21"/>
          <w:right w:val="none" w:color="000000" w:sz="0" w:space="0"/>
        </w:pBdr>
        <w:kinsoku/>
        <w:wordWrap/>
        <w:overflowPunct/>
        <w:topLinePunct w:val="0"/>
        <w:autoSpaceDE/>
        <w:autoSpaceDN w:val="0"/>
        <w:bidi w:val="0"/>
        <w:adjustRightInd/>
        <w:spacing w:line="600" w:lineRule="exact"/>
        <w:ind w:firstLine="5120" w:firstLineChars="1600"/>
        <w:textAlignment w:val="auto"/>
        <w:rPr>
          <w:rFonts w:hint="default" w:ascii="Times New Roman" w:hAnsi="Times New Roman" w:eastAsia="仿宋_GB2312" w:cs="Times New Roman"/>
          <w:color w:val="000000"/>
          <w:szCs w:val="32"/>
        </w:rPr>
      </w:pPr>
      <w:r>
        <w:rPr>
          <w:rFonts w:hint="default" w:ascii="Times New Roman" w:hAnsi="Times New Roman" w:eastAsia="仿宋_GB2312" w:cs="Times New Roman"/>
          <w:color w:val="000000"/>
          <w:szCs w:val="32"/>
        </w:rPr>
        <w:t>202</w:t>
      </w:r>
      <w:r>
        <w:rPr>
          <w:rFonts w:hint="default" w:ascii="Times New Roman" w:hAnsi="Times New Roman" w:eastAsia="仿宋_GB2312" w:cs="Times New Roman"/>
          <w:color w:val="000000"/>
          <w:szCs w:val="32"/>
          <w:lang w:val="en-US" w:eastAsia="zh-CN"/>
        </w:rPr>
        <w:t>3</w:t>
      </w:r>
      <w:r>
        <w:rPr>
          <w:rFonts w:hint="default" w:ascii="Times New Roman" w:hAnsi="Times New Roman" w:eastAsia="仿宋_GB2312" w:cs="Times New Roman"/>
          <w:color w:val="000000"/>
          <w:szCs w:val="32"/>
        </w:rPr>
        <w:t>年</w:t>
      </w:r>
      <w:r>
        <w:rPr>
          <w:rFonts w:hint="default" w:ascii="Times New Roman" w:hAnsi="Times New Roman" w:eastAsia="仿宋_GB2312" w:cs="Times New Roman"/>
          <w:color w:val="000000"/>
          <w:szCs w:val="32"/>
          <w:lang w:val="en-US" w:eastAsia="zh-CN"/>
        </w:rPr>
        <w:t>3</w:t>
      </w:r>
      <w:r>
        <w:rPr>
          <w:rFonts w:hint="default" w:ascii="Times New Roman" w:hAnsi="Times New Roman" w:eastAsia="仿宋_GB2312" w:cs="Times New Roman"/>
          <w:color w:val="000000"/>
          <w:szCs w:val="32"/>
        </w:rPr>
        <w:t>月2</w:t>
      </w:r>
      <w:r>
        <w:rPr>
          <w:rFonts w:hint="default" w:ascii="Times New Roman" w:hAnsi="Times New Roman" w:eastAsia="仿宋_GB2312" w:cs="Times New Roman"/>
          <w:color w:val="000000"/>
          <w:szCs w:val="32"/>
          <w:lang w:val="en-US" w:eastAsia="zh-CN"/>
        </w:rPr>
        <w:t>0</w:t>
      </w:r>
      <w:r>
        <w:rPr>
          <w:rFonts w:hint="default" w:ascii="Times New Roman" w:hAnsi="Times New Roman" w:eastAsia="仿宋_GB2312" w:cs="Times New Roman"/>
          <w:color w:val="000000"/>
          <w:szCs w:val="32"/>
        </w:rPr>
        <w:t>日</w:t>
      </w:r>
    </w:p>
    <w:p>
      <w:pPr>
        <w:spacing w:line="600" w:lineRule="exact"/>
        <w:jc w:val="left"/>
        <w:rPr>
          <w:rFonts w:hint="eastAsia" w:ascii="黑体" w:hAnsi="黑体" w:eastAsia="黑体"/>
          <w:bCs/>
          <w:color w:val="000000"/>
          <w:kern w:val="0"/>
          <w:szCs w:val="32"/>
        </w:rPr>
      </w:pPr>
      <w:r>
        <w:rPr>
          <w:rFonts w:hint="eastAsia" w:ascii="仿宋_GB2312" w:hAnsi="仿宋_GB2312" w:eastAsia="仿宋_GB2312" w:cs="仿宋_GB2312"/>
          <w:bCs/>
          <w:color w:val="000000"/>
          <w:kern w:val="0"/>
          <w:szCs w:val="32"/>
        </w:rPr>
        <w:br w:type="page"/>
      </w:r>
      <w:r>
        <w:rPr>
          <w:rFonts w:hint="default" w:ascii="Times New Roman" w:hAnsi="Times New Roman" w:eastAsia="黑体" w:cs="Times New Roman"/>
          <w:bCs/>
          <w:color w:val="000000"/>
          <w:kern w:val="0"/>
          <w:szCs w:val="32"/>
        </w:rPr>
        <w:t>附件1</w:t>
      </w:r>
    </w:p>
    <w:p>
      <w:pPr>
        <w:spacing w:line="600" w:lineRule="exact"/>
        <w:jc w:val="center"/>
        <w:rPr>
          <w:rFonts w:hint="eastAsia"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lang w:eastAsia="zh-CN"/>
        </w:rPr>
        <w:t>2022年</w:t>
      </w:r>
      <w:r>
        <w:rPr>
          <w:rFonts w:hint="eastAsia" w:ascii="方正小标宋简体" w:hAnsi="方正小标宋简体" w:eastAsia="方正小标宋简体" w:cs="方正小标宋简体"/>
          <w:kern w:val="0"/>
          <w:sz w:val="44"/>
          <w:szCs w:val="44"/>
        </w:rPr>
        <w:t>度部门整体支出绩效评价基础数据表</w:t>
      </w:r>
    </w:p>
    <w:p>
      <w:pPr>
        <w:pStyle w:val="4"/>
        <w:rPr>
          <w:rFonts w:hint="eastAsia"/>
        </w:rPr>
      </w:pPr>
    </w:p>
    <w:tbl>
      <w:tblPr>
        <w:tblStyle w:val="8"/>
        <w:tblW w:w="0" w:type="auto"/>
        <w:jc w:val="center"/>
        <w:tblLayout w:type="fixed"/>
        <w:tblCellMar>
          <w:top w:w="0" w:type="dxa"/>
          <w:left w:w="108" w:type="dxa"/>
          <w:bottom w:w="0" w:type="dxa"/>
          <w:right w:w="108" w:type="dxa"/>
        </w:tblCellMar>
      </w:tblPr>
      <w:tblGrid>
        <w:gridCol w:w="3214"/>
        <w:gridCol w:w="1079"/>
        <w:gridCol w:w="959"/>
        <w:gridCol w:w="955"/>
        <w:gridCol w:w="1140"/>
        <w:gridCol w:w="960"/>
        <w:gridCol w:w="976"/>
      </w:tblGrid>
      <w:tr>
        <w:tblPrEx>
          <w:tblCellMar>
            <w:top w:w="0" w:type="dxa"/>
            <w:left w:w="108" w:type="dxa"/>
            <w:bottom w:w="0" w:type="dxa"/>
            <w:right w:w="108" w:type="dxa"/>
          </w:tblCellMar>
        </w:tblPrEx>
        <w:trPr>
          <w:trHeight w:val="397" w:hRule="atLeast"/>
          <w:jc w:val="center"/>
        </w:trPr>
        <w:tc>
          <w:tcPr>
            <w:tcW w:w="321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rPr>
                <w:kern w:val="0"/>
                <w:sz w:val="21"/>
                <w:szCs w:val="21"/>
              </w:rPr>
            </w:pPr>
            <w:r>
              <w:rPr>
                <w:kern w:val="0"/>
                <w:sz w:val="21"/>
                <w:szCs w:val="21"/>
              </w:rPr>
              <w:t>财政供养人员情况（人）</w:t>
            </w:r>
          </w:p>
        </w:tc>
        <w:tc>
          <w:tcPr>
            <w:tcW w:w="2038" w:type="dxa"/>
            <w:gridSpan w:val="2"/>
            <w:tcBorders>
              <w:top w:val="single" w:color="auto" w:sz="4" w:space="0"/>
              <w:left w:val="nil"/>
              <w:bottom w:val="single" w:color="auto" w:sz="4" w:space="0"/>
              <w:right w:val="single" w:color="auto" w:sz="4" w:space="0"/>
            </w:tcBorders>
            <w:noWrap w:val="0"/>
            <w:vAlign w:val="center"/>
          </w:tcPr>
          <w:p>
            <w:pPr>
              <w:widowControl/>
              <w:spacing w:line="0" w:lineRule="atLeast"/>
              <w:jc w:val="center"/>
              <w:rPr>
                <w:b/>
                <w:kern w:val="0"/>
                <w:sz w:val="21"/>
                <w:szCs w:val="21"/>
              </w:rPr>
            </w:pPr>
            <w:r>
              <w:rPr>
                <w:b/>
                <w:kern w:val="0"/>
                <w:sz w:val="21"/>
                <w:szCs w:val="21"/>
              </w:rPr>
              <w:t>编制数</w:t>
            </w:r>
          </w:p>
        </w:tc>
        <w:tc>
          <w:tcPr>
            <w:tcW w:w="2095" w:type="dxa"/>
            <w:gridSpan w:val="2"/>
            <w:tcBorders>
              <w:top w:val="single" w:color="auto" w:sz="4" w:space="0"/>
              <w:left w:val="nil"/>
              <w:bottom w:val="single" w:color="auto" w:sz="4" w:space="0"/>
              <w:right w:val="single" w:color="auto" w:sz="4" w:space="0"/>
            </w:tcBorders>
            <w:noWrap w:val="0"/>
            <w:vAlign w:val="center"/>
          </w:tcPr>
          <w:p>
            <w:pPr>
              <w:widowControl/>
              <w:spacing w:line="0" w:lineRule="atLeast"/>
              <w:jc w:val="center"/>
              <w:rPr>
                <w:b/>
                <w:spacing w:val="-20"/>
                <w:kern w:val="0"/>
                <w:sz w:val="21"/>
                <w:szCs w:val="21"/>
              </w:rPr>
            </w:pPr>
            <w:r>
              <w:rPr>
                <w:rFonts w:hint="eastAsia"/>
                <w:b/>
                <w:spacing w:val="-20"/>
                <w:kern w:val="0"/>
                <w:sz w:val="21"/>
                <w:szCs w:val="21"/>
                <w:lang w:eastAsia="zh-CN"/>
              </w:rPr>
              <w:t>2022年</w:t>
            </w:r>
            <w:r>
              <w:rPr>
                <w:b/>
                <w:spacing w:val="-20"/>
                <w:kern w:val="0"/>
                <w:sz w:val="21"/>
                <w:szCs w:val="21"/>
              </w:rPr>
              <w:t>实际在职人数</w:t>
            </w:r>
          </w:p>
        </w:tc>
        <w:tc>
          <w:tcPr>
            <w:tcW w:w="1936" w:type="dxa"/>
            <w:gridSpan w:val="2"/>
            <w:tcBorders>
              <w:top w:val="single" w:color="auto" w:sz="4" w:space="0"/>
              <w:left w:val="nil"/>
              <w:bottom w:val="single" w:color="auto" w:sz="4" w:space="0"/>
              <w:right w:val="single" w:color="auto" w:sz="4" w:space="0"/>
            </w:tcBorders>
            <w:noWrap w:val="0"/>
            <w:vAlign w:val="center"/>
          </w:tcPr>
          <w:p>
            <w:pPr>
              <w:widowControl/>
              <w:spacing w:line="0" w:lineRule="atLeast"/>
              <w:jc w:val="center"/>
              <w:rPr>
                <w:b/>
                <w:kern w:val="0"/>
                <w:sz w:val="21"/>
                <w:szCs w:val="21"/>
              </w:rPr>
            </w:pPr>
            <w:r>
              <w:rPr>
                <w:b/>
                <w:kern w:val="0"/>
                <w:sz w:val="21"/>
                <w:szCs w:val="21"/>
              </w:rPr>
              <w:t>控制率</w:t>
            </w:r>
          </w:p>
        </w:tc>
      </w:tr>
      <w:tr>
        <w:tblPrEx>
          <w:tblCellMar>
            <w:top w:w="0" w:type="dxa"/>
            <w:left w:w="108" w:type="dxa"/>
            <w:bottom w:w="0" w:type="dxa"/>
            <w:right w:w="108" w:type="dxa"/>
          </w:tblCellMar>
        </w:tblPrEx>
        <w:trPr>
          <w:trHeight w:val="397" w:hRule="atLeast"/>
          <w:jc w:val="center"/>
        </w:trPr>
        <w:tc>
          <w:tcPr>
            <w:tcW w:w="321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left"/>
              <w:rPr>
                <w:kern w:val="0"/>
                <w:sz w:val="21"/>
                <w:szCs w:val="21"/>
              </w:rPr>
            </w:pPr>
          </w:p>
        </w:tc>
        <w:tc>
          <w:tcPr>
            <w:tcW w:w="2038" w:type="dxa"/>
            <w:gridSpan w:val="2"/>
            <w:tcBorders>
              <w:top w:val="single" w:color="auto" w:sz="4" w:space="0"/>
              <w:left w:val="nil"/>
              <w:bottom w:val="single" w:color="auto" w:sz="4" w:space="0"/>
              <w:right w:val="single" w:color="auto" w:sz="4" w:space="0"/>
            </w:tcBorders>
            <w:noWrap w:val="0"/>
            <w:vAlign w:val="center"/>
          </w:tcPr>
          <w:p>
            <w:pPr>
              <w:widowControl/>
              <w:jc w:val="center"/>
              <w:rPr>
                <w:kern w:val="0"/>
                <w:sz w:val="21"/>
                <w:szCs w:val="21"/>
              </w:rPr>
            </w:pPr>
            <w:r>
              <w:rPr>
                <w:kern w:val="0"/>
                <w:sz w:val="21"/>
                <w:szCs w:val="21"/>
              </w:rPr>
              <w:t>34</w:t>
            </w:r>
            <w:r>
              <w:rPr>
                <w:rFonts w:hint="eastAsia"/>
                <w:kern w:val="0"/>
                <w:sz w:val="21"/>
                <w:szCs w:val="21"/>
                <w:lang w:val="en-US" w:eastAsia="zh-CN"/>
              </w:rPr>
              <w:t>2</w:t>
            </w:r>
            <w:r>
              <w:rPr>
                <w:kern w:val="0"/>
                <w:sz w:val="21"/>
                <w:szCs w:val="21"/>
              </w:rPr>
              <w:t>　</w:t>
            </w:r>
          </w:p>
        </w:tc>
        <w:tc>
          <w:tcPr>
            <w:tcW w:w="2095"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eastAsia="仿宋_GB2312"/>
                <w:kern w:val="0"/>
                <w:sz w:val="21"/>
                <w:szCs w:val="21"/>
                <w:lang w:eastAsia="zh-CN"/>
              </w:rPr>
            </w:pPr>
            <w:r>
              <w:rPr>
                <w:kern w:val="0"/>
                <w:sz w:val="21"/>
                <w:szCs w:val="21"/>
              </w:rPr>
              <w:t>31</w:t>
            </w:r>
            <w:r>
              <w:rPr>
                <w:rFonts w:hint="eastAsia"/>
                <w:kern w:val="0"/>
                <w:sz w:val="21"/>
                <w:szCs w:val="21"/>
                <w:lang w:val="en-US" w:eastAsia="zh-CN"/>
              </w:rPr>
              <w:t>7</w:t>
            </w:r>
          </w:p>
        </w:tc>
        <w:tc>
          <w:tcPr>
            <w:tcW w:w="1936" w:type="dxa"/>
            <w:gridSpan w:val="2"/>
            <w:tcBorders>
              <w:top w:val="single" w:color="auto" w:sz="4" w:space="0"/>
              <w:left w:val="nil"/>
              <w:bottom w:val="single" w:color="auto" w:sz="4" w:space="0"/>
              <w:right w:val="single" w:color="auto" w:sz="4" w:space="0"/>
            </w:tcBorders>
            <w:noWrap w:val="0"/>
            <w:vAlign w:val="center"/>
          </w:tcPr>
          <w:p>
            <w:pPr>
              <w:widowControl/>
              <w:jc w:val="center"/>
              <w:rPr>
                <w:kern w:val="0"/>
                <w:sz w:val="21"/>
                <w:szCs w:val="21"/>
              </w:rPr>
            </w:pPr>
            <w:r>
              <w:rPr>
                <w:kern w:val="0"/>
                <w:sz w:val="21"/>
                <w:szCs w:val="21"/>
              </w:rPr>
              <w:t>　100%</w:t>
            </w:r>
          </w:p>
        </w:tc>
      </w:tr>
      <w:tr>
        <w:tblPrEx>
          <w:tblCellMar>
            <w:top w:w="0" w:type="dxa"/>
            <w:left w:w="108" w:type="dxa"/>
            <w:bottom w:w="0" w:type="dxa"/>
            <w:right w:w="108" w:type="dxa"/>
          </w:tblCellMar>
        </w:tblPrEx>
        <w:trPr>
          <w:trHeight w:val="397" w:hRule="atLeast"/>
          <w:jc w:val="center"/>
        </w:trPr>
        <w:tc>
          <w:tcPr>
            <w:tcW w:w="3214" w:type="dxa"/>
            <w:tcBorders>
              <w:top w:val="nil"/>
              <w:left w:val="single" w:color="auto" w:sz="4" w:space="0"/>
              <w:bottom w:val="single" w:color="auto" w:sz="4" w:space="0"/>
              <w:right w:val="single" w:color="auto" w:sz="4" w:space="0"/>
            </w:tcBorders>
            <w:noWrap w:val="0"/>
            <w:vAlign w:val="center"/>
          </w:tcPr>
          <w:p>
            <w:pPr>
              <w:widowControl/>
              <w:spacing w:line="0" w:lineRule="atLeast"/>
              <w:jc w:val="center"/>
              <w:rPr>
                <w:b/>
                <w:kern w:val="0"/>
                <w:sz w:val="21"/>
                <w:szCs w:val="21"/>
              </w:rPr>
            </w:pPr>
            <w:r>
              <w:rPr>
                <w:b/>
                <w:kern w:val="0"/>
                <w:sz w:val="21"/>
                <w:szCs w:val="21"/>
              </w:rPr>
              <w:t>经费控制情况（万元）</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0" w:lineRule="atLeast"/>
              <w:jc w:val="center"/>
              <w:rPr>
                <w:b/>
                <w:kern w:val="0"/>
                <w:sz w:val="21"/>
                <w:szCs w:val="21"/>
              </w:rPr>
            </w:pPr>
            <w:r>
              <w:rPr>
                <w:b/>
                <w:kern w:val="0"/>
                <w:sz w:val="21"/>
                <w:szCs w:val="21"/>
              </w:rPr>
              <w:t>20</w:t>
            </w:r>
            <w:r>
              <w:rPr>
                <w:rFonts w:hint="eastAsia"/>
                <w:b/>
                <w:kern w:val="0"/>
                <w:sz w:val="21"/>
                <w:szCs w:val="21"/>
              </w:rPr>
              <w:t>2</w:t>
            </w:r>
            <w:r>
              <w:rPr>
                <w:rFonts w:hint="eastAsia"/>
                <w:b/>
                <w:kern w:val="0"/>
                <w:sz w:val="21"/>
                <w:szCs w:val="21"/>
                <w:lang w:val="en-US" w:eastAsia="zh-CN"/>
              </w:rPr>
              <w:t>1</w:t>
            </w:r>
            <w:r>
              <w:rPr>
                <w:b/>
                <w:kern w:val="0"/>
                <w:sz w:val="21"/>
                <w:szCs w:val="21"/>
              </w:rPr>
              <w:t>年决算数</w:t>
            </w:r>
          </w:p>
        </w:tc>
        <w:tc>
          <w:tcPr>
            <w:tcW w:w="2095" w:type="dxa"/>
            <w:gridSpan w:val="2"/>
            <w:tcBorders>
              <w:top w:val="single" w:color="auto" w:sz="4" w:space="0"/>
              <w:left w:val="nil"/>
              <w:bottom w:val="single" w:color="auto" w:sz="4" w:space="0"/>
              <w:right w:val="single" w:color="000000" w:sz="4" w:space="0"/>
            </w:tcBorders>
            <w:noWrap w:val="0"/>
            <w:vAlign w:val="center"/>
          </w:tcPr>
          <w:p>
            <w:pPr>
              <w:widowControl/>
              <w:spacing w:line="0" w:lineRule="atLeast"/>
              <w:jc w:val="center"/>
              <w:rPr>
                <w:b/>
                <w:kern w:val="0"/>
                <w:sz w:val="21"/>
                <w:szCs w:val="21"/>
              </w:rPr>
            </w:pPr>
            <w:r>
              <w:rPr>
                <w:rFonts w:hint="eastAsia"/>
                <w:b/>
                <w:kern w:val="0"/>
                <w:sz w:val="21"/>
                <w:szCs w:val="21"/>
                <w:lang w:eastAsia="zh-CN"/>
              </w:rPr>
              <w:t>2022年</w:t>
            </w:r>
            <w:r>
              <w:rPr>
                <w:b/>
                <w:kern w:val="0"/>
                <w:sz w:val="21"/>
                <w:szCs w:val="21"/>
              </w:rPr>
              <w:t>预算数</w:t>
            </w:r>
          </w:p>
        </w:tc>
        <w:tc>
          <w:tcPr>
            <w:tcW w:w="1936" w:type="dxa"/>
            <w:gridSpan w:val="2"/>
            <w:tcBorders>
              <w:top w:val="single" w:color="auto" w:sz="4" w:space="0"/>
              <w:left w:val="nil"/>
              <w:bottom w:val="single" w:color="auto" w:sz="4" w:space="0"/>
              <w:right w:val="single" w:color="000000" w:sz="4" w:space="0"/>
            </w:tcBorders>
            <w:noWrap w:val="0"/>
            <w:vAlign w:val="center"/>
          </w:tcPr>
          <w:p>
            <w:pPr>
              <w:widowControl/>
              <w:spacing w:line="0" w:lineRule="atLeast"/>
              <w:jc w:val="center"/>
              <w:rPr>
                <w:b/>
                <w:kern w:val="0"/>
                <w:sz w:val="21"/>
                <w:szCs w:val="21"/>
              </w:rPr>
            </w:pPr>
            <w:r>
              <w:rPr>
                <w:rFonts w:hint="eastAsia"/>
                <w:b/>
                <w:kern w:val="0"/>
                <w:sz w:val="21"/>
                <w:szCs w:val="21"/>
                <w:lang w:eastAsia="zh-CN"/>
              </w:rPr>
              <w:t>2022年</w:t>
            </w:r>
            <w:r>
              <w:rPr>
                <w:b/>
                <w:kern w:val="0"/>
                <w:sz w:val="21"/>
                <w:szCs w:val="21"/>
              </w:rPr>
              <w:t>决算数</w:t>
            </w:r>
          </w:p>
        </w:tc>
      </w:tr>
      <w:tr>
        <w:tblPrEx>
          <w:tblCellMar>
            <w:top w:w="0" w:type="dxa"/>
            <w:left w:w="108" w:type="dxa"/>
            <w:bottom w:w="0" w:type="dxa"/>
            <w:right w:w="108" w:type="dxa"/>
          </w:tblCellMar>
        </w:tblPrEx>
        <w:trPr>
          <w:trHeight w:val="397" w:hRule="atLeast"/>
          <w:jc w:val="center"/>
        </w:trPr>
        <w:tc>
          <w:tcPr>
            <w:tcW w:w="3214" w:type="dxa"/>
            <w:tcBorders>
              <w:top w:val="nil"/>
              <w:left w:val="single" w:color="auto" w:sz="4" w:space="0"/>
              <w:bottom w:val="single" w:color="auto" w:sz="4" w:space="0"/>
              <w:right w:val="single" w:color="auto" w:sz="4" w:space="0"/>
            </w:tcBorders>
            <w:noWrap w:val="0"/>
            <w:vAlign w:val="center"/>
          </w:tcPr>
          <w:p>
            <w:pPr>
              <w:widowControl/>
              <w:spacing w:line="0" w:lineRule="atLeast"/>
              <w:jc w:val="left"/>
              <w:rPr>
                <w:rFonts w:hint="eastAsia"/>
                <w:b/>
                <w:kern w:val="0"/>
                <w:sz w:val="21"/>
                <w:szCs w:val="21"/>
              </w:rPr>
            </w:pPr>
            <w:r>
              <w:rPr>
                <w:rFonts w:hint="eastAsia"/>
                <w:b/>
                <w:kern w:val="0"/>
                <w:sz w:val="21"/>
                <w:szCs w:val="21"/>
              </w:rPr>
              <w:t>支出总额</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jc w:val="center"/>
              <w:rPr>
                <w:b/>
                <w:kern w:val="0"/>
                <w:sz w:val="21"/>
                <w:szCs w:val="21"/>
              </w:rPr>
            </w:pPr>
            <w:r>
              <w:rPr>
                <w:rFonts w:hint="eastAsia"/>
                <w:b/>
                <w:kern w:val="0"/>
                <w:sz w:val="21"/>
                <w:szCs w:val="21"/>
              </w:rPr>
              <w:t>8621.34</w:t>
            </w:r>
          </w:p>
        </w:tc>
        <w:tc>
          <w:tcPr>
            <w:tcW w:w="2095"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eastAsia="仿宋_GB2312"/>
                <w:b/>
                <w:kern w:val="0"/>
                <w:sz w:val="21"/>
                <w:szCs w:val="21"/>
                <w:lang w:val="en-US" w:eastAsia="zh-CN"/>
              </w:rPr>
            </w:pPr>
            <w:r>
              <w:rPr>
                <w:rFonts w:hint="eastAsia"/>
                <w:b/>
                <w:kern w:val="0"/>
                <w:sz w:val="21"/>
                <w:szCs w:val="21"/>
                <w:lang w:val="en-US" w:eastAsia="zh-CN"/>
              </w:rPr>
              <w:t>5601.62</w:t>
            </w:r>
          </w:p>
        </w:tc>
        <w:tc>
          <w:tcPr>
            <w:tcW w:w="1936"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eastAsia="仿宋_GB2312"/>
                <w:b/>
                <w:kern w:val="0"/>
                <w:sz w:val="21"/>
                <w:szCs w:val="21"/>
                <w:lang w:val="en-US" w:eastAsia="zh-CN"/>
              </w:rPr>
            </w:pPr>
            <w:r>
              <w:rPr>
                <w:rFonts w:hint="eastAsia"/>
                <w:b/>
                <w:kern w:val="0"/>
                <w:sz w:val="21"/>
                <w:szCs w:val="21"/>
                <w:lang w:val="en-US" w:eastAsia="zh-CN"/>
              </w:rPr>
              <w:t>9903.38</w:t>
            </w:r>
          </w:p>
        </w:tc>
      </w:tr>
      <w:tr>
        <w:tblPrEx>
          <w:tblCellMar>
            <w:top w:w="0" w:type="dxa"/>
            <w:left w:w="108" w:type="dxa"/>
            <w:bottom w:w="0" w:type="dxa"/>
            <w:right w:w="108" w:type="dxa"/>
          </w:tblCellMar>
        </w:tblPrEx>
        <w:trPr>
          <w:trHeight w:val="397" w:hRule="atLeast"/>
          <w:jc w:val="center"/>
        </w:trPr>
        <w:tc>
          <w:tcPr>
            <w:tcW w:w="3214" w:type="dxa"/>
            <w:tcBorders>
              <w:top w:val="nil"/>
              <w:left w:val="single" w:color="auto" w:sz="4" w:space="0"/>
              <w:bottom w:val="single" w:color="auto" w:sz="4" w:space="0"/>
              <w:right w:val="single" w:color="auto" w:sz="4" w:space="0"/>
            </w:tcBorders>
            <w:noWrap w:val="0"/>
            <w:vAlign w:val="center"/>
          </w:tcPr>
          <w:p>
            <w:pPr>
              <w:widowControl/>
              <w:spacing w:line="0" w:lineRule="atLeast"/>
              <w:jc w:val="left"/>
              <w:rPr>
                <w:rFonts w:hint="eastAsia"/>
                <w:b/>
                <w:kern w:val="0"/>
                <w:sz w:val="21"/>
                <w:szCs w:val="21"/>
              </w:rPr>
            </w:pPr>
            <w:r>
              <w:rPr>
                <w:rFonts w:hint="eastAsia"/>
                <w:b/>
                <w:kern w:val="0"/>
                <w:sz w:val="21"/>
                <w:szCs w:val="21"/>
              </w:rPr>
              <w:t>基本支出</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jc w:val="center"/>
              <w:rPr>
                <w:kern w:val="0"/>
                <w:sz w:val="21"/>
                <w:szCs w:val="21"/>
              </w:rPr>
            </w:pPr>
            <w:r>
              <w:rPr>
                <w:rFonts w:hint="eastAsia"/>
                <w:kern w:val="0"/>
                <w:sz w:val="21"/>
                <w:szCs w:val="21"/>
              </w:rPr>
              <w:t>6621.22</w:t>
            </w:r>
          </w:p>
        </w:tc>
        <w:tc>
          <w:tcPr>
            <w:tcW w:w="2095" w:type="dxa"/>
            <w:gridSpan w:val="2"/>
            <w:tcBorders>
              <w:top w:val="single" w:color="auto" w:sz="4" w:space="0"/>
              <w:left w:val="nil"/>
              <w:bottom w:val="single" w:color="auto" w:sz="4" w:space="0"/>
              <w:right w:val="single" w:color="000000" w:sz="4" w:space="0"/>
            </w:tcBorders>
            <w:noWrap w:val="0"/>
            <w:vAlign w:val="center"/>
          </w:tcPr>
          <w:p>
            <w:pPr>
              <w:widowControl/>
              <w:jc w:val="center"/>
              <w:rPr>
                <w:kern w:val="0"/>
                <w:sz w:val="21"/>
                <w:szCs w:val="21"/>
              </w:rPr>
            </w:pPr>
            <w:r>
              <w:rPr>
                <w:rFonts w:hint="eastAsia"/>
                <w:kern w:val="0"/>
                <w:sz w:val="21"/>
                <w:szCs w:val="21"/>
                <w:lang w:val="en-US" w:eastAsia="zh-CN"/>
              </w:rPr>
              <w:t>4500.3</w:t>
            </w:r>
            <w:r>
              <w:rPr>
                <w:kern w:val="0"/>
                <w:sz w:val="21"/>
                <w:szCs w:val="21"/>
              </w:rPr>
              <w:t>　</w:t>
            </w:r>
          </w:p>
        </w:tc>
        <w:tc>
          <w:tcPr>
            <w:tcW w:w="1936"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eastAsia="仿宋_GB2312"/>
                <w:kern w:val="0"/>
                <w:sz w:val="21"/>
                <w:szCs w:val="21"/>
                <w:lang w:val="en-US" w:eastAsia="zh-CN"/>
              </w:rPr>
            </w:pPr>
            <w:r>
              <w:rPr>
                <w:rFonts w:hint="eastAsia"/>
                <w:kern w:val="0"/>
                <w:sz w:val="21"/>
                <w:szCs w:val="21"/>
                <w:lang w:val="en-US" w:eastAsia="zh-CN"/>
              </w:rPr>
              <w:t>7528.72</w:t>
            </w:r>
          </w:p>
        </w:tc>
      </w:tr>
      <w:tr>
        <w:tblPrEx>
          <w:tblCellMar>
            <w:top w:w="0" w:type="dxa"/>
            <w:left w:w="108" w:type="dxa"/>
            <w:bottom w:w="0" w:type="dxa"/>
            <w:right w:w="108" w:type="dxa"/>
          </w:tblCellMar>
        </w:tblPrEx>
        <w:trPr>
          <w:trHeight w:val="397" w:hRule="atLeast"/>
          <w:jc w:val="center"/>
        </w:trPr>
        <w:tc>
          <w:tcPr>
            <w:tcW w:w="3214" w:type="dxa"/>
            <w:tcBorders>
              <w:top w:val="nil"/>
              <w:left w:val="single" w:color="auto" w:sz="4" w:space="0"/>
              <w:bottom w:val="single" w:color="auto" w:sz="4" w:space="0"/>
              <w:right w:val="single" w:color="auto" w:sz="4" w:space="0"/>
            </w:tcBorders>
            <w:noWrap w:val="0"/>
            <w:vAlign w:val="center"/>
          </w:tcPr>
          <w:p>
            <w:pPr>
              <w:widowControl/>
              <w:spacing w:line="0" w:lineRule="atLeast"/>
              <w:jc w:val="left"/>
              <w:rPr>
                <w:kern w:val="0"/>
                <w:sz w:val="21"/>
                <w:szCs w:val="21"/>
              </w:rPr>
            </w:pPr>
            <w:r>
              <w:rPr>
                <w:kern w:val="0"/>
                <w:sz w:val="21"/>
                <w:szCs w:val="21"/>
              </w:rPr>
              <w:t xml:space="preserve">    其中：</w:t>
            </w:r>
            <w:r>
              <w:rPr>
                <w:rFonts w:hint="eastAsia"/>
                <w:kern w:val="0"/>
                <w:sz w:val="21"/>
                <w:szCs w:val="21"/>
              </w:rPr>
              <w:t>公用</w:t>
            </w:r>
            <w:r>
              <w:rPr>
                <w:kern w:val="0"/>
                <w:sz w:val="21"/>
                <w:szCs w:val="21"/>
              </w:rPr>
              <w:t>经费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jc w:val="center"/>
              <w:rPr>
                <w:kern w:val="0"/>
                <w:sz w:val="21"/>
                <w:szCs w:val="21"/>
              </w:rPr>
            </w:pPr>
            <w:r>
              <w:rPr>
                <w:rFonts w:hint="eastAsia"/>
                <w:kern w:val="0"/>
                <w:sz w:val="21"/>
                <w:szCs w:val="21"/>
              </w:rPr>
              <w:t>1337.42</w:t>
            </w:r>
          </w:p>
        </w:tc>
        <w:tc>
          <w:tcPr>
            <w:tcW w:w="2095" w:type="dxa"/>
            <w:gridSpan w:val="2"/>
            <w:tcBorders>
              <w:top w:val="single" w:color="auto" w:sz="4" w:space="0"/>
              <w:left w:val="nil"/>
              <w:bottom w:val="single" w:color="auto" w:sz="4" w:space="0"/>
              <w:right w:val="single" w:color="000000" w:sz="4" w:space="0"/>
            </w:tcBorders>
            <w:noWrap w:val="0"/>
            <w:vAlign w:val="center"/>
          </w:tcPr>
          <w:p>
            <w:pPr>
              <w:widowControl/>
              <w:jc w:val="center"/>
              <w:rPr>
                <w:kern w:val="0"/>
                <w:sz w:val="21"/>
                <w:szCs w:val="21"/>
              </w:rPr>
            </w:pPr>
            <w:r>
              <w:rPr>
                <w:rFonts w:hint="eastAsia"/>
                <w:kern w:val="0"/>
                <w:sz w:val="21"/>
                <w:szCs w:val="21"/>
                <w:lang w:val="en-US" w:eastAsia="zh-CN"/>
              </w:rPr>
              <w:t>1191.56</w:t>
            </w:r>
            <w:r>
              <w:rPr>
                <w:kern w:val="0"/>
                <w:sz w:val="21"/>
                <w:szCs w:val="21"/>
              </w:rPr>
              <w:t>　</w:t>
            </w:r>
          </w:p>
        </w:tc>
        <w:tc>
          <w:tcPr>
            <w:tcW w:w="1936"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eastAsia="仿宋_GB2312"/>
                <w:kern w:val="0"/>
                <w:sz w:val="21"/>
                <w:szCs w:val="21"/>
                <w:lang w:val="en-US" w:eastAsia="zh-CN"/>
              </w:rPr>
            </w:pPr>
            <w:r>
              <w:rPr>
                <w:rFonts w:hint="eastAsia"/>
                <w:kern w:val="0"/>
                <w:sz w:val="21"/>
                <w:szCs w:val="21"/>
                <w:lang w:val="en-US" w:eastAsia="zh-CN"/>
              </w:rPr>
              <w:t>1286.52</w:t>
            </w:r>
          </w:p>
        </w:tc>
      </w:tr>
      <w:tr>
        <w:tblPrEx>
          <w:tblCellMar>
            <w:top w:w="0" w:type="dxa"/>
            <w:left w:w="108" w:type="dxa"/>
            <w:bottom w:w="0" w:type="dxa"/>
            <w:right w:w="108" w:type="dxa"/>
          </w:tblCellMar>
        </w:tblPrEx>
        <w:trPr>
          <w:trHeight w:val="397" w:hRule="atLeast"/>
          <w:jc w:val="center"/>
        </w:trPr>
        <w:tc>
          <w:tcPr>
            <w:tcW w:w="3214" w:type="dxa"/>
            <w:tcBorders>
              <w:top w:val="nil"/>
              <w:left w:val="single" w:color="auto" w:sz="4" w:space="0"/>
              <w:bottom w:val="single" w:color="auto" w:sz="4" w:space="0"/>
              <w:right w:val="single" w:color="auto" w:sz="4" w:space="0"/>
            </w:tcBorders>
            <w:noWrap w:val="0"/>
            <w:vAlign w:val="center"/>
          </w:tcPr>
          <w:p>
            <w:pPr>
              <w:widowControl/>
              <w:spacing w:line="0" w:lineRule="atLeast"/>
              <w:jc w:val="left"/>
              <w:rPr>
                <w:b/>
                <w:kern w:val="0"/>
                <w:sz w:val="21"/>
                <w:szCs w:val="21"/>
              </w:rPr>
            </w:pPr>
            <w:r>
              <w:rPr>
                <w:b/>
                <w:kern w:val="0"/>
                <w:sz w:val="21"/>
                <w:szCs w:val="21"/>
              </w:rPr>
              <w:t>项目支出</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jc w:val="center"/>
              <w:rPr>
                <w:kern w:val="0"/>
                <w:sz w:val="21"/>
                <w:szCs w:val="21"/>
              </w:rPr>
            </w:pPr>
            <w:r>
              <w:rPr>
                <w:rFonts w:hint="eastAsia"/>
                <w:kern w:val="0"/>
                <w:sz w:val="21"/>
                <w:szCs w:val="21"/>
              </w:rPr>
              <w:t>2000.12</w:t>
            </w:r>
          </w:p>
        </w:tc>
        <w:tc>
          <w:tcPr>
            <w:tcW w:w="2095" w:type="dxa"/>
            <w:gridSpan w:val="2"/>
            <w:tcBorders>
              <w:top w:val="single" w:color="auto" w:sz="4" w:space="0"/>
              <w:left w:val="nil"/>
              <w:bottom w:val="single" w:color="auto" w:sz="4" w:space="0"/>
              <w:right w:val="single" w:color="000000" w:sz="4" w:space="0"/>
            </w:tcBorders>
            <w:noWrap w:val="0"/>
            <w:vAlign w:val="center"/>
          </w:tcPr>
          <w:p>
            <w:pPr>
              <w:widowControl/>
              <w:jc w:val="center"/>
              <w:rPr>
                <w:kern w:val="0"/>
                <w:sz w:val="21"/>
                <w:szCs w:val="21"/>
              </w:rPr>
            </w:pPr>
            <w:r>
              <w:rPr>
                <w:rFonts w:hint="eastAsia"/>
                <w:kern w:val="0"/>
                <w:sz w:val="21"/>
                <w:szCs w:val="21"/>
                <w:lang w:val="en-US" w:eastAsia="zh-CN"/>
              </w:rPr>
              <w:t>1101.32</w:t>
            </w:r>
            <w:r>
              <w:rPr>
                <w:kern w:val="0"/>
                <w:sz w:val="21"/>
                <w:szCs w:val="21"/>
              </w:rPr>
              <w:t>　</w:t>
            </w:r>
          </w:p>
        </w:tc>
        <w:tc>
          <w:tcPr>
            <w:tcW w:w="1936"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eastAsia="仿宋_GB2312"/>
                <w:kern w:val="0"/>
                <w:sz w:val="21"/>
                <w:szCs w:val="21"/>
                <w:lang w:val="en-US" w:eastAsia="zh-CN"/>
              </w:rPr>
            </w:pPr>
            <w:r>
              <w:rPr>
                <w:rFonts w:hint="eastAsia"/>
                <w:kern w:val="0"/>
                <w:sz w:val="21"/>
                <w:szCs w:val="21"/>
                <w:lang w:val="en-US" w:eastAsia="zh-CN"/>
              </w:rPr>
              <w:t>2374.66</w:t>
            </w:r>
          </w:p>
        </w:tc>
      </w:tr>
      <w:tr>
        <w:tblPrEx>
          <w:tblCellMar>
            <w:top w:w="0" w:type="dxa"/>
            <w:left w:w="108" w:type="dxa"/>
            <w:bottom w:w="0" w:type="dxa"/>
            <w:right w:w="108" w:type="dxa"/>
          </w:tblCellMar>
        </w:tblPrEx>
        <w:trPr>
          <w:trHeight w:val="374" w:hRule="atLeast"/>
          <w:jc w:val="center"/>
        </w:trPr>
        <w:tc>
          <w:tcPr>
            <w:tcW w:w="3214" w:type="dxa"/>
            <w:tcBorders>
              <w:top w:val="nil"/>
              <w:left w:val="single" w:color="auto" w:sz="4" w:space="0"/>
              <w:bottom w:val="single" w:color="auto" w:sz="4" w:space="0"/>
              <w:right w:val="single" w:color="auto" w:sz="4" w:space="0"/>
            </w:tcBorders>
            <w:noWrap w:val="0"/>
            <w:vAlign w:val="center"/>
          </w:tcPr>
          <w:p>
            <w:pPr>
              <w:widowControl/>
              <w:spacing w:line="0" w:lineRule="atLeast"/>
              <w:jc w:val="left"/>
              <w:rPr>
                <w:kern w:val="0"/>
                <w:sz w:val="21"/>
                <w:szCs w:val="21"/>
              </w:rPr>
            </w:pPr>
            <w:r>
              <w:rPr>
                <w:kern w:val="0"/>
                <w:sz w:val="21"/>
                <w:szCs w:val="21"/>
              </w:rPr>
              <w:t>1、业务工作经费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0" w:lineRule="atLeast"/>
              <w:jc w:val="center"/>
              <w:rPr>
                <w:kern w:val="0"/>
                <w:sz w:val="21"/>
                <w:szCs w:val="21"/>
              </w:rPr>
            </w:pPr>
            <w:r>
              <w:rPr>
                <w:rFonts w:hint="eastAsia"/>
                <w:kern w:val="0"/>
                <w:sz w:val="21"/>
                <w:szCs w:val="21"/>
              </w:rPr>
              <w:t>174.35</w:t>
            </w:r>
          </w:p>
        </w:tc>
        <w:tc>
          <w:tcPr>
            <w:tcW w:w="2095"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eastAsia="仿宋_GB2312"/>
                <w:kern w:val="0"/>
                <w:sz w:val="21"/>
                <w:szCs w:val="21"/>
                <w:lang w:val="en-US" w:eastAsia="zh-CN"/>
              </w:rPr>
            </w:pPr>
            <w:r>
              <w:rPr>
                <w:rFonts w:hint="eastAsia"/>
                <w:kern w:val="0"/>
                <w:sz w:val="21"/>
                <w:szCs w:val="21"/>
                <w:lang w:val="en-US" w:eastAsia="zh-CN"/>
              </w:rPr>
              <w:t>125.74</w:t>
            </w:r>
          </w:p>
        </w:tc>
        <w:tc>
          <w:tcPr>
            <w:tcW w:w="1936" w:type="dxa"/>
            <w:gridSpan w:val="2"/>
            <w:tcBorders>
              <w:top w:val="single" w:color="auto" w:sz="4" w:space="0"/>
              <w:left w:val="nil"/>
              <w:bottom w:val="single" w:color="auto" w:sz="4" w:space="0"/>
              <w:right w:val="single" w:color="000000" w:sz="4" w:space="0"/>
            </w:tcBorders>
            <w:noWrap w:val="0"/>
            <w:vAlign w:val="center"/>
          </w:tcPr>
          <w:p>
            <w:pPr>
              <w:widowControl/>
              <w:spacing w:line="0" w:lineRule="atLeast"/>
              <w:jc w:val="center"/>
              <w:rPr>
                <w:rFonts w:hint="default" w:eastAsia="仿宋_GB2312"/>
                <w:kern w:val="0"/>
                <w:sz w:val="21"/>
                <w:szCs w:val="21"/>
                <w:lang w:val="en-US" w:eastAsia="zh-CN"/>
              </w:rPr>
            </w:pPr>
            <w:r>
              <w:rPr>
                <w:rFonts w:hint="eastAsia"/>
                <w:kern w:val="0"/>
                <w:sz w:val="21"/>
                <w:szCs w:val="21"/>
                <w:lang w:val="en-US" w:eastAsia="zh-CN"/>
              </w:rPr>
              <w:t>228.52</w:t>
            </w:r>
          </w:p>
        </w:tc>
      </w:tr>
      <w:tr>
        <w:tblPrEx>
          <w:tblCellMar>
            <w:top w:w="0" w:type="dxa"/>
            <w:left w:w="108" w:type="dxa"/>
            <w:bottom w:w="0" w:type="dxa"/>
            <w:right w:w="108" w:type="dxa"/>
          </w:tblCellMar>
        </w:tblPrEx>
        <w:trPr>
          <w:trHeight w:val="423" w:hRule="atLeast"/>
          <w:jc w:val="center"/>
        </w:trPr>
        <w:tc>
          <w:tcPr>
            <w:tcW w:w="3214" w:type="dxa"/>
            <w:tcBorders>
              <w:top w:val="nil"/>
              <w:left w:val="single" w:color="auto" w:sz="4" w:space="0"/>
              <w:bottom w:val="single" w:color="auto" w:sz="4" w:space="0"/>
              <w:right w:val="single" w:color="auto" w:sz="4" w:space="0"/>
            </w:tcBorders>
            <w:noWrap w:val="0"/>
            <w:vAlign w:val="center"/>
          </w:tcPr>
          <w:p>
            <w:pPr>
              <w:widowControl/>
              <w:spacing w:line="0" w:lineRule="atLeast"/>
              <w:jc w:val="left"/>
              <w:rPr>
                <w:kern w:val="0"/>
                <w:sz w:val="21"/>
                <w:szCs w:val="21"/>
              </w:rPr>
            </w:pPr>
            <w:r>
              <w:rPr>
                <w:kern w:val="0"/>
                <w:sz w:val="21"/>
                <w:szCs w:val="21"/>
              </w:rPr>
              <w:t>2、运行维护经费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0" w:lineRule="atLeast"/>
              <w:jc w:val="center"/>
              <w:rPr>
                <w:kern w:val="0"/>
                <w:sz w:val="21"/>
                <w:szCs w:val="21"/>
              </w:rPr>
            </w:pPr>
            <w:r>
              <w:rPr>
                <w:rFonts w:hint="eastAsia"/>
                <w:kern w:val="0"/>
                <w:sz w:val="21"/>
                <w:szCs w:val="21"/>
              </w:rPr>
              <w:t>/</w:t>
            </w:r>
            <w:r>
              <w:rPr>
                <w:kern w:val="0"/>
                <w:sz w:val="21"/>
                <w:szCs w:val="21"/>
              </w:rPr>
              <w:t>　</w:t>
            </w:r>
          </w:p>
        </w:tc>
        <w:tc>
          <w:tcPr>
            <w:tcW w:w="2095" w:type="dxa"/>
            <w:gridSpan w:val="2"/>
            <w:tcBorders>
              <w:top w:val="single" w:color="auto" w:sz="4" w:space="0"/>
              <w:left w:val="nil"/>
              <w:bottom w:val="single" w:color="auto" w:sz="4" w:space="0"/>
              <w:right w:val="single" w:color="000000" w:sz="4" w:space="0"/>
            </w:tcBorders>
            <w:noWrap w:val="0"/>
            <w:vAlign w:val="center"/>
          </w:tcPr>
          <w:p>
            <w:pPr>
              <w:widowControl/>
              <w:spacing w:line="0" w:lineRule="atLeast"/>
              <w:jc w:val="center"/>
              <w:rPr>
                <w:kern w:val="0"/>
                <w:sz w:val="21"/>
                <w:szCs w:val="21"/>
              </w:rPr>
            </w:pPr>
            <w:r>
              <w:rPr>
                <w:rFonts w:hint="eastAsia"/>
                <w:kern w:val="0"/>
                <w:sz w:val="21"/>
                <w:szCs w:val="21"/>
              </w:rPr>
              <w:t>/</w:t>
            </w:r>
            <w:r>
              <w:rPr>
                <w:kern w:val="0"/>
                <w:sz w:val="21"/>
                <w:szCs w:val="21"/>
              </w:rPr>
              <w:t>　</w:t>
            </w:r>
          </w:p>
        </w:tc>
        <w:tc>
          <w:tcPr>
            <w:tcW w:w="1936" w:type="dxa"/>
            <w:gridSpan w:val="2"/>
            <w:tcBorders>
              <w:top w:val="single" w:color="auto" w:sz="4" w:space="0"/>
              <w:left w:val="nil"/>
              <w:bottom w:val="single" w:color="auto" w:sz="4" w:space="0"/>
              <w:right w:val="single" w:color="000000" w:sz="4" w:space="0"/>
            </w:tcBorders>
            <w:noWrap w:val="0"/>
            <w:vAlign w:val="center"/>
          </w:tcPr>
          <w:p>
            <w:pPr>
              <w:widowControl/>
              <w:spacing w:line="0" w:lineRule="atLeast"/>
              <w:jc w:val="center"/>
              <w:rPr>
                <w:kern w:val="0"/>
                <w:sz w:val="21"/>
                <w:szCs w:val="21"/>
              </w:rPr>
            </w:pPr>
            <w:r>
              <w:rPr>
                <w:rFonts w:hint="eastAsia"/>
                <w:kern w:val="0"/>
                <w:sz w:val="21"/>
                <w:szCs w:val="21"/>
              </w:rPr>
              <w:t>/</w:t>
            </w:r>
            <w:r>
              <w:rPr>
                <w:kern w:val="0"/>
                <w:sz w:val="21"/>
                <w:szCs w:val="21"/>
              </w:rPr>
              <w:t>　</w:t>
            </w:r>
          </w:p>
        </w:tc>
      </w:tr>
      <w:tr>
        <w:tblPrEx>
          <w:tblCellMar>
            <w:top w:w="0" w:type="dxa"/>
            <w:left w:w="108" w:type="dxa"/>
            <w:bottom w:w="0" w:type="dxa"/>
            <w:right w:w="108" w:type="dxa"/>
          </w:tblCellMar>
        </w:tblPrEx>
        <w:trPr>
          <w:trHeight w:val="397" w:hRule="atLeast"/>
          <w:jc w:val="center"/>
        </w:trPr>
        <w:tc>
          <w:tcPr>
            <w:tcW w:w="3214" w:type="dxa"/>
            <w:tcBorders>
              <w:top w:val="nil"/>
              <w:left w:val="single" w:color="auto" w:sz="4" w:space="0"/>
              <w:bottom w:val="single" w:color="auto" w:sz="4" w:space="0"/>
              <w:right w:val="single" w:color="auto" w:sz="4" w:space="0"/>
            </w:tcBorders>
            <w:noWrap w:val="0"/>
            <w:vAlign w:val="center"/>
          </w:tcPr>
          <w:p>
            <w:pPr>
              <w:widowControl/>
              <w:spacing w:line="0" w:lineRule="atLeast"/>
              <w:rPr>
                <w:kern w:val="0"/>
                <w:sz w:val="21"/>
                <w:szCs w:val="21"/>
              </w:rPr>
            </w:pPr>
            <w:r>
              <w:rPr>
                <w:kern w:val="0"/>
                <w:sz w:val="21"/>
                <w:szCs w:val="21"/>
              </w:rPr>
              <w:t>3、</w:t>
            </w:r>
            <w:r>
              <w:rPr>
                <w:rFonts w:hint="eastAsia"/>
                <w:kern w:val="0"/>
                <w:sz w:val="21"/>
                <w:szCs w:val="21"/>
              </w:rPr>
              <w:t>市场监督专项（单位</w:t>
            </w:r>
            <w:r>
              <w:rPr>
                <w:kern w:val="0"/>
                <w:sz w:val="21"/>
                <w:szCs w:val="21"/>
              </w:rPr>
              <w:t>专项）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jc w:val="center"/>
              <w:rPr>
                <w:kern w:val="0"/>
                <w:sz w:val="21"/>
                <w:szCs w:val="21"/>
              </w:rPr>
            </w:pPr>
            <w:r>
              <w:rPr>
                <w:rFonts w:hint="eastAsia"/>
                <w:kern w:val="0"/>
                <w:sz w:val="21"/>
                <w:szCs w:val="21"/>
              </w:rPr>
              <w:t>481.38</w:t>
            </w:r>
          </w:p>
        </w:tc>
        <w:tc>
          <w:tcPr>
            <w:tcW w:w="2095"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eastAsia="仿宋_GB2312"/>
                <w:kern w:val="0"/>
                <w:sz w:val="21"/>
                <w:szCs w:val="21"/>
                <w:lang w:val="en-US" w:eastAsia="zh-CN"/>
              </w:rPr>
            </w:pPr>
            <w:r>
              <w:rPr>
                <w:rFonts w:hint="eastAsia"/>
                <w:kern w:val="0"/>
                <w:sz w:val="21"/>
                <w:szCs w:val="21"/>
                <w:lang w:val="en-US" w:eastAsia="zh-CN"/>
              </w:rPr>
              <w:t>532</w:t>
            </w:r>
          </w:p>
        </w:tc>
        <w:tc>
          <w:tcPr>
            <w:tcW w:w="1936"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eastAsia="仿宋_GB2312"/>
                <w:kern w:val="0"/>
                <w:sz w:val="21"/>
                <w:szCs w:val="21"/>
                <w:lang w:val="en-US" w:eastAsia="zh-CN"/>
              </w:rPr>
            </w:pPr>
            <w:r>
              <w:rPr>
                <w:rFonts w:hint="eastAsia"/>
                <w:kern w:val="0"/>
                <w:sz w:val="21"/>
                <w:szCs w:val="21"/>
                <w:lang w:val="en-US" w:eastAsia="zh-CN"/>
              </w:rPr>
              <w:t>691</w:t>
            </w:r>
          </w:p>
        </w:tc>
      </w:tr>
      <w:tr>
        <w:tblPrEx>
          <w:tblCellMar>
            <w:top w:w="0" w:type="dxa"/>
            <w:left w:w="108" w:type="dxa"/>
            <w:bottom w:w="0" w:type="dxa"/>
            <w:right w:w="108" w:type="dxa"/>
          </w:tblCellMar>
        </w:tblPrEx>
        <w:trPr>
          <w:trHeight w:val="397" w:hRule="atLeast"/>
          <w:jc w:val="center"/>
        </w:trPr>
        <w:tc>
          <w:tcPr>
            <w:tcW w:w="3214" w:type="dxa"/>
            <w:tcBorders>
              <w:top w:val="nil"/>
              <w:left w:val="single" w:color="auto" w:sz="4" w:space="0"/>
              <w:bottom w:val="single" w:color="auto" w:sz="4" w:space="0"/>
              <w:right w:val="single" w:color="auto" w:sz="4" w:space="0"/>
            </w:tcBorders>
            <w:noWrap w:val="0"/>
            <w:vAlign w:val="center"/>
          </w:tcPr>
          <w:p>
            <w:pPr>
              <w:widowControl/>
              <w:spacing w:line="0" w:lineRule="atLeast"/>
              <w:jc w:val="left"/>
              <w:rPr>
                <w:kern w:val="0"/>
                <w:sz w:val="21"/>
                <w:szCs w:val="21"/>
              </w:rPr>
            </w:pPr>
            <w:r>
              <w:rPr>
                <w:rFonts w:hint="eastAsia"/>
                <w:kern w:val="0"/>
                <w:sz w:val="21"/>
                <w:szCs w:val="21"/>
              </w:rPr>
              <w:t>4</w:t>
            </w:r>
            <w:r>
              <w:rPr>
                <w:kern w:val="0"/>
                <w:sz w:val="21"/>
                <w:szCs w:val="21"/>
              </w:rPr>
              <w:t>、</w:t>
            </w:r>
            <w:r>
              <w:rPr>
                <w:rFonts w:hint="eastAsia"/>
                <w:kern w:val="0"/>
                <w:sz w:val="21"/>
                <w:szCs w:val="21"/>
              </w:rPr>
              <w:t>药械化监管专项（省级追加）</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jc w:val="center"/>
              <w:rPr>
                <w:kern w:val="0"/>
                <w:sz w:val="21"/>
                <w:szCs w:val="21"/>
              </w:rPr>
            </w:pPr>
            <w:r>
              <w:rPr>
                <w:rFonts w:hint="eastAsia"/>
                <w:kern w:val="0"/>
                <w:sz w:val="21"/>
                <w:szCs w:val="21"/>
              </w:rPr>
              <w:t>206.07</w:t>
            </w:r>
          </w:p>
        </w:tc>
        <w:tc>
          <w:tcPr>
            <w:tcW w:w="2095" w:type="dxa"/>
            <w:gridSpan w:val="2"/>
            <w:tcBorders>
              <w:top w:val="single" w:color="auto" w:sz="4" w:space="0"/>
              <w:left w:val="nil"/>
              <w:bottom w:val="single" w:color="auto" w:sz="4" w:space="0"/>
              <w:right w:val="single" w:color="000000" w:sz="4" w:space="0"/>
            </w:tcBorders>
            <w:noWrap w:val="0"/>
            <w:vAlign w:val="center"/>
          </w:tcPr>
          <w:p>
            <w:pPr>
              <w:widowControl/>
              <w:jc w:val="center"/>
              <w:rPr>
                <w:kern w:val="0"/>
                <w:sz w:val="21"/>
                <w:szCs w:val="21"/>
              </w:rPr>
            </w:pPr>
            <w:r>
              <w:rPr>
                <w:rFonts w:hint="eastAsia"/>
                <w:kern w:val="0"/>
                <w:sz w:val="21"/>
                <w:szCs w:val="21"/>
              </w:rPr>
              <w:t>48</w:t>
            </w:r>
          </w:p>
        </w:tc>
        <w:tc>
          <w:tcPr>
            <w:tcW w:w="1936"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eastAsia="仿宋_GB2312"/>
                <w:kern w:val="0"/>
                <w:sz w:val="21"/>
                <w:szCs w:val="21"/>
                <w:lang w:val="en-US" w:eastAsia="zh-CN"/>
              </w:rPr>
            </w:pPr>
            <w:r>
              <w:rPr>
                <w:rFonts w:hint="eastAsia"/>
                <w:kern w:val="0"/>
                <w:sz w:val="21"/>
                <w:szCs w:val="21"/>
                <w:lang w:val="en-US" w:eastAsia="zh-CN"/>
              </w:rPr>
              <w:t>246.19</w:t>
            </w:r>
          </w:p>
        </w:tc>
      </w:tr>
      <w:tr>
        <w:tblPrEx>
          <w:tblCellMar>
            <w:top w:w="0" w:type="dxa"/>
            <w:left w:w="108" w:type="dxa"/>
            <w:bottom w:w="0" w:type="dxa"/>
            <w:right w:w="108" w:type="dxa"/>
          </w:tblCellMar>
        </w:tblPrEx>
        <w:trPr>
          <w:trHeight w:val="397" w:hRule="atLeast"/>
          <w:jc w:val="center"/>
        </w:trPr>
        <w:tc>
          <w:tcPr>
            <w:tcW w:w="3214" w:type="dxa"/>
            <w:tcBorders>
              <w:top w:val="nil"/>
              <w:left w:val="single" w:color="auto" w:sz="4" w:space="0"/>
              <w:bottom w:val="single" w:color="auto" w:sz="4" w:space="0"/>
              <w:right w:val="single" w:color="auto" w:sz="4" w:space="0"/>
            </w:tcBorders>
            <w:noWrap w:val="0"/>
            <w:vAlign w:val="center"/>
          </w:tcPr>
          <w:p>
            <w:pPr>
              <w:widowControl/>
              <w:spacing w:line="0" w:lineRule="atLeast"/>
              <w:jc w:val="left"/>
              <w:rPr>
                <w:kern w:val="0"/>
                <w:sz w:val="21"/>
                <w:szCs w:val="21"/>
              </w:rPr>
            </w:pPr>
            <w:r>
              <w:rPr>
                <w:rFonts w:hint="eastAsia"/>
                <w:kern w:val="0"/>
                <w:sz w:val="21"/>
                <w:szCs w:val="21"/>
              </w:rPr>
              <w:t>5</w:t>
            </w:r>
            <w:r>
              <w:rPr>
                <w:kern w:val="0"/>
                <w:sz w:val="21"/>
                <w:szCs w:val="21"/>
              </w:rPr>
              <w:t>、</w:t>
            </w:r>
            <w:r>
              <w:rPr>
                <w:rFonts w:hint="eastAsia"/>
                <w:kern w:val="0"/>
                <w:sz w:val="21"/>
                <w:szCs w:val="21"/>
              </w:rPr>
              <w:t>质量监督专项（省级追加）</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jc w:val="center"/>
              <w:rPr>
                <w:kern w:val="0"/>
                <w:sz w:val="21"/>
                <w:szCs w:val="21"/>
              </w:rPr>
            </w:pPr>
            <w:r>
              <w:rPr>
                <w:rFonts w:hint="eastAsia"/>
                <w:kern w:val="0"/>
                <w:sz w:val="21"/>
                <w:szCs w:val="21"/>
              </w:rPr>
              <w:t>196.83</w:t>
            </w:r>
          </w:p>
        </w:tc>
        <w:tc>
          <w:tcPr>
            <w:tcW w:w="2095"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eastAsia="仿宋_GB2312"/>
                <w:kern w:val="0"/>
                <w:sz w:val="21"/>
                <w:szCs w:val="21"/>
                <w:lang w:val="en-US" w:eastAsia="zh-CN"/>
              </w:rPr>
            </w:pPr>
            <w:r>
              <w:rPr>
                <w:rFonts w:hint="eastAsia"/>
                <w:kern w:val="0"/>
                <w:sz w:val="21"/>
                <w:szCs w:val="21"/>
                <w:lang w:val="en-US" w:eastAsia="zh-CN"/>
              </w:rPr>
              <w:t>48</w:t>
            </w:r>
          </w:p>
        </w:tc>
        <w:tc>
          <w:tcPr>
            <w:tcW w:w="1936"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eastAsia="仿宋_GB2312"/>
                <w:kern w:val="0"/>
                <w:sz w:val="21"/>
                <w:szCs w:val="21"/>
                <w:lang w:val="en-US" w:eastAsia="zh-CN"/>
              </w:rPr>
            </w:pPr>
            <w:r>
              <w:rPr>
                <w:rFonts w:hint="eastAsia"/>
                <w:kern w:val="0"/>
                <w:sz w:val="21"/>
                <w:szCs w:val="21"/>
                <w:lang w:val="en-US" w:eastAsia="zh-CN"/>
              </w:rPr>
              <w:t>168</w:t>
            </w:r>
          </w:p>
        </w:tc>
      </w:tr>
      <w:tr>
        <w:tblPrEx>
          <w:tblCellMar>
            <w:top w:w="0" w:type="dxa"/>
            <w:left w:w="108" w:type="dxa"/>
            <w:bottom w:w="0" w:type="dxa"/>
            <w:right w:w="108" w:type="dxa"/>
          </w:tblCellMar>
        </w:tblPrEx>
        <w:trPr>
          <w:trHeight w:val="397" w:hRule="atLeast"/>
          <w:jc w:val="center"/>
        </w:trPr>
        <w:tc>
          <w:tcPr>
            <w:tcW w:w="3214" w:type="dxa"/>
            <w:tcBorders>
              <w:top w:val="nil"/>
              <w:left w:val="single" w:color="auto" w:sz="4" w:space="0"/>
              <w:bottom w:val="single" w:color="auto" w:sz="4" w:space="0"/>
              <w:right w:val="single" w:color="auto" w:sz="4" w:space="0"/>
            </w:tcBorders>
            <w:noWrap w:val="0"/>
            <w:vAlign w:val="center"/>
          </w:tcPr>
          <w:p>
            <w:pPr>
              <w:widowControl/>
              <w:spacing w:line="0" w:lineRule="atLeast"/>
              <w:jc w:val="left"/>
              <w:rPr>
                <w:rFonts w:hint="eastAsia"/>
                <w:kern w:val="0"/>
                <w:sz w:val="21"/>
                <w:szCs w:val="21"/>
              </w:rPr>
            </w:pPr>
            <w:r>
              <w:rPr>
                <w:rFonts w:hint="eastAsia"/>
                <w:kern w:val="0"/>
                <w:sz w:val="21"/>
                <w:szCs w:val="21"/>
              </w:rPr>
              <w:t>6、</w:t>
            </w:r>
            <w:r>
              <w:rPr>
                <w:kern w:val="0"/>
                <w:sz w:val="21"/>
                <w:szCs w:val="21"/>
              </w:rPr>
              <w:t>食品安全监管（</w:t>
            </w:r>
            <w:r>
              <w:rPr>
                <w:rFonts w:hint="eastAsia"/>
                <w:kern w:val="0"/>
                <w:sz w:val="21"/>
                <w:szCs w:val="21"/>
                <w:lang w:eastAsia="zh-CN"/>
              </w:rPr>
              <w:t>省级追加、</w:t>
            </w:r>
            <w:r>
              <w:rPr>
                <w:kern w:val="0"/>
                <w:sz w:val="21"/>
                <w:szCs w:val="21"/>
              </w:rPr>
              <w:t>市级重点项目）</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eastAsia"/>
                <w:kern w:val="0"/>
                <w:sz w:val="21"/>
                <w:szCs w:val="21"/>
              </w:rPr>
            </w:pPr>
            <w:r>
              <w:rPr>
                <w:rFonts w:hint="eastAsia"/>
                <w:kern w:val="0"/>
                <w:sz w:val="21"/>
                <w:szCs w:val="21"/>
              </w:rPr>
              <w:t>386.49</w:t>
            </w:r>
          </w:p>
        </w:tc>
        <w:tc>
          <w:tcPr>
            <w:tcW w:w="2095" w:type="dxa"/>
            <w:gridSpan w:val="2"/>
            <w:tcBorders>
              <w:top w:val="single" w:color="auto" w:sz="4" w:space="0"/>
              <w:left w:val="nil"/>
              <w:bottom w:val="single" w:color="auto" w:sz="4" w:space="0"/>
              <w:right w:val="single" w:color="000000" w:sz="4" w:space="0"/>
            </w:tcBorders>
            <w:noWrap w:val="0"/>
            <w:vAlign w:val="center"/>
          </w:tcPr>
          <w:p>
            <w:pPr>
              <w:widowControl/>
              <w:jc w:val="center"/>
              <w:rPr>
                <w:kern w:val="0"/>
                <w:sz w:val="21"/>
                <w:szCs w:val="21"/>
              </w:rPr>
            </w:pPr>
            <w:r>
              <w:rPr>
                <w:rFonts w:hint="eastAsia"/>
                <w:kern w:val="0"/>
                <w:sz w:val="21"/>
                <w:szCs w:val="21"/>
              </w:rPr>
              <w:t>48</w:t>
            </w:r>
          </w:p>
        </w:tc>
        <w:tc>
          <w:tcPr>
            <w:tcW w:w="1936"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eastAsia="仿宋_GB2312"/>
                <w:kern w:val="0"/>
                <w:sz w:val="21"/>
                <w:szCs w:val="21"/>
                <w:lang w:val="en-US" w:eastAsia="zh-CN"/>
              </w:rPr>
            </w:pPr>
            <w:r>
              <w:rPr>
                <w:rFonts w:hint="eastAsia"/>
                <w:kern w:val="0"/>
                <w:sz w:val="21"/>
                <w:szCs w:val="21"/>
                <w:lang w:val="en-US" w:eastAsia="zh-CN"/>
              </w:rPr>
              <w:t>341.53</w:t>
            </w:r>
          </w:p>
        </w:tc>
      </w:tr>
      <w:tr>
        <w:tblPrEx>
          <w:tblCellMar>
            <w:top w:w="0" w:type="dxa"/>
            <w:left w:w="108" w:type="dxa"/>
            <w:bottom w:w="0" w:type="dxa"/>
            <w:right w:w="108" w:type="dxa"/>
          </w:tblCellMar>
        </w:tblPrEx>
        <w:trPr>
          <w:trHeight w:val="397" w:hRule="atLeast"/>
          <w:jc w:val="center"/>
        </w:trPr>
        <w:tc>
          <w:tcPr>
            <w:tcW w:w="3214" w:type="dxa"/>
            <w:tcBorders>
              <w:top w:val="nil"/>
              <w:left w:val="single" w:color="auto" w:sz="4" w:space="0"/>
              <w:bottom w:val="single" w:color="auto" w:sz="4" w:space="0"/>
              <w:right w:val="single" w:color="auto" w:sz="4" w:space="0"/>
            </w:tcBorders>
            <w:noWrap w:val="0"/>
            <w:vAlign w:val="center"/>
          </w:tcPr>
          <w:p>
            <w:pPr>
              <w:widowControl/>
              <w:spacing w:line="0" w:lineRule="atLeast"/>
              <w:jc w:val="left"/>
              <w:rPr>
                <w:rFonts w:hint="eastAsia"/>
                <w:kern w:val="0"/>
                <w:sz w:val="21"/>
                <w:szCs w:val="21"/>
              </w:rPr>
            </w:pPr>
            <w:r>
              <w:rPr>
                <w:rFonts w:hint="eastAsia"/>
                <w:kern w:val="0"/>
                <w:sz w:val="21"/>
                <w:szCs w:val="21"/>
              </w:rPr>
              <w:t>7、</w:t>
            </w:r>
            <w:r>
              <w:rPr>
                <w:kern w:val="0"/>
                <w:sz w:val="21"/>
                <w:szCs w:val="21"/>
              </w:rPr>
              <w:t>知识产权战略（省级追加、市级</w:t>
            </w:r>
            <w:r>
              <w:rPr>
                <w:rFonts w:hint="eastAsia"/>
                <w:kern w:val="0"/>
                <w:sz w:val="21"/>
                <w:szCs w:val="21"/>
                <w:lang w:eastAsia="zh-CN"/>
              </w:rPr>
              <w:t>追加</w:t>
            </w:r>
            <w:r>
              <w:rPr>
                <w:kern w:val="0"/>
                <w:sz w:val="21"/>
                <w:szCs w:val="21"/>
              </w:rPr>
              <w:t>）</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eastAsia"/>
                <w:kern w:val="0"/>
                <w:sz w:val="21"/>
                <w:szCs w:val="21"/>
              </w:rPr>
            </w:pPr>
            <w:r>
              <w:rPr>
                <w:rFonts w:hint="eastAsia"/>
                <w:kern w:val="0"/>
                <w:sz w:val="21"/>
                <w:szCs w:val="21"/>
              </w:rPr>
              <w:t>293.6</w:t>
            </w:r>
          </w:p>
        </w:tc>
        <w:tc>
          <w:tcPr>
            <w:tcW w:w="2095" w:type="dxa"/>
            <w:gridSpan w:val="2"/>
            <w:tcBorders>
              <w:top w:val="single" w:color="auto" w:sz="4" w:space="0"/>
              <w:left w:val="nil"/>
              <w:bottom w:val="single" w:color="auto" w:sz="4" w:space="0"/>
              <w:right w:val="single" w:color="000000" w:sz="4" w:space="0"/>
            </w:tcBorders>
            <w:noWrap w:val="0"/>
            <w:vAlign w:val="center"/>
          </w:tcPr>
          <w:p>
            <w:pPr>
              <w:widowControl/>
              <w:jc w:val="center"/>
              <w:rPr>
                <w:kern w:val="0"/>
                <w:sz w:val="21"/>
                <w:szCs w:val="21"/>
              </w:rPr>
            </w:pPr>
            <w:r>
              <w:rPr>
                <w:rFonts w:hint="eastAsia"/>
                <w:kern w:val="0"/>
                <w:sz w:val="21"/>
                <w:szCs w:val="21"/>
              </w:rPr>
              <w:t>25</w:t>
            </w:r>
          </w:p>
        </w:tc>
        <w:tc>
          <w:tcPr>
            <w:tcW w:w="1936"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eastAsia="仿宋_GB2312"/>
                <w:kern w:val="0"/>
                <w:sz w:val="21"/>
                <w:szCs w:val="21"/>
                <w:lang w:val="en-US" w:eastAsia="zh-CN"/>
              </w:rPr>
            </w:pPr>
            <w:r>
              <w:rPr>
                <w:rFonts w:hint="eastAsia"/>
                <w:kern w:val="0"/>
                <w:sz w:val="21"/>
                <w:szCs w:val="21"/>
                <w:lang w:val="en-US" w:eastAsia="zh-CN"/>
              </w:rPr>
              <w:t>110.23</w:t>
            </w:r>
          </w:p>
        </w:tc>
      </w:tr>
      <w:tr>
        <w:tblPrEx>
          <w:tblCellMar>
            <w:top w:w="0" w:type="dxa"/>
            <w:left w:w="108" w:type="dxa"/>
            <w:bottom w:w="0" w:type="dxa"/>
            <w:right w:w="108" w:type="dxa"/>
          </w:tblCellMar>
        </w:tblPrEx>
        <w:trPr>
          <w:trHeight w:val="489" w:hRule="atLeast"/>
          <w:jc w:val="center"/>
        </w:trPr>
        <w:tc>
          <w:tcPr>
            <w:tcW w:w="3214" w:type="dxa"/>
            <w:tcBorders>
              <w:top w:val="nil"/>
              <w:left w:val="single" w:color="auto" w:sz="4" w:space="0"/>
              <w:bottom w:val="single" w:color="auto" w:sz="4" w:space="0"/>
              <w:right w:val="single" w:color="auto" w:sz="4" w:space="0"/>
            </w:tcBorders>
            <w:noWrap w:val="0"/>
            <w:vAlign w:val="center"/>
          </w:tcPr>
          <w:p>
            <w:pPr>
              <w:widowControl/>
              <w:spacing w:line="0" w:lineRule="atLeast"/>
              <w:jc w:val="left"/>
              <w:rPr>
                <w:rFonts w:hint="eastAsia" w:eastAsia="仿宋_GB2312"/>
                <w:kern w:val="0"/>
                <w:sz w:val="21"/>
                <w:szCs w:val="21"/>
                <w:lang w:eastAsia="zh-CN"/>
              </w:rPr>
            </w:pPr>
            <w:r>
              <w:rPr>
                <w:rFonts w:hint="eastAsia"/>
                <w:kern w:val="0"/>
                <w:sz w:val="21"/>
                <w:szCs w:val="21"/>
              </w:rPr>
              <w:t>8、其他项目</w:t>
            </w:r>
            <w:r>
              <w:rPr>
                <w:rFonts w:hint="eastAsia"/>
                <w:kern w:val="0"/>
                <w:sz w:val="21"/>
                <w:szCs w:val="21"/>
                <w:lang w:eastAsia="zh-CN"/>
              </w:rPr>
              <w:t>（省级和市级追加）</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0" w:lineRule="atLeast"/>
              <w:jc w:val="center"/>
              <w:rPr>
                <w:kern w:val="0"/>
                <w:sz w:val="21"/>
                <w:szCs w:val="21"/>
              </w:rPr>
            </w:pPr>
            <w:r>
              <w:rPr>
                <w:rFonts w:hint="eastAsia"/>
                <w:kern w:val="0"/>
                <w:sz w:val="21"/>
                <w:szCs w:val="21"/>
              </w:rPr>
              <w:t>261.4</w:t>
            </w:r>
            <w:r>
              <w:rPr>
                <w:kern w:val="0"/>
                <w:sz w:val="21"/>
                <w:szCs w:val="21"/>
              </w:rPr>
              <w:t>　</w:t>
            </w:r>
          </w:p>
        </w:tc>
        <w:tc>
          <w:tcPr>
            <w:tcW w:w="2095" w:type="dxa"/>
            <w:gridSpan w:val="2"/>
            <w:tcBorders>
              <w:top w:val="single" w:color="auto" w:sz="4" w:space="0"/>
              <w:left w:val="nil"/>
              <w:bottom w:val="single" w:color="auto" w:sz="4" w:space="0"/>
              <w:right w:val="single" w:color="000000" w:sz="4" w:space="0"/>
            </w:tcBorders>
            <w:noWrap w:val="0"/>
            <w:vAlign w:val="center"/>
          </w:tcPr>
          <w:p>
            <w:pPr>
              <w:widowControl/>
              <w:spacing w:line="0" w:lineRule="atLeast"/>
              <w:jc w:val="center"/>
              <w:rPr>
                <w:rFonts w:hint="default" w:eastAsia="仿宋_GB2312"/>
                <w:kern w:val="0"/>
                <w:sz w:val="21"/>
                <w:szCs w:val="21"/>
                <w:lang w:val="en-US" w:eastAsia="zh-CN"/>
              </w:rPr>
            </w:pPr>
            <w:r>
              <w:rPr>
                <w:rFonts w:hint="eastAsia"/>
                <w:kern w:val="0"/>
                <w:sz w:val="21"/>
                <w:szCs w:val="21"/>
                <w:lang w:val="en-US" w:eastAsia="zh-CN"/>
              </w:rPr>
              <w:t>274.58</w:t>
            </w:r>
          </w:p>
        </w:tc>
        <w:tc>
          <w:tcPr>
            <w:tcW w:w="1936" w:type="dxa"/>
            <w:gridSpan w:val="2"/>
            <w:tcBorders>
              <w:top w:val="single" w:color="auto" w:sz="4" w:space="0"/>
              <w:left w:val="nil"/>
              <w:bottom w:val="single" w:color="auto" w:sz="4" w:space="0"/>
              <w:right w:val="single" w:color="000000" w:sz="4" w:space="0"/>
            </w:tcBorders>
            <w:noWrap w:val="0"/>
            <w:vAlign w:val="center"/>
          </w:tcPr>
          <w:p>
            <w:pPr>
              <w:widowControl/>
              <w:spacing w:line="0" w:lineRule="atLeast"/>
              <w:jc w:val="center"/>
              <w:rPr>
                <w:rFonts w:hint="default" w:eastAsia="仿宋_GB2312"/>
                <w:kern w:val="0"/>
                <w:sz w:val="21"/>
                <w:szCs w:val="21"/>
                <w:lang w:val="en-US" w:eastAsia="zh-CN"/>
              </w:rPr>
            </w:pPr>
            <w:r>
              <w:rPr>
                <w:rFonts w:hint="eastAsia"/>
                <w:kern w:val="0"/>
                <w:sz w:val="21"/>
                <w:szCs w:val="21"/>
                <w:lang w:val="en-US" w:eastAsia="zh-CN"/>
              </w:rPr>
              <w:t>589.19</w:t>
            </w:r>
          </w:p>
        </w:tc>
      </w:tr>
      <w:tr>
        <w:tblPrEx>
          <w:tblCellMar>
            <w:top w:w="0" w:type="dxa"/>
            <w:left w:w="108" w:type="dxa"/>
            <w:bottom w:w="0" w:type="dxa"/>
            <w:right w:w="108" w:type="dxa"/>
          </w:tblCellMar>
        </w:tblPrEx>
        <w:trPr>
          <w:trHeight w:val="397" w:hRule="atLeast"/>
          <w:jc w:val="center"/>
        </w:trPr>
        <w:tc>
          <w:tcPr>
            <w:tcW w:w="3214" w:type="dxa"/>
            <w:tcBorders>
              <w:top w:val="nil"/>
              <w:left w:val="single" w:color="auto" w:sz="4" w:space="0"/>
              <w:bottom w:val="single" w:color="auto" w:sz="4" w:space="0"/>
              <w:right w:val="single" w:color="auto" w:sz="4" w:space="0"/>
            </w:tcBorders>
            <w:noWrap w:val="0"/>
            <w:vAlign w:val="center"/>
          </w:tcPr>
          <w:p>
            <w:pPr>
              <w:widowControl/>
              <w:spacing w:line="0" w:lineRule="atLeast"/>
              <w:rPr>
                <w:b/>
                <w:kern w:val="0"/>
                <w:sz w:val="21"/>
                <w:szCs w:val="21"/>
              </w:rPr>
            </w:pPr>
            <w:r>
              <w:rPr>
                <w:b/>
                <w:kern w:val="0"/>
                <w:sz w:val="21"/>
                <w:szCs w:val="21"/>
              </w:rPr>
              <w:t>三公经费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jc w:val="center"/>
              <w:rPr>
                <w:kern w:val="0"/>
                <w:sz w:val="21"/>
                <w:szCs w:val="21"/>
              </w:rPr>
            </w:pPr>
            <w:r>
              <w:rPr>
                <w:rFonts w:hint="eastAsia"/>
                <w:kern w:val="0"/>
                <w:sz w:val="21"/>
                <w:szCs w:val="21"/>
              </w:rPr>
              <w:t>118.89</w:t>
            </w:r>
          </w:p>
        </w:tc>
        <w:tc>
          <w:tcPr>
            <w:tcW w:w="2095"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eastAsia="仿宋_GB2312"/>
                <w:kern w:val="0"/>
                <w:sz w:val="21"/>
                <w:szCs w:val="21"/>
                <w:lang w:val="en-US" w:eastAsia="zh-CN"/>
              </w:rPr>
            </w:pPr>
            <w:r>
              <w:rPr>
                <w:rFonts w:hint="eastAsia"/>
                <w:kern w:val="0"/>
                <w:sz w:val="21"/>
                <w:szCs w:val="21"/>
                <w:lang w:val="en-US" w:eastAsia="zh-CN"/>
              </w:rPr>
              <w:t>214.41</w:t>
            </w:r>
          </w:p>
        </w:tc>
        <w:tc>
          <w:tcPr>
            <w:tcW w:w="1936"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eastAsia="仿宋_GB2312"/>
                <w:kern w:val="0"/>
                <w:sz w:val="21"/>
                <w:szCs w:val="21"/>
                <w:lang w:val="en-US" w:eastAsia="zh-CN"/>
              </w:rPr>
            </w:pPr>
            <w:r>
              <w:rPr>
                <w:rFonts w:hint="eastAsia"/>
                <w:kern w:val="0"/>
                <w:sz w:val="21"/>
                <w:szCs w:val="21"/>
                <w:lang w:val="en-US" w:eastAsia="zh-CN"/>
              </w:rPr>
              <w:t>127.69</w:t>
            </w:r>
          </w:p>
        </w:tc>
      </w:tr>
      <w:tr>
        <w:tblPrEx>
          <w:tblCellMar>
            <w:top w:w="0" w:type="dxa"/>
            <w:left w:w="108" w:type="dxa"/>
            <w:bottom w:w="0" w:type="dxa"/>
            <w:right w:w="108" w:type="dxa"/>
          </w:tblCellMar>
        </w:tblPrEx>
        <w:trPr>
          <w:trHeight w:val="397" w:hRule="atLeast"/>
          <w:jc w:val="center"/>
        </w:trPr>
        <w:tc>
          <w:tcPr>
            <w:tcW w:w="3214" w:type="dxa"/>
            <w:tcBorders>
              <w:top w:val="nil"/>
              <w:left w:val="single" w:color="auto" w:sz="4" w:space="0"/>
              <w:bottom w:val="single" w:color="auto" w:sz="4" w:space="0"/>
              <w:right w:val="single" w:color="auto" w:sz="4" w:space="0"/>
            </w:tcBorders>
            <w:noWrap w:val="0"/>
            <w:vAlign w:val="center"/>
          </w:tcPr>
          <w:p>
            <w:pPr>
              <w:widowControl/>
              <w:spacing w:line="0" w:lineRule="atLeast"/>
              <w:rPr>
                <w:kern w:val="0"/>
                <w:sz w:val="21"/>
                <w:szCs w:val="21"/>
              </w:rPr>
            </w:pPr>
            <w:r>
              <w:rPr>
                <w:kern w:val="0"/>
                <w:sz w:val="21"/>
                <w:szCs w:val="21"/>
              </w:rPr>
              <w:t xml:space="preserve">   1、公务用车购置和维护经费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jc w:val="center"/>
              <w:rPr>
                <w:kern w:val="0"/>
                <w:sz w:val="21"/>
                <w:szCs w:val="21"/>
              </w:rPr>
            </w:pPr>
            <w:r>
              <w:rPr>
                <w:rFonts w:hint="eastAsia"/>
                <w:kern w:val="0"/>
                <w:sz w:val="21"/>
                <w:szCs w:val="21"/>
              </w:rPr>
              <w:t>87</w:t>
            </w:r>
          </w:p>
        </w:tc>
        <w:tc>
          <w:tcPr>
            <w:tcW w:w="2095"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eastAsia="仿宋_GB2312"/>
                <w:kern w:val="0"/>
                <w:sz w:val="21"/>
                <w:szCs w:val="21"/>
                <w:lang w:val="en-US" w:eastAsia="zh-CN"/>
              </w:rPr>
            </w:pPr>
            <w:r>
              <w:rPr>
                <w:rFonts w:hint="eastAsia"/>
                <w:kern w:val="0"/>
                <w:sz w:val="21"/>
                <w:szCs w:val="21"/>
                <w:lang w:val="en-US" w:eastAsia="zh-CN"/>
              </w:rPr>
              <w:t>153</w:t>
            </w:r>
          </w:p>
        </w:tc>
        <w:tc>
          <w:tcPr>
            <w:tcW w:w="1936"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eastAsia="仿宋_GB2312"/>
                <w:kern w:val="0"/>
                <w:sz w:val="21"/>
                <w:szCs w:val="21"/>
                <w:lang w:val="en-US" w:eastAsia="zh-CN"/>
              </w:rPr>
            </w:pPr>
            <w:r>
              <w:rPr>
                <w:rFonts w:hint="eastAsia"/>
                <w:kern w:val="0"/>
                <w:sz w:val="21"/>
                <w:szCs w:val="21"/>
                <w:lang w:val="en-US" w:eastAsia="zh-CN"/>
              </w:rPr>
              <w:t>111.36</w:t>
            </w:r>
          </w:p>
        </w:tc>
      </w:tr>
      <w:tr>
        <w:tblPrEx>
          <w:tblCellMar>
            <w:top w:w="0" w:type="dxa"/>
            <w:left w:w="108" w:type="dxa"/>
            <w:bottom w:w="0" w:type="dxa"/>
            <w:right w:w="108" w:type="dxa"/>
          </w:tblCellMar>
        </w:tblPrEx>
        <w:trPr>
          <w:trHeight w:val="397" w:hRule="atLeast"/>
          <w:jc w:val="center"/>
        </w:trPr>
        <w:tc>
          <w:tcPr>
            <w:tcW w:w="3214" w:type="dxa"/>
            <w:tcBorders>
              <w:top w:val="nil"/>
              <w:left w:val="single" w:color="auto" w:sz="4" w:space="0"/>
              <w:bottom w:val="single" w:color="auto" w:sz="4" w:space="0"/>
              <w:right w:val="single" w:color="auto" w:sz="4" w:space="0"/>
            </w:tcBorders>
            <w:noWrap w:val="0"/>
            <w:vAlign w:val="center"/>
          </w:tcPr>
          <w:p>
            <w:pPr>
              <w:widowControl/>
              <w:spacing w:line="0" w:lineRule="atLeast"/>
              <w:rPr>
                <w:kern w:val="0"/>
                <w:sz w:val="21"/>
                <w:szCs w:val="21"/>
              </w:rPr>
            </w:pPr>
            <w:r>
              <w:rPr>
                <w:kern w:val="0"/>
                <w:sz w:val="21"/>
                <w:szCs w:val="21"/>
              </w:rPr>
              <w:t xml:space="preserve">       其中：公车购置</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jc w:val="center"/>
              <w:rPr>
                <w:kern w:val="0"/>
                <w:sz w:val="21"/>
                <w:szCs w:val="21"/>
              </w:rPr>
            </w:pPr>
            <w:r>
              <w:rPr>
                <w:rFonts w:hint="eastAsia"/>
                <w:kern w:val="0"/>
                <w:sz w:val="21"/>
                <w:szCs w:val="21"/>
              </w:rPr>
              <w:t>32.69</w:t>
            </w:r>
            <w:r>
              <w:rPr>
                <w:kern w:val="0"/>
                <w:sz w:val="21"/>
                <w:szCs w:val="21"/>
              </w:rPr>
              <w:t>　</w:t>
            </w:r>
          </w:p>
        </w:tc>
        <w:tc>
          <w:tcPr>
            <w:tcW w:w="2095"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eastAsia="仿宋_GB2312"/>
                <w:kern w:val="0"/>
                <w:sz w:val="21"/>
                <w:szCs w:val="21"/>
                <w:lang w:val="en-US" w:eastAsia="zh-CN"/>
              </w:rPr>
            </w:pPr>
            <w:r>
              <w:rPr>
                <w:rFonts w:hint="eastAsia"/>
                <w:kern w:val="0"/>
                <w:sz w:val="21"/>
                <w:szCs w:val="21"/>
                <w:lang w:val="en-US" w:eastAsia="zh-CN"/>
              </w:rPr>
              <w:t>67.95</w:t>
            </w:r>
          </w:p>
        </w:tc>
        <w:tc>
          <w:tcPr>
            <w:tcW w:w="1936" w:type="dxa"/>
            <w:gridSpan w:val="2"/>
            <w:tcBorders>
              <w:top w:val="single" w:color="auto" w:sz="4" w:space="0"/>
              <w:left w:val="nil"/>
              <w:bottom w:val="single" w:color="auto" w:sz="4" w:space="0"/>
              <w:right w:val="single" w:color="000000" w:sz="4" w:space="0"/>
            </w:tcBorders>
            <w:noWrap w:val="0"/>
            <w:vAlign w:val="center"/>
          </w:tcPr>
          <w:p>
            <w:pPr>
              <w:widowControl/>
              <w:jc w:val="center"/>
              <w:rPr>
                <w:kern w:val="0"/>
                <w:sz w:val="21"/>
                <w:szCs w:val="21"/>
              </w:rPr>
            </w:pPr>
            <w:r>
              <w:rPr>
                <w:rFonts w:hint="eastAsia"/>
                <w:kern w:val="0"/>
                <w:sz w:val="21"/>
                <w:szCs w:val="21"/>
                <w:lang w:val="en-US" w:eastAsia="zh-CN"/>
              </w:rPr>
              <w:t>67.95</w:t>
            </w:r>
            <w:r>
              <w:rPr>
                <w:kern w:val="0"/>
                <w:sz w:val="21"/>
                <w:szCs w:val="21"/>
              </w:rPr>
              <w:t>　</w:t>
            </w:r>
          </w:p>
        </w:tc>
      </w:tr>
      <w:tr>
        <w:tblPrEx>
          <w:tblCellMar>
            <w:top w:w="0" w:type="dxa"/>
            <w:left w:w="108" w:type="dxa"/>
            <w:bottom w:w="0" w:type="dxa"/>
            <w:right w:w="108" w:type="dxa"/>
          </w:tblCellMar>
        </w:tblPrEx>
        <w:trPr>
          <w:trHeight w:val="397" w:hRule="atLeast"/>
          <w:jc w:val="center"/>
        </w:trPr>
        <w:tc>
          <w:tcPr>
            <w:tcW w:w="3214" w:type="dxa"/>
            <w:tcBorders>
              <w:top w:val="nil"/>
              <w:left w:val="single" w:color="auto" w:sz="4" w:space="0"/>
              <w:bottom w:val="single" w:color="auto" w:sz="4" w:space="0"/>
              <w:right w:val="single" w:color="auto" w:sz="4" w:space="0"/>
            </w:tcBorders>
            <w:noWrap w:val="0"/>
            <w:vAlign w:val="center"/>
          </w:tcPr>
          <w:p>
            <w:pPr>
              <w:widowControl/>
              <w:spacing w:line="0" w:lineRule="atLeast"/>
              <w:rPr>
                <w:kern w:val="0"/>
                <w:sz w:val="21"/>
                <w:szCs w:val="21"/>
              </w:rPr>
            </w:pPr>
            <w:r>
              <w:rPr>
                <w:kern w:val="0"/>
                <w:sz w:val="21"/>
                <w:szCs w:val="21"/>
              </w:rPr>
              <w:t xml:space="preserve">             公车运行维护</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jc w:val="center"/>
              <w:rPr>
                <w:kern w:val="0"/>
                <w:sz w:val="21"/>
                <w:szCs w:val="21"/>
              </w:rPr>
            </w:pPr>
            <w:r>
              <w:rPr>
                <w:rFonts w:hint="eastAsia"/>
                <w:kern w:val="0"/>
                <w:sz w:val="21"/>
                <w:szCs w:val="21"/>
              </w:rPr>
              <w:t>54.31</w:t>
            </w:r>
          </w:p>
        </w:tc>
        <w:tc>
          <w:tcPr>
            <w:tcW w:w="2095"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eastAsia="仿宋_GB2312"/>
                <w:kern w:val="0"/>
                <w:sz w:val="21"/>
                <w:szCs w:val="21"/>
                <w:lang w:val="en-US" w:eastAsia="zh-CN"/>
              </w:rPr>
            </w:pPr>
            <w:r>
              <w:rPr>
                <w:rFonts w:hint="eastAsia"/>
                <w:kern w:val="0"/>
                <w:sz w:val="21"/>
                <w:szCs w:val="21"/>
                <w:lang w:val="en-US" w:eastAsia="zh-CN"/>
              </w:rPr>
              <w:t>85.05</w:t>
            </w:r>
          </w:p>
        </w:tc>
        <w:tc>
          <w:tcPr>
            <w:tcW w:w="1936"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eastAsia="仿宋_GB2312"/>
                <w:kern w:val="0"/>
                <w:sz w:val="21"/>
                <w:szCs w:val="21"/>
                <w:lang w:val="en-US" w:eastAsia="zh-CN"/>
              </w:rPr>
            </w:pPr>
            <w:r>
              <w:rPr>
                <w:rFonts w:hint="eastAsia"/>
                <w:kern w:val="0"/>
                <w:sz w:val="21"/>
                <w:szCs w:val="21"/>
                <w:lang w:val="en-US" w:eastAsia="zh-CN"/>
              </w:rPr>
              <w:t>43.41</w:t>
            </w:r>
          </w:p>
        </w:tc>
      </w:tr>
      <w:tr>
        <w:tblPrEx>
          <w:tblCellMar>
            <w:top w:w="0" w:type="dxa"/>
            <w:left w:w="108" w:type="dxa"/>
            <w:bottom w:w="0" w:type="dxa"/>
            <w:right w:w="108" w:type="dxa"/>
          </w:tblCellMar>
        </w:tblPrEx>
        <w:trPr>
          <w:trHeight w:val="397" w:hRule="atLeast"/>
          <w:jc w:val="center"/>
        </w:trPr>
        <w:tc>
          <w:tcPr>
            <w:tcW w:w="3214" w:type="dxa"/>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rPr>
                <w:kern w:val="0"/>
                <w:sz w:val="21"/>
                <w:szCs w:val="21"/>
              </w:rPr>
            </w:pPr>
            <w:r>
              <w:rPr>
                <w:kern w:val="0"/>
                <w:sz w:val="21"/>
                <w:szCs w:val="21"/>
              </w:rPr>
              <w:t xml:space="preserve">   2、出国经费</w:t>
            </w:r>
          </w:p>
        </w:tc>
        <w:tc>
          <w:tcPr>
            <w:tcW w:w="2038"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kern w:val="0"/>
                <w:sz w:val="21"/>
                <w:szCs w:val="21"/>
              </w:rPr>
            </w:pPr>
            <w:r>
              <w:rPr>
                <w:kern w:val="0"/>
                <w:sz w:val="21"/>
                <w:szCs w:val="21"/>
              </w:rPr>
              <w:t>/　</w:t>
            </w:r>
          </w:p>
        </w:tc>
        <w:tc>
          <w:tcPr>
            <w:tcW w:w="2095" w:type="dxa"/>
            <w:gridSpan w:val="2"/>
            <w:tcBorders>
              <w:top w:val="single" w:color="auto" w:sz="4" w:space="0"/>
              <w:left w:val="single" w:color="auto" w:sz="4" w:space="0"/>
              <w:bottom w:val="single" w:color="auto" w:sz="4" w:space="0"/>
              <w:right w:val="single" w:color="000000" w:sz="4" w:space="0"/>
            </w:tcBorders>
            <w:noWrap w:val="0"/>
            <w:vAlign w:val="center"/>
          </w:tcPr>
          <w:p>
            <w:pPr>
              <w:widowControl/>
              <w:jc w:val="center"/>
              <w:rPr>
                <w:kern w:val="0"/>
                <w:sz w:val="21"/>
                <w:szCs w:val="21"/>
              </w:rPr>
            </w:pPr>
            <w:r>
              <w:rPr>
                <w:rFonts w:hint="eastAsia"/>
                <w:kern w:val="0"/>
                <w:sz w:val="21"/>
                <w:szCs w:val="21"/>
              </w:rPr>
              <w:t>/</w:t>
            </w:r>
            <w:r>
              <w:rPr>
                <w:kern w:val="0"/>
                <w:sz w:val="21"/>
                <w:szCs w:val="21"/>
              </w:rPr>
              <w:t>　</w:t>
            </w:r>
          </w:p>
        </w:tc>
        <w:tc>
          <w:tcPr>
            <w:tcW w:w="1936" w:type="dxa"/>
            <w:gridSpan w:val="2"/>
            <w:tcBorders>
              <w:top w:val="single" w:color="auto" w:sz="4" w:space="0"/>
              <w:left w:val="nil"/>
              <w:bottom w:val="single" w:color="auto" w:sz="4" w:space="0"/>
              <w:right w:val="single" w:color="000000" w:sz="4" w:space="0"/>
            </w:tcBorders>
            <w:noWrap w:val="0"/>
            <w:vAlign w:val="center"/>
          </w:tcPr>
          <w:p>
            <w:pPr>
              <w:widowControl/>
              <w:jc w:val="center"/>
              <w:rPr>
                <w:kern w:val="0"/>
                <w:sz w:val="21"/>
                <w:szCs w:val="21"/>
              </w:rPr>
            </w:pPr>
            <w:r>
              <w:rPr>
                <w:rFonts w:hint="eastAsia"/>
                <w:kern w:val="0"/>
                <w:sz w:val="21"/>
                <w:szCs w:val="21"/>
              </w:rPr>
              <w:t>/</w:t>
            </w:r>
            <w:r>
              <w:rPr>
                <w:kern w:val="0"/>
                <w:sz w:val="21"/>
                <w:szCs w:val="21"/>
              </w:rPr>
              <w:t>　</w:t>
            </w:r>
          </w:p>
        </w:tc>
      </w:tr>
      <w:tr>
        <w:tblPrEx>
          <w:tblCellMar>
            <w:top w:w="0" w:type="dxa"/>
            <w:left w:w="108" w:type="dxa"/>
            <w:bottom w:w="0" w:type="dxa"/>
            <w:right w:w="108" w:type="dxa"/>
          </w:tblCellMar>
        </w:tblPrEx>
        <w:trPr>
          <w:trHeight w:val="397" w:hRule="atLeast"/>
          <w:jc w:val="center"/>
        </w:trPr>
        <w:tc>
          <w:tcPr>
            <w:tcW w:w="3214" w:type="dxa"/>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rPr>
                <w:kern w:val="0"/>
                <w:sz w:val="21"/>
                <w:szCs w:val="21"/>
              </w:rPr>
            </w:pPr>
            <w:r>
              <w:rPr>
                <w:kern w:val="0"/>
                <w:sz w:val="21"/>
                <w:szCs w:val="21"/>
              </w:rPr>
              <w:t xml:space="preserve">   3、公务接待</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jc w:val="center"/>
              <w:rPr>
                <w:kern w:val="0"/>
                <w:sz w:val="21"/>
                <w:szCs w:val="21"/>
              </w:rPr>
            </w:pPr>
            <w:r>
              <w:rPr>
                <w:rFonts w:hint="eastAsia"/>
                <w:kern w:val="0"/>
                <w:sz w:val="21"/>
                <w:szCs w:val="21"/>
              </w:rPr>
              <w:t>31.89</w:t>
            </w:r>
            <w:r>
              <w:rPr>
                <w:kern w:val="0"/>
                <w:sz w:val="21"/>
                <w:szCs w:val="21"/>
              </w:rPr>
              <w:t>　</w:t>
            </w:r>
          </w:p>
        </w:tc>
        <w:tc>
          <w:tcPr>
            <w:tcW w:w="2095" w:type="dxa"/>
            <w:gridSpan w:val="2"/>
            <w:tcBorders>
              <w:top w:val="single" w:color="auto" w:sz="4" w:space="0"/>
              <w:left w:val="nil"/>
              <w:bottom w:val="single" w:color="auto" w:sz="4" w:space="0"/>
              <w:right w:val="single" w:color="000000" w:sz="4" w:space="0"/>
            </w:tcBorders>
            <w:noWrap w:val="0"/>
            <w:vAlign w:val="center"/>
          </w:tcPr>
          <w:p>
            <w:pPr>
              <w:widowControl/>
              <w:jc w:val="center"/>
              <w:rPr>
                <w:kern w:val="0"/>
                <w:sz w:val="21"/>
                <w:szCs w:val="21"/>
              </w:rPr>
            </w:pPr>
            <w:r>
              <w:rPr>
                <w:rFonts w:hint="eastAsia"/>
                <w:kern w:val="0"/>
                <w:sz w:val="21"/>
                <w:szCs w:val="21"/>
                <w:lang w:val="en-US" w:eastAsia="zh-CN"/>
              </w:rPr>
              <w:t>61.41</w:t>
            </w:r>
            <w:r>
              <w:rPr>
                <w:kern w:val="0"/>
                <w:sz w:val="21"/>
                <w:szCs w:val="21"/>
              </w:rPr>
              <w:t>　</w:t>
            </w:r>
          </w:p>
        </w:tc>
        <w:tc>
          <w:tcPr>
            <w:tcW w:w="1936" w:type="dxa"/>
            <w:gridSpan w:val="2"/>
            <w:tcBorders>
              <w:top w:val="single" w:color="auto" w:sz="4" w:space="0"/>
              <w:left w:val="nil"/>
              <w:bottom w:val="single" w:color="auto" w:sz="4" w:space="0"/>
              <w:right w:val="single" w:color="000000" w:sz="4" w:space="0"/>
            </w:tcBorders>
            <w:noWrap w:val="0"/>
            <w:vAlign w:val="center"/>
          </w:tcPr>
          <w:p>
            <w:pPr>
              <w:widowControl/>
              <w:jc w:val="center"/>
              <w:rPr>
                <w:kern w:val="0"/>
                <w:sz w:val="21"/>
                <w:szCs w:val="21"/>
              </w:rPr>
            </w:pPr>
            <w:r>
              <w:rPr>
                <w:rFonts w:hint="eastAsia"/>
                <w:kern w:val="0"/>
                <w:sz w:val="21"/>
                <w:szCs w:val="21"/>
                <w:lang w:val="en-US" w:eastAsia="zh-CN"/>
              </w:rPr>
              <w:t>16.33</w:t>
            </w:r>
            <w:r>
              <w:rPr>
                <w:kern w:val="0"/>
                <w:sz w:val="21"/>
                <w:szCs w:val="21"/>
              </w:rPr>
              <w:t>　</w:t>
            </w:r>
          </w:p>
        </w:tc>
      </w:tr>
      <w:tr>
        <w:tblPrEx>
          <w:tblCellMar>
            <w:top w:w="0" w:type="dxa"/>
            <w:left w:w="108" w:type="dxa"/>
            <w:bottom w:w="0" w:type="dxa"/>
            <w:right w:w="108" w:type="dxa"/>
          </w:tblCellMar>
        </w:tblPrEx>
        <w:trPr>
          <w:trHeight w:val="397" w:hRule="atLeast"/>
          <w:jc w:val="center"/>
        </w:trPr>
        <w:tc>
          <w:tcPr>
            <w:tcW w:w="3214" w:type="dxa"/>
            <w:tcBorders>
              <w:top w:val="nil"/>
              <w:left w:val="single" w:color="auto" w:sz="4" w:space="0"/>
              <w:bottom w:val="single" w:color="auto" w:sz="4" w:space="0"/>
              <w:right w:val="single" w:color="auto" w:sz="4" w:space="0"/>
            </w:tcBorders>
            <w:noWrap w:val="0"/>
            <w:vAlign w:val="center"/>
          </w:tcPr>
          <w:p>
            <w:pPr>
              <w:widowControl/>
              <w:spacing w:line="0" w:lineRule="atLeast"/>
              <w:rPr>
                <w:kern w:val="0"/>
                <w:sz w:val="21"/>
                <w:szCs w:val="21"/>
              </w:rPr>
            </w:pPr>
            <w:r>
              <w:rPr>
                <w:b/>
                <w:kern w:val="0"/>
                <w:sz w:val="21"/>
                <w:szCs w:val="21"/>
              </w:rPr>
              <w:t>政府采购金额</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jc w:val="center"/>
              <w:rPr>
                <w:kern w:val="0"/>
                <w:sz w:val="21"/>
                <w:szCs w:val="21"/>
              </w:rPr>
            </w:pPr>
            <w:r>
              <w:rPr>
                <w:kern w:val="0"/>
                <w:sz w:val="21"/>
                <w:szCs w:val="21"/>
              </w:rPr>
              <w:t>——</w:t>
            </w:r>
          </w:p>
        </w:tc>
        <w:tc>
          <w:tcPr>
            <w:tcW w:w="2095"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eastAsia="仿宋_GB2312"/>
                <w:kern w:val="0"/>
                <w:sz w:val="21"/>
                <w:szCs w:val="21"/>
                <w:lang w:val="en-US" w:eastAsia="zh-CN"/>
              </w:rPr>
            </w:pPr>
            <w:r>
              <w:rPr>
                <w:rFonts w:hint="eastAsia"/>
                <w:kern w:val="0"/>
                <w:sz w:val="21"/>
                <w:szCs w:val="21"/>
                <w:lang w:val="en-US" w:eastAsia="zh-CN"/>
              </w:rPr>
              <w:t>560</w:t>
            </w:r>
          </w:p>
        </w:tc>
        <w:tc>
          <w:tcPr>
            <w:tcW w:w="1936" w:type="dxa"/>
            <w:gridSpan w:val="2"/>
            <w:tcBorders>
              <w:top w:val="single" w:color="auto" w:sz="4" w:space="0"/>
              <w:left w:val="nil"/>
              <w:bottom w:val="single" w:color="auto" w:sz="4" w:space="0"/>
              <w:right w:val="single" w:color="000000" w:sz="4" w:space="0"/>
            </w:tcBorders>
            <w:noWrap w:val="0"/>
            <w:vAlign w:val="center"/>
          </w:tcPr>
          <w:p>
            <w:pPr>
              <w:widowControl/>
              <w:spacing w:line="0" w:lineRule="atLeast"/>
              <w:jc w:val="center"/>
              <w:rPr>
                <w:rFonts w:hint="default" w:eastAsia="仿宋_GB2312"/>
                <w:kern w:val="0"/>
                <w:sz w:val="21"/>
                <w:szCs w:val="21"/>
                <w:lang w:val="en-US" w:eastAsia="zh-CN"/>
              </w:rPr>
            </w:pPr>
            <w:r>
              <w:rPr>
                <w:rFonts w:hint="eastAsia"/>
                <w:kern w:val="0"/>
                <w:sz w:val="21"/>
                <w:szCs w:val="21"/>
                <w:lang w:val="en-US" w:eastAsia="zh-CN"/>
              </w:rPr>
              <w:t>456.72</w:t>
            </w:r>
          </w:p>
        </w:tc>
      </w:tr>
      <w:tr>
        <w:tblPrEx>
          <w:tblCellMar>
            <w:top w:w="0" w:type="dxa"/>
            <w:left w:w="108" w:type="dxa"/>
            <w:bottom w:w="0" w:type="dxa"/>
            <w:right w:w="108" w:type="dxa"/>
          </w:tblCellMar>
        </w:tblPrEx>
        <w:trPr>
          <w:trHeight w:val="630" w:hRule="atLeast"/>
          <w:jc w:val="center"/>
        </w:trPr>
        <w:tc>
          <w:tcPr>
            <w:tcW w:w="3214" w:type="dxa"/>
            <w:vMerge w:val="restart"/>
            <w:tcBorders>
              <w:top w:val="nil"/>
              <w:left w:val="single" w:color="auto" w:sz="4" w:space="0"/>
              <w:bottom w:val="single" w:color="auto" w:sz="4" w:space="0"/>
              <w:right w:val="single" w:color="auto" w:sz="4" w:space="0"/>
            </w:tcBorders>
            <w:noWrap w:val="0"/>
            <w:vAlign w:val="center"/>
          </w:tcPr>
          <w:p>
            <w:pPr>
              <w:widowControl/>
              <w:spacing w:line="440" w:lineRule="exact"/>
              <w:jc w:val="center"/>
              <w:rPr>
                <w:kern w:val="0"/>
                <w:sz w:val="21"/>
                <w:szCs w:val="21"/>
              </w:rPr>
            </w:pPr>
            <w:r>
              <w:rPr>
                <w:kern w:val="0"/>
                <w:sz w:val="21"/>
                <w:szCs w:val="21"/>
              </w:rPr>
              <w:t>楼堂馆所控制情况</w:t>
            </w:r>
            <w:r>
              <w:rPr>
                <w:kern w:val="0"/>
                <w:sz w:val="21"/>
                <w:szCs w:val="21"/>
              </w:rPr>
              <w:br w:type="textWrapping"/>
            </w:r>
            <w:r>
              <w:rPr>
                <w:kern w:val="0"/>
                <w:sz w:val="21"/>
                <w:szCs w:val="21"/>
              </w:rPr>
              <w:t>（</w:t>
            </w:r>
            <w:r>
              <w:rPr>
                <w:rFonts w:hint="eastAsia"/>
                <w:kern w:val="0"/>
                <w:sz w:val="21"/>
                <w:szCs w:val="21"/>
                <w:lang w:eastAsia="zh-CN"/>
              </w:rPr>
              <w:t>2022年</w:t>
            </w:r>
            <w:r>
              <w:rPr>
                <w:kern w:val="0"/>
                <w:sz w:val="21"/>
                <w:szCs w:val="21"/>
              </w:rPr>
              <w:t>完工项目）</w:t>
            </w:r>
          </w:p>
        </w:tc>
        <w:tc>
          <w:tcPr>
            <w:tcW w:w="1079" w:type="dxa"/>
            <w:tcBorders>
              <w:top w:val="nil"/>
              <w:left w:val="nil"/>
              <w:bottom w:val="single" w:color="auto" w:sz="4" w:space="0"/>
              <w:right w:val="single" w:color="auto" w:sz="4" w:space="0"/>
            </w:tcBorders>
            <w:noWrap w:val="0"/>
            <w:vAlign w:val="center"/>
          </w:tcPr>
          <w:p>
            <w:pPr>
              <w:widowControl/>
              <w:spacing w:line="300" w:lineRule="exact"/>
              <w:jc w:val="center"/>
              <w:rPr>
                <w:kern w:val="0"/>
                <w:sz w:val="21"/>
                <w:szCs w:val="21"/>
              </w:rPr>
            </w:pPr>
            <w:r>
              <w:rPr>
                <w:kern w:val="0"/>
                <w:sz w:val="21"/>
                <w:szCs w:val="21"/>
              </w:rPr>
              <w:t>批复规模</w:t>
            </w:r>
            <w:r>
              <w:rPr>
                <w:kern w:val="0"/>
                <w:sz w:val="21"/>
                <w:szCs w:val="21"/>
              </w:rPr>
              <w:br w:type="textWrapping"/>
            </w:r>
            <w:r>
              <w:rPr>
                <w:kern w:val="0"/>
                <w:sz w:val="21"/>
                <w:szCs w:val="21"/>
              </w:rPr>
              <w:t>（㎡）</w:t>
            </w:r>
          </w:p>
        </w:tc>
        <w:tc>
          <w:tcPr>
            <w:tcW w:w="959" w:type="dxa"/>
            <w:tcBorders>
              <w:top w:val="nil"/>
              <w:left w:val="nil"/>
              <w:bottom w:val="single" w:color="auto" w:sz="4" w:space="0"/>
              <w:right w:val="single" w:color="auto" w:sz="4" w:space="0"/>
            </w:tcBorders>
            <w:noWrap w:val="0"/>
            <w:vAlign w:val="center"/>
          </w:tcPr>
          <w:p>
            <w:pPr>
              <w:widowControl/>
              <w:spacing w:line="300" w:lineRule="exact"/>
              <w:jc w:val="center"/>
              <w:rPr>
                <w:kern w:val="0"/>
                <w:sz w:val="21"/>
                <w:szCs w:val="21"/>
              </w:rPr>
            </w:pPr>
            <w:r>
              <w:rPr>
                <w:kern w:val="0"/>
                <w:sz w:val="21"/>
                <w:szCs w:val="21"/>
              </w:rPr>
              <w:t>实际规模（㎡）</w:t>
            </w:r>
          </w:p>
        </w:tc>
        <w:tc>
          <w:tcPr>
            <w:tcW w:w="955" w:type="dxa"/>
            <w:tcBorders>
              <w:top w:val="nil"/>
              <w:left w:val="nil"/>
              <w:bottom w:val="single" w:color="auto" w:sz="4" w:space="0"/>
              <w:right w:val="single" w:color="auto" w:sz="4" w:space="0"/>
            </w:tcBorders>
            <w:noWrap w:val="0"/>
            <w:vAlign w:val="center"/>
          </w:tcPr>
          <w:p>
            <w:pPr>
              <w:widowControl/>
              <w:spacing w:line="300" w:lineRule="exact"/>
              <w:jc w:val="center"/>
              <w:rPr>
                <w:kern w:val="0"/>
                <w:sz w:val="21"/>
                <w:szCs w:val="21"/>
              </w:rPr>
            </w:pPr>
            <w:r>
              <w:rPr>
                <w:kern w:val="0"/>
                <w:sz w:val="21"/>
                <w:szCs w:val="21"/>
              </w:rPr>
              <w:t>规模控制率</w:t>
            </w:r>
          </w:p>
        </w:tc>
        <w:tc>
          <w:tcPr>
            <w:tcW w:w="1140" w:type="dxa"/>
            <w:tcBorders>
              <w:top w:val="nil"/>
              <w:left w:val="nil"/>
              <w:bottom w:val="single" w:color="auto" w:sz="4" w:space="0"/>
              <w:right w:val="single" w:color="auto" w:sz="4" w:space="0"/>
            </w:tcBorders>
            <w:noWrap w:val="0"/>
            <w:vAlign w:val="center"/>
          </w:tcPr>
          <w:p>
            <w:pPr>
              <w:widowControl/>
              <w:spacing w:line="300" w:lineRule="exact"/>
              <w:jc w:val="center"/>
              <w:rPr>
                <w:kern w:val="0"/>
                <w:sz w:val="21"/>
                <w:szCs w:val="21"/>
              </w:rPr>
            </w:pPr>
            <w:r>
              <w:rPr>
                <w:kern w:val="0"/>
                <w:sz w:val="21"/>
                <w:szCs w:val="21"/>
              </w:rPr>
              <w:t>预算投资（万元）</w:t>
            </w:r>
          </w:p>
        </w:tc>
        <w:tc>
          <w:tcPr>
            <w:tcW w:w="960" w:type="dxa"/>
            <w:tcBorders>
              <w:top w:val="nil"/>
              <w:left w:val="nil"/>
              <w:bottom w:val="single" w:color="auto" w:sz="4" w:space="0"/>
              <w:right w:val="single" w:color="auto" w:sz="4" w:space="0"/>
            </w:tcBorders>
            <w:noWrap w:val="0"/>
            <w:vAlign w:val="center"/>
          </w:tcPr>
          <w:p>
            <w:pPr>
              <w:widowControl/>
              <w:spacing w:line="300" w:lineRule="exact"/>
              <w:jc w:val="center"/>
              <w:rPr>
                <w:kern w:val="0"/>
                <w:sz w:val="21"/>
                <w:szCs w:val="21"/>
              </w:rPr>
            </w:pPr>
            <w:r>
              <w:rPr>
                <w:kern w:val="0"/>
                <w:sz w:val="21"/>
                <w:szCs w:val="21"/>
              </w:rPr>
              <w:t>实际投资（万元）</w:t>
            </w:r>
          </w:p>
        </w:tc>
        <w:tc>
          <w:tcPr>
            <w:tcW w:w="976" w:type="dxa"/>
            <w:tcBorders>
              <w:top w:val="nil"/>
              <w:left w:val="nil"/>
              <w:bottom w:val="single" w:color="auto" w:sz="4" w:space="0"/>
              <w:right w:val="single" w:color="auto" w:sz="4" w:space="0"/>
            </w:tcBorders>
            <w:noWrap w:val="0"/>
            <w:vAlign w:val="center"/>
          </w:tcPr>
          <w:p>
            <w:pPr>
              <w:widowControl/>
              <w:spacing w:line="300" w:lineRule="exact"/>
              <w:jc w:val="center"/>
              <w:rPr>
                <w:kern w:val="0"/>
                <w:sz w:val="21"/>
                <w:szCs w:val="21"/>
              </w:rPr>
            </w:pPr>
            <w:r>
              <w:rPr>
                <w:kern w:val="0"/>
                <w:sz w:val="21"/>
                <w:szCs w:val="21"/>
              </w:rPr>
              <w:t>投资概算控制率</w:t>
            </w:r>
          </w:p>
        </w:tc>
      </w:tr>
      <w:tr>
        <w:tblPrEx>
          <w:tblCellMar>
            <w:top w:w="0" w:type="dxa"/>
            <w:left w:w="108" w:type="dxa"/>
            <w:bottom w:w="0" w:type="dxa"/>
            <w:right w:w="108" w:type="dxa"/>
          </w:tblCellMar>
        </w:tblPrEx>
        <w:trPr>
          <w:trHeight w:val="454" w:hRule="atLeast"/>
          <w:jc w:val="center"/>
        </w:trPr>
        <w:tc>
          <w:tcPr>
            <w:tcW w:w="3214" w:type="dxa"/>
            <w:vMerge w:val="continue"/>
            <w:tcBorders>
              <w:top w:val="nil"/>
              <w:left w:val="single" w:color="auto" w:sz="4" w:space="0"/>
              <w:bottom w:val="single" w:color="auto" w:sz="4" w:space="0"/>
              <w:right w:val="single" w:color="auto" w:sz="4" w:space="0"/>
            </w:tcBorders>
            <w:noWrap w:val="0"/>
            <w:vAlign w:val="center"/>
          </w:tcPr>
          <w:p>
            <w:pPr>
              <w:widowControl/>
              <w:spacing w:line="440" w:lineRule="exact"/>
              <w:jc w:val="left"/>
              <w:rPr>
                <w:kern w:val="0"/>
                <w:sz w:val="21"/>
                <w:szCs w:val="21"/>
              </w:rPr>
            </w:pPr>
          </w:p>
        </w:tc>
        <w:tc>
          <w:tcPr>
            <w:tcW w:w="1079" w:type="dxa"/>
            <w:tcBorders>
              <w:top w:val="nil"/>
              <w:left w:val="nil"/>
              <w:bottom w:val="single" w:color="auto" w:sz="4" w:space="0"/>
              <w:right w:val="single" w:color="auto" w:sz="4" w:space="0"/>
            </w:tcBorders>
            <w:noWrap w:val="0"/>
            <w:vAlign w:val="center"/>
          </w:tcPr>
          <w:p>
            <w:pPr>
              <w:widowControl/>
              <w:spacing w:line="440" w:lineRule="exact"/>
              <w:jc w:val="center"/>
              <w:rPr>
                <w:kern w:val="0"/>
                <w:sz w:val="21"/>
                <w:szCs w:val="21"/>
              </w:rPr>
            </w:pPr>
            <w:r>
              <w:rPr>
                <w:kern w:val="0"/>
                <w:sz w:val="21"/>
                <w:szCs w:val="21"/>
              </w:rPr>
              <w:t>　</w:t>
            </w:r>
          </w:p>
        </w:tc>
        <w:tc>
          <w:tcPr>
            <w:tcW w:w="959" w:type="dxa"/>
            <w:tcBorders>
              <w:top w:val="nil"/>
              <w:left w:val="nil"/>
              <w:bottom w:val="single" w:color="auto" w:sz="4" w:space="0"/>
              <w:right w:val="single" w:color="auto" w:sz="4" w:space="0"/>
            </w:tcBorders>
            <w:noWrap w:val="0"/>
            <w:vAlign w:val="center"/>
          </w:tcPr>
          <w:p>
            <w:pPr>
              <w:widowControl/>
              <w:spacing w:line="440" w:lineRule="exact"/>
              <w:jc w:val="left"/>
              <w:rPr>
                <w:kern w:val="0"/>
                <w:sz w:val="21"/>
                <w:szCs w:val="21"/>
              </w:rPr>
            </w:pPr>
            <w:r>
              <w:rPr>
                <w:kern w:val="0"/>
                <w:sz w:val="21"/>
                <w:szCs w:val="21"/>
              </w:rPr>
              <w:t>　</w:t>
            </w:r>
          </w:p>
        </w:tc>
        <w:tc>
          <w:tcPr>
            <w:tcW w:w="955" w:type="dxa"/>
            <w:tcBorders>
              <w:top w:val="nil"/>
              <w:left w:val="nil"/>
              <w:bottom w:val="single" w:color="auto" w:sz="4" w:space="0"/>
              <w:right w:val="single" w:color="auto" w:sz="4" w:space="0"/>
            </w:tcBorders>
            <w:noWrap w:val="0"/>
            <w:vAlign w:val="center"/>
          </w:tcPr>
          <w:p>
            <w:pPr>
              <w:widowControl/>
              <w:spacing w:line="440" w:lineRule="exact"/>
              <w:jc w:val="left"/>
              <w:rPr>
                <w:kern w:val="0"/>
                <w:sz w:val="21"/>
                <w:szCs w:val="21"/>
              </w:rPr>
            </w:pPr>
            <w:r>
              <w:rPr>
                <w:kern w:val="0"/>
                <w:sz w:val="21"/>
                <w:szCs w:val="21"/>
              </w:rPr>
              <w:t>　</w:t>
            </w:r>
          </w:p>
        </w:tc>
        <w:tc>
          <w:tcPr>
            <w:tcW w:w="1140" w:type="dxa"/>
            <w:tcBorders>
              <w:top w:val="nil"/>
              <w:left w:val="nil"/>
              <w:bottom w:val="single" w:color="auto" w:sz="4" w:space="0"/>
              <w:right w:val="single" w:color="auto" w:sz="4" w:space="0"/>
            </w:tcBorders>
            <w:noWrap w:val="0"/>
            <w:vAlign w:val="center"/>
          </w:tcPr>
          <w:p>
            <w:pPr>
              <w:widowControl/>
              <w:spacing w:line="440" w:lineRule="exact"/>
              <w:jc w:val="left"/>
              <w:rPr>
                <w:kern w:val="0"/>
                <w:sz w:val="21"/>
                <w:szCs w:val="21"/>
              </w:rPr>
            </w:pPr>
            <w:r>
              <w:rPr>
                <w:kern w:val="0"/>
                <w:sz w:val="21"/>
                <w:szCs w:val="21"/>
              </w:rPr>
              <w:t>　</w:t>
            </w:r>
          </w:p>
        </w:tc>
        <w:tc>
          <w:tcPr>
            <w:tcW w:w="960" w:type="dxa"/>
            <w:tcBorders>
              <w:top w:val="nil"/>
              <w:left w:val="nil"/>
              <w:bottom w:val="single" w:color="auto" w:sz="4" w:space="0"/>
              <w:right w:val="single" w:color="auto" w:sz="4" w:space="0"/>
            </w:tcBorders>
            <w:noWrap w:val="0"/>
            <w:vAlign w:val="center"/>
          </w:tcPr>
          <w:p>
            <w:pPr>
              <w:widowControl/>
              <w:spacing w:line="440" w:lineRule="exact"/>
              <w:jc w:val="left"/>
              <w:rPr>
                <w:kern w:val="0"/>
                <w:sz w:val="21"/>
                <w:szCs w:val="21"/>
              </w:rPr>
            </w:pPr>
            <w:r>
              <w:rPr>
                <w:kern w:val="0"/>
                <w:sz w:val="21"/>
                <w:szCs w:val="21"/>
              </w:rPr>
              <w:t>　</w:t>
            </w:r>
          </w:p>
        </w:tc>
        <w:tc>
          <w:tcPr>
            <w:tcW w:w="976" w:type="dxa"/>
            <w:tcBorders>
              <w:top w:val="nil"/>
              <w:left w:val="nil"/>
              <w:bottom w:val="single" w:color="auto" w:sz="4" w:space="0"/>
              <w:right w:val="single" w:color="auto" w:sz="4" w:space="0"/>
            </w:tcBorders>
            <w:noWrap w:val="0"/>
            <w:vAlign w:val="center"/>
          </w:tcPr>
          <w:p>
            <w:pPr>
              <w:widowControl/>
              <w:spacing w:line="440" w:lineRule="exact"/>
              <w:jc w:val="left"/>
              <w:rPr>
                <w:kern w:val="0"/>
                <w:sz w:val="21"/>
                <w:szCs w:val="21"/>
              </w:rPr>
            </w:pPr>
            <w:r>
              <w:rPr>
                <w:kern w:val="0"/>
                <w:sz w:val="21"/>
                <w:szCs w:val="21"/>
              </w:rPr>
              <w:t>　</w:t>
            </w:r>
          </w:p>
        </w:tc>
      </w:tr>
      <w:tr>
        <w:tblPrEx>
          <w:tblCellMar>
            <w:top w:w="0" w:type="dxa"/>
            <w:left w:w="108" w:type="dxa"/>
            <w:bottom w:w="0" w:type="dxa"/>
            <w:right w:w="108" w:type="dxa"/>
          </w:tblCellMar>
        </w:tblPrEx>
        <w:trPr>
          <w:trHeight w:val="600" w:hRule="atLeast"/>
          <w:jc w:val="center"/>
        </w:trPr>
        <w:tc>
          <w:tcPr>
            <w:tcW w:w="3214" w:type="dxa"/>
            <w:tcBorders>
              <w:top w:val="nil"/>
              <w:left w:val="single" w:color="auto" w:sz="4" w:space="0"/>
              <w:bottom w:val="single" w:color="auto" w:sz="4" w:space="0"/>
              <w:right w:val="single" w:color="auto" w:sz="4" w:space="0"/>
            </w:tcBorders>
            <w:noWrap w:val="0"/>
            <w:vAlign w:val="center"/>
          </w:tcPr>
          <w:p>
            <w:pPr>
              <w:widowControl/>
              <w:spacing w:line="440" w:lineRule="exact"/>
              <w:jc w:val="center"/>
              <w:rPr>
                <w:kern w:val="0"/>
                <w:sz w:val="21"/>
                <w:szCs w:val="21"/>
              </w:rPr>
            </w:pPr>
            <w:r>
              <w:rPr>
                <w:kern w:val="0"/>
                <w:sz w:val="21"/>
                <w:szCs w:val="21"/>
              </w:rPr>
              <w:t>厉行节约保障措施</w:t>
            </w:r>
          </w:p>
        </w:tc>
        <w:tc>
          <w:tcPr>
            <w:tcW w:w="6069" w:type="dxa"/>
            <w:gridSpan w:val="6"/>
            <w:tcBorders>
              <w:top w:val="single" w:color="auto" w:sz="4" w:space="0"/>
              <w:left w:val="nil"/>
              <w:bottom w:val="single" w:color="auto" w:sz="4" w:space="0"/>
              <w:right w:val="single" w:color="000000" w:sz="4" w:space="0"/>
            </w:tcBorders>
            <w:noWrap w:val="0"/>
            <w:vAlign w:val="center"/>
          </w:tcPr>
          <w:p>
            <w:pPr>
              <w:widowControl/>
              <w:spacing w:line="0" w:lineRule="atLeast"/>
              <w:jc w:val="center"/>
              <w:rPr>
                <w:kern w:val="0"/>
                <w:sz w:val="21"/>
                <w:szCs w:val="21"/>
              </w:rPr>
            </w:pPr>
            <w:r>
              <w:rPr>
                <w:kern w:val="0"/>
                <w:sz w:val="21"/>
                <w:szCs w:val="21"/>
              </w:rPr>
              <w:t>认真落实“过紧日子”思想，</w:t>
            </w:r>
            <w:r>
              <w:rPr>
                <w:rFonts w:hint="eastAsia"/>
                <w:kern w:val="0"/>
                <w:sz w:val="21"/>
                <w:szCs w:val="21"/>
              </w:rPr>
              <w:t>建立健全内控制度和各项</w:t>
            </w:r>
            <w:r>
              <w:rPr>
                <w:kern w:val="0"/>
                <w:sz w:val="21"/>
                <w:szCs w:val="21"/>
              </w:rPr>
              <w:t>财务管理制度，严控支出标准，严格财务审核，压减</w:t>
            </w:r>
            <w:r>
              <w:rPr>
                <w:rFonts w:hint="eastAsia"/>
                <w:kern w:val="0"/>
                <w:sz w:val="21"/>
                <w:szCs w:val="21"/>
              </w:rPr>
              <w:t>三公经费、</w:t>
            </w:r>
            <w:r>
              <w:rPr>
                <w:kern w:val="0"/>
                <w:sz w:val="21"/>
                <w:szCs w:val="21"/>
              </w:rPr>
              <w:t>一般性支出。　</w:t>
            </w:r>
          </w:p>
        </w:tc>
      </w:tr>
    </w:tbl>
    <w:p>
      <w:pPr>
        <w:widowControl/>
        <w:spacing w:line="500" w:lineRule="exact"/>
        <w:ind w:left="-281" w:leftChars="-88"/>
        <w:jc w:val="left"/>
        <w:rPr>
          <w:rFonts w:hint="eastAsia"/>
          <w:kern w:val="0"/>
          <w:sz w:val="22"/>
          <w:szCs w:val="24"/>
        </w:rPr>
      </w:pPr>
      <w:r>
        <w:rPr>
          <w:kern w:val="0"/>
          <w:sz w:val="22"/>
          <w:szCs w:val="24"/>
        </w:rPr>
        <w:t>说</w:t>
      </w:r>
      <w:r>
        <w:rPr>
          <w:rFonts w:hint="eastAsia" w:ascii="仿宋_GB2312" w:hAnsi="仿宋_GB2312" w:eastAsia="仿宋_GB2312" w:cs="仿宋_GB2312"/>
          <w:kern w:val="0"/>
          <w:sz w:val="22"/>
          <w:szCs w:val="24"/>
        </w:rPr>
        <w:t>明：“公用经费”填报基本支出中的一般商品和服务支出。“项目支出”需要填报基本支出以外的所有项目支出情况，“运行维护经费”填报</w:t>
      </w:r>
      <w:r>
        <w:rPr>
          <w:rFonts w:hint="eastAsia"/>
          <w:kern w:val="0"/>
          <w:sz w:val="22"/>
          <w:szCs w:val="24"/>
        </w:rPr>
        <w:t>项目支出中用于人员类和公用运转类的支出。</w:t>
      </w:r>
    </w:p>
    <w:p>
      <w:pPr>
        <w:widowControl/>
        <w:spacing w:line="500" w:lineRule="exact"/>
        <w:ind w:left="-281" w:leftChars="-88"/>
        <w:jc w:val="left"/>
        <w:rPr>
          <w:rFonts w:ascii="方正小标宋简体" w:eastAsia="方正小标宋简体"/>
          <w:kern w:val="0"/>
          <w:sz w:val="36"/>
          <w:szCs w:val="36"/>
        </w:rPr>
      </w:pPr>
      <w:r>
        <w:rPr>
          <w:rFonts w:hint="eastAsia"/>
          <w:kern w:val="0"/>
          <w:sz w:val="22"/>
          <w:szCs w:val="22"/>
        </w:rPr>
        <w:t>填表人</w:t>
      </w:r>
      <w:r>
        <w:rPr>
          <w:kern w:val="0"/>
          <w:sz w:val="22"/>
          <w:szCs w:val="22"/>
        </w:rPr>
        <w:t>：</w:t>
      </w:r>
      <w:r>
        <w:rPr>
          <w:rFonts w:hint="eastAsia"/>
          <w:kern w:val="0"/>
          <w:sz w:val="22"/>
          <w:szCs w:val="22"/>
        </w:rPr>
        <w:t>潘菲丽</w:t>
      </w:r>
      <w:r>
        <w:rPr>
          <w:kern w:val="0"/>
          <w:sz w:val="22"/>
          <w:szCs w:val="22"/>
        </w:rPr>
        <w:t xml:space="preserve">   填报日期：</w:t>
      </w:r>
      <w:r>
        <w:rPr>
          <w:rFonts w:hint="eastAsia"/>
          <w:kern w:val="0"/>
          <w:sz w:val="22"/>
          <w:szCs w:val="22"/>
        </w:rPr>
        <w:t>202</w:t>
      </w:r>
      <w:r>
        <w:rPr>
          <w:rFonts w:hint="eastAsia"/>
          <w:kern w:val="0"/>
          <w:sz w:val="22"/>
          <w:szCs w:val="22"/>
          <w:lang w:val="en-US" w:eastAsia="zh-CN"/>
        </w:rPr>
        <w:t>3</w:t>
      </w:r>
      <w:r>
        <w:rPr>
          <w:rFonts w:hint="eastAsia"/>
          <w:kern w:val="0"/>
          <w:sz w:val="22"/>
          <w:szCs w:val="22"/>
        </w:rPr>
        <w:t>.0</w:t>
      </w:r>
      <w:r>
        <w:rPr>
          <w:rFonts w:hint="eastAsia"/>
          <w:kern w:val="0"/>
          <w:sz w:val="22"/>
          <w:szCs w:val="22"/>
          <w:lang w:val="en-US" w:eastAsia="zh-CN"/>
        </w:rPr>
        <w:t>3</w:t>
      </w:r>
      <w:r>
        <w:rPr>
          <w:kern w:val="0"/>
          <w:sz w:val="22"/>
          <w:szCs w:val="22"/>
        </w:rPr>
        <w:t xml:space="preserve">   联系电话：</w:t>
      </w:r>
      <w:r>
        <w:rPr>
          <w:rFonts w:hint="eastAsia"/>
          <w:kern w:val="0"/>
          <w:sz w:val="22"/>
          <w:szCs w:val="22"/>
        </w:rPr>
        <w:t>0737-4223049   单位负责人签字：</w:t>
      </w:r>
    </w:p>
    <w:p>
      <w:pPr>
        <w:pStyle w:val="6"/>
        <w:rPr>
          <w:rFonts w:ascii="黑体" w:hAnsi="黑体" w:eastAsia="黑体"/>
          <w:kern w:val="0"/>
        </w:rPr>
      </w:pPr>
      <w:r>
        <w:rPr>
          <w:kern w:val="0"/>
        </w:rPr>
        <w:br w:type="page"/>
      </w:r>
      <w:r>
        <w:rPr>
          <w:rFonts w:eastAsia="黑体"/>
          <w:kern w:val="0"/>
        </w:rPr>
        <w:t>附件2</w:t>
      </w:r>
    </w:p>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000000"/>
          <w:kern w:val="0"/>
          <w:sz w:val="44"/>
          <w:szCs w:val="44"/>
        </w:rPr>
      </w:pPr>
      <w:r>
        <w:rPr>
          <w:rFonts w:hint="eastAsia" w:ascii="方正小标宋简体" w:hAnsi="方正小标宋简体" w:eastAsia="方正小标宋简体" w:cs="方正小标宋简体"/>
          <w:color w:val="000000"/>
          <w:kern w:val="0"/>
          <w:sz w:val="44"/>
          <w:szCs w:val="44"/>
          <w:lang w:eastAsia="zh-CN"/>
        </w:rPr>
        <w:t>2022年</w:t>
      </w:r>
      <w:r>
        <w:rPr>
          <w:rFonts w:hint="eastAsia" w:ascii="方正小标宋简体" w:hAnsi="方正小标宋简体" w:eastAsia="方正小标宋简体" w:cs="方正小标宋简体"/>
          <w:color w:val="000000"/>
          <w:kern w:val="0"/>
          <w:sz w:val="44"/>
          <w:szCs w:val="44"/>
        </w:rPr>
        <w:t>度部门整体支出绩效自评表</w:t>
      </w:r>
    </w:p>
    <w:p>
      <w:pPr>
        <w:pStyle w:val="4"/>
        <w:rPr>
          <w:rFonts w:hint="eastAsia"/>
        </w:rPr>
      </w:pPr>
    </w:p>
    <w:tbl>
      <w:tblPr>
        <w:tblStyle w:val="8"/>
        <w:tblW w:w="10264" w:type="dxa"/>
        <w:jc w:val="center"/>
        <w:tblLayout w:type="fixed"/>
        <w:tblCellMar>
          <w:top w:w="0" w:type="dxa"/>
          <w:left w:w="108" w:type="dxa"/>
          <w:bottom w:w="0" w:type="dxa"/>
          <w:right w:w="108" w:type="dxa"/>
        </w:tblCellMar>
      </w:tblPr>
      <w:tblGrid>
        <w:gridCol w:w="1080"/>
        <w:gridCol w:w="1080"/>
        <w:gridCol w:w="953"/>
        <w:gridCol w:w="1256"/>
        <w:gridCol w:w="95"/>
        <w:gridCol w:w="1200"/>
        <w:gridCol w:w="1276"/>
        <w:gridCol w:w="812"/>
        <w:gridCol w:w="889"/>
        <w:gridCol w:w="1623"/>
      </w:tblGrid>
      <w:tr>
        <w:tblPrEx>
          <w:tblCellMar>
            <w:top w:w="0" w:type="dxa"/>
            <w:left w:w="108" w:type="dxa"/>
            <w:bottom w:w="0" w:type="dxa"/>
            <w:right w:w="108" w:type="dxa"/>
          </w:tblCellMar>
        </w:tblPrEx>
        <w:trPr>
          <w:trHeight w:val="325" w:hRule="atLeast"/>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rPr>
                <w:color w:val="000000"/>
                <w:kern w:val="0"/>
                <w:sz w:val="21"/>
                <w:szCs w:val="21"/>
              </w:rPr>
            </w:pPr>
            <w:r>
              <w:rPr>
                <w:color w:val="000000"/>
                <w:kern w:val="0"/>
                <w:sz w:val="21"/>
                <w:szCs w:val="21"/>
              </w:rPr>
              <w:t>预算部门</w:t>
            </w:r>
          </w:p>
        </w:tc>
        <w:tc>
          <w:tcPr>
            <w:tcW w:w="9184" w:type="dxa"/>
            <w:gridSpan w:val="9"/>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eastAsia" w:eastAsia="仿宋_GB2312"/>
                <w:color w:val="000000"/>
                <w:kern w:val="0"/>
                <w:sz w:val="21"/>
                <w:szCs w:val="21"/>
                <w:lang w:val="en-US" w:eastAsia="zh-CN"/>
              </w:rPr>
            </w:pPr>
            <w:r>
              <w:rPr>
                <w:rFonts w:hint="eastAsia"/>
                <w:color w:val="000000"/>
                <w:kern w:val="0"/>
                <w:sz w:val="21"/>
                <w:szCs w:val="21"/>
              </w:rPr>
              <w:t>益阳市市场监督管理局</w:t>
            </w:r>
            <w:r>
              <w:rPr>
                <w:rFonts w:hint="eastAsia"/>
                <w:color w:val="000000"/>
                <w:kern w:val="0"/>
                <w:sz w:val="21"/>
                <w:szCs w:val="21"/>
                <w:lang w:eastAsia="zh-CN"/>
              </w:rPr>
              <w:t>（本级）</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right w:val="single" w:color="auto" w:sz="4" w:space="0"/>
            </w:tcBorders>
            <w:noWrap w:val="0"/>
            <w:vAlign w:val="center"/>
          </w:tcPr>
          <w:p>
            <w:pPr>
              <w:widowControl/>
              <w:spacing w:line="280" w:lineRule="exact"/>
              <w:jc w:val="center"/>
              <w:rPr>
                <w:color w:val="000000"/>
                <w:kern w:val="0"/>
                <w:sz w:val="21"/>
                <w:szCs w:val="21"/>
              </w:rPr>
            </w:pPr>
            <w:r>
              <w:rPr>
                <w:color w:val="000000"/>
                <w:kern w:val="0"/>
                <w:sz w:val="21"/>
                <w:szCs w:val="21"/>
              </w:rPr>
              <w:t>年度预</w:t>
            </w:r>
          </w:p>
          <w:p>
            <w:pPr>
              <w:widowControl/>
              <w:spacing w:line="280" w:lineRule="exact"/>
              <w:jc w:val="center"/>
              <w:rPr>
                <w:color w:val="000000"/>
                <w:kern w:val="0"/>
                <w:sz w:val="21"/>
                <w:szCs w:val="21"/>
              </w:rPr>
            </w:pPr>
            <w:r>
              <w:rPr>
                <w:color w:val="000000"/>
                <w:kern w:val="0"/>
                <w:sz w:val="21"/>
                <w:szCs w:val="21"/>
              </w:rPr>
              <w:t>算申请</w:t>
            </w:r>
            <w:r>
              <w:rPr>
                <w:color w:val="000000"/>
                <w:kern w:val="0"/>
                <w:sz w:val="21"/>
                <w:szCs w:val="21"/>
              </w:rPr>
              <w:br w:type="textWrapping"/>
            </w:r>
            <w:r>
              <w:rPr>
                <w:color w:val="000000"/>
                <w:kern w:val="0"/>
                <w:sz w:val="21"/>
                <w:szCs w:val="21"/>
              </w:rPr>
              <w:t>（万元）</w:t>
            </w:r>
          </w:p>
        </w:tc>
        <w:tc>
          <w:tcPr>
            <w:tcW w:w="2033" w:type="dxa"/>
            <w:gridSpan w:val="2"/>
            <w:tcBorders>
              <w:top w:val="nil"/>
              <w:left w:val="nil"/>
              <w:bottom w:val="single" w:color="auto" w:sz="4" w:space="0"/>
              <w:right w:val="single" w:color="auto" w:sz="4" w:space="0"/>
            </w:tcBorders>
            <w:noWrap w:val="0"/>
            <w:vAlign w:val="center"/>
          </w:tcPr>
          <w:p>
            <w:pPr>
              <w:widowControl/>
              <w:spacing w:line="280" w:lineRule="exact"/>
              <w:jc w:val="center"/>
              <w:rPr>
                <w:sz w:val="21"/>
                <w:szCs w:val="21"/>
              </w:rPr>
            </w:pPr>
          </w:p>
        </w:tc>
        <w:tc>
          <w:tcPr>
            <w:tcW w:w="1256" w:type="dxa"/>
            <w:tcBorders>
              <w:top w:val="nil"/>
              <w:left w:val="nil"/>
              <w:bottom w:val="single" w:color="auto" w:sz="4" w:space="0"/>
              <w:right w:val="single" w:color="auto" w:sz="4" w:space="0"/>
            </w:tcBorders>
            <w:noWrap w:val="0"/>
            <w:vAlign w:val="center"/>
          </w:tcPr>
          <w:p>
            <w:pPr>
              <w:widowControl/>
              <w:spacing w:line="280" w:lineRule="exact"/>
              <w:jc w:val="center"/>
              <w:rPr>
                <w:sz w:val="21"/>
                <w:szCs w:val="21"/>
              </w:rPr>
            </w:pPr>
            <w:r>
              <w:rPr>
                <w:sz w:val="21"/>
                <w:szCs w:val="21"/>
              </w:rPr>
              <w:t>年初</w:t>
            </w:r>
          </w:p>
          <w:p>
            <w:pPr>
              <w:widowControl/>
              <w:spacing w:line="280" w:lineRule="exact"/>
              <w:jc w:val="center"/>
              <w:rPr>
                <w:sz w:val="21"/>
                <w:szCs w:val="21"/>
              </w:rPr>
            </w:pPr>
            <w:r>
              <w:rPr>
                <w:sz w:val="21"/>
                <w:szCs w:val="21"/>
              </w:rPr>
              <w:t>预算数</w:t>
            </w:r>
          </w:p>
        </w:tc>
        <w:tc>
          <w:tcPr>
            <w:tcW w:w="1295" w:type="dxa"/>
            <w:gridSpan w:val="2"/>
            <w:tcBorders>
              <w:top w:val="nil"/>
              <w:left w:val="nil"/>
              <w:bottom w:val="single" w:color="auto" w:sz="4" w:space="0"/>
              <w:right w:val="single" w:color="auto" w:sz="4" w:space="0"/>
            </w:tcBorders>
            <w:noWrap w:val="0"/>
            <w:vAlign w:val="center"/>
          </w:tcPr>
          <w:p>
            <w:pPr>
              <w:widowControl/>
              <w:spacing w:line="280" w:lineRule="exact"/>
              <w:jc w:val="center"/>
              <w:rPr>
                <w:sz w:val="21"/>
                <w:szCs w:val="21"/>
              </w:rPr>
            </w:pPr>
            <w:r>
              <w:rPr>
                <w:sz w:val="21"/>
                <w:szCs w:val="21"/>
              </w:rPr>
              <w:t>全年预算数</w:t>
            </w:r>
          </w:p>
        </w:tc>
        <w:tc>
          <w:tcPr>
            <w:tcW w:w="1276" w:type="dxa"/>
            <w:tcBorders>
              <w:top w:val="nil"/>
              <w:left w:val="nil"/>
              <w:bottom w:val="single" w:color="auto" w:sz="4" w:space="0"/>
              <w:right w:val="single" w:color="auto" w:sz="4" w:space="0"/>
            </w:tcBorders>
            <w:noWrap w:val="0"/>
            <w:vAlign w:val="center"/>
          </w:tcPr>
          <w:p>
            <w:pPr>
              <w:widowControl/>
              <w:spacing w:line="280" w:lineRule="exact"/>
              <w:jc w:val="center"/>
              <w:rPr>
                <w:sz w:val="21"/>
                <w:szCs w:val="21"/>
              </w:rPr>
            </w:pPr>
            <w:r>
              <w:rPr>
                <w:sz w:val="21"/>
                <w:szCs w:val="21"/>
              </w:rPr>
              <w:t>全年执行数</w:t>
            </w:r>
          </w:p>
        </w:tc>
        <w:tc>
          <w:tcPr>
            <w:tcW w:w="812" w:type="dxa"/>
            <w:tcBorders>
              <w:top w:val="nil"/>
              <w:left w:val="nil"/>
              <w:bottom w:val="single" w:color="auto" w:sz="4" w:space="0"/>
              <w:right w:val="single" w:color="auto" w:sz="4" w:space="0"/>
            </w:tcBorders>
            <w:noWrap w:val="0"/>
            <w:vAlign w:val="center"/>
          </w:tcPr>
          <w:p>
            <w:pPr>
              <w:widowControl/>
              <w:spacing w:line="280" w:lineRule="exact"/>
              <w:jc w:val="center"/>
              <w:rPr>
                <w:sz w:val="21"/>
                <w:szCs w:val="21"/>
              </w:rPr>
            </w:pPr>
            <w:r>
              <w:rPr>
                <w:sz w:val="21"/>
                <w:szCs w:val="21"/>
              </w:rPr>
              <w:t>分值</w:t>
            </w:r>
          </w:p>
        </w:tc>
        <w:tc>
          <w:tcPr>
            <w:tcW w:w="889" w:type="dxa"/>
            <w:tcBorders>
              <w:top w:val="nil"/>
              <w:left w:val="nil"/>
              <w:bottom w:val="single" w:color="auto" w:sz="4" w:space="0"/>
              <w:right w:val="single" w:color="auto" w:sz="4" w:space="0"/>
            </w:tcBorders>
            <w:noWrap w:val="0"/>
            <w:vAlign w:val="center"/>
          </w:tcPr>
          <w:p>
            <w:pPr>
              <w:widowControl/>
              <w:spacing w:line="280" w:lineRule="exact"/>
              <w:jc w:val="center"/>
              <w:rPr>
                <w:sz w:val="21"/>
                <w:szCs w:val="21"/>
              </w:rPr>
            </w:pPr>
            <w:r>
              <w:rPr>
                <w:sz w:val="21"/>
                <w:szCs w:val="21"/>
              </w:rPr>
              <w:t>执行率</w:t>
            </w:r>
          </w:p>
        </w:tc>
        <w:tc>
          <w:tcPr>
            <w:tcW w:w="1623" w:type="dxa"/>
            <w:tcBorders>
              <w:top w:val="nil"/>
              <w:left w:val="nil"/>
              <w:bottom w:val="single" w:color="auto" w:sz="4" w:space="0"/>
              <w:right w:val="single" w:color="auto" w:sz="4" w:space="0"/>
            </w:tcBorders>
            <w:noWrap w:val="0"/>
            <w:vAlign w:val="center"/>
          </w:tcPr>
          <w:p>
            <w:pPr>
              <w:widowControl/>
              <w:spacing w:line="280" w:lineRule="exact"/>
              <w:jc w:val="center"/>
              <w:rPr>
                <w:sz w:val="21"/>
                <w:szCs w:val="21"/>
              </w:rPr>
            </w:pPr>
            <w:r>
              <w:rPr>
                <w:sz w:val="21"/>
                <w:szCs w:val="21"/>
              </w:rPr>
              <w:t>得分</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right w:val="single" w:color="auto" w:sz="4" w:space="0"/>
            </w:tcBorders>
            <w:noWrap w:val="0"/>
            <w:vAlign w:val="center"/>
          </w:tcPr>
          <w:p>
            <w:pPr>
              <w:widowControl/>
              <w:spacing w:line="280" w:lineRule="exact"/>
              <w:jc w:val="center"/>
              <w:rPr>
                <w:color w:val="000000"/>
                <w:kern w:val="0"/>
                <w:sz w:val="21"/>
                <w:szCs w:val="21"/>
              </w:rPr>
            </w:pPr>
          </w:p>
        </w:tc>
        <w:tc>
          <w:tcPr>
            <w:tcW w:w="2033" w:type="dxa"/>
            <w:gridSpan w:val="2"/>
            <w:tcBorders>
              <w:top w:val="nil"/>
              <w:left w:val="nil"/>
              <w:bottom w:val="single" w:color="auto" w:sz="4" w:space="0"/>
              <w:right w:val="single" w:color="auto" w:sz="4" w:space="0"/>
            </w:tcBorders>
            <w:noWrap w:val="0"/>
            <w:vAlign w:val="center"/>
          </w:tcPr>
          <w:p>
            <w:pPr>
              <w:widowControl/>
              <w:spacing w:line="280" w:lineRule="exact"/>
              <w:jc w:val="center"/>
              <w:rPr>
                <w:sz w:val="21"/>
                <w:szCs w:val="21"/>
              </w:rPr>
            </w:pPr>
            <w:r>
              <w:rPr>
                <w:color w:val="000000"/>
                <w:kern w:val="0"/>
                <w:sz w:val="21"/>
                <w:szCs w:val="21"/>
              </w:rPr>
              <w:t>年度资金总额</w:t>
            </w:r>
          </w:p>
        </w:tc>
        <w:tc>
          <w:tcPr>
            <w:tcW w:w="12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eastAsia="仿宋_GB2312"/>
                <w:sz w:val="21"/>
                <w:szCs w:val="21"/>
                <w:lang w:val="en-US" w:eastAsia="zh-CN"/>
              </w:rPr>
            </w:pPr>
            <w:r>
              <w:rPr>
                <w:rFonts w:hint="eastAsia"/>
                <w:sz w:val="21"/>
                <w:szCs w:val="21"/>
                <w:lang w:val="en-US" w:eastAsia="zh-CN"/>
              </w:rPr>
              <w:t>5601.62</w:t>
            </w:r>
          </w:p>
        </w:tc>
        <w:tc>
          <w:tcPr>
            <w:tcW w:w="1295" w:type="dxa"/>
            <w:gridSpan w:val="2"/>
            <w:tcBorders>
              <w:top w:val="nil"/>
              <w:left w:val="nil"/>
              <w:bottom w:val="single" w:color="auto" w:sz="4" w:space="0"/>
              <w:right w:val="single" w:color="auto" w:sz="4" w:space="0"/>
            </w:tcBorders>
            <w:noWrap w:val="0"/>
            <w:vAlign w:val="center"/>
          </w:tcPr>
          <w:p>
            <w:pPr>
              <w:widowControl/>
              <w:spacing w:line="280" w:lineRule="exact"/>
              <w:jc w:val="center"/>
              <w:rPr>
                <w:rFonts w:hint="default" w:eastAsia="仿宋_GB2312"/>
                <w:sz w:val="21"/>
                <w:szCs w:val="21"/>
                <w:lang w:val="en-US" w:eastAsia="zh-CN"/>
              </w:rPr>
            </w:pPr>
            <w:r>
              <w:rPr>
                <w:rFonts w:hint="eastAsia"/>
                <w:sz w:val="21"/>
                <w:szCs w:val="21"/>
                <w:lang w:val="en-US" w:eastAsia="zh-CN"/>
              </w:rPr>
              <w:t>9903.38</w:t>
            </w:r>
          </w:p>
        </w:tc>
        <w:tc>
          <w:tcPr>
            <w:tcW w:w="127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eastAsia="仿宋_GB2312"/>
                <w:sz w:val="21"/>
                <w:szCs w:val="21"/>
                <w:lang w:val="en-US" w:eastAsia="zh-CN"/>
              </w:rPr>
            </w:pPr>
            <w:r>
              <w:rPr>
                <w:rFonts w:hint="eastAsia"/>
                <w:sz w:val="21"/>
                <w:szCs w:val="21"/>
                <w:lang w:val="en-US" w:eastAsia="zh-CN"/>
              </w:rPr>
              <w:t>9903.38</w:t>
            </w:r>
          </w:p>
        </w:tc>
        <w:tc>
          <w:tcPr>
            <w:tcW w:w="812" w:type="dxa"/>
            <w:tcBorders>
              <w:top w:val="nil"/>
              <w:left w:val="nil"/>
              <w:bottom w:val="single" w:color="auto" w:sz="4" w:space="0"/>
              <w:right w:val="single" w:color="auto" w:sz="4" w:space="0"/>
            </w:tcBorders>
            <w:noWrap w:val="0"/>
            <w:vAlign w:val="center"/>
          </w:tcPr>
          <w:p>
            <w:pPr>
              <w:widowControl/>
              <w:spacing w:line="280" w:lineRule="exact"/>
              <w:jc w:val="center"/>
              <w:rPr>
                <w:rFonts w:hint="eastAsia"/>
                <w:sz w:val="21"/>
                <w:szCs w:val="21"/>
              </w:rPr>
            </w:pPr>
            <w:r>
              <w:rPr>
                <w:sz w:val="21"/>
                <w:szCs w:val="21"/>
              </w:rPr>
              <w:t>10</w:t>
            </w:r>
            <w:r>
              <w:rPr>
                <w:rFonts w:hint="eastAsia"/>
                <w:sz w:val="21"/>
                <w:szCs w:val="21"/>
              </w:rPr>
              <w:t>分</w:t>
            </w:r>
          </w:p>
        </w:tc>
        <w:tc>
          <w:tcPr>
            <w:tcW w:w="889" w:type="dxa"/>
            <w:tcBorders>
              <w:top w:val="nil"/>
              <w:left w:val="nil"/>
              <w:bottom w:val="single" w:color="auto" w:sz="4" w:space="0"/>
              <w:right w:val="single" w:color="auto" w:sz="4" w:space="0"/>
            </w:tcBorders>
            <w:noWrap w:val="0"/>
            <w:vAlign w:val="center"/>
          </w:tcPr>
          <w:p>
            <w:pPr>
              <w:widowControl/>
              <w:spacing w:line="280" w:lineRule="exact"/>
              <w:jc w:val="center"/>
              <w:rPr>
                <w:sz w:val="21"/>
                <w:szCs w:val="21"/>
              </w:rPr>
            </w:pPr>
            <w:r>
              <w:rPr>
                <w:rFonts w:hint="eastAsia"/>
                <w:sz w:val="21"/>
                <w:szCs w:val="21"/>
              </w:rPr>
              <w:t>100%</w:t>
            </w:r>
          </w:p>
        </w:tc>
        <w:tc>
          <w:tcPr>
            <w:tcW w:w="1623" w:type="dxa"/>
            <w:tcBorders>
              <w:top w:val="nil"/>
              <w:left w:val="nil"/>
              <w:bottom w:val="single" w:color="auto" w:sz="4" w:space="0"/>
              <w:right w:val="single" w:color="auto" w:sz="4" w:space="0"/>
            </w:tcBorders>
            <w:noWrap w:val="0"/>
            <w:vAlign w:val="center"/>
          </w:tcPr>
          <w:p>
            <w:pPr>
              <w:widowControl/>
              <w:spacing w:line="280" w:lineRule="exact"/>
              <w:jc w:val="center"/>
              <w:rPr>
                <w:sz w:val="21"/>
                <w:szCs w:val="21"/>
              </w:rPr>
            </w:pPr>
            <w:r>
              <w:rPr>
                <w:rFonts w:hint="eastAsia"/>
                <w:sz w:val="21"/>
                <w:szCs w:val="21"/>
              </w:rPr>
              <w:t>10分</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widowControl/>
              <w:spacing w:line="280" w:lineRule="exact"/>
              <w:jc w:val="left"/>
              <w:rPr>
                <w:color w:val="000000"/>
                <w:kern w:val="0"/>
                <w:sz w:val="21"/>
                <w:szCs w:val="21"/>
              </w:rPr>
            </w:pPr>
          </w:p>
        </w:tc>
        <w:tc>
          <w:tcPr>
            <w:tcW w:w="4584" w:type="dxa"/>
            <w:gridSpan w:val="5"/>
            <w:tcBorders>
              <w:top w:val="nil"/>
              <w:left w:val="nil"/>
              <w:bottom w:val="single" w:color="auto" w:sz="4" w:space="0"/>
              <w:right w:val="single" w:color="auto" w:sz="4" w:space="0"/>
            </w:tcBorders>
            <w:noWrap w:val="0"/>
            <w:vAlign w:val="center"/>
          </w:tcPr>
          <w:p>
            <w:pPr>
              <w:widowControl/>
              <w:spacing w:line="280" w:lineRule="exact"/>
              <w:jc w:val="left"/>
              <w:rPr>
                <w:color w:val="000000"/>
                <w:kern w:val="0"/>
                <w:sz w:val="21"/>
                <w:szCs w:val="21"/>
              </w:rPr>
            </w:pPr>
            <w:r>
              <w:rPr>
                <w:color w:val="000000"/>
                <w:kern w:val="0"/>
                <w:sz w:val="21"/>
                <w:szCs w:val="21"/>
              </w:rPr>
              <w:t>按收入性质分：</w:t>
            </w:r>
          </w:p>
        </w:tc>
        <w:tc>
          <w:tcPr>
            <w:tcW w:w="4600" w:type="dxa"/>
            <w:gridSpan w:val="4"/>
            <w:tcBorders>
              <w:top w:val="nil"/>
              <w:left w:val="nil"/>
              <w:bottom w:val="single" w:color="auto" w:sz="4" w:space="0"/>
              <w:right w:val="single" w:color="auto" w:sz="4" w:space="0"/>
            </w:tcBorders>
            <w:noWrap w:val="0"/>
            <w:vAlign w:val="center"/>
          </w:tcPr>
          <w:p>
            <w:pPr>
              <w:widowControl/>
              <w:spacing w:line="280" w:lineRule="exact"/>
              <w:jc w:val="left"/>
              <w:rPr>
                <w:color w:val="000000"/>
                <w:kern w:val="0"/>
                <w:sz w:val="21"/>
                <w:szCs w:val="21"/>
              </w:rPr>
            </w:pPr>
            <w:r>
              <w:rPr>
                <w:color w:val="000000"/>
                <w:kern w:val="0"/>
                <w:sz w:val="21"/>
                <w:szCs w:val="21"/>
              </w:rPr>
              <w:t>按支出性质分：</w:t>
            </w:r>
          </w:p>
        </w:tc>
      </w:tr>
      <w:tr>
        <w:tblPrEx>
          <w:tblCellMar>
            <w:top w:w="0" w:type="dxa"/>
            <w:left w:w="108" w:type="dxa"/>
            <w:bottom w:w="0" w:type="dxa"/>
            <w:right w:w="108" w:type="dxa"/>
          </w:tblCellMar>
        </w:tblPrEx>
        <w:trPr>
          <w:trHeight w:val="275" w:hRule="atLeast"/>
          <w:jc w:val="center"/>
        </w:trPr>
        <w:tc>
          <w:tcPr>
            <w:tcW w:w="1080" w:type="dxa"/>
            <w:vMerge w:val="continue"/>
            <w:tcBorders>
              <w:left w:val="single" w:color="auto" w:sz="4" w:space="0"/>
              <w:right w:val="single" w:color="auto" w:sz="4" w:space="0"/>
            </w:tcBorders>
            <w:noWrap w:val="0"/>
            <w:vAlign w:val="center"/>
          </w:tcPr>
          <w:p>
            <w:pPr>
              <w:widowControl/>
              <w:spacing w:line="280" w:lineRule="exact"/>
              <w:jc w:val="left"/>
              <w:rPr>
                <w:color w:val="000000"/>
                <w:kern w:val="0"/>
                <w:sz w:val="21"/>
                <w:szCs w:val="21"/>
              </w:rPr>
            </w:pPr>
          </w:p>
        </w:tc>
        <w:tc>
          <w:tcPr>
            <w:tcW w:w="4584" w:type="dxa"/>
            <w:gridSpan w:val="5"/>
            <w:tcBorders>
              <w:top w:val="nil"/>
              <w:left w:val="nil"/>
              <w:bottom w:val="single" w:color="auto" w:sz="4" w:space="0"/>
              <w:right w:val="single" w:color="auto" w:sz="4" w:space="0"/>
            </w:tcBorders>
            <w:noWrap w:val="0"/>
            <w:vAlign w:val="center"/>
          </w:tcPr>
          <w:p>
            <w:pPr>
              <w:widowControl/>
              <w:spacing w:line="280" w:lineRule="exact"/>
              <w:jc w:val="left"/>
              <w:rPr>
                <w:rFonts w:hint="default" w:eastAsia="仿宋_GB2312"/>
                <w:color w:val="000000"/>
                <w:kern w:val="0"/>
                <w:sz w:val="21"/>
                <w:szCs w:val="21"/>
                <w:lang w:val="en-US" w:eastAsia="zh-CN"/>
              </w:rPr>
            </w:pPr>
            <w:r>
              <w:rPr>
                <w:color w:val="000000"/>
                <w:kern w:val="0"/>
                <w:sz w:val="21"/>
                <w:szCs w:val="21"/>
              </w:rPr>
              <w:t xml:space="preserve">  其中：  一般公共预算：</w:t>
            </w:r>
            <w:r>
              <w:rPr>
                <w:rFonts w:hint="eastAsia"/>
                <w:color w:val="000000"/>
                <w:kern w:val="0"/>
                <w:sz w:val="21"/>
                <w:szCs w:val="21"/>
                <w:lang w:val="en-US" w:eastAsia="zh-CN"/>
              </w:rPr>
              <w:t>9903.38</w:t>
            </w:r>
          </w:p>
        </w:tc>
        <w:tc>
          <w:tcPr>
            <w:tcW w:w="4600" w:type="dxa"/>
            <w:gridSpan w:val="4"/>
            <w:tcBorders>
              <w:top w:val="nil"/>
              <w:left w:val="nil"/>
              <w:bottom w:val="single" w:color="auto" w:sz="4" w:space="0"/>
              <w:right w:val="single" w:color="auto" w:sz="4" w:space="0"/>
            </w:tcBorders>
            <w:noWrap w:val="0"/>
            <w:vAlign w:val="center"/>
          </w:tcPr>
          <w:p>
            <w:pPr>
              <w:widowControl/>
              <w:spacing w:line="280" w:lineRule="exact"/>
              <w:jc w:val="left"/>
              <w:rPr>
                <w:rFonts w:hint="default" w:eastAsia="仿宋_GB2312"/>
                <w:color w:val="000000"/>
                <w:kern w:val="0"/>
                <w:sz w:val="21"/>
                <w:szCs w:val="21"/>
                <w:lang w:val="en-US" w:eastAsia="zh-CN"/>
              </w:rPr>
            </w:pPr>
            <w:r>
              <w:rPr>
                <w:color w:val="000000"/>
                <w:kern w:val="0"/>
                <w:sz w:val="21"/>
                <w:szCs w:val="21"/>
              </w:rPr>
              <w:t>其中：基本支出：</w:t>
            </w:r>
            <w:r>
              <w:rPr>
                <w:rFonts w:hint="eastAsia"/>
                <w:color w:val="000000"/>
                <w:kern w:val="0"/>
                <w:sz w:val="21"/>
                <w:szCs w:val="21"/>
                <w:lang w:val="en-US" w:eastAsia="zh-CN"/>
              </w:rPr>
              <w:t>7528.72</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widowControl/>
              <w:spacing w:line="280" w:lineRule="exact"/>
              <w:jc w:val="left"/>
              <w:rPr>
                <w:color w:val="000000"/>
                <w:kern w:val="0"/>
                <w:sz w:val="21"/>
                <w:szCs w:val="21"/>
              </w:rPr>
            </w:pPr>
          </w:p>
        </w:tc>
        <w:tc>
          <w:tcPr>
            <w:tcW w:w="4584" w:type="dxa"/>
            <w:gridSpan w:val="5"/>
            <w:tcBorders>
              <w:top w:val="nil"/>
              <w:left w:val="nil"/>
              <w:bottom w:val="single" w:color="auto" w:sz="4" w:space="0"/>
              <w:right w:val="single" w:color="auto" w:sz="4" w:space="0"/>
            </w:tcBorders>
            <w:noWrap w:val="0"/>
            <w:vAlign w:val="center"/>
          </w:tcPr>
          <w:p>
            <w:pPr>
              <w:widowControl/>
              <w:spacing w:line="280" w:lineRule="exact"/>
              <w:ind w:firstLine="840" w:firstLineChars="400"/>
              <w:jc w:val="left"/>
              <w:rPr>
                <w:color w:val="000000"/>
                <w:kern w:val="0"/>
                <w:sz w:val="21"/>
                <w:szCs w:val="21"/>
              </w:rPr>
            </w:pPr>
            <w:r>
              <w:rPr>
                <w:color w:val="000000"/>
                <w:kern w:val="0"/>
                <w:sz w:val="21"/>
                <w:szCs w:val="21"/>
              </w:rPr>
              <w:t>政府性基金拨款：</w:t>
            </w:r>
          </w:p>
        </w:tc>
        <w:tc>
          <w:tcPr>
            <w:tcW w:w="4600" w:type="dxa"/>
            <w:gridSpan w:val="4"/>
            <w:tcBorders>
              <w:top w:val="nil"/>
              <w:left w:val="nil"/>
              <w:bottom w:val="single" w:color="auto" w:sz="4" w:space="0"/>
              <w:right w:val="single" w:color="auto" w:sz="4" w:space="0"/>
            </w:tcBorders>
            <w:noWrap w:val="0"/>
            <w:vAlign w:val="center"/>
          </w:tcPr>
          <w:p>
            <w:pPr>
              <w:widowControl/>
              <w:spacing w:line="280" w:lineRule="exact"/>
              <w:ind w:firstLine="630" w:firstLineChars="300"/>
              <w:jc w:val="left"/>
              <w:rPr>
                <w:rFonts w:hint="default" w:eastAsia="仿宋_GB2312"/>
                <w:color w:val="000000"/>
                <w:kern w:val="0"/>
                <w:sz w:val="21"/>
                <w:szCs w:val="21"/>
                <w:lang w:val="en-US" w:eastAsia="zh-CN"/>
              </w:rPr>
            </w:pPr>
            <w:r>
              <w:rPr>
                <w:color w:val="000000"/>
                <w:kern w:val="0"/>
                <w:sz w:val="21"/>
                <w:szCs w:val="21"/>
              </w:rPr>
              <w:t>项目支出：</w:t>
            </w:r>
            <w:r>
              <w:rPr>
                <w:rFonts w:hint="eastAsia"/>
                <w:color w:val="000000"/>
                <w:kern w:val="0"/>
                <w:sz w:val="21"/>
                <w:szCs w:val="21"/>
                <w:lang w:val="en-US" w:eastAsia="zh-CN"/>
              </w:rPr>
              <w:t>2374.66</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widowControl/>
              <w:spacing w:line="280" w:lineRule="exact"/>
              <w:jc w:val="left"/>
              <w:rPr>
                <w:color w:val="000000"/>
                <w:kern w:val="0"/>
                <w:sz w:val="21"/>
                <w:szCs w:val="21"/>
              </w:rPr>
            </w:pPr>
          </w:p>
        </w:tc>
        <w:tc>
          <w:tcPr>
            <w:tcW w:w="4584" w:type="dxa"/>
            <w:gridSpan w:val="5"/>
            <w:tcBorders>
              <w:top w:val="nil"/>
              <w:left w:val="nil"/>
              <w:bottom w:val="single" w:color="auto" w:sz="4" w:space="0"/>
              <w:right w:val="single" w:color="auto" w:sz="4" w:space="0"/>
            </w:tcBorders>
            <w:noWrap w:val="0"/>
            <w:vAlign w:val="center"/>
          </w:tcPr>
          <w:p>
            <w:pPr>
              <w:widowControl/>
              <w:spacing w:line="280" w:lineRule="exact"/>
              <w:jc w:val="left"/>
              <w:rPr>
                <w:rFonts w:hint="default" w:eastAsia="仿宋_GB2312"/>
                <w:color w:val="000000"/>
                <w:kern w:val="0"/>
                <w:sz w:val="21"/>
                <w:szCs w:val="21"/>
                <w:lang w:val="en-US" w:eastAsia="zh-CN"/>
              </w:rPr>
            </w:pPr>
            <w:r>
              <w:rPr>
                <w:color w:val="000000"/>
                <w:kern w:val="0"/>
                <w:sz w:val="21"/>
                <w:szCs w:val="21"/>
              </w:rPr>
              <w:t>纳入专户管理的非税收入拨款：</w:t>
            </w:r>
          </w:p>
        </w:tc>
        <w:tc>
          <w:tcPr>
            <w:tcW w:w="4600" w:type="dxa"/>
            <w:gridSpan w:val="4"/>
            <w:tcBorders>
              <w:top w:val="nil"/>
              <w:left w:val="nil"/>
              <w:bottom w:val="single" w:color="auto" w:sz="4" w:space="0"/>
              <w:right w:val="single" w:color="auto" w:sz="4" w:space="0"/>
            </w:tcBorders>
            <w:noWrap w:val="0"/>
            <w:vAlign w:val="center"/>
          </w:tcPr>
          <w:p>
            <w:pPr>
              <w:widowControl/>
              <w:spacing w:line="280" w:lineRule="exact"/>
              <w:jc w:val="left"/>
              <w:rPr>
                <w:color w:val="000000"/>
                <w:kern w:val="0"/>
                <w:sz w:val="21"/>
                <w:szCs w:val="21"/>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bottom w:val="single" w:color="auto" w:sz="4" w:space="0"/>
              <w:right w:val="single" w:color="auto" w:sz="4" w:space="0"/>
            </w:tcBorders>
            <w:noWrap w:val="0"/>
            <w:vAlign w:val="center"/>
          </w:tcPr>
          <w:p>
            <w:pPr>
              <w:widowControl/>
              <w:spacing w:line="280" w:lineRule="exact"/>
              <w:jc w:val="left"/>
              <w:rPr>
                <w:color w:val="000000"/>
                <w:kern w:val="0"/>
                <w:sz w:val="21"/>
                <w:szCs w:val="21"/>
              </w:rPr>
            </w:pPr>
          </w:p>
        </w:tc>
        <w:tc>
          <w:tcPr>
            <w:tcW w:w="4584" w:type="dxa"/>
            <w:gridSpan w:val="5"/>
            <w:tcBorders>
              <w:top w:val="nil"/>
              <w:left w:val="nil"/>
              <w:bottom w:val="single" w:color="auto" w:sz="4" w:space="0"/>
              <w:right w:val="single" w:color="auto" w:sz="4" w:space="0"/>
            </w:tcBorders>
            <w:noWrap w:val="0"/>
            <w:vAlign w:val="center"/>
          </w:tcPr>
          <w:p>
            <w:pPr>
              <w:widowControl/>
              <w:spacing w:line="280" w:lineRule="exact"/>
              <w:ind w:firstLine="1470" w:firstLineChars="700"/>
              <w:jc w:val="left"/>
              <w:rPr>
                <w:color w:val="000000"/>
                <w:kern w:val="0"/>
                <w:sz w:val="21"/>
                <w:szCs w:val="21"/>
              </w:rPr>
            </w:pPr>
            <w:r>
              <w:rPr>
                <w:color w:val="000000"/>
                <w:kern w:val="0"/>
                <w:sz w:val="21"/>
                <w:szCs w:val="21"/>
              </w:rPr>
              <w:t>其他资金：</w:t>
            </w:r>
          </w:p>
        </w:tc>
        <w:tc>
          <w:tcPr>
            <w:tcW w:w="4600" w:type="dxa"/>
            <w:gridSpan w:val="4"/>
            <w:tcBorders>
              <w:top w:val="nil"/>
              <w:left w:val="nil"/>
              <w:bottom w:val="single" w:color="auto" w:sz="4" w:space="0"/>
              <w:right w:val="single" w:color="auto" w:sz="4" w:space="0"/>
            </w:tcBorders>
            <w:noWrap w:val="0"/>
            <w:vAlign w:val="center"/>
          </w:tcPr>
          <w:p>
            <w:pPr>
              <w:widowControl/>
              <w:spacing w:line="280" w:lineRule="exact"/>
              <w:jc w:val="left"/>
              <w:rPr>
                <w:color w:val="000000"/>
                <w:kern w:val="0"/>
                <w:sz w:val="21"/>
                <w:szCs w:val="21"/>
              </w:rPr>
            </w:pPr>
          </w:p>
        </w:tc>
      </w:tr>
      <w:tr>
        <w:tblPrEx>
          <w:tblCellMar>
            <w:top w:w="0" w:type="dxa"/>
            <w:left w:w="108" w:type="dxa"/>
            <w:bottom w:w="0" w:type="dxa"/>
            <w:right w:w="108" w:type="dxa"/>
          </w:tblCellMar>
        </w:tblPrEx>
        <w:trPr>
          <w:jc w:val="center"/>
        </w:trPr>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color w:val="000000"/>
                <w:kern w:val="0"/>
                <w:sz w:val="21"/>
                <w:szCs w:val="21"/>
              </w:rPr>
            </w:pPr>
            <w:r>
              <w:rPr>
                <w:color w:val="000000"/>
                <w:kern w:val="0"/>
                <w:sz w:val="21"/>
                <w:szCs w:val="21"/>
              </w:rPr>
              <w:t>年度总体目标</w:t>
            </w:r>
          </w:p>
        </w:tc>
        <w:tc>
          <w:tcPr>
            <w:tcW w:w="4584" w:type="dxa"/>
            <w:gridSpan w:val="5"/>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color w:val="000000"/>
                <w:kern w:val="0"/>
                <w:sz w:val="21"/>
                <w:szCs w:val="21"/>
              </w:rPr>
            </w:pPr>
            <w:r>
              <w:rPr>
                <w:color w:val="000000"/>
                <w:kern w:val="0"/>
                <w:sz w:val="21"/>
                <w:szCs w:val="21"/>
              </w:rPr>
              <w:t>预期目标</w:t>
            </w:r>
          </w:p>
        </w:tc>
        <w:tc>
          <w:tcPr>
            <w:tcW w:w="4600"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color w:val="000000"/>
                <w:kern w:val="0"/>
                <w:sz w:val="21"/>
                <w:szCs w:val="21"/>
              </w:rPr>
            </w:pPr>
            <w:r>
              <w:rPr>
                <w:color w:val="000000"/>
                <w:kern w:val="0"/>
                <w:sz w:val="21"/>
                <w:szCs w:val="21"/>
              </w:rPr>
              <w:t>实际完成情况　</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rPr>
                <w:color w:val="000000"/>
                <w:kern w:val="0"/>
                <w:sz w:val="21"/>
                <w:szCs w:val="21"/>
              </w:rPr>
            </w:pPr>
          </w:p>
        </w:tc>
        <w:tc>
          <w:tcPr>
            <w:tcW w:w="4584"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仿宋" w:cs="Times New Roman"/>
                <w:sz w:val="18"/>
                <w:szCs w:val="18"/>
              </w:rPr>
            </w:pPr>
            <w:r>
              <w:rPr>
                <w:rFonts w:hint="default" w:ascii="Times New Roman" w:hAnsi="Times New Roman" w:eastAsia="仿宋" w:cs="Times New Roman"/>
                <w:sz w:val="18"/>
                <w:szCs w:val="18"/>
              </w:rPr>
              <w:t>目标1：激发市场活力和发展动力，持续深化商事制度改革；维护市场秩序和市场规则，切实促进市场公平竞争；保障市场稳定和消费安全，坚决守住食品、重要工业产商品、特种设备安全底线；助推质量提升和创新引领，积极服务高质量发展；实现高效监管和科学监管，着力转变市场监管方式；加强综合监管和综合执法；夯实监管基础和改革支撑，努力建设高素质干部队伍。</w:t>
            </w:r>
          </w:p>
          <w:p>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仿宋" w:cs="Times New Roman"/>
                <w:sz w:val="18"/>
                <w:szCs w:val="18"/>
              </w:rPr>
            </w:pPr>
            <w:r>
              <w:rPr>
                <w:rFonts w:hint="default" w:ascii="Times New Roman" w:hAnsi="Times New Roman" w:eastAsia="仿宋" w:cs="Times New Roman"/>
                <w:sz w:val="18"/>
                <w:szCs w:val="18"/>
              </w:rPr>
              <w:t>目标2：以发现食品安全问题为导向，落实“双随机”抽检，提高对高风险食品、低合格率食品的抽检频次，加大对农兽药残留、重金属残留、生物毒素污染等指标的抽检力度，有效防控食品安全风险隐患，保障社会公众对食品安全公众满意度达到75分以上；完善和加强“药械化”安全抽检工作，依法组织查处药品、医疗器械、化妆品经营、使用环节违法违规行为。</w:t>
            </w:r>
          </w:p>
          <w:p>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cs="Times New Roman"/>
                <w:color w:val="000000"/>
                <w:kern w:val="0"/>
                <w:sz w:val="18"/>
                <w:szCs w:val="18"/>
              </w:rPr>
            </w:pPr>
            <w:r>
              <w:rPr>
                <w:rFonts w:hint="default" w:ascii="Times New Roman" w:hAnsi="Times New Roman" w:eastAsia="仿宋" w:cs="Times New Roman"/>
                <w:sz w:val="18"/>
                <w:szCs w:val="18"/>
              </w:rPr>
              <w:t>目标3：全市专利申请、发明专利申请保持稳步增长；专利代理率达90%以上，PCT申请8件，同类地区靠前，推进重点发明专利产业化，支持产业化项目13个以上，深化知识产权服务便利化改革。加大地理标志扶贫、商标品牌富农工作力度。全市每万人专利拥有量达到4.1件，专利权质押融资额超过1.83亿元。深入推进知识产权战略，加快建设一批知识产权强市强县强园强企。通过加强执法优化创新经济环境，服务“经济”社会建设。</w:t>
            </w:r>
            <w:r>
              <w:rPr>
                <w:rFonts w:hint="default" w:ascii="Times New Roman" w:hAnsi="Times New Roman" w:cs="Times New Roman"/>
                <w:color w:val="000000"/>
                <w:kern w:val="0"/>
                <w:sz w:val="18"/>
                <w:szCs w:val="18"/>
              </w:rPr>
              <w:t>　　</w:t>
            </w:r>
          </w:p>
        </w:tc>
        <w:tc>
          <w:tcPr>
            <w:tcW w:w="4600"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default" w:ascii="Times New Roman" w:hAnsi="Times New Roman" w:eastAsia="仿宋" w:cs="Times New Roman"/>
                <w:sz w:val="18"/>
                <w:szCs w:val="18"/>
                <w:lang w:val="en-US" w:eastAsia="zh-CN"/>
              </w:rPr>
            </w:pPr>
            <w:r>
              <w:rPr>
                <w:rFonts w:hint="default" w:ascii="Times New Roman" w:hAnsi="Times New Roman" w:eastAsia="仿宋" w:cs="Times New Roman"/>
                <w:sz w:val="18"/>
                <w:szCs w:val="18"/>
              </w:rPr>
              <w:t>目标1：全市</w:t>
            </w:r>
            <w:r>
              <w:rPr>
                <w:rFonts w:hint="default" w:ascii="Times New Roman" w:hAnsi="Times New Roman" w:eastAsia="仿宋" w:cs="Times New Roman"/>
                <w:sz w:val="18"/>
                <w:szCs w:val="18"/>
                <w:lang w:eastAsia="zh-CN"/>
              </w:rPr>
              <w:t>市场主体数发展到38.</w:t>
            </w:r>
            <w:r>
              <w:rPr>
                <w:rFonts w:hint="default" w:ascii="Times New Roman" w:hAnsi="Times New Roman" w:eastAsia="仿宋" w:cs="Times New Roman"/>
                <w:sz w:val="18"/>
                <w:szCs w:val="18"/>
                <w:lang w:val="en-US" w:eastAsia="zh-CN"/>
              </w:rPr>
              <w:t>9</w:t>
            </w:r>
            <w:r>
              <w:rPr>
                <w:rFonts w:hint="default" w:ascii="Times New Roman" w:hAnsi="Times New Roman" w:eastAsia="仿宋" w:cs="Times New Roman"/>
                <w:sz w:val="18"/>
                <w:szCs w:val="18"/>
                <w:lang w:eastAsia="zh-CN"/>
              </w:rPr>
              <w:t>万户，</w:t>
            </w:r>
            <w:r>
              <w:rPr>
                <w:rFonts w:hint="default" w:ascii="Times New Roman" w:hAnsi="Times New Roman" w:eastAsia="仿宋" w:cs="Times New Roman"/>
                <w:sz w:val="18"/>
                <w:szCs w:val="18"/>
                <w:lang w:val="en-US" w:eastAsia="zh-CN"/>
              </w:rPr>
              <w:t>市场主体增长率达到12.6%，</w:t>
            </w:r>
            <w:r>
              <w:rPr>
                <w:rFonts w:hint="default" w:ascii="Times New Roman" w:hAnsi="Times New Roman" w:eastAsia="仿宋" w:cs="Times New Roman"/>
                <w:sz w:val="18"/>
                <w:szCs w:val="18"/>
                <w:lang w:eastAsia="zh-CN"/>
              </w:rPr>
              <w:t>推</w:t>
            </w:r>
            <w:r>
              <w:rPr>
                <w:rFonts w:hint="default" w:ascii="Times New Roman" w:hAnsi="Times New Roman" w:eastAsia="仿宋" w:cs="Times New Roman"/>
                <w:sz w:val="18"/>
                <w:szCs w:val="18"/>
              </w:rPr>
              <w:t>进跨部门“双随机、一公开”监管。市级</w:t>
            </w:r>
            <w:r>
              <w:rPr>
                <w:rFonts w:hint="default" w:ascii="Times New Roman" w:hAnsi="Times New Roman" w:eastAsia="仿宋" w:cs="Times New Roman"/>
                <w:sz w:val="18"/>
                <w:szCs w:val="18"/>
                <w:lang w:eastAsia="zh-CN"/>
              </w:rPr>
              <w:t>联合抽查参与部门由20个增加至36个，区县（市）单位由140个增加至211个，</w:t>
            </w:r>
            <w:r>
              <w:rPr>
                <w:rFonts w:hint="default" w:ascii="Times New Roman" w:hAnsi="Times New Roman" w:eastAsia="仿宋" w:cs="Times New Roman"/>
                <w:sz w:val="18"/>
                <w:szCs w:val="18"/>
                <w:lang w:val="en-US" w:eastAsia="zh-CN"/>
              </w:rPr>
              <w:t>组织实施随抽任务1448项。</w:t>
            </w:r>
            <w:r>
              <w:rPr>
                <w:rFonts w:hint="default" w:ascii="Times New Roman" w:hAnsi="Times New Roman" w:eastAsia="仿宋" w:cs="Times New Roman"/>
                <w:sz w:val="18"/>
                <w:szCs w:val="18"/>
              </w:rPr>
              <w:t>全市市场主体综合年报率</w:t>
            </w:r>
            <w:r>
              <w:rPr>
                <w:rFonts w:hint="default" w:ascii="Times New Roman" w:hAnsi="Times New Roman" w:eastAsia="仿宋" w:cs="Times New Roman"/>
                <w:sz w:val="18"/>
                <w:szCs w:val="18"/>
                <w:lang w:val="en-US" w:eastAsia="zh-CN"/>
              </w:rPr>
              <w:t>达92%。消费者投诉举报受理时间缩短至1.5个工作日，查处侵害消费者权益事件667件，为消费者挽回经济损失942万余元。市局全年共</w:t>
            </w:r>
            <w:r>
              <w:rPr>
                <w:rFonts w:hint="default" w:ascii="Times New Roman" w:hAnsi="Times New Roman" w:eastAsia="仿宋" w:cs="Times New Roman"/>
                <w:sz w:val="18"/>
                <w:szCs w:val="18"/>
              </w:rPr>
              <w:t>立</w:t>
            </w:r>
            <w:r>
              <w:rPr>
                <w:rFonts w:hint="default" w:ascii="Times New Roman" w:hAnsi="Times New Roman" w:eastAsia="仿宋" w:cs="Times New Roman"/>
                <w:sz w:val="18"/>
                <w:szCs w:val="18"/>
                <w:lang w:val="en-US" w:eastAsia="zh-CN"/>
              </w:rPr>
              <w:t>案62件，罚没款1520.68万元，移送公安部门案件9件，入选总局、省局典型案例6</w:t>
            </w:r>
            <w:r>
              <w:rPr>
                <w:rFonts w:hint="default" w:ascii="Times New Roman" w:hAnsi="Times New Roman" w:eastAsia="仿宋" w:cs="Times New Roman"/>
                <w:sz w:val="18"/>
                <w:szCs w:val="18"/>
              </w:rPr>
              <w:t>件。</w:t>
            </w:r>
            <w:r>
              <w:rPr>
                <w:rFonts w:hint="default" w:ascii="Times New Roman" w:hAnsi="Times New Roman" w:eastAsia="仿宋" w:cs="Times New Roman"/>
                <w:sz w:val="18"/>
                <w:szCs w:val="18"/>
                <w:lang w:val="en-US" w:eastAsia="zh-CN"/>
              </w:rPr>
              <w:t>充分利用主流媒体及电梯应急处置公共服务平台等新媒体，建设法治文化宣传栏，拍摄部门普法宣传片。获批2个地方标准制修订项目、1个省级标准化试点示范项目。沅江大头鱼等5个团体标准批准发布。全市有效认证证书2074张，获证组织740家。积极助力蓝天、碧水、净土保卫战，全市产品质量影响生态环境的因素基本消除。</w:t>
            </w:r>
          </w:p>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default" w:ascii="Times New Roman" w:hAnsi="Times New Roman" w:eastAsia="仿宋" w:cs="Times New Roman"/>
                <w:sz w:val="18"/>
                <w:szCs w:val="18"/>
                <w:lang w:val="en-US" w:eastAsia="zh-CN"/>
              </w:rPr>
            </w:pPr>
            <w:r>
              <w:rPr>
                <w:rFonts w:hint="default" w:ascii="Times New Roman" w:hAnsi="Times New Roman" w:eastAsia="仿宋" w:cs="Times New Roman"/>
                <w:sz w:val="18"/>
                <w:szCs w:val="18"/>
              </w:rPr>
              <w:t>目标2.</w:t>
            </w:r>
            <w:r>
              <w:rPr>
                <w:rFonts w:hint="default" w:ascii="Times New Roman" w:hAnsi="Times New Roman" w:eastAsia="仿宋" w:cs="Times New Roman"/>
                <w:sz w:val="18"/>
                <w:szCs w:val="18"/>
                <w:lang w:eastAsia="zh-CN"/>
              </w:rPr>
              <w:t>通过</w:t>
            </w:r>
            <w:r>
              <w:rPr>
                <w:rFonts w:hint="default" w:ascii="Times New Roman" w:hAnsi="Times New Roman" w:eastAsia="仿宋" w:cs="Times New Roman"/>
                <w:sz w:val="18"/>
                <w:szCs w:val="18"/>
                <w:lang w:val="en-US" w:eastAsia="zh-CN"/>
              </w:rPr>
              <w:t>“百日”整治专项检查、夜间突击检查、风险隐患治理“回头看”为主要内容开展了大米质量安全提升行动。</w:t>
            </w:r>
            <w:r>
              <w:rPr>
                <w:rFonts w:hint="default" w:ascii="Times New Roman" w:hAnsi="Times New Roman" w:eastAsia="仿宋" w:cs="Times New Roman"/>
                <w:sz w:val="18"/>
                <w:szCs w:val="18"/>
              </w:rPr>
              <w:t>持续开展“长江禁捕 打非断链”专项行动，</w:t>
            </w:r>
            <w:r>
              <w:rPr>
                <w:rFonts w:hint="default" w:ascii="Times New Roman" w:hAnsi="Times New Roman" w:eastAsia="仿宋" w:cs="Times New Roman"/>
                <w:sz w:val="18"/>
                <w:szCs w:val="18"/>
                <w:lang w:eastAsia="zh-CN"/>
              </w:rPr>
              <w:t>查办</w:t>
            </w:r>
            <w:r>
              <w:rPr>
                <w:rFonts w:hint="default" w:ascii="Times New Roman" w:hAnsi="Times New Roman" w:eastAsia="仿宋" w:cs="Times New Roman"/>
                <w:sz w:val="18"/>
                <w:szCs w:val="18"/>
                <w:lang w:val="en-US" w:eastAsia="zh-CN"/>
              </w:rPr>
              <w:t>案件143件</w:t>
            </w:r>
            <w:r>
              <w:rPr>
                <w:rFonts w:hint="default" w:ascii="Times New Roman" w:hAnsi="Times New Roman" w:eastAsia="仿宋" w:cs="Times New Roman"/>
                <w:sz w:val="18"/>
                <w:szCs w:val="18"/>
              </w:rPr>
              <w:t>，全省排名第一。</w:t>
            </w:r>
            <w:r>
              <w:rPr>
                <w:rFonts w:hint="default" w:ascii="Times New Roman" w:hAnsi="Times New Roman" w:eastAsia="仿宋" w:cs="Times New Roman"/>
                <w:sz w:val="18"/>
                <w:szCs w:val="18"/>
                <w:lang w:val="en-US" w:eastAsia="zh-CN"/>
              </w:rPr>
              <w:t>完成任务食品抽检3800批次，任务完成率100%，检出不合格样品137批次，不合格率3.60%。</w:t>
            </w:r>
            <w:r>
              <w:rPr>
                <w:rFonts w:hint="default" w:ascii="Times New Roman" w:hAnsi="Times New Roman" w:eastAsia="仿宋" w:cs="Times New Roman"/>
                <w:sz w:val="18"/>
                <w:szCs w:val="18"/>
              </w:rPr>
              <w:t>开展文明餐桌行动</w:t>
            </w:r>
            <w:r>
              <w:rPr>
                <w:rFonts w:hint="default" w:ascii="Times New Roman" w:hAnsi="Times New Roman" w:eastAsia="仿宋" w:cs="Times New Roman"/>
                <w:sz w:val="18"/>
                <w:szCs w:val="18"/>
                <w:lang w:eastAsia="zh-CN"/>
              </w:rPr>
              <w:t>，</w:t>
            </w:r>
            <w:r>
              <w:rPr>
                <w:rFonts w:hint="default" w:ascii="Times New Roman" w:hAnsi="Times New Roman" w:eastAsia="仿宋" w:cs="Times New Roman"/>
                <w:sz w:val="18"/>
                <w:szCs w:val="18"/>
              </w:rPr>
              <w:t>免费</w:t>
            </w:r>
            <w:r>
              <w:rPr>
                <w:rFonts w:hint="default" w:ascii="Times New Roman" w:hAnsi="Times New Roman" w:eastAsia="仿宋" w:cs="Times New Roman"/>
                <w:sz w:val="18"/>
                <w:szCs w:val="18"/>
                <w:lang w:eastAsia="zh-CN"/>
              </w:rPr>
              <w:t>下发</w:t>
            </w:r>
            <w:r>
              <w:rPr>
                <w:rFonts w:hint="default" w:ascii="Times New Roman" w:hAnsi="Times New Roman" w:eastAsia="仿宋" w:cs="Times New Roman"/>
                <w:sz w:val="18"/>
                <w:szCs w:val="18"/>
                <w:lang w:val="en-US" w:eastAsia="zh-CN"/>
              </w:rPr>
              <w:t>10万双</w:t>
            </w:r>
            <w:r>
              <w:rPr>
                <w:rFonts w:hint="default" w:ascii="Times New Roman" w:hAnsi="Times New Roman" w:eastAsia="仿宋" w:cs="Times New Roman"/>
                <w:sz w:val="18"/>
                <w:szCs w:val="18"/>
                <w:lang w:eastAsia="zh-CN"/>
              </w:rPr>
              <w:t>公筷，评选“文明餐桌行动”示范单</w:t>
            </w:r>
            <w:r>
              <w:rPr>
                <w:rFonts w:hint="default" w:ascii="Times New Roman" w:hAnsi="Times New Roman" w:eastAsia="仿宋" w:cs="Times New Roman"/>
                <w:sz w:val="18"/>
                <w:szCs w:val="18"/>
                <w:lang w:val="en-US" w:eastAsia="zh-CN"/>
              </w:rPr>
              <w:t>位15家</w:t>
            </w:r>
            <w:r>
              <w:rPr>
                <w:rFonts w:hint="default" w:ascii="Times New Roman" w:hAnsi="Times New Roman" w:eastAsia="仿宋" w:cs="Times New Roman"/>
                <w:sz w:val="18"/>
                <w:szCs w:val="18"/>
                <w:lang w:eastAsia="zh-CN"/>
              </w:rPr>
              <w:t>。</w:t>
            </w:r>
            <w:r>
              <w:rPr>
                <w:rFonts w:hint="default" w:ascii="Times New Roman" w:hAnsi="Times New Roman" w:eastAsia="仿宋" w:cs="Times New Roman"/>
                <w:sz w:val="18"/>
                <w:szCs w:val="18"/>
                <w:lang w:val="en-US" w:eastAsia="zh-CN"/>
              </w:rPr>
              <w:t>出台了《促进黑茶产业高质量发展的实施意见（试行）》，建立促进黑茶产业高质量发展工作协调机制，在市食安委的统一领导下开展工作。全市黑茶被抽检525批次。进口冷链食品出入仓508批次、8058.18吨，核酸采样检测样品22200管。完成药品抽验219批次、化妆品抽验84批次、医疗器械抽验30批次。</w:t>
            </w:r>
          </w:p>
          <w:p>
            <w:pPr>
              <w:keepNext w:val="0"/>
              <w:keepLines w:val="0"/>
              <w:pageBreakBefore w:val="0"/>
              <w:widowControl/>
              <w:kinsoku/>
              <w:wordWrap/>
              <w:overflowPunct/>
              <w:topLinePunct w:val="0"/>
              <w:autoSpaceDE/>
              <w:autoSpaceDN/>
              <w:bidi w:val="0"/>
              <w:adjustRightInd/>
              <w:snapToGrid/>
              <w:spacing w:line="240" w:lineRule="exact"/>
              <w:rPr>
                <w:rFonts w:hint="default" w:ascii="Times New Roman" w:hAnsi="Times New Roman" w:cs="Times New Roman"/>
                <w:color w:val="000000"/>
                <w:kern w:val="0"/>
                <w:sz w:val="18"/>
                <w:szCs w:val="18"/>
              </w:rPr>
            </w:pPr>
            <w:r>
              <w:rPr>
                <w:rFonts w:hint="default" w:ascii="Times New Roman" w:hAnsi="Times New Roman" w:eastAsia="仿宋" w:cs="Times New Roman"/>
                <w:sz w:val="18"/>
                <w:szCs w:val="18"/>
              </w:rPr>
              <w:t>目标3：</w:t>
            </w:r>
            <w:r>
              <w:rPr>
                <w:rFonts w:hint="default" w:ascii="Times New Roman" w:hAnsi="Times New Roman" w:eastAsia="仿宋" w:cs="Times New Roman"/>
                <w:sz w:val="18"/>
                <w:szCs w:val="18"/>
                <w:lang w:eastAsia="zh-CN"/>
              </w:rPr>
              <w:t>全市有效发</w:t>
            </w:r>
            <w:r>
              <w:rPr>
                <w:rFonts w:hint="default" w:ascii="Times New Roman" w:hAnsi="Times New Roman" w:eastAsia="仿宋" w:cs="Times New Roman"/>
                <w:sz w:val="18"/>
                <w:szCs w:val="18"/>
                <w:lang w:val="en-US" w:eastAsia="zh-CN"/>
              </w:rPr>
              <w:t>明专利1955件</w:t>
            </w:r>
            <w:r>
              <w:rPr>
                <w:rFonts w:hint="default" w:ascii="Times New Roman" w:hAnsi="Times New Roman" w:eastAsia="仿宋" w:cs="Times New Roman"/>
                <w:sz w:val="18"/>
                <w:szCs w:val="18"/>
                <w:lang w:eastAsia="zh-CN"/>
              </w:rPr>
              <w:t>，每万人有效发明专利拥有</w:t>
            </w:r>
            <w:r>
              <w:rPr>
                <w:rFonts w:hint="default" w:ascii="Times New Roman" w:hAnsi="Times New Roman" w:eastAsia="仿宋" w:cs="Times New Roman"/>
                <w:sz w:val="18"/>
                <w:szCs w:val="18"/>
                <w:lang w:val="en-US" w:eastAsia="zh-CN"/>
              </w:rPr>
              <w:t>量5.04件</w:t>
            </w:r>
            <w:r>
              <w:rPr>
                <w:rFonts w:hint="default" w:ascii="Times New Roman" w:hAnsi="Times New Roman" w:eastAsia="仿宋" w:cs="Times New Roman"/>
                <w:sz w:val="18"/>
                <w:szCs w:val="18"/>
                <w:lang w:eastAsia="zh-CN"/>
              </w:rPr>
              <w:t>，列全省第一方阵。高新区发明专利数、人均拥有量均居全市第一。全市商标专用权质押融资金额累计达</w:t>
            </w:r>
            <w:r>
              <w:rPr>
                <w:rFonts w:hint="default" w:ascii="Times New Roman" w:hAnsi="Times New Roman" w:eastAsia="仿宋" w:cs="Times New Roman"/>
                <w:sz w:val="18"/>
                <w:szCs w:val="18"/>
                <w:lang w:val="en-US" w:eastAsia="zh-CN"/>
              </w:rPr>
              <w:t>48.68亿</w:t>
            </w:r>
            <w:r>
              <w:rPr>
                <w:rFonts w:hint="default" w:ascii="Times New Roman" w:hAnsi="Times New Roman" w:eastAsia="仿宋" w:cs="Times New Roman"/>
                <w:sz w:val="18"/>
                <w:szCs w:val="18"/>
                <w:lang w:eastAsia="zh-CN"/>
              </w:rPr>
              <w:t>元，居全省第一。拥有国家地理标志保护产品、商</w:t>
            </w:r>
            <w:r>
              <w:rPr>
                <w:rFonts w:hint="default" w:ascii="Times New Roman" w:hAnsi="Times New Roman" w:eastAsia="仿宋" w:cs="Times New Roman"/>
                <w:sz w:val="18"/>
                <w:szCs w:val="18"/>
                <w:lang w:val="en-US" w:eastAsia="zh-CN"/>
              </w:rPr>
              <w:t>标25</w:t>
            </w:r>
            <w:r>
              <w:rPr>
                <w:rFonts w:hint="default" w:ascii="Times New Roman" w:hAnsi="Times New Roman" w:eastAsia="仿宋" w:cs="Times New Roman"/>
                <w:sz w:val="18"/>
                <w:szCs w:val="18"/>
                <w:lang w:eastAsia="zh-CN"/>
              </w:rPr>
              <w:t>个。地理标志使用企</w:t>
            </w:r>
            <w:r>
              <w:rPr>
                <w:rFonts w:hint="default" w:ascii="Times New Roman" w:hAnsi="Times New Roman" w:eastAsia="仿宋" w:cs="Times New Roman"/>
                <w:sz w:val="18"/>
                <w:szCs w:val="18"/>
                <w:lang w:val="en-US" w:eastAsia="zh-CN"/>
              </w:rPr>
              <w:t>业292家，居</w:t>
            </w:r>
            <w:r>
              <w:rPr>
                <w:rFonts w:hint="default" w:ascii="Times New Roman" w:hAnsi="Times New Roman" w:eastAsia="仿宋" w:cs="Times New Roman"/>
                <w:sz w:val="18"/>
                <w:szCs w:val="18"/>
                <w:lang w:eastAsia="zh-CN"/>
              </w:rPr>
              <w:t>全省第一。全市国家知识产权示范企业</w:t>
            </w:r>
            <w:r>
              <w:rPr>
                <w:rFonts w:hint="default" w:ascii="Times New Roman" w:hAnsi="Times New Roman" w:eastAsia="仿宋" w:cs="Times New Roman"/>
                <w:sz w:val="18"/>
                <w:szCs w:val="18"/>
                <w:lang w:val="en-US" w:eastAsia="zh-CN"/>
              </w:rPr>
              <w:t>3家</w:t>
            </w:r>
            <w:r>
              <w:rPr>
                <w:rFonts w:hint="default" w:ascii="Times New Roman" w:hAnsi="Times New Roman" w:eastAsia="仿宋" w:cs="Times New Roman"/>
                <w:sz w:val="18"/>
                <w:szCs w:val="18"/>
                <w:lang w:eastAsia="zh-CN"/>
              </w:rPr>
              <w:t>，优势企</w:t>
            </w:r>
            <w:r>
              <w:rPr>
                <w:rFonts w:hint="default" w:ascii="Times New Roman" w:hAnsi="Times New Roman" w:eastAsia="仿宋" w:cs="Times New Roman"/>
                <w:sz w:val="18"/>
                <w:szCs w:val="18"/>
                <w:lang w:val="en-US" w:eastAsia="zh-CN"/>
              </w:rPr>
              <w:t>业31家</w:t>
            </w:r>
            <w:r>
              <w:rPr>
                <w:rFonts w:hint="default" w:ascii="Times New Roman" w:hAnsi="Times New Roman" w:eastAsia="仿宋" w:cs="Times New Roman"/>
                <w:sz w:val="18"/>
                <w:szCs w:val="18"/>
                <w:lang w:eastAsia="zh-CN"/>
              </w:rPr>
              <w:t>，位列全省第二。开展的竹凉席行业知识产权强链护链工作，入围全国知识产权强国建设典型案例。</w:t>
            </w:r>
          </w:p>
        </w:tc>
      </w:tr>
      <w:tr>
        <w:tblPrEx>
          <w:tblCellMar>
            <w:top w:w="0" w:type="dxa"/>
            <w:left w:w="108" w:type="dxa"/>
            <w:bottom w:w="0" w:type="dxa"/>
            <w:right w:w="108" w:type="dxa"/>
          </w:tblCellMar>
        </w:tblPrEx>
        <w:trPr>
          <w:jc w:val="center"/>
        </w:trPr>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color w:val="000000"/>
                <w:kern w:val="0"/>
                <w:sz w:val="21"/>
                <w:szCs w:val="21"/>
              </w:rPr>
            </w:pPr>
            <w:r>
              <w:rPr>
                <w:color w:val="000000"/>
                <w:kern w:val="0"/>
                <w:sz w:val="21"/>
                <w:szCs w:val="21"/>
              </w:rPr>
              <w:t>绩</w:t>
            </w:r>
          </w:p>
          <w:p>
            <w:pPr>
              <w:widowControl/>
              <w:spacing w:line="280" w:lineRule="exact"/>
              <w:jc w:val="center"/>
              <w:rPr>
                <w:color w:val="000000"/>
                <w:kern w:val="0"/>
                <w:sz w:val="21"/>
                <w:szCs w:val="21"/>
              </w:rPr>
            </w:pPr>
            <w:r>
              <w:rPr>
                <w:color w:val="000000"/>
                <w:kern w:val="0"/>
                <w:sz w:val="21"/>
                <w:szCs w:val="21"/>
              </w:rPr>
              <w:t>效</w:t>
            </w:r>
          </w:p>
          <w:p>
            <w:pPr>
              <w:widowControl/>
              <w:spacing w:line="280" w:lineRule="exact"/>
              <w:jc w:val="center"/>
              <w:rPr>
                <w:color w:val="000000"/>
                <w:kern w:val="0"/>
                <w:sz w:val="21"/>
                <w:szCs w:val="21"/>
              </w:rPr>
            </w:pPr>
            <w:r>
              <w:rPr>
                <w:color w:val="000000"/>
                <w:kern w:val="0"/>
                <w:sz w:val="21"/>
                <w:szCs w:val="21"/>
              </w:rPr>
              <w:t>指</w:t>
            </w:r>
          </w:p>
          <w:p>
            <w:pPr>
              <w:widowControl/>
              <w:spacing w:line="280" w:lineRule="exact"/>
              <w:jc w:val="center"/>
              <w:rPr>
                <w:color w:val="000000"/>
                <w:kern w:val="0"/>
                <w:sz w:val="21"/>
                <w:szCs w:val="21"/>
              </w:rPr>
            </w:pPr>
            <w:r>
              <w:rPr>
                <w:color w:val="000000"/>
                <w:kern w:val="0"/>
                <w:sz w:val="21"/>
                <w:szCs w:val="21"/>
              </w:rPr>
              <w:t>标</w:t>
            </w:r>
          </w:p>
          <w:p>
            <w:pPr>
              <w:widowControl/>
              <w:spacing w:line="280" w:lineRule="exact"/>
              <w:jc w:val="center"/>
              <w:rPr>
                <w:color w:val="000000"/>
                <w:kern w:val="0"/>
                <w:sz w:val="21"/>
                <w:szCs w:val="21"/>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color w:val="000000"/>
                <w:kern w:val="0"/>
                <w:sz w:val="21"/>
                <w:szCs w:val="21"/>
              </w:rPr>
            </w:pPr>
            <w:r>
              <w:rPr>
                <w:color w:val="000000"/>
                <w:kern w:val="0"/>
                <w:sz w:val="21"/>
                <w:szCs w:val="21"/>
              </w:rPr>
              <w:t>一级指标</w:t>
            </w:r>
          </w:p>
        </w:tc>
        <w:tc>
          <w:tcPr>
            <w:tcW w:w="95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color w:val="000000"/>
                <w:kern w:val="0"/>
                <w:sz w:val="21"/>
                <w:szCs w:val="21"/>
              </w:rPr>
            </w:pPr>
            <w:r>
              <w:rPr>
                <w:color w:val="000000"/>
                <w:kern w:val="0"/>
                <w:sz w:val="21"/>
                <w:szCs w:val="21"/>
              </w:rPr>
              <w:t>二级指标</w:t>
            </w:r>
          </w:p>
        </w:tc>
        <w:tc>
          <w:tcPr>
            <w:tcW w:w="1351"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color w:val="000000"/>
                <w:kern w:val="0"/>
                <w:sz w:val="21"/>
                <w:szCs w:val="21"/>
              </w:rPr>
            </w:pPr>
            <w:r>
              <w:rPr>
                <w:color w:val="000000"/>
                <w:kern w:val="0"/>
                <w:sz w:val="21"/>
                <w:szCs w:val="21"/>
              </w:rPr>
              <w:t>三级指标</w:t>
            </w:r>
          </w:p>
        </w:tc>
        <w:tc>
          <w:tcPr>
            <w:tcW w:w="120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color w:val="000000"/>
                <w:kern w:val="0"/>
                <w:sz w:val="21"/>
                <w:szCs w:val="21"/>
              </w:rPr>
            </w:pPr>
            <w:r>
              <w:rPr>
                <w:color w:val="000000"/>
                <w:kern w:val="0"/>
                <w:sz w:val="21"/>
                <w:szCs w:val="21"/>
              </w:rPr>
              <w:t>年度</w:t>
            </w:r>
          </w:p>
          <w:p>
            <w:pPr>
              <w:widowControl/>
              <w:spacing w:line="280" w:lineRule="exact"/>
              <w:jc w:val="center"/>
              <w:rPr>
                <w:color w:val="000000"/>
                <w:kern w:val="0"/>
                <w:sz w:val="21"/>
                <w:szCs w:val="21"/>
              </w:rPr>
            </w:pPr>
            <w:r>
              <w:rPr>
                <w:color w:val="000000"/>
                <w:kern w:val="0"/>
                <w:sz w:val="21"/>
                <w:szCs w:val="21"/>
              </w:rPr>
              <w:t>指标值</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rPr>
                <w:color w:val="000000"/>
                <w:kern w:val="0"/>
                <w:sz w:val="21"/>
                <w:szCs w:val="21"/>
              </w:rPr>
            </w:pPr>
            <w:r>
              <w:rPr>
                <w:color w:val="000000"/>
                <w:kern w:val="0"/>
                <w:sz w:val="21"/>
                <w:szCs w:val="21"/>
              </w:rPr>
              <w:t>实际完成值</w:t>
            </w:r>
          </w:p>
        </w:tc>
        <w:tc>
          <w:tcPr>
            <w:tcW w:w="812"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color w:val="000000"/>
                <w:kern w:val="0"/>
                <w:sz w:val="21"/>
                <w:szCs w:val="21"/>
              </w:rPr>
            </w:pPr>
            <w:r>
              <w:rPr>
                <w:color w:val="000000"/>
                <w:kern w:val="0"/>
                <w:sz w:val="21"/>
                <w:szCs w:val="21"/>
              </w:rPr>
              <w:t>分值</w:t>
            </w:r>
          </w:p>
        </w:tc>
        <w:tc>
          <w:tcPr>
            <w:tcW w:w="889"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color w:val="000000"/>
                <w:kern w:val="0"/>
                <w:sz w:val="21"/>
                <w:szCs w:val="21"/>
              </w:rPr>
            </w:pPr>
            <w:r>
              <w:rPr>
                <w:color w:val="000000"/>
                <w:kern w:val="0"/>
                <w:sz w:val="21"/>
                <w:szCs w:val="21"/>
              </w:rPr>
              <w:t>得分</w:t>
            </w:r>
          </w:p>
        </w:tc>
        <w:tc>
          <w:tcPr>
            <w:tcW w:w="162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color w:val="000000"/>
                <w:kern w:val="0"/>
                <w:sz w:val="21"/>
                <w:szCs w:val="21"/>
              </w:rPr>
            </w:pPr>
            <w:r>
              <w:rPr>
                <w:color w:val="000000"/>
                <w:kern w:val="0"/>
                <w:sz w:val="21"/>
                <w:szCs w:val="21"/>
              </w:rPr>
              <w:t>偏差原因分析及改进措施</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rPr>
                <w:color w:val="000000"/>
                <w:kern w:val="0"/>
                <w:sz w:val="21"/>
                <w:szCs w:val="21"/>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color w:val="000000"/>
                <w:kern w:val="0"/>
                <w:sz w:val="21"/>
                <w:szCs w:val="21"/>
              </w:rPr>
            </w:pPr>
            <w:r>
              <w:rPr>
                <w:color w:val="000000"/>
                <w:kern w:val="0"/>
                <w:sz w:val="21"/>
                <w:szCs w:val="21"/>
              </w:rPr>
              <w:t>产出指标</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color w:val="000000"/>
                <w:kern w:val="0"/>
                <w:sz w:val="21"/>
                <w:szCs w:val="21"/>
              </w:rPr>
            </w:pP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color w:val="000000"/>
                <w:kern w:val="0"/>
                <w:sz w:val="21"/>
                <w:szCs w:val="21"/>
              </w:rPr>
            </w:pPr>
            <w:r>
              <w:rPr>
                <w:color w:val="000000"/>
                <w:kern w:val="0"/>
                <w:sz w:val="21"/>
                <w:szCs w:val="21"/>
              </w:rPr>
              <w:t>(50分)</w:t>
            </w:r>
          </w:p>
        </w:tc>
        <w:tc>
          <w:tcPr>
            <w:tcW w:w="953"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color w:val="000000"/>
                <w:kern w:val="0"/>
                <w:sz w:val="21"/>
                <w:szCs w:val="21"/>
              </w:rPr>
            </w:pPr>
            <w:r>
              <w:rPr>
                <w:color w:val="000000"/>
                <w:kern w:val="0"/>
                <w:sz w:val="21"/>
                <w:szCs w:val="21"/>
              </w:rPr>
              <w:t>数量</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color w:val="000000"/>
                <w:kern w:val="0"/>
                <w:sz w:val="21"/>
                <w:szCs w:val="21"/>
              </w:rPr>
            </w:pPr>
            <w:r>
              <w:rPr>
                <w:color w:val="000000"/>
                <w:kern w:val="0"/>
                <w:sz w:val="21"/>
                <w:szCs w:val="21"/>
              </w:rPr>
              <w:t>指标</w:t>
            </w:r>
          </w:p>
        </w:tc>
        <w:tc>
          <w:tcPr>
            <w:tcW w:w="135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color w:val="000000"/>
                <w:kern w:val="0"/>
                <w:sz w:val="21"/>
                <w:szCs w:val="21"/>
              </w:rPr>
            </w:pPr>
            <w:r>
              <w:rPr>
                <w:rFonts w:hint="eastAsia"/>
                <w:color w:val="000000"/>
                <w:kern w:val="0"/>
                <w:sz w:val="21"/>
                <w:szCs w:val="21"/>
                <w:lang w:eastAsia="zh-CN"/>
              </w:rPr>
              <w:t>开展</w:t>
            </w:r>
            <w:r>
              <w:rPr>
                <w:rFonts w:hint="eastAsia"/>
                <w:color w:val="000000"/>
                <w:kern w:val="0"/>
                <w:sz w:val="21"/>
                <w:szCs w:val="21"/>
              </w:rPr>
              <w:t>“双随机、一公开”抽查</w:t>
            </w:r>
            <w:r>
              <w:rPr>
                <w:rFonts w:hint="eastAsia"/>
                <w:color w:val="000000"/>
                <w:kern w:val="0"/>
                <w:sz w:val="21"/>
                <w:szCs w:val="21"/>
                <w:lang w:eastAsia="zh-CN"/>
              </w:rPr>
              <w:t>工作</w:t>
            </w:r>
            <w:r>
              <w:rPr>
                <w:rFonts w:hint="eastAsia"/>
                <w:color w:val="000000"/>
                <w:kern w:val="0"/>
                <w:sz w:val="21"/>
                <w:szCs w:val="21"/>
              </w:rPr>
              <w:t>数</w:t>
            </w:r>
          </w:p>
        </w:tc>
        <w:tc>
          <w:tcPr>
            <w:tcW w:w="12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eastAsia="仿宋_GB2312"/>
                <w:color w:val="000000"/>
                <w:kern w:val="0"/>
                <w:sz w:val="21"/>
                <w:szCs w:val="21"/>
                <w:lang w:val="en-US" w:eastAsia="zh-CN"/>
              </w:rPr>
            </w:pPr>
            <w:r>
              <w:rPr>
                <w:rFonts w:hint="eastAsia"/>
                <w:color w:val="000000"/>
                <w:kern w:val="0"/>
                <w:sz w:val="21"/>
                <w:szCs w:val="21"/>
              </w:rPr>
              <w:t>≧1</w:t>
            </w:r>
            <w:r>
              <w:rPr>
                <w:rFonts w:hint="eastAsia"/>
                <w:color w:val="000000"/>
                <w:kern w:val="0"/>
                <w:sz w:val="21"/>
                <w:szCs w:val="21"/>
                <w:lang w:val="en-US" w:eastAsia="zh-CN"/>
              </w:rPr>
              <w:t>100个</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eastAsia="仿宋_GB2312"/>
                <w:color w:val="000000"/>
                <w:kern w:val="0"/>
                <w:sz w:val="21"/>
                <w:szCs w:val="21"/>
                <w:lang w:val="en-US" w:eastAsia="zh-CN"/>
              </w:rPr>
            </w:pPr>
            <w:r>
              <w:rPr>
                <w:rFonts w:hint="eastAsia"/>
                <w:color w:val="000000"/>
                <w:kern w:val="0"/>
                <w:sz w:val="21"/>
                <w:szCs w:val="21"/>
                <w:lang w:val="en-US" w:eastAsia="zh-CN"/>
              </w:rPr>
              <w:t>1448个</w:t>
            </w:r>
          </w:p>
        </w:tc>
        <w:tc>
          <w:tcPr>
            <w:tcW w:w="8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eastAsia="仿宋_GB2312"/>
                <w:color w:val="000000"/>
                <w:kern w:val="0"/>
                <w:sz w:val="21"/>
                <w:szCs w:val="21"/>
                <w:lang w:val="en-US" w:eastAsia="zh-CN"/>
              </w:rPr>
            </w:pPr>
            <w:r>
              <w:rPr>
                <w:rFonts w:hint="eastAsia"/>
                <w:color w:val="000000"/>
                <w:kern w:val="0"/>
                <w:sz w:val="21"/>
                <w:szCs w:val="21"/>
                <w:lang w:val="en-US" w:eastAsia="zh-CN"/>
              </w:rPr>
              <w:t>5</w:t>
            </w:r>
          </w:p>
        </w:tc>
        <w:tc>
          <w:tcPr>
            <w:tcW w:w="8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eastAsia="仿宋_GB2312"/>
                <w:color w:val="000000"/>
                <w:kern w:val="0"/>
                <w:sz w:val="21"/>
                <w:szCs w:val="21"/>
                <w:lang w:val="en-US" w:eastAsia="zh-CN"/>
              </w:rPr>
            </w:pPr>
            <w:r>
              <w:rPr>
                <w:rFonts w:hint="eastAsia"/>
                <w:color w:val="000000"/>
                <w:kern w:val="0"/>
                <w:sz w:val="21"/>
                <w:szCs w:val="21"/>
                <w:lang w:val="en-US" w:eastAsia="zh-CN"/>
              </w:rPr>
              <w:t>4</w:t>
            </w:r>
          </w:p>
        </w:tc>
        <w:tc>
          <w:tcPr>
            <w:tcW w:w="16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color w:val="000000"/>
                <w:kern w:val="0"/>
                <w:sz w:val="21"/>
                <w:szCs w:val="21"/>
              </w:rPr>
            </w:pPr>
            <w:r>
              <w:rPr>
                <w:rFonts w:hint="eastAsia"/>
                <w:color w:val="000000"/>
                <w:kern w:val="0"/>
                <w:sz w:val="21"/>
                <w:szCs w:val="21"/>
                <w:lang w:eastAsia="zh-CN"/>
              </w:rPr>
              <w:t>此项指标描述可以更详细</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rPr>
                <w:color w:val="000000"/>
                <w:kern w:val="0"/>
                <w:sz w:val="21"/>
                <w:szCs w:val="21"/>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color w:val="000000"/>
                <w:kern w:val="0"/>
                <w:sz w:val="21"/>
                <w:szCs w:val="21"/>
              </w:rPr>
            </w:pPr>
          </w:p>
        </w:tc>
        <w:tc>
          <w:tcPr>
            <w:tcW w:w="95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color w:val="000000"/>
                <w:kern w:val="0"/>
                <w:sz w:val="21"/>
                <w:szCs w:val="21"/>
              </w:rPr>
            </w:pPr>
          </w:p>
        </w:tc>
        <w:tc>
          <w:tcPr>
            <w:tcW w:w="135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color w:val="000000"/>
                <w:kern w:val="0"/>
                <w:sz w:val="21"/>
                <w:szCs w:val="21"/>
              </w:rPr>
            </w:pPr>
            <w:r>
              <w:rPr>
                <w:rFonts w:hint="eastAsia" w:eastAsia="仿宋" w:cs="仿宋"/>
                <w:sz w:val="21"/>
                <w:szCs w:val="21"/>
              </w:rPr>
              <w:t>食品安全监督抽检批次</w:t>
            </w:r>
          </w:p>
        </w:tc>
        <w:tc>
          <w:tcPr>
            <w:tcW w:w="12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eastAsia="仿宋_GB2312"/>
                <w:color w:val="000000"/>
                <w:kern w:val="0"/>
                <w:sz w:val="21"/>
                <w:szCs w:val="21"/>
                <w:lang w:val="en-US" w:eastAsia="zh-CN"/>
              </w:rPr>
            </w:pPr>
            <w:r>
              <w:rPr>
                <w:rFonts w:hint="eastAsia"/>
                <w:color w:val="000000"/>
                <w:kern w:val="0"/>
                <w:sz w:val="21"/>
                <w:szCs w:val="21"/>
              </w:rPr>
              <w:t>≧</w:t>
            </w:r>
            <w:r>
              <w:rPr>
                <w:rFonts w:hint="eastAsia"/>
                <w:color w:val="000000"/>
                <w:kern w:val="0"/>
                <w:sz w:val="21"/>
                <w:szCs w:val="21"/>
                <w:lang w:val="en-US" w:eastAsia="zh-CN"/>
              </w:rPr>
              <w:t>3500批次</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eastAsia="仿宋_GB2312"/>
                <w:color w:val="000000"/>
                <w:kern w:val="0"/>
                <w:sz w:val="21"/>
                <w:szCs w:val="21"/>
                <w:lang w:val="en-US" w:eastAsia="zh-CN"/>
              </w:rPr>
            </w:pPr>
            <w:r>
              <w:rPr>
                <w:rFonts w:hint="eastAsia"/>
                <w:color w:val="000000"/>
                <w:kern w:val="0"/>
                <w:sz w:val="21"/>
                <w:szCs w:val="21"/>
                <w:lang w:val="en-US" w:eastAsia="zh-CN"/>
              </w:rPr>
              <w:t>3801批次</w:t>
            </w:r>
          </w:p>
        </w:tc>
        <w:tc>
          <w:tcPr>
            <w:tcW w:w="8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eastAsia="仿宋_GB2312"/>
                <w:color w:val="000000"/>
                <w:kern w:val="0"/>
                <w:sz w:val="21"/>
                <w:szCs w:val="21"/>
                <w:lang w:val="en-US" w:eastAsia="zh-CN"/>
              </w:rPr>
            </w:pPr>
            <w:r>
              <w:rPr>
                <w:rFonts w:hint="eastAsia"/>
                <w:color w:val="000000"/>
                <w:kern w:val="0"/>
                <w:sz w:val="21"/>
                <w:szCs w:val="21"/>
                <w:lang w:val="en-US" w:eastAsia="zh-CN"/>
              </w:rPr>
              <w:t>5</w:t>
            </w:r>
          </w:p>
        </w:tc>
        <w:tc>
          <w:tcPr>
            <w:tcW w:w="8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eastAsia="仿宋_GB2312"/>
                <w:color w:val="000000"/>
                <w:kern w:val="0"/>
                <w:sz w:val="21"/>
                <w:szCs w:val="21"/>
                <w:lang w:val="en-US" w:eastAsia="zh-CN"/>
              </w:rPr>
            </w:pPr>
            <w:r>
              <w:rPr>
                <w:rFonts w:hint="eastAsia"/>
                <w:color w:val="000000"/>
                <w:kern w:val="0"/>
                <w:sz w:val="21"/>
                <w:szCs w:val="21"/>
                <w:lang w:val="en-US" w:eastAsia="zh-CN"/>
              </w:rPr>
              <w:t>5</w:t>
            </w:r>
          </w:p>
        </w:tc>
        <w:tc>
          <w:tcPr>
            <w:tcW w:w="16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color w:val="000000"/>
                <w:kern w:val="0"/>
                <w:sz w:val="21"/>
                <w:szCs w:val="21"/>
              </w:rPr>
            </w:pPr>
            <w:r>
              <w:rPr>
                <w:color w:val="000000"/>
                <w:kern w:val="0"/>
                <w:sz w:val="21"/>
                <w:szCs w:val="21"/>
              </w:rPr>
              <w:t>　</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rPr>
                <w:color w:val="000000"/>
                <w:kern w:val="0"/>
                <w:sz w:val="21"/>
                <w:szCs w:val="21"/>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color w:val="000000"/>
                <w:kern w:val="0"/>
                <w:sz w:val="21"/>
                <w:szCs w:val="21"/>
              </w:rPr>
            </w:pPr>
          </w:p>
        </w:tc>
        <w:tc>
          <w:tcPr>
            <w:tcW w:w="95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color w:val="000000"/>
                <w:kern w:val="0"/>
                <w:sz w:val="21"/>
                <w:szCs w:val="21"/>
              </w:rPr>
            </w:pPr>
          </w:p>
        </w:tc>
        <w:tc>
          <w:tcPr>
            <w:tcW w:w="135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color w:val="000000"/>
                <w:kern w:val="0"/>
                <w:sz w:val="21"/>
                <w:szCs w:val="21"/>
              </w:rPr>
            </w:pPr>
            <w:r>
              <w:rPr>
                <w:rFonts w:hint="eastAsia"/>
                <w:color w:val="000000"/>
                <w:kern w:val="0"/>
                <w:sz w:val="21"/>
                <w:szCs w:val="21"/>
              </w:rPr>
              <w:t>市本级产商品抽检批次</w:t>
            </w:r>
          </w:p>
        </w:tc>
        <w:tc>
          <w:tcPr>
            <w:tcW w:w="12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color w:val="000000"/>
                <w:kern w:val="0"/>
                <w:sz w:val="21"/>
                <w:szCs w:val="21"/>
              </w:rPr>
            </w:pPr>
            <w:r>
              <w:rPr>
                <w:rFonts w:hint="eastAsia"/>
                <w:color w:val="000000"/>
                <w:kern w:val="0"/>
                <w:sz w:val="21"/>
                <w:szCs w:val="21"/>
              </w:rPr>
              <w:t>≥</w:t>
            </w:r>
            <w:r>
              <w:rPr>
                <w:rFonts w:hint="eastAsia"/>
                <w:color w:val="000000"/>
                <w:kern w:val="0"/>
                <w:sz w:val="21"/>
                <w:szCs w:val="21"/>
                <w:lang w:val="en-US" w:eastAsia="zh-CN"/>
              </w:rPr>
              <w:t>500批</w:t>
            </w:r>
            <w:r>
              <w:rPr>
                <w:rFonts w:hint="eastAsia"/>
                <w:color w:val="000000"/>
                <w:kern w:val="0"/>
                <w:sz w:val="21"/>
                <w:szCs w:val="21"/>
              </w:rPr>
              <w:t>次</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eastAsia="仿宋_GB2312"/>
                <w:color w:val="000000"/>
                <w:kern w:val="0"/>
                <w:sz w:val="21"/>
                <w:szCs w:val="21"/>
                <w:lang w:val="en-US" w:eastAsia="zh-CN"/>
              </w:rPr>
            </w:pPr>
            <w:r>
              <w:rPr>
                <w:rFonts w:hint="eastAsia"/>
                <w:color w:val="000000"/>
                <w:kern w:val="0"/>
                <w:sz w:val="21"/>
                <w:szCs w:val="21"/>
                <w:lang w:val="en-US" w:eastAsia="zh-CN"/>
              </w:rPr>
              <w:t>570批次</w:t>
            </w:r>
          </w:p>
        </w:tc>
        <w:tc>
          <w:tcPr>
            <w:tcW w:w="8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eastAsia="仿宋_GB2312"/>
                <w:color w:val="000000"/>
                <w:kern w:val="0"/>
                <w:sz w:val="21"/>
                <w:szCs w:val="21"/>
                <w:lang w:val="en-US" w:eastAsia="zh-CN"/>
              </w:rPr>
            </w:pPr>
            <w:r>
              <w:rPr>
                <w:rFonts w:hint="eastAsia"/>
                <w:color w:val="000000"/>
                <w:kern w:val="0"/>
                <w:sz w:val="21"/>
                <w:szCs w:val="21"/>
                <w:lang w:val="en-US" w:eastAsia="zh-CN"/>
              </w:rPr>
              <w:t>5</w:t>
            </w:r>
          </w:p>
        </w:tc>
        <w:tc>
          <w:tcPr>
            <w:tcW w:w="8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eastAsia="仿宋_GB2312"/>
                <w:color w:val="000000"/>
                <w:kern w:val="0"/>
                <w:sz w:val="21"/>
                <w:szCs w:val="21"/>
                <w:lang w:val="en-US" w:eastAsia="zh-CN"/>
              </w:rPr>
            </w:pPr>
            <w:r>
              <w:rPr>
                <w:rFonts w:hint="eastAsia"/>
                <w:color w:val="000000"/>
                <w:kern w:val="0"/>
                <w:sz w:val="21"/>
                <w:szCs w:val="21"/>
                <w:lang w:val="en-US" w:eastAsia="zh-CN"/>
              </w:rPr>
              <w:t>5</w:t>
            </w:r>
          </w:p>
        </w:tc>
        <w:tc>
          <w:tcPr>
            <w:tcW w:w="16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color w:val="000000"/>
                <w:kern w:val="0"/>
                <w:sz w:val="21"/>
                <w:szCs w:val="21"/>
              </w:rPr>
            </w:pP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rPr>
                <w:color w:val="000000"/>
                <w:kern w:val="0"/>
                <w:sz w:val="21"/>
                <w:szCs w:val="21"/>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color w:val="000000"/>
                <w:kern w:val="0"/>
                <w:sz w:val="21"/>
                <w:szCs w:val="21"/>
              </w:rPr>
            </w:pPr>
          </w:p>
        </w:tc>
        <w:tc>
          <w:tcPr>
            <w:tcW w:w="95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color w:val="000000"/>
                <w:kern w:val="0"/>
                <w:sz w:val="21"/>
                <w:szCs w:val="21"/>
              </w:rPr>
            </w:pPr>
          </w:p>
        </w:tc>
        <w:tc>
          <w:tcPr>
            <w:tcW w:w="135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color w:val="000000"/>
                <w:kern w:val="0"/>
                <w:sz w:val="21"/>
                <w:szCs w:val="21"/>
              </w:rPr>
            </w:pPr>
            <w:r>
              <w:rPr>
                <w:rFonts w:hint="eastAsia"/>
                <w:color w:val="000000"/>
                <w:kern w:val="0"/>
                <w:sz w:val="21"/>
                <w:szCs w:val="21"/>
              </w:rPr>
              <w:t>全市每万人专利拥有量</w:t>
            </w:r>
            <w:r>
              <w:rPr>
                <w:color w:val="000000"/>
                <w:kern w:val="0"/>
                <w:sz w:val="21"/>
                <w:szCs w:val="21"/>
              </w:rPr>
              <w:t>)</w:t>
            </w:r>
          </w:p>
        </w:tc>
        <w:tc>
          <w:tcPr>
            <w:tcW w:w="12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color w:val="000000"/>
                <w:kern w:val="0"/>
                <w:sz w:val="21"/>
                <w:szCs w:val="21"/>
              </w:rPr>
            </w:pPr>
            <w:r>
              <w:rPr>
                <w:rFonts w:hint="eastAsia"/>
                <w:color w:val="000000"/>
                <w:kern w:val="0"/>
                <w:sz w:val="21"/>
                <w:szCs w:val="21"/>
              </w:rPr>
              <w:t>≥</w:t>
            </w:r>
            <w:r>
              <w:rPr>
                <w:rFonts w:hint="eastAsia"/>
                <w:color w:val="000000"/>
                <w:kern w:val="0"/>
                <w:sz w:val="21"/>
                <w:szCs w:val="21"/>
                <w:lang w:val="en-US" w:eastAsia="zh-CN"/>
              </w:rPr>
              <w:t>4.1</w:t>
            </w:r>
            <w:r>
              <w:rPr>
                <w:rFonts w:hint="eastAsia"/>
                <w:color w:val="000000"/>
                <w:kern w:val="0"/>
                <w:sz w:val="21"/>
                <w:szCs w:val="21"/>
              </w:rPr>
              <w:t>件</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eastAsia="仿宋_GB2312"/>
                <w:color w:val="000000"/>
                <w:kern w:val="0"/>
                <w:sz w:val="21"/>
                <w:szCs w:val="21"/>
                <w:lang w:val="en-US" w:eastAsia="zh-CN"/>
              </w:rPr>
            </w:pPr>
            <w:r>
              <w:rPr>
                <w:rFonts w:hint="eastAsia"/>
                <w:color w:val="000000"/>
                <w:kern w:val="0"/>
                <w:sz w:val="21"/>
                <w:szCs w:val="21"/>
                <w:lang w:val="en-US" w:eastAsia="zh-CN"/>
              </w:rPr>
              <w:t>5.04件</w:t>
            </w:r>
          </w:p>
        </w:tc>
        <w:tc>
          <w:tcPr>
            <w:tcW w:w="8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eastAsia="仿宋_GB2312"/>
                <w:color w:val="000000"/>
                <w:kern w:val="0"/>
                <w:sz w:val="21"/>
                <w:szCs w:val="21"/>
                <w:lang w:val="en-US" w:eastAsia="zh-CN"/>
              </w:rPr>
            </w:pPr>
            <w:r>
              <w:rPr>
                <w:rFonts w:hint="eastAsia"/>
                <w:color w:val="000000"/>
                <w:kern w:val="0"/>
                <w:sz w:val="21"/>
                <w:szCs w:val="21"/>
                <w:lang w:val="en-US" w:eastAsia="zh-CN"/>
              </w:rPr>
              <w:t>5</w:t>
            </w:r>
          </w:p>
        </w:tc>
        <w:tc>
          <w:tcPr>
            <w:tcW w:w="8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eastAsia="仿宋_GB2312"/>
                <w:color w:val="000000"/>
                <w:kern w:val="0"/>
                <w:sz w:val="21"/>
                <w:szCs w:val="21"/>
                <w:lang w:val="en-US" w:eastAsia="zh-CN"/>
              </w:rPr>
            </w:pPr>
            <w:r>
              <w:rPr>
                <w:rFonts w:hint="eastAsia"/>
                <w:color w:val="000000"/>
                <w:kern w:val="0"/>
                <w:sz w:val="21"/>
                <w:szCs w:val="21"/>
                <w:lang w:val="en-US" w:eastAsia="zh-CN"/>
              </w:rPr>
              <w:t>5</w:t>
            </w:r>
          </w:p>
        </w:tc>
        <w:tc>
          <w:tcPr>
            <w:tcW w:w="16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color w:val="000000"/>
                <w:kern w:val="0"/>
                <w:sz w:val="21"/>
                <w:szCs w:val="21"/>
              </w:rPr>
            </w:pPr>
            <w:r>
              <w:rPr>
                <w:color w:val="000000"/>
                <w:kern w:val="0"/>
                <w:sz w:val="21"/>
                <w:szCs w:val="21"/>
              </w:rPr>
              <w:t>　</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rPr>
                <w:color w:val="000000"/>
                <w:kern w:val="0"/>
                <w:sz w:val="21"/>
                <w:szCs w:val="21"/>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color w:val="000000"/>
                <w:kern w:val="0"/>
                <w:sz w:val="21"/>
                <w:szCs w:val="21"/>
              </w:rPr>
            </w:pPr>
          </w:p>
        </w:tc>
        <w:tc>
          <w:tcPr>
            <w:tcW w:w="953"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color w:val="000000"/>
                <w:kern w:val="0"/>
                <w:sz w:val="21"/>
                <w:szCs w:val="21"/>
              </w:rPr>
            </w:pPr>
            <w:r>
              <w:rPr>
                <w:color w:val="000000"/>
                <w:kern w:val="0"/>
                <w:sz w:val="21"/>
                <w:szCs w:val="21"/>
              </w:rPr>
              <w:t>质量</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color w:val="000000"/>
                <w:kern w:val="0"/>
                <w:sz w:val="21"/>
                <w:szCs w:val="21"/>
              </w:rPr>
            </w:pPr>
            <w:r>
              <w:rPr>
                <w:color w:val="000000"/>
                <w:kern w:val="0"/>
                <w:sz w:val="21"/>
                <w:szCs w:val="21"/>
              </w:rPr>
              <w:t>指标</w:t>
            </w:r>
          </w:p>
        </w:tc>
        <w:tc>
          <w:tcPr>
            <w:tcW w:w="135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color w:val="000000"/>
                <w:kern w:val="0"/>
                <w:sz w:val="21"/>
                <w:szCs w:val="21"/>
              </w:rPr>
            </w:pPr>
            <w:r>
              <w:rPr>
                <w:rFonts w:hint="eastAsia"/>
                <w:color w:val="000000"/>
                <w:kern w:val="0"/>
                <w:sz w:val="21"/>
                <w:szCs w:val="21"/>
              </w:rPr>
              <w:t>市场主体年增长率</w:t>
            </w:r>
          </w:p>
        </w:tc>
        <w:tc>
          <w:tcPr>
            <w:tcW w:w="12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color w:val="000000"/>
                <w:kern w:val="0"/>
                <w:sz w:val="21"/>
                <w:szCs w:val="21"/>
              </w:rPr>
            </w:pPr>
            <w:r>
              <w:rPr>
                <w:rFonts w:hint="eastAsia"/>
                <w:color w:val="000000"/>
                <w:kern w:val="0"/>
                <w:sz w:val="21"/>
                <w:szCs w:val="21"/>
              </w:rPr>
              <w:t>≧</w:t>
            </w:r>
            <w:r>
              <w:rPr>
                <w:rFonts w:hint="eastAsia"/>
                <w:color w:val="000000"/>
                <w:kern w:val="0"/>
                <w:sz w:val="21"/>
                <w:szCs w:val="21"/>
                <w:lang w:val="en-US" w:eastAsia="zh-CN"/>
              </w:rPr>
              <w:t>4</w:t>
            </w:r>
            <w:r>
              <w:rPr>
                <w:rFonts w:hint="eastAsia"/>
                <w:color w:val="000000"/>
                <w:kern w:val="0"/>
                <w:sz w:val="21"/>
                <w:szCs w:val="21"/>
              </w:rPr>
              <w:t>.5%</w:t>
            </w:r>
            <w:r>
              <w:rPr>
                <w:color w:val="000000"/>
                <w:kern w:val="0"/>
                <w:sz w:val="21"/>
                <w:szCs w:val="21"/>
              </w:rPr>
              <w:t xml:space="preserve"> </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eastAsia="仿宋_GB2312"/>
                <w:color w:val="000000"/>
                <w:kern w:val="0"/>
                <w:sz w:val="21"/>
                <w:szCs w:val="21"/>
                <w:lang w:val="en-US" w:eastAsia="zh-CN"/>
              </w:rPr>
            </w:pPr>
            <w:r>
              <w:rPr>
                <w:rFonts w:hint="eastAsia"/>
                <w:color w:val="000000"/>
                <w:kern w:val="0"/>
                <w:sz w:val="21"/>
                <w:szCs w:val="21"/>
                <w:lang w:val="en-US" w:eastAsia="zh-CN"/>
              </w:rPr>
              <w:t>12.6%</w:t>
            </w:r>
          </w:p>
        </w:tc>
        <w:tc>
          <w:tcPr>
            <w:tcW w:w="8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eastAsia="仿宋_GB2312"/>
                <w:color w:val="000000"/>
                <w:kern w:val="0"/>
                <w:sz w:val="21"/>
                <w:szCs w:val="21"/>
                <w:lang w:val="en-US" w:eastAsia="zh-CN"/>
              </w:rPr>
            </w:pPr>
            <w:r>
              <w:rPr>
                <w:rFonts w:hint="eastAsia"/>
                <w:color w:val="000000"/>
                <w:kern w:val="0"/>
                <w:sz w:val="21"/>
                <w:szCs w:val="21"/>
                <w:lang w:val="en-US" w:eastAsia="zh-CN"/>
              </w:rPr>
              <w:t>5</w:t>
            </w:r>
          </w:p>
        </w:tc>
        <w:tc>
          <w:tcPr>
            <w:tcW w:w="8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eastAsia="仿宋_GB2312"/>
                <w:color w:val="000000"/>
                <w:kern w:val="0"/>
                <w:sz w:val="21"/>
                <w:szCs w:val="21"/>
                <w:lang w:val="en-US" w:eastAsia="zh-CN"/>
              </w:rPr>
            </w:pPr>
            <w:r>
              <w:rPr>
                <w:rFonts w:hint="eastAsia"/>
                <w:color w:val="000000"/>
                <w:kern w:val="0"/>
                <w:sz w:val="21"/>
                <w:szCs w:val="21"/>
                <w:lang w:val="en-US" w:eastAsia="zh-CN"/>
              </w:rPr>
              <w:t>3.5</w:t>
            </w:r>
          </w:p>
        </w:tc>
        <w:tc>
          <w:tcPr>
            <w:tcW w:w="16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eastAsia="仿宋_GB2312"/>
                <w:color w:val="000000"/>
                <w:kern w:val="0"/>
                <w:sz w:val="21"/>
                <w:szCs w:val="21"/>
                <w:lang w:eastAsia="zh-CN"/>
              </w:rPr>
            </w:pPr>
            <w:r>
              <w:rPr>
                <w:rFonts w:hint="eastAsia"/>
                <w:color w:val="000000"/>
                <w:kern w:val="0"/>
                <w:sz w:val="21"/>
                <w:szCs w:val="21"/>
                <w:lang w:eastAsia="zh-CN"/>
              </w:rPr>
              <w:t>全省执行市场主体倍增行动</w:t>
            </w:r>
          </w:p>
        </w:tc>
      </w:tr>
      <w:tr>
        <w:tblPrEx>
          <w:tblCellMar>
            <w:top w:w="0" w:type="dxa"/>
            <w:left w:w="108" w:type="dxa"/>
            <w:bottom w:w="0" w:type="dxa"/>
            <w:right w:w="108" w:type="dxa"/>
          </w:tblCellMar>
        </w:tblPrEx>
        <w:trPr>
          <w:trHeight w:val="772"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rPr>
                <w:color w:val="000000"/>
                <w:kern w:val="0"/>
                <w:sz w:val="21"/>
                <w:szCs w:val="21"/>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color w:val="000000"/>
                <w:kern w:val="0"/>
                <w:sz w:val="21"/>
                <w:szCs w:val="21"/>
              </w:rPr>
            </w:pPr>
          </w:p>
        </w:tc>
        <w:tc>
          <w:tcPr>
            <w:tcW w:w="95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color w:val="000000"/>
                <w:kern w:val="0"/>
                <w:sz w:val="21"/>
                <w:szCs w:val="21"/>
              </w:rPr>
            </w:pPr>
          </w:p>
        </w:tc>
        <w:tc>
          <w:tcPr>
            <w:tcW w:w="135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color w:val="000000"/>
                <w:kern w:val="0"/>
                <w:sz w:val="21"/>
                <w:szCs w:val="21"/>
              </w:rPr>
            </w:pPr>
            <w:r>
              <w:rPr>
                <w:rFonts w:hint="eastAsia"/>
                <w:color w:val="000000"/>
                <w:kern w:val="0"/>
                <w:sz w:val="21"/>
                <w:szCs w:val="21"/>
              </w:rPr>
              <w:t>重点特种设备使用单位抽查完成率</w:t>
            </w:r>
          </w:p>
        </w:tc>
        <w:tc>
          <w:tcPr>
            <w:tcW w:w="12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color w:val="000000"/>
                <w:kern w:val="0"/>
                <w:sz w:val="21"/>
                <w:szCs w:val="21"/>
              </w:rPr>
            </w:pPr>
            <w:r>
              <w:rPr>
                <w:rFonts w:hint="eastAsia"/>
                <w:color w:val="000000"/>
                <w:kern w:val="0"/>
                <w:sz w:val="21"/>
                <w:szCs w:val="21"/>
                <w:lang w:val="en-US" w:eastAsia="zh-CN"/>
              </w:rPr>
              <w:t>100</w:t>
            </w:r>
            <w:r>
              <w:rPr>
                <w:rFonts w:hint="eastAsia"/>
                <w:color w:val="000000"/>
                <w:kern w:val="0"/>
                <w:sz w:val="21"/>
                <w:szCs w:val="21"/>
              </w:rPr>
              <w:t>%</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color w:val="000000"/>
                <w:kern w:val="0"/>
                <w:sz w:val="21"/>
                <w:szCs w:val="21"/>
              </w:rPr>
            </w:pPr>
            <w:r>
              <w:rPr>
                <w:rFonts w:hint="eastAsia"/>
                <w:color w:val="000000"/>
                <w:kern w:val="0"/>
                <w:sz w:val="21"/>
                <w:szCs w:val="21"/>
                <w:lang w:val="en-US" w:eastAsia="zh-CN"/>
              </w:rPr>
              <w:t>100</w:t>
            </w:r>
            <w:r>
              <w:rPr>
                <w:rFonts w:hint="eastAsia"/>
                <w:color w:val="000000"/>
                <w:kern w:val="0"/>
                <w:sz w:val="21"/>
                <w:szCs w:val="21"/>
              </w:rPr>
              <w:t>%</w:t>
            </w:r>
          </w:p>
        </w:tc>
        <w:tc>
          <w:tcPr>
            <w:tcW w:w="8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eastAsia="仿宋_GB2312"/>
                <w:color w:val="000000"/>
                <w:kern w:val="0"/>
                <w:sz w:val="21"/>
                <w:szCs w:val="21"/>
                <w:lang w:val="en-US" w:eastAsia="zh-CN"/>
              </w:rPr>
            </w:pPr>
            <w:r>
              <w:rPr>
                <w:rFonts w:hint="eastAsia"/>
                <w:color w:val="000000"/>
                <w:kern w:val="0"/>
                <w:sz w:val="21"/>
                <w:szCs w:val="21"/>
                <w:lang w:val="en-US" w:eastAsia="zh-CN"/>
              </w:rPr>
              <w:t>5</w:t>
            </w:r>
          </w:p>
        </w:tc>
        <w:tc>
          <w:tcPr>
            <w:tcW w:w="8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eastAsia="仿宋_GB2312"/>
                <w:color w:val="000000"/>
                <w:kern w:val="0"/>
                <w:sz w:val="21"/>
                <w:szCs w:val="21"/>
                <w:lang w:val="en-US" w:eastAsia="zh-CN"/>
              </w:rPr>
            </w:pPr>
            <w:r>
              <w:rPr>
                <w:rFonts w:hint="eastAsia"/>
                <w:color w:val="000000"/>
                <w:kern w:val="0"/>
                <w:sz w:val="21"/>
                <w:szCs w:val="21"/>
                <w:lang w:val="en-US" w:eastAsia="zh-CN"/>
              </w:rPr>
              <w:t>5</w:t>
            </w:r>
          </w:p>
        </w:tc>
        <w:tc>
          <w:tcPr>
            <w:tcW w:w="16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color w:val="000000"/>
                <w:kern w:val="0"/>
                <w:sz w:val="21"/>
                <w:szCs w:val="21"/>
              </w:rPr>
            </w:pPr>
            <w:r>
              <w:rPr>
                <w:color w:val="000000"/>
                <w:kern w:val="0"/>
                <w:sz w:val="21"/>
                <w:szCs w:val="21"/>
              </w:rPr>
              <w:t>　</w:t>
            </w:r>
          </w:p>
        </w:tc>
      </w:tr>
      <w:tr>
        <w:tblPrEx>
          <w:tblCellMar>
            <w:top w:w="0" w:type="dxa"/>
            <w:left w:w="108" w:type="dxa"/>
            <w:bottom w:w="0" w:type="dxa"/>
            <w:right w:w="108" w:type="dxa"/>
          </w:tblCellMar>
        </w:tblPrEx>
        <w:trPr>
          <w:trHeight w:val="560"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rPr>
                <w:color w:val="000000"/>
                <w:kern w:val="0"/>
                <w:sz w:val="21"/>
                <w:szCs w:val="21"/>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color w:val="000000"/>
                <w:kern w:val="0"/>
                <w:sz w:val="21"/>
                <w:szCs w:val="21"/>
              </w:rPr>
            </w:pPr>
          </w:p>
        </w:tc>
        <w:tc>
          <w:tcPr>
            <w:tcW w:w="95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color w:val="000000"/>
                <w:kern w:val="0"/>
                <w:sz w:val="21"/>
                <w:szCs w:val="21"/>
              </w:rPr>
            </w:pPr>
          </w:p>
        </w:tc>
        <w:tc>
          <w:tcPr>
            <w:tcW w:w="1351" w:type="dxa"/>
            <w:gridSpan w:val="2"/>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color w:val="000000"/>
                <w:kern w:val="0"/>
                <w:sz w:val="21"/>
                <w:szCs w:val="21"/>
              </w:rPr>
            </w:pPr>
            <w:r>
              <w:rPr>
                <w:color w:val="000000"/>
                <w:kern w:val="0"/>
                <w:sz w:val="21"/>
                <w:szCs w:val="21"/>
              </w:rPr>
              <w:t>12315投诉举报处置率</w:t>
            </w:r>
          </w:p>
        </w:tc>
        <w:tc>
          <w:tcPr>
            <w:tcW w:w="1200" w:type="dxa"/>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color w:val="000000"/>
                <w:kern w:val="0"/>
                <w:sz w:val="21"/>
                <w:szCs w:val="21"/>
              </w:rPr>
            </w:pPr>
            <w:r>
              <w:rPr>
                <w:rFonts w:hint="eastAsia"/>
                <w:color w:val="000000"/>
                <w:kern w:val="0"/>
                <w:sz w:val="21"/>
                <w:szCs w:val="21"/>
              </w:rPr>
              <w:t>100%</w:t>
            </w:r>
          </w:p>
        </w:tc>
        <w:tc>
          <w:tcPr>
            <w:tcW w:w="1276" w:type="dxa"/>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color w:val="000000"/>
                <w:kern w:val="0"/>
                <w:sz w:val="21"/>
                <w:szCs w:val="21"/>
              </w:rPr>
            </w:pPr>
            <w:r>
              <w:rPr>
                <w:rFonts w:hint="eastAsia"/>
                <w:color w:val="000000"/>
                <w:kern w:val="0"/>
                <w:sz w:val="21"/>
                <w:szCs w:val="21"/>
              </w:rPr>
              <w:t>100%</w:t>
            </w:r>
          </w:p>
        </w:tc>
        <w:tc>
          <w:tcPr>
            <w:tcW w:w="812" w:type="dxa"/>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eastAsia="仿宋_GB2312"/>
                <w:color w:val="000000"/>
                <w:kern w:val="0"/>
                <w:sz w:val="21"/>
                <w:szCs w:val="21"/>
                <w:lang w:val="en-US" w:eastAsia="zh-CN"/>
              </w:rPr>
            </w:pPr>
            <w:r>
              <w:rPr>
                <w:rFonts w:hint="eastAsia"/>
                <w:color w:val="000000"/>
                <w:kern w:val="0"/>
                <w:sz w:val="21"/>
                <w:szCs w:val="21"/>
                <w:lang w:val="en-US" w:eastAsia="zh-CN"/>
              </w:rPr>
              <w:t>5</w:t>
            </w:r>
          </w:p>
        </w:tc>
        <w:tc>
          <w:tcPr>
            <w:tcW w:w="889" w:type="dxa"/>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eastAsia="仿宋_GB2312"/>
                <w:color w:val="000000"/>
                <w:kern w:val="0"/>
                <w:sz w:val="21"/>
                <w:szCs w:val="21"/>
                <w:lang w:val="en-US" w:eastAsia="zh-CN"/>
              </w:rPr>
            </w:pPr>
            <w:r>
              <w:rPr>
                <w:rFonts w:hint="eastAsia"/>
                <w:color w:val="000000"/>
                <w:kern w:val="0"/>
                <w:sz w:val="21"/>
                <w:szCs w:val="21"/>
                <w:lang w:val="en-US" w:eastAsia="zh-CN"/>
              </w:rPr>
              <w:t>5</w:t>
            </w:r>
          </w:p>
        </w:tc>
        <w:tc>
          <w:tcPr>
            <w:tcW w:w="16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color w:val="000000"/>
                <w:kern w:val="0"/>
                <w:sz w:val="21"/>
                <w:szCs w:val="21"/>
              </w:rPr>
            </w:pPr>
            <w:r>
              <w:rPr>
                <w:color w:val="000000"/>
                <w:kern w:val="0"/>
                <w:sz w:val="21"/>
                <w:szCs w:val="21"/>
              </w:rPr>
              <w:t>　</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right w:val="single" w:color="auto" w:sz="4" w:space="0"/>
            </w:tcBorders>
            <w:noWrap w:val="0"/>
            <w:vAlign w:val="center"/>
          </w:tcPr>
          <w:p>
            <w:pPr>
              <w:widowControl/>
              <w:spacing w:line="280" w:lineRule="exact"/>
              <w:jc w:val="left"/>
              <w:rPr>
                <w:color w:val="000000"/>
                <w:kern w:val="0"/>
                <w:sz w:val="21"/>
                <w:szCs w:val="21"/>
              </w:rPr>
            </w:pPr>
          </w:p>
        </w:tc>
        <w:tc>
          <w:tcPr>
            <w:tcW w:w="1080" w:type="dxa"/>
            <w:vMerge w:val="continue"/>
            <w:tcBorders>
              <w:top w:val="single" w:color="auto" w:sz="4" w:space="0"/>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color w:val="000000"/>
                <w:kern w:val="0"/>
                <w:sz w:val="21"/>
                <w:szCs w:val="21"/>
              </w:rPr>
            </w:pPr>
          </w:p>
        </w:tc>
        <w:tc>
          <w:tcPr>
            <w:tcW w:w="953" w:type="dxa"/>
            <w:vMerge w:val="restar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color w:val="000000"/>
                <w:kern w:val="0"/>
                <w:sz w:val="21"/>
                <w:szCs w:val="21"/>
              </w:rPr>
            </w:pPr>
            <w:r>
              <w:rPr>
                <w:color w:val="000000"/>
                <w:kern w:val="0"/>
                <w:sz w:val="21"/>
                <w:szCs w:val="21"/>
              </w:rPr>
              <w:t>时效</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color w:val="000000"/>
                <w:kern w:val="0"/>
                <w:sz w:val="21"/>
                <w:szCs w:val="21"/>
              </w:rPr>
            </w:pPr>
            <w:r>
              <w:rPr>
                <w:color w:val="000000"/>
                <w:kern w:val="0"/>
                <w:sz w:val="21"/>
                <w:szCs w:val="21"/>
              </w:rPr>
              <w:t>指标</w:t>
            </w:r>
          </w:p>
        </w:tc>
        <w:tc>
          <w:tcPr>
            <w:tcW w:w="1351"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color w:val="000000"/>
                <w:kern w:val="0"/>
                <w:sz w:val="21"/>
                <w:szCs w:val="21"/>
              </w:rPr>
            </w:pPr>
            <w:r>
              <w:rPr>
                <w:rFonts w:hint="eastAsia"/>
                <w:color w:val="000000"/>
                <w:spacing w:val="-11"/>
                <w:kern w:val="0"/>
                <w:sz w:val="21"/>
                <w:szCs w:val="21"/>
              </w:rPr>
              <w:t>消费者投诉举报受理时间</w:t>
            </w:r>
          </w:p>
        </w:tc>
        <w:tc>
          <w:tcPr>
            <w:tcW w:w="1200"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color w:val="000000"/>
                <w:kern w:val="0"/>
                <w:sz w:val="21"/>
                <w:szCs w:val="21"/>
              </w:rPr>
            </w:pPr>
            <w:r>
              <w:rPr>
                <w:rFonts w:hint="eastAsia"/>
                <w:color w:val="000000"/>
                <w:kern w:val="0"/>
                <w:sz w:val="21"/>
                <w:szCs w:val="21"/>
              </w:rPr>
              <w:t>7个工作日到1.5个工作日内</w:t>
            </w:r>
          </w:p>
        </w:tc>
        <w:tc>
          <w:tcPr>
            <w:tcW w:w="127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color w:val="000000"/>
                <w:kern w:val="0"/>
                <w:sz w:val="21"/>
                <w:szCs w:val="21"/>
              </w:rPr>
            </w:pPr>
            <w:r>
              <w:rPr>
                <w:rFonts w:hint="eastAsia"/>
                <w:color w:val="000000"/>
                <w:kern w:val="0"/>
                <w:sz w:val="21"/>
                <w:szCs w:val="21"/>
              </w:rPr>
              <w:t>1.5个工作日</w:t>
            </w:r>
          </w:p>
        </w:tc>
        <w:tc>
          <w:tcPr>
            <w:tcW w:w="81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eastAsia="仿宋_GB2312"/>
                <w:color w:val="000000"/>
                <w:kern w:val="0"/>
                <w:sz w:val="21"/>
                <w:szCs w:val="21"/>
                <w:lang w:val="en-US" w:eastAsia="zh-CN"/>
              </w:rPr>
            </w:pPr>
            <w:r>
              <w:rPr>
                <w:rFonts w:hint="eastAsia"/>
                <w:color w:val="000000"/>
                <w:kern w:val="0"/>
                <w:sz w:val="21"/>
                <w:szCs w:val="21"/>
                <w:lang w:val="en-US" w:eastAsia="zh-CN"/>
              </w:rPr>
              <w:t>5</w:t>
            </w:r>
          </w:p>
        </w:tc>
        <w:tc>
          <w:tcPr>
            <w:tcW w:w="88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eastAsia="仿宋_GB2312"/>
                <w:color w:val="000000"/>
                <w:kern w:val="0"/>
                <w:sz w:val="21"/>
                <w:szCs w:val="21"/>
                <w:lang w:val="en-US" w:eastAsia="zh-CN"/>
              </w:rPr>
            </w:pPr>
            <w:r>
              <w:rPr>
                <w:rFonts w:hint="eastAsia"/>
                <w:color w:val="000000"/>
                <w:kern w:val="0"/>
                <w:sz w:val="21"/>
                <w:szCs w:val="21"/>
                <w:lang w:val="en-US" w:eastAsia="zh-CN"/>
              </w:rPr>
              <w:t>5</w:t>
            </w:r>
          </w:p>
        </w:tc>
        <w:tc>
          <w:tcPr>
            <w:tcW w:w="162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color w:val="000000"/>
                <w:kern w:val="0"/>
                <w:sz w:val="21"/>
                <w:szCs w:val="21"/>
              </w:rPr>
            </w:pPr>
            <w:r>
              <w:rPr>
                <w:color w:val="000000"/>
                <w:kern w:val="0"/>
                <w:sz w:val="21"/>
                <w:szCs w:val="21"/>
              </w:rPr>
              <w:t>　</w:t>
            </w:r>
          </w:p>
        </w:tc>
      </w:tr>
      <w:tr>
        <w:tblPrEx>
          <w:tblCellMar>
            <w:top w:w="0" w:type="dxa"/>
            <w:left w:w="108" w:type="dxa"/>
            <w:bottom w:w="0" w:type="dxa"/>
            <w:right w:w="108" w:type="dxa"/>
          </w:tblCellMar>
        </w:tblPrEx>
        <w:trPr>
          <w:trHeight w:val="710" w:hRule="atLeast"/>
          <w:jc w:val="center"/>
        </w:trPr>
        <w:tc>
          <w:tcPr>
            <w:tcW w:w="1080" w:type="dxa"/>
            <w:vMerge w:val="continue"/>
            <w:tcBorders>
              <w:left w:val="single" w:color="auto" w:sz="4" w:space="0"/>
              <w:right w:val="single" w:color="auto" w:sz="4" w:space="0"/>
            </w:tcBorders>
            <w:noWrap w:val="0"/>
            <w:vAlign w:val="center"/>
          </w:tcPr>
          <w:p>
            <w:pPr>
              <w:widowControl/>
              <w:spacing w:line="280" w:lineRule="exact"/>
              <w:jc w:val="left"/>
              <w:rPr>
                <w:color w:val="000000"/>
                <w:kern w:val="0"/>
                <w:sz w:val="21"/>
                <w:szCs w:val="21"/>
              </w:rPr>
            </w:pPr>
          </w:p>
        </w:tc>
        <w:tc>
          <w:tcPr>
            <w:tcW w:w="1080" w:type="dxa"/>
            <w:vMerge w:val="continue"/>
            <w:tcBorders>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color w:val="000000"/>
                <w:kern w:val="0"/>
                <w:sz w:val="21"/>
                <w:szCs w:val="21"/>
              </w:rPr>
            </w:pPr>
          </w:p>
        </w:tc>
        <w:tc>
          <w:tcPr>
            <w:tcW w:w="953" w:type="dxa"/>
            <w:vMerge w:val="continue"/>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color w:val="000000"/>
                <w:kern w:val="0"/>
                <w:sz w:val="21"/>
                <w:szCs w:val="21"/>
              </w:rPr>
            </w:pPr>
          </w:p>
        </w:tc>
        <w:tc>
          <w:tcPr>
            <w:tcW w:w="1351" w:type="dxa"/>
            <w:gridSpan w:val="2"/>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color w:val="000000"/>
                <w:kern w:val="0"/>
                <w:sz w:val="21"/>
                <w:szCs w:val="21"/>
              </w:rPr>
            </w:pPr>
            <w:r>
              <w:rPr>
                <w:rFonts w:hint="eastAsia"/>
                <w:color w:val="000000"/>
                <w:kern w:val="0"/>
                <w:sz w:val="21"/>
                <w:szCs w:val="21"/>
              </w:rPr>
              <w:t>开展</w:t>
            </w:r>
            <w:r>
              <w:rPr>
                <w:rFonts w:hint="eastAsia"/>
                <w:color w:val="000000"/>
                <w:kern w:val="0"/>
                <w:sz w:val="21"/>
                <w:szCs w:val="21"/>
                <w:lang w:eastAsia="zh-CN"/>
              </w:rPr>
              <w:t>法制建设教育</w:t>
            </w:r>
            <w:r>
              <w:rPr>
                <w:rFonts w:hint="eastAsia"/>
                <w:color w:val="000000"/>
                <w:kern w:val="0"/>
                <w:sz w:val="21"/>
                <w:szCs w:val="21"/>
              </w:rPr>
              <w:t>宣传</w:t>
            </w:r>
          </w:p>
        </w:tc>
        <w:tc>
          <w:tcPr>
            <w:tcW w:w="1200"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color w:val="000000"/>
                <w:kern w:val="0"/>
                <w:sz w:val="21"/>
                <w:szCs w:val="21"/>
              </w:rPr>
            </w:pPr>
            <w:r>
              <w:rPr>
                <w:rFonts w:hint="eastAsia"/>
                <w:color w:val="000000"/>
                <w:kern w:val="0"/>
                <w:sz w:val="21"/>
                <w:szCs w:val="21"/>
                <w:lang w:eastAsia="zh-CN"/>
              </w:rPr>
              <w:t>2022年</w:t>
            </w:r>
            <w:r>
              <w:rPr>
                <w:rFonts w:hint="eastAsia"/>
                <w:color w:val="000000"/>
                <w:kern w:val="0"/>
                <w:sz w:val="21"/>
                <w:szCs w:val="21"/>
              </w:rPr>
              <w:t>12月前</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color w:val="000000"/>
                <w:kern w:val="0"/>
                <w:sz w:val="21"/>
                <w:szCs w:val="21"/>
              </w:rPr>
            </w:pPr>
            <w:r>
              <w:rPr>
                <w:rFonts w:hint="eastAsia"/>
                <w:color w:val="000000"/>
                <w:kern w:val="0"/>
                <w:sz w:val="21"/>
                <w:szCs w:val="21"/>
                <w:lang w:eastAsia="zh-CN"/>
              </w:rPr>
              <w:t>2022年</w:t>
            </w:r>
            <w:r>
              <w:rPr>
                <w:rFonts w:hint="eastAsia"/>
                <w:color w:val="000000"/>
                <w:kern w:val="0"/>
                <w:sz w:val="21"/>
                <w:szCs w:val="21"/>
                <w:lang w:val="en-US" w:eastAsia="zh-CN"/>
              </w:rPr>
              <w:t>12</w:t>
            </w:r>
            <w:r>
              <w:rPr>
                <w:rFonts w:hint="eastAsia"/>
                <w:color w:val="000000"/>
                <w:kern w:val="0"/>
                <w:sz w:val="21"/>
                <w:szCs w:val="21"/>
              </w:rPr>
              <w:t>月</w:t>
            </w:r>
          </w:p>
        </w:tc>
        <w:tc>
          <w:tcPr>
            <w:tcW w:w="81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eastAsia="仿宋_GB2312"/>
                <w:color w:val="000000"/>
                <w:kern w:val="0"/>
                <w:sz w:val="21"/>
                <w:szCs w:val="21"/>
                <w:lang w:val="en-US" w:eastAsia="zh-CN"/>
              </w:rPr>
            </w:pPr>
            <w:r>
              <w:rPr>
                <w:rFonts w:hint="eastAsia"/>
                <w:color w:val="000000"/>
                <w:kern w:val="0"/>
                <w:sz w:val="21"/>
                <w:szCs w:val="21"/>
                <w:lang w:val="en-US" w:eastAsia="zh-CN"/>
              </w:rPr>
              <w:t>5</w:t>
            </w:r>
          </w:p>
        </w:tc>
        <w:tc>
          <w:tcPr>
            <w:tcW w:w="88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eastAsia="仿宋_GB2312"/>
                <w:color w:val="000000"/>
                <w:kern w:val="0"/>
                <w:sz w:val="21"/>
                <w:szCs w:val="21"/>
                <w:lang w:val="en-US" w:eastAsia="zh-CN"/>
              </w:rPr>
            </w:pPr>
            <w:r>
              <w:rPr>
                <w:rFonts w:hint="eastAsia"/>
                <w:color w:val="000000"/>
                <w:kern w:val="0"/>
                <w:sz w:val="21"/>
                <w:szCs w:val="21"/>
                <w:lang w:val="en-US" w:eastAsia="zh-CN"/>
              </w:rPr>
              <w:t>5</w:t>
            </w:r>
          </w:p>
        </w:tc>
        <w:tc>
          <w:tcPr>
            <w:tcW w:w="162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color w:val="000000"/>
                <w:kern w:val="0"/>
                <w:sz w:val="21"/>
                <w:szCs w:val="21"/>
              </w:rPr>
            </w:pPr>
            <w:r>
              <w:rPr>
                <w:color w:val="000000"/>
                <w:kern w:val="0"/>
                <w:sz w:val="21"/>
                <w:szCs w:val="21"/>
              </w:rPr>
              <w:t>　</w:t>
            </w:r>
          </w:p>
        </w:tc>
      </w:tr>
      <w:tr>
        <w:tblPrEx>
          <w:tblCellMar>
            <w:top w:w="0" w:type="dxa"/>
            <w:left w:w="108" w:type="dxa"/>
            <w:bottom w:w="0" w:type="dxa"/>
            <w:right w:w="108" w:type="dxa"/>
          </w:tblCellMar>
        </w:tblPrEx>
        <w:trPr>
          <w:trHeight w:val="645" w:hRule="atLeast"/>
          <w:jc w:val="center"/>
        </w:trPr>
        <w:tc>
          <w:tcPr>
            <w:tcW w:w="1080" w:type="dxa"/>
            <w:vMerge w:val="continue"/>
            <w:tcBorders>
              <w:left w:val="single" w:color="auto" w:sz="4" w:space="0"/>
              <w:right w:val="single" w:color="auto" w:sz="4" w:space="0"/>
            </w:tcBorders>
            <w:noWrap w:val="0"/>
            <w:vAlign w:val="center"/>
          </w:tcPr>
          <w:p>
            <w:pPr>
              <w:widowControl/>
              <w:spacing w:line="280" w:lineRule="exact"/>
              <w:jc w:val="left"/>
              <w:rPr>
                <w:color w:val="000000"/>
                <w:kern w:val="0"/>
                <w:sz w:val="21"/>
                <w:szCs w:val="21"/>
              </w:rPr>
            </w:pPr>
          </w:p>
        </w:tc>
        <w:tc>
          <w:tcPr>
            <w:tcW w:w="1080" w:type="dxa"/>
            <w:vMerge w:val="continue"/>
            <w:tcBorders>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color w:val="000000"/>
                <w:kern w:val="0"/>
                <w:sz w:val="21"/>
                <w:szCs w:val="21"/>
              </w:rPr>
            </w:pPr>
          </w:p>
        </w:tc>
        <w:tc>
          <w:tcPr>
            <w:tcW w:w="95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color w:val="000000"/>
                <w:kern w:val="0"/>
                <w:sz w:val="21"/>
                <w:szCs w:val="21"/>
              </w:rPr>
            </w:pPr>
            <w:r>
              <w:rPr>
                <w:color w:val="000000"/>
                <w:kern w:val="0"/>
                <w:sz w:val="21"/>
                <w:szCs w:val="21"/>
              </w:rPr>
              <w:t>成本</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color w:val="000000"/>
                <w:kern w:val="0"/>
                <w:sz w:val="21"/>
                <w:szCs w:val="21"/>
              </w:rPr>
            </w:pPr>
            <w:r>
              <w:rPr>
                <w:color w:val="000000"/>
                <w:kern w:val="0"/>
                <w:sz w:val="21"/>
                <w:szCs w:val="21"/>
              </w:rPr>
              <w:t>指标</w:t>
            </w:r>
          </w:p>
        </w:tc>
        <w:tc>
          <w:tcPr>
            <w:tcW w:w="1351"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color w:val="000000"/>
                <w:kern w:val="0"/>
                <w:sz w:val="21"/>
                <w:szCs w:val="21"/>
              </w:rPr>
            </w:pPr>
            <w:r>
              <w:rPr>
                <w:rFonts w:hint="eastAsia"/>
                <w:color w:val="000000"/>
                <w:kern w:val="0"/>
                <w:sz w:val="21"/>
                <w:szCs w:val="21"/>
              </w:rPr>
              <w:t>产商品抽检成本</w:t>
            </w:r>
          </w:p>
        </w:tc>
        <w:tc>
          <w:tcPr>
            <w:tcW w:w="1200"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color w:val="000000"/>
                <w:kern w:val="0"/>
                <w:sz w:val="21"/>
                <w:szCs w:val="21"/>
              </w:rPr>
            </w:pPr>
            <w:r>
              <w:rPr>
                <w:rFonts w:hint="eastAsia"/>
                <w:color w:val="000000"/>
                <w:kern w:val="0"/>
                <w:sz w:val="21"/>
                <w:szCs w:val="21"/>
              </w:rPr>
              <w:t>≧1100元/批次</w:t>
            </w:r>
          </w:p>
        </w:tc>
        <w:tc>
          <w:tcPr>
            <w:tcW w:w="127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eastAsia="仿宋_GB2312"/>
                <w:color w:val="000000"/>
                <w:kern w:val="0"/>
                <w:sz w:val="21"/>
                <w:szCs w:val="21"/>
                <w:lang w:val="en-US" w:eastAsia="zh-CN"/>
              </w:rPr>
            </w:pPr>
            <w:r>
              <w:rPr>
                <w:rFonts w:hint="eastAsia"/>
                <w:color w:val="000000"/>
                <w:kern w:val="0"/>
                <w:sz w:val="21"/>
                <w:szCs w:val="21"/>
                <w:lang w:val="en-US" w:eastAsia="zh-CN"/>
              </w:rPr>
              <w:t>1100元/批次</w:t>
            </w:r>
          </w:p>
        </w:tc>
        <w:tc>
          <w:tcPr>
            <w:tcW w:w="81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eastAsia="仿宋_GB2312"/>
                <w:color w:val="000000"/>
                <w:kern w:val="0"/>
                <w:sz w:val="21"/>
                <w:szCs w:val="21"/>
                <w:lang w:val="en-US" w:eastAsia="zh-CN"/>
              </w:rPr>
            </w:pPr>
            <w:r>
              <w:rPr>
                <w:rFonts w:hint="eastAsia"/>
                <w:color w:val="000000"/>
                <w:kern w:val="0"/>
                <w:sz w:val="21"/>
                <w:szCs w:val="21"/>
                <w:lang w:val="en-US" w:eastAsia="zh-CN"/>
              </w:rPr>
              <w:t>5</w:t>
            </w:r>
          </w:p>
        </w:tc>
        <w:tc>
          <w:tcPr>
            <w:tcW w:w="88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eastAsia="仿宋_GB2312"/>
                <w:color w:val="000000"/>
                <w:kern w:val="0"/>
                <w:sz w:val="21"/>
                <w:szCs w:val="21"/>
                <w:lang w:val="en-US" w:eastAsia="zh-CN"/>
              </w:rPr>
            </w:pPr>
            <w:r>
              <w:rPr>
                <w:rFonts w:hint="eastAsia"/>
                <w:color w:val="000000"/>
                <w:kern w:val="0"/>
                <w:sz w:val="21"/>
                <w:szCs w:val="21"/>
                <w:lang w:val="en-US" w:eastAsia="zh-CN"/>
              </w:rPr>
              <w:t>5</w:t>
            </w:r>
          </w:p>
        </w:tc>
        <w:tc>
          <w:tcPr>
            <w:tcW w:w="1623"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color w:val="000000"/>
                <w:kern w:val="0"/>
                <w:sz w:val="21"/>
                <w:szCs w:val="21"/>
              </w:rPr>
            </w:pPr>
            <w:r>
              <w:rPr>
                <w:color w:val="000000"/>
                <w:kern w:val="0"/>
                <w:sz w:val="21"/>
                <w:szCs w:val="21"/>
              </w:rPr>
              <w:t>　</w:t>
            </w:r>
          </w:p>
        </w:tc>
      </w:tr>
      <w:tr>
        <w:tblPrEx>
          <w:tblCellMar>
            <w:top w:w="0" w:type="dxa"/>
            <w:left w:w="108" w:type="dxa"/>
            <w:bottom w:w="0" w:type="dxa"/>
            <w:right w:w="108" w:type="dxa"/>
          </w:tblCellMar>
        </w:tblPrEx>
        <w:trPr>
          <w:trHeight w:val="430" w:hRule="atLeast"/>
          <w:jc w:val="center"/>
        </w:trPr>
        <w:tc>
          <w:tcPr>
            <w:tcW w:w="1080" w:type="dxa"/>
            <w:vMerge w:val="continue"/>
            <w:tcBorders>
              <w:left w:val="single" w:color="auto" w:sz="4" w:space="0"/>
              <w:right w:val="single" w:color="auto" w:sz="4" w:space="0"/>
            </w:tcBorders>
            <w:noWrap w:val="0"/>
            <w:vAlign w:val="center"/>
          </w:tcPr>
          <w:p>
            <w:pPr>
              <w:widowControl/>
              <w:spacing w:line="280" w:lineRule="exact"/>
              <w:jc w:val="left"/>
              <w:rPr>
                <w:color w:val="000000"/>
                <w:kern w:val="0"/>
                <w:sz w:val="21"/>
                <w:szCs w:val="21"/>
              </w:rPr>
            </w:pPr>
          </w:p>
        </w:tc>
        <w:tc>
          <w:tcPr>
            <w:tcW w:w="1080" w:type="dxa"/>
            <w:vMerge w:val="restart"/>
            <w:tcBorders>
              <w:top w:val="nil"/>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color w:val="000000"/>
                <w:kern w:val="0"/>
                <w:sz w:val="21"/>
                <w:szCs w:val="21"/>
              </w:rPr>
            </w:pPr>
            <w:r>
              <w:rPr>
                <w:color w:val="000000"/>
                <w:kern w:val="0"/>
                <w:sz w:val="21"/>
                <w:szCs w:val="21"/>
              </w:rPr>
              <w:t>效益指标</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color w:val="000000"/>
                <w:kern w:val="0"/>
                <w:sz w:val="21"/>
                <w:szCs w:val="21"/>
              </w:rPr>
            </w:pPr>
          </w:p>
          <w:p>
            <w:pPr>
              <w:keepNext w:val="0"/>
              <w:keepLines w:val="0"/>
              <w:pageBreakBefore w:val="0"/>
              <w:widowControl/>
              <w:kinsoku/>
              <w:wordWrap/>
              <w:overflowPunct/>
              <w:topLinePunct w:val="0"/>
              <w:autoSpaceDE/>
              <w:autoSpaceDN/>
              <w:bidi w:val="0"/>
              <w:adjustRightInd/>
              <w:snapToGrid/>
              <w:spacing w:line="240" w:lineRule="exact"/>
              <w:jc w:val="left"/>
              <w:textAlignment w:val="auto"/>
              <w:rPr>
                <w:color w:val="000000"/>
                <w:kern w:val="0"/>
                <w:sz w:val="21"/>
                <w:szCs w:val="21"/>
              </w:rPr>
            </w:pPr>
            <w:r>
              <w:rPr>
                <w:color w:val="000000"/>
                <w:kern w:val="0"/>
                <w:sz w:val="21"/>
                <w:szCs w:val="21"/>
              </w:rPr>
              <w:t>（</w:t>
            </w:r>
            <w:r>
              <w:rPr>
                <w:rFonts w:hint="eastAsia"/>
                <w:color w:val="000000"/>
                <w:kern w:val="0"/>
                <w:sz w:val="21"/>
                <w:szCs w:val="21"/>
              </w:rPr>
              <w:t>4</w:t>
            </w:r>
            <w:r>
              <w:rPr>
                <w:color w:val="000000"/>
                <w:kern w:val="0"/>
                <w:sz w:val="21"/>
                <w:szCs w:val="21"/>
              </w:rPr>
              <w:t>0分）</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color w:val="000000"/>
                <w:kern w:val="0"/>
                <w:sz w:val="21"/>
                <w:szCs w:val="21"/>
              </w:rPr>
            </w:pPr>
            <w:r>
              <w:rPr>
                <w:color w:val="000000"/>
                <w:kern w:val="0"/>
                <w:sz w:val="21"/>
                <w:szCs w:val="21"/>
              </w:rPr>
              <w:t>　</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color w:val="000000"/>
                <w:kern w:val="0"/>
                <w:sz w:val="21"/>
                <w:szCs w:val="21"/>
              </w:rPr>
            </w:pPr>
          </w:p>
        </w:tc>
        <w:tc>
          <w:tcPr>
            <w:tcW w:w="95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color w:val="000000"/>
                <w:kern w:val="0"/>
                <w:sz w:val="21"/>
                <w:szCs w:val="21"/>
              </w:rPr>
            </w:pPr>
            <w:r>
              <w:rPr>
                <w:color w:val="000000"/>
                <w:kern w:val="0"/>
                <w:sz w:val="21"/>
                <w:szCs w:val="21"/>
              </w:rPr>
              <w:t>经济效</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color w:val="000000"/>
                <w:kern w:val="0"/>
                <w:sz w:val="21"/>
                <w:szCs w:val="21"/>
              </w:rPr>
            </w:pPr>
            <w:r>
              <w:rPr>
                <w:color w:val="000000"/>
                <w:kern w:val="0"/>
                <w:sz w:val="21"/>
                <w:szCs w:val="21"/>
              </w:rPr>
              <w:t>益指标</w:t>
            </w:r>
          </w:p>
        </w:tc>
        <w:tc>
          <w:tcPr>
            <w:tcW w:w="1351"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color w:val="000000"/>
                <w:kern w:val="0"/>
                <w:sz w:val="21"/>
                <w:szCs w:val="21"/>
              </w:rPr>
            </w:pPr>
          </w:p>
        </w:tc>
        <w:tc>
          <w:tcPr>
            <w:tcW w:w="1200"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color w:val="000000"/>
                <w:kern w:val="0"/>
                <w:sz w:val="21"/>
                <w:szCs w:val="21"/>
              </w:rPr>
            </w:pPr>
          </w:p>
        </w:tc>
        <w:tc>
          <w:tcPr>
            <w:tcW w:w="127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color w:val="000000"/>
                <w:kern w:val="0"/>
                <w:sz w:val="21"/>
                <w:szCs w:val="21"/>
              </w:rPr>
            </w:pPr>
          </w:p>
        </w:tc>
        <w:tc>
          <w:tcPr>
            <w:tcW w:w="81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color w:val="000000"/>
                <w:kern w:val="0"/>
                <w:sz w:val="21"/>
                <w:szCs w:val="21"/>
              </w:rPr>
            </w:pPr>
          </w:p>
        </w:tc>
        <w:tc>
          <w:tcPr>
            <w:tcW w:w="889"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color w:val="000000"/>
                <w:kern w:val="0"/>
                <w:sz w:val="21"/>
                <w:szCs w:val="21"/>
              </w:rPr>
            </w:pPr>
          </w:p>
        </w:tc>
        <w:tc>
          <w:tcPr>
            <w:tcW w:w="162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color w:val="000000"/>
                <w:kern w:val="0"/>
                <w:sz w:val="21"/>
                <w:szCs w:val="21"/>
              </w:rPr>
            </w:pPr>
            <w:r>
              <w:rPr>
                <w:color w:val="000000"/>
                <w:kern w:val="0"/>
                <w:sz w:val="21"/>
                <w:szCs w:val="21"/>
              </w:rPr>
              <w:t>　</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color w:val="000000"/>
                <w:kern w:val="0"/>
                <w:sz w:val="21"/>
                <w:szCs w:val="21"/>
              </w:rPr>
            </w:pPr>
            <w:r>
              <w:rPr>
                <w:color w:val="000000"/>
                <w:kern w:val="0"/>
                <w:sz w:val="21"/>
                <w:szCs w:val="21"/>
              </w:rPr>
              <w:t>　</w:t>
            </w:r>
          </w:p>
          <w:p>
            <w:pPr>
              <w:keepNext w:val="0"/>
              <w:keepLines w:val="0"/>
              <w:pageBreakBefore w:val="0"/>
              <w:kinsoku/>
              <w:wordWrap/>
              <w:overflowPunct/>
              <w:topLinePunct w:val="0"/>
              <w:autoSpaceDE/>
              <w:autoSpaceDN/>
              <w:bidi w:val="0"/>
              <w:adjustRightInd/>
              <w:snapToGrid/>
              <w:spacing w:line="240" w:lineRule="exact"/>
              <w:jc w:val="left"/>
              <w:textAlignment w:val="auto"/>
              <w:rPr>
                <w:color w:val="000000"/>
                <w:kern w:val="0"/>
                <w:sz w:val="21"/>
                <w:szCs w:val="21"/>
              </w:rPr>
            </w:pPr>
            <w:r>
              <w:rPr>
                <w:color w:val="000000"/>
                <w:kern w:val="0"/>
                <w:sz w:val="21"/>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widowControl/>
              <w:spacing w:line="280" w:lineRule="exact"/>
              <w:jc w:val="left"/>
              <w:rPr>
                <w:color w:val="000000"/>
                <w:kern w:val="0"/>
                <w:sz w:val="21"/>
                <w:szCs w:val="21"/>
              </w:rPr>
            </w:pPr>
          </w:p>
        </w:tc>
        <w:tc>
          <w:tcPr>
            <w:tcW w:w="1080" w:type="dxa"/>
            <w:vMerge w:val="continue"/>
            <w:tcBorders>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color w:val="000000"/>
                <w:kern w:val="0"/>
                <w:sz w:val="21"/>
                <w:szCs w:val="21"/>
              </w:rPr>
            </w:pPr>
          </w:p>
        </w:tc>
        <w:tc>
          <w:tcPr>
            <w:tcW w:w="953" w:type="dxa"/>
            <w:vMerge w:val="restar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color w:val="000000"/>
                <w:kern w:val="0"/>
                <w:sz w:val="21"/>
                <w:szCs w:val="21"/>
              </w:rPr>
            </w:pPr>
            <w:r>
              <w:rPr>
                <w:color w:val="000000"/>
                <w:kern w:val="0"/>
                <w:sz w:val="21"/>
                <w:szCs w:val="21"/>
              </w:rPr>
              <w:t>社会效</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color w:val="000000"/>
                <w:kern w:val="0"/>
                <w:sz w:val="21"/>
                <w:szCs w:val="21"/>
              </w:rPr>
            </w:pPr>
            <w:r>
              <w:rPr>
                <w:color w:val="000000"/>
                <w:kern w:val="0"/>
                <w:sz w:val="21"/>
                <w:szCs w:val="21"/>
              </w:rPr>
              <w:t>益指标</w:t>
            </w:r>
          </w:p>
        </w:tc>
        <w:tc>
          <w:tcPr>
            <w:tcW w:w="1351"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eastAsia="仿宋_GB2312"/>
                <w:color w:val="000000"/>
                <w:kern w:val="0"/>
                <w:sz w:val="21"/>
                <w:szCs w:val="21"/>
                <w:lang w:val="en-US" w:eastAsia="zh-CN" w:bidi="ar-SA"/>
              </w:rPr>
            </w:pPr>
            <w:r>
              <w:rPr>
                <w:rFonts w:hint="eastAsia"/>
                <w:color w:val="000000"/>
                <w:kern w:val="0"/>
                <w:sz w:val="21"/>
                <w:szCs w:val="21"/>
              </w:rPr>
              <w:t>省级媒体正面报道次数</w:t>
            </w:r>
          </w:p>
        </w:tc>
        <w:tc>
          <w:tcPr>
            <w:tcW w:w="1200"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eastAsia="仿宋_GB2312"/>
                <w:color w:val="000000"/>
                <w:kern w:val="0"/>
                <w:sz w:val="21"/>
                <w:szCs w:val="21"/>
                <w:lang w:val="en-US" w:eastAsia="zh-CN" w:bidi="ar-SA"/>
              </w:rPr>
            </w:pPr>
            <w:r>
              <w:rPr>
                <w:rFonts w:hint="eastAsia"/>
                <w:color w:val="000000"/>
                <w:kern w:val="0"/>
                <w:sz w:val="21"/>
                <w:szCs w:val="21"/>
              </w:rPr>
              <w:t>≧300条</w:t>
            </w:r>
          </w:p>
        </w:tc>
        <w:tc>
          <w:tcPr>
            <w:tcW w:w="1276"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eastAsia="仿宋_GB2312"/>
                <w:color w:val="000000"/>
                <w:kern w:val="0"/>
                <w:sz w:val="21"/>
                <w:szCs w:val="21"/>
                <w:lang w:val="en-US" w:eastAsia="zh-CN"/>
              </w:rPr>
            </w:pPr>
            <w:r>
              <w:rPr>
                <w:rFonts w:hint="eastAsia"/>
                <w:color w:val="000000"/>
                <w:kern w:val="0"/>
                <w:sz w:val="21"/>
                <w:szCs w:val="21"/>
                <w:lang w:val="en-US" w:eastAsia="zh-CN"/>
              </w:rPr>
              <w:t>385条</w:t>
            </w:r>
          </w:p>
        </w:tc>
        <w:tc>
          <w:tcPr>
            <w:tcW w:w="81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eastAsia="仿宋_GB2312"/>
                <w:color w:val="000000"/>
                <w:kern w:val="0"/>
                <w:sz w:val="21"/>
                <w:szCs w:val="21"/>
                <w:lang w:val="en-US" w:eastAsia="zh-CN"/>
              </w:rPr>
            </w:pPr>
            <w:r>
              <w:rPr>
                <w:rFonts w:hint="eastAsia"/>
                <w:color w:val="000000"/>
                <w:kern w:val="0"/>
                <w:sz w:val="21"/>
                <w:szCs w:val="21"/>
                <w:lang w:val="en-US" w:eastAsia="zh-CN"/>
              </w:rPr>
              <w:t>10</w:t>
            </w:r>
          </w:p>
        </w:tc>
        <w:tc>
          <w:tcPr>
            <w:tcW w:w="88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eastAsia="仿宋_GB2312"/>
                <w:color w:val="000000"/>
                <w:kern w:val="0"/>
                <w:sz w:val="21"/>
                <w:szCs w:val="21"/>
                <w:lang w:val="en-US" w:eastAsia="zh-CN"/>
              </w:rPr>
            </w:pPr>
            <w:r>
              <w:rPr>
                <w:rFonts w:hint="eastAsia"/>
                <w:color w:val="000000"/>
                <w:kern w:val="0"/>
                <w:sz w:val="21"/>
                <w:szCs w:val="21"/>
                <w:lang w:val="en-US" w:eastAsia="zh-CN"/>
              </w:rPr>
              <w:t>10</w:t>
            </w:r>
          </w:p>
        </w:tc>
        <w:tc>
          <w:tcPr>
            <w:tcW w:w="162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color w:val="000000"/>
                <w:kern w:val="0"/>
                <w:sz w:val="21"/>
                <w:szCs w:val="21"/>
              </w:rPr>
            </w:pPr>
            <w:r>
              <w:rPr>
                <w:color w:val="000000"/>
                <w:kern w:val="0"/>
                <w:sz w:val="21"/>
                <w:szCs w:val="21"/>
              </w:rPr>
              <w:t>　</w:t>
            </w:r>
          </w:p>
        </w:tc>
      </w:tr>
      <w:tr>
        <w:tblPrEx>
          <w:tblCellMar>
            <w:top w:w="0" w:type="dxa"/>
            <w:left w:w="108" w:type="dxa"/>
            <w:bottom w:w="0" w:type="dxa"/>
            <w:right w:w="108" w:type="dxa"/>
          </w:tblCellMar>
        </w:tblPrEx>
        <w:trPr>
          <w:trHeight w:val="821" w:hRule="atLeast"/>
          <w:jc w:val="center"/>
        </w:trPr>
        <w:tc>
          <w:tcPr>
            <w:tcW w:w="1080" w:type="dxa"/>
            <w:vMerge w:val="continue"/>
            <w:tcBorders>
              <w:left w:val="single" w:color="auto" w:sz="4" w:space="0"/>
              <w:right w:val="single" w:color="auto" w:sz="4" w:space="0"/>
            </w:tcBorders>
            <w:noWrap w:val="0"/>
            <w:vAlign w:val="center"/>
          </w:tcPr>
          <w:p>
            <w:pPr>
              <w:widowControl/>
              <w:spacing w:line="280" w:lineRule="exact"/>
              <w:jc w:val="left"/>
              <w:rPr>
                <w:color w:val="000000"/>
                <w:kern w:val="0"/>
                <w:sz w:val="21"/>
                <w:szCs w:val="21"/>
              </w:rPr>
            </w:pPr>
          </w:p>
        </w:tc>
        <w:tc>
          <w:tcPr>
            <w:tcW w:w="1080" w:type="dxa"/>
            <w:vMerge w:val="continue"/>
            <w:tcBorders>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color w:val="000000"/>
                <w:kern w:val="0"/>
                <w:sz w:val="21"/>
                <w:szCs w:val="21"/>
              </w:rPr>
            </w:pPr>
          </w:p>
        </w:tc>
        <w:tc>
          <w:tcPr>
            <w:tcW w:w="953" w:type="dxa"/>
            <w:vMerge w:val="continue"/>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color w:val="000000"/>
                <w:kern w:val="0"/>
                <w:sz w:val="21"/>
                <w:szCs w:val="21"/>
              </w:rPr>
            </w:pPr>
          </w:p>
        </w:tc>
        <w:tc>
          <w:tcPr>
            <w:tcW w:w="1351"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color w:val="000000"/>
                <w:kern w:val="0"/>
                <w:sz w:val="21"/>
                <w:szCs w:val="21"/>
              </w:rPr>
            </w:pPr>
            <w:r>
              <w:rPr>
                <w:rFonts w:hint="eastAsia"/>
                <w:color w:val="000000"/>
                <w:kern w:val="0"/>
                <w:sz w:val="21"/>
                <w:szCs w:val="21"/>
              </w:rPr>
              <w:t>市场监管综合执法水平和市场营商环境</w:t>
            </w:r>
          </w:p>
        </w:tc>
        <w:tc>
          <w:tcPr>
            <w:tcW w:w="1200"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color w:val="000000"/>
                <w:kern w:val="0"/>
                <w:sz w:val="21"/>
                <w:szCs w:val="21"/>
              </w:rPr>
            </w:pPr>
            <w:r>
              <w:rPr>
                <w:rFonts w:hint="eastAsia"/>
                <w:color w:val="000000"/>
                <w:kern w:val="0"/>
                <w:sz w:val="21"/>
                <w:szCs w:val="21"/>
              </w:rPr>
              <w:t>持续向好</w:t>
            </w:r>
          </w:p>
        </w:tc>
        <w:tc>
          <w:tcPr>
            <w:tcW w:w="1276"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color w:val="000000"/>
                <w:kern w:val="0"/>
                <w:sz w:val="21"/>
                <w:szCs w:val="21"/>
              </w:rPr>
            </w:pPr>
            <w:r>
              <w:rPr>
                <w:rFonts w:hint="eastAsia"/>
                <w:color w:val="000000"/>
                <w:kern w:val="0"/>
                <w:sz w:val="21"/>
                <w:szCs w:val="21"/>
              </w:rPr>
              <w:t>持续向好</w:t>
            </w:r>
          </w:p>
        </w:tc>
        <w:tc>
          <w:tcPr>
            <w:tcW w:w="81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eastAsia="仿宋_GB2312"/>
                <w:color w:val="000000"/>
                <w:kern w:val="0"/>
                <w:sz w:val="21"/>
                <w:szCs w:val="21"/>
                <w:lang w:val="en-US" w:eastAsia="zh-CN"/>
              </w:rPr>
            </w:pPr>
            <w:r>
              <w:rPr>
                <w:rFonts w:hint="eastAsia"/>
                <w:color w:val="000000"/>
                <w:kern w:val="0"/>
                <w:sz w:val="21"/>
                <w:szCs w:val="21"/>
                <w:lang w:val="en-US" w:eastAsia="zh-CN"/>
              </w:rPr>
              <w:t>10</w:t>
            </w:r>
          </w:p>
        </w:tc>
        <w:tc>
          <w:tcPr>
            <w:tcW w:w="88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eastAsia="仿宋_GB2312"/>
                <w:color w:val="000000"/>
                <w:kern w:val="0"/>
                <w:sz w:val="21"/>
                <w:szCs w:val="21"/>
                <w:lang w:val="en-US" w:eastAsia="zh-CN"/>
              </w:rPr>
            </w:pPr>
            <w:r>
              <w:rPr>
                <w:rFonts w:hint="eastAsia"/>
                <w:color w:val="000000"/>
                <w:kern w:val="0"/>
                <w:sz w:val="21"/>
                <w:szCs w:val="21"/>
                <w:lang w:val="en-US" w:eastAsia="zh-CN"/>
              </w:rPr>
              <w:t>8.5</w:t>
            </w:r>
          </w:p>
        </w:tc>
        <w:tc>
          <w:tcPr>
            <w:tcW w:w="162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color w:val="000000"/>
                <w:kern w:val="0"/>
                <w:sz w:val="21"/>
                <w:szCs w:val="21"/>
              </w:rPr>
            </w:pPr>
            <w:r>
              <w:rPr>
                <w:color w:val="000000"/>
                <w:kern w:val="0"/>
                <w:sz w:val="21"/>
                <w:szCs w:val="21"/>
              </w:rPr>
              <w:t>　</w:t>
            </w:r>
          </w:p>
          <w:p>
            <w:pPr>
              <w:keepNext w:val="0"/>
              <w:keepLines w:val="0"/>
              <w:pageBreakBefore w:val="0"/>
              <w:kinsoku/>
              <w:wordWrap/>
              <w:overflowPunct/>
              <w:topLinePunct w:val="0"/>
              <w:autoSpaceDE/>
              <w:autoSpaceDN/>
              <w:bidi w:val="0"/>
              <w:adjustRightInd/>
              <w:snapToGrid/>
              <w:spacing w:line="240" w:lineRule="exact"/>
              <w:jc w:val="left"/>
              <w:textAlignment w:val="auto"/>
              <w:rPr>
                <w:color w:val="000000"/>
                <w:kern w:val="0"/>
                <w:sz w:val="21"/>
                <w:szCs w:val="21"/>
              </w:rPr>
            </w:pPr>
            <w:r>
              <w:rPr>
                <w:color w:val="000000"/>
                <w:kern w:val="0"/>
                <w:sz w:val="21"/>
                <w:szCs w:val="21"/>
              </w:rPr>
              <w:t>　</w:t>
            </w:r>
          </w:p>
        </w:tc>
      </w:tr>
      <w:tr>
        <w:tblPrEx>
          <w:tblCellMar>
            <w:top w:w="0" w:type="dxa"/>
            <w:left w:w="108" w:type="dxa"/>
            <w:bottom w:w="0" w:type="dxa"/>
            <w:right w:w="108" w:type="dxa"/>
          </w:tblCellMar>
        </w:tblPrEx>
        <w:trPr>
          <w:trHeight w:val="370" w:hRule="atLeast"/>
          <w:jc w:val="center"/>
        </w:trPr>
        <w:tc>
          <w:tcPr>
            <w:tcW w:w="1080" w:type="dxa"/>
            <w:vMerge w:val="continue"/>
            <w:tcBorders>
              <w:left w:val="single" w:color="auto" w:sz="4" w:space="0"/>
              <w:right w:val="single" w:color="auto" w:sz="4" w:space="0"/>
            </w:tcBorders>
            <w:noWrap w:val="0"/>
            <w:vAlign w:val="center"/>
          </w:tcPr>
          <w:p>
            <w:pPr>
              <w:widowControl/>
              <w:spacing w:line="280" w:lineRule="exact"/>
              <w:jc w:val="left"/>
              <w:rPr>
                <w:color w:val="000000"/>
                <w:kern w:val="0"/>
                <w:sz w:val="21"/>
                <w:szCs w:val="21"/>
              </w:rPr>
            </w:pPr>
          </w:p>
        </w:tc>
        <w:tc>
          <w:tcPr>
            <w:tcW w:w="1080" w:type="dxa"/>
            <w:vMerge w:val="continue"/>
            <w:tcBorders>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color w:val="000000"/>
                <w:kern w:val="0"/>
                <w:sz w:val="21"/>
                <w:szCs w:val="21"/>
              </w:rPr>
            </w:pPr>
          </w:p>
        </w:tc>
        <w:tc>
          <w:tcPr>
            <w:tcW w:w="95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color w:val="000000"/>
                <w:kern w:val="0"/>
                <w:sz w:val="21"/>
                <w:szCs w:val="21"/>
              </w:rPr>
            </w:pPr>
            <w:r>
              <w:rPr>
                <w:color w:val="000000"/>
                <w:kern w:val="0"/>
                <w:sz w:val="21"/>
                <w:szCs w:val="21"/>
              </w:rPr>
              <w:t>生态效</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color w:val="000000"/>
                <w:kern w:val="0"/>
                <w:sz w:val="21"/>
                <w:szCs w:val="21"/>
              </w:rPr>
            </w:pPr>
            <w:r>
              <w:rPr>
                <w:color w:val="000000"/>
                <w:kern w:val="0"/>
                <w:sz w:val="21"/>
                <w:szCs w:val="21"/>
              </w:rPr>
              <w:t>益指标</w:t>
            </w:r>
          </w:p>
        </w:tc>
        <w:tc>
          <w:tcPr>
            <w:tcW w:w="1351" w:type="dxa"/>
            <w:gridSpan w:val="2"/>
            <w:tcBorders>
              <w:top w:val="single" w:color="auto" w:sz="4" w:space="0"/>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color w:val="000000"/>
                <w:kern w:val="0"/>
                <w:sz w:val="21"/>
                <w:szCs w:val="21"/>
              </w:rPr>
            </w:pPr>
          </w:p>
        </w:tc>
        <w:tc>
          <w:tcPr>
            <w:tcW w:w="1200" w:type="dxa"/>
            <w:tcBorders>
              <w:top w:val="single" w:color="auto" w:sz="4" w:space="0"/>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color w:val="000000"/>
                <w:kern w:val="0"/>
                <w:sz w:val="21"/>
                <w:szCs w:val="21"/>
              </w:rPr>
            </w:pPr>
          </w:p>
        </w:tc>
        <w:tc>
          <w:tcPr>
            <w:tcW w:w="1276" w:type="dxa"/>
            <w:tcBorders>
              <w:top w:val="single" w:color="auto" w:sz="4" w:space="0"/>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color w:val="000000"/>
                <w:kern w:val="0"/>
                <w:sz w:val="21"/>
                <w:szCs w:val="21"/>
              </w:rPr>
            </w:pPr>
          </w:p>
        </w:tc>
        <w:tc>
          <w:tcPr>
            <w:tcW w:w="812" w:type="dxa"/>
            <w:tcBorders>
              <w:top w:val="single" w:color="auto" w:sz="4" w:space="0"/>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color w:val="000000"/>
                <w:kern w:val="0"/>
                <w:sz w:val="21"/>
                <w:szCs w:val="21"/>
              </w:rPr>
            </w:pPr>
          </w:p>
        </w:tc>
        <w:tc>
          <w:tcPr>
            <w:tcW w:w="889" w:type="dxa"/>
            <w:tcBorders>
              <w:top w:val="single" w:color="auto" w:sz="4" w:space="0"/>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color w:val="000000"/>
                <w:kern w:val="0"/>
                <w:sz w:val="21"/>
                <w:szCs w:val="21"/>
              </w:rPr>
            </w:pPr>
          </w:p>
        </w:tc>
        <w:tc>
          <w:tcPr>
            <w:tcW w:w="1623" w:type="dxa"/>
            <w:tcBorders>
              <w:top w:val="single" w:color="auto" w:sz="4" w:space="0"/>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color w:val="000000"/>
                <w:kern w:val="0"/>
                <w:sz w:val="21"/>
                <w:szCs w:val="21"/>
              </w:rPr>
            </w:pPr>
            <w:r>
              <w:rPr>
                <w:color w:val="000000"/>
                <w:kern w:val="0"/>
                <w:sz w:val="21"/>
                <w:szCs w:val="21"/>
              </w:rPr>
              <w:t>　</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color w:val="000000"/>
                <w:kern w:val="0"/>
                <w:sz w:val="21"/>
                <w:szCs w:val="21"/>
              </w:rPr>
            </w:pPr>
            <w:r>
              <w:rPr>
                <w:color w:val="000000"/>
                <w:kern w:val="0"/>
                <w:sz w:val="21"/>
                <w:szCs w:val="21"/>
              </w:rPr>
              <w:t>　</w:t>
            </w:r>
          </w:p>
          <w:p>
            <w:pPr>
              <w:keepNext w:val="0"/>
              <w:keepLines w:val="0"/>
              <w:pageBreakBefore w:val="0"/>
              <w:kinsoku/>
              <w:wordWrap/>
              <w:overflowPunct/>
              <w:topLinePunct w:val="0"/>
              <w:autoSpaceDE/>
              <w:autoSpaceDN/>
              <w:bidi w:val="0"/>
              <w:adjustRightInd/>
              <w:snapToGrid/>
              <w:spacing w:line="240" w:lineRule="exact"/>
              <w:jc w:val="left"/>
              <w:textAlignment w:val="auto"/>
              <w:rPr>
                <w:color w:val="000000"/>
                <w:kern w:val="0"/>
                <w:sz w:val="21"/>
                <w:szCs w:val="21"/>
              </w:rPr>
            </w:pPr>
            <w:r>
              <w:rPr>
                <w:color w:val="000000"/>
                <w:kern w:val="0"/>
                <w:sz w:val="21"/>
                <w:szCs w:val="21"/>
              </w:rPr>
              <w:t>　</w:t>
            </w:r>
          </w:p>
        </w:tc>
      </w:tr>
      <w:tr>
        <w:tblPrEx>
          <w:tblCellMar>
            <w:top w:w="0" w:type="dxa"/>
            <w:left w:w="108" w:type="dxa"/>
            <w:bottom w:w="0" w:type="dxa"/>
            <w:right w:w="108" w:type="dxa"/>
          </w:tblCellMar>
        </w:tblPrEx>
        <w:trPr>
          <w:trHeight w:val="1026" w:hRule="atLeast"/>
          <w:jc w:val="center"/>
        </w:trPr>
        <w:tc>
          <w:tcPr>
            <w:tcW w:w="1080" w:type="dxa"/>
            <w:vMerge w:val="continue"/>
            <w:tcBorders>
              <w:left w:val="single" w:color="auto" w:sz="4" w:space="0"/>
              <w:right w:val="single" w:color="auto" w:sz="4" w:space="0"/>
            </w:tcBorders>
            <w:noWrap w:val="0"/>
            <w:vAlign w:val="center"/>
          </w:tcPr>
          <w:p>
            <w:pPr>
              <w:widowControl/>
              <w:spacing w:line="280" w:lineRule="exact"/>
              <w:jc w:val="center"/>
              <w:rPr>
                <w:color w:val="000000"/>
                <w:kern w:val="0"/>
                <w:sz w:val="21"/>
                <w:szCs w:val="21"/>
              </w:rPr>
            </w:pPr>
          </w:p>
        </w:tc>
        <w:tc>
          <w:tcPr>
            <w:tcW w:w="1080" w:type="dxa"/>
            <w:vMerge w:val="continue"/>
            <w:tcBorders>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color w:val="000000"/>
                <w:kern w:val="0"/>
                <w:sz w:val="21"/>
                <w:szCs w:val="21"/>
              </w:rPr>
            </w:pPr>
          </w:p>
        </w:tc>
        <w:tc>
          <w:tcPr>
            <w:tcW w:w="9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color w:val="000000"/>
                <w:kern w:val="0"/>
                <w:sz w:val="21"/>
                <w:szCs w:val="21"/>
              </w:rPr>
            </w:pPr>
            <w:r>
              <w:rPr>
                <w:color w:val="000000"/>
                <w:kern w:val="0"/>
                <w:sz w:val="21"/>
                <w:szCs w:val="21"/>
              </w:rPr>
              <w:t>可持续影响指标</w:t>
            </w:r>
          </w:p>
        </w:tc>
        <w:tc>
          <w:tcPr>
            <w:tcW w:w="135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color w:val="000000"/>
                <w:kern w:val="0"/>
                <w:sz w:val="21"/>
                <w:szCs w:val="21"/>
              </w:rPr>
            </w:pPr>
            <w:r>
              <w:rPr>
                <w:rFonts w:hint="eastAsia"/>
                <w:color w:val="000000"/>
                <w:kern w:val="0"/>
                <w:sz w:val="21"/>
                <w:szCs w:val="21"/>
              </w:rPr>
              <w:t>提高广大群众正当交易的法律法规意识，保护消费者合法权益</w:t>
            </w:r>
          </w:p>
        </w:tc>
        <w:tc>
          <w:tcPr>
            <w:tcW w:w="12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color w:val="000000"/>
                <w:kern w:val="0"/>
                <w:sz w:val="21"/>
                <w:szCs w:val="21"/>
              </w:rPr>
            </w:pPr>
            <w:r>
              <w:rPr>
                <w:rFonts w:hint="eastAsia"/>
                <w:color w:val="000000"/>
                <w:kern w:val="0"/>
                <w:sz w:val="21"/>
                <w:szCs w:val="21"/>
              </w:rPr>
              <w:t>持续提升</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color w:val="000000"/>
                <w:kern w:val="0"/>
                <w:sz w:val="21"/>
                <w:szCs w:val="21"/>
              </w:rPr>
            </w:pPr>
            <w:r>
              <w:rPr>
                <w:rFonts w:hint="eastAsia"/>
                <w:color w:val="000000"/>
                <w:kern w:val="0"/>
                <w:sz w:val="21"/>
                <w:szCs w:val="21"/>
              </w:rPr>
              <w:t>持续提升</w:t>
            </w:r>
          </w:p>
        </w:tc>
        <w:tc>
          <w:tcPr>
            <w:tcW w:w="8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eastAsia="仿宋_GB2312"/>
                <w:color w:val="000000"/>
                <w:kern w:val="0"/>
                <w:sz w:val="21"/>
                <w:szCs w:val="21"/>
                <w:lang w:val="en-US" w:eastAsia="zh-CN"/>
              </w:rPr>
            </w:pPr>
            <w:r>
              <w:rPr>
                <w:rFonts w:hint="eastAsia"/>
                <w:color w:val="000000"/>
                <w:kern w:val="0"/>
                <w:sz w:val="21"/>
                <w:szCs w:val="21"/>
                <w:lang w:val="en-US" w:eastAsia="zh-CN"/>
              </w:rPr>
              <w:t>10</w:t>
            </w:r>
          </w:p>
        </w:tc>
        <w:tc>
          <w:tcPr>
            <w:tcW w:w="8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eastAsia="仿宋_GB2312"/>
                <w:color w:val="000000"/>
                <w:kern w:val="0"/>
                <w:sz w:val="21"/>
                <w:szCs w:val="21"/>
                <w:lang w:val="en-US" w:eastAsia="zh-CN"/>
              </w:rPr>
            </w:pPr>
            <w:r>
              <w:rPr>
                <w:rFonts w:hint="eastAsia"/>
                <w:color w:val="000000"/>
                <w:kern w:val="0"/>
                <w:sz w:val="21"/>
                <w:szCs w:val="21"/>
                <w:lang w:val="en-US" w:eastAsia="zh-CN"/>
              </w:rPr>
              <w:t>8.5</w:t>
            </w:r>
          </w:p>
        </w:tc>
        <w:tc>
          <w:tcPr>
            <w:tcW w:w="16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color w:val="000000"/>
                <w:kern w:val="0"/>
                <w:sz w:val="21"/>
                <w:szCs w:val="21"/>
              </w:rPr>
            </w:pPr>
          </w:p>
        </w:tc>
      </w:tr>
      <w:tr>
        <w:tblPrEx>
          <w:tblCellMar>
            <w:top w:w="0" w:type="dxa"/>
            <w:left w:w="108" w:type="dxa"/>
            <w:bottom w:w="0" w:type="dxa"/>
            <w:right w:w="108" w:type="dxa"/>
          </w:tblCellMar>
        </w:tblPrEx>
        <w:trPr>
          <w:trHeight w:val="946" w:hRule="atLeast"/>
          <w:jc w:val="center"/>
        </w:trPr>
        <w:tc>
          <w:tcPr>
            <w:tcW w:w="1080" w:type="dxa"/>
            <w:vMerge w:val="continue"/>
            <w:tcBorders>
              <w:left w:val="single" w:color="auto" w:sz="4" w:space="0"/>
              <w:bottom w:val="single" w:color="auto" w:sz="4" w:space="0"/>
              <w:right w:val="single" w:color="auto" w:sz="4" w:space="0"/>
            </w:tcBorders>
            <w:noWrap w:val="0"/>
            <w:vAlign w:val="center"/>
          </w:tcPr>
          <w:p>
            <w:pPr>
              <w:widowControl/>
              <w:spacing w:line="280" w:lineRule="exact"/>
              <w:jc w:val="left"/>
              <w:rPr>
                <w:color w:val="000000"/>
                <w:kern w:val="0"/>
                <w:sz w:val="21"/>
                <w:szCs w:val="21"/>
              </w:rPr>
            </w:pPr>
          </w:p>
        </w:tc>
        <w:tc>
          <w:tcPr>
            <w:tcW w:w="1080" w:type="dxa"/>
            <w:vMerge w:val="continue"/>
            <w:tcBorders>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color w:val="000000"/>
                <w:kern w:val="0"/>
                <w:sz w:val="21"/>
                <w:szCs w:val="21"/>
              </w:rPr>
            </w:pPr>
          </w:p>
        </w:tc>
        <w:tc>
          <w:tcPr>
            <w:tcW w:w="95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color w:val="000000"/>
                <w:kern w:val="0"/>
                <w:sz w:val="21"/>
                <w:szCs w:val="21"/>
              </w:rPr>
            </w:pPr>
            <w:r>
              <w:rPr>
                <w:color w:val="000000"/>
                <w:kern w:val="0"/>
                <w:sz w:val="21"/>
                <w:szCs w:val="21"/>
              </w:rPr>
              <w:t>服务对象满意度指标</w:t>
            </w:r>
          </w:p>
        </w:tc>
        <w:tc>
          <w:tcPr>
            <w:tcW w:w="1351"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color w:val="000000"/>
                <w:kern w:val="0"/>
                <w:sz w:val="21"/>
                <w:szCs w:val="21"/>
              </w:rPr>
            </w:pPr>
            <w:r>
              <w:rPr>
                <w:rFonts w:hint="eastAsia"/>
                <w:color w:val="000000"/>
                <w:kern w:val="0"/>
                <w:sz w:val="21"/>
                <w:szCs w:val="21"/>
              </w:rPr>
              <w:t>社会公众对食品安全满意度</w:t>
            </w:r>
          </w:p>
        </w:tc>
        <w:tc>
          <w:tcPr>
            <w:tcW w:w="1200"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color w:val="000000"/>
                <w:kern w:val="0"/>
                <w:sz w:val="21"/>
                <w:szCs w:val="21"/>
              </w:rPr>
            </w:pPr>
            <w:r>
              <w:rPr>
                <w:rFonts w:hint="eastAsia"/>
                <w:color w:val="000000"/>
                <w:kern w:val="0"/>
                <w:sz w:val="21"/>
                <w:szCs w:val="21"/>
              </w:rPr>
              <w:t>≧75%</w:t>
            </w:r>
          </w:p>
        </w:tc>
        <w:tc>
          <w:tcPr>
            <w:tcW w:w="1276"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eastAsia="仿宋_GB2312"/>
                <w:color w:val="000000"/>
                <w:kern w:val="0"/>
                <w:sz w:val="21"/>
                <w:szCs w:val="21"/>
                <w:lang w:val="en-US" w:eastAsia="zh-CN"/>
              </w:rPr>
            </w:pPr>
            <w:r>
              <w:rPr>
                <w:rFonts w:hint="eastAsia"/>
                <w:color w:val="000000"/>
                <w:kern w:val="0"/>
                <w:sz w:val="21"/>
                <w:szCs w:val="21"/>
                <w:lang w:val="en-US" w:eastAsia="zh-CN"/>
              </w:rPr>
              <w:t>86.974%</w:t>
            </w:r>
          </w:p>
        </w:tc>
        <w:tc>
          <w:tcPr>
            <w:tcW w:w="81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eastAsia="仿宋_GB2312"/>
                <w:color w:val="000000"/>
                <w:kern w:val="0"/>
                <w:sz w:val="21"/>
                <w:szCs w:val="21"/>
                <w:lang w:val="en-US" w:eastAsia="zh-CN"/>
              </w:rPr>
            </w:pPr>
            <w:r>
              <w:rPr>
                <w:rFonts w:hint="eastAsia"/>
                <w:color w:val="000000"/>
                <w:kern w:val="0"/>
                <w:sz w:val="21"/>
                <w:szCs w:val="21"/>
                <w:lang w:val="en-US" w:eastAsia="zh-CN"/>
              </w:rPr>
              <w:t>10</w:t>
            </w:r>
          </w:p>
        </w:tc>
        <w:tc>
          <w:tcPr>
            <w:tcW w:w="889"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eastAsia="仿宋_GB2312"/>
                <w:color w:val="000000"/>
                <w:kern w:val="0"/>
                <w:sz w:val="21"/>
                <w:szCs w:val="21"/>
                <w:lang w:val="en-US" w:eastAsia="zh-CN"/>
              </w:rPr>
            </w:pPr>
            <w:r>
              <w:rPr>
                <w:rFonts w:hint="eastAsia"/>
                <w:color w:val="000000"/>
                <w:kern w:val="0"/>
                <w:sz w:val="21"/>
                <w:szCs w:val="21"/>
                <w:lang w:val="en-US" w:eastAsia="zh-CN"/>
              </w:rPr>
              <w:t>10</w:t>
            </w:r>
          </w:p>
        </w:tc>
        <w:tc>
          <w:tcPr>
            <w:tcW w:w="1623"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color w:val="000000"/>
                <w:kern w:val="0"/>
                <w:sz w:val="21"/>
                <w:szCs w:val="21"/>
              </w:rPr>
            </w:pPr>
          </w:p>
        </w:tc>
      </w:tr>
      <w:tr>
        <w:tblPrEx>
          <w:tblCellMar>
            <w:top w:w="0" w:type="dxa"/>
            <w:left w:w="108" w:type="dxa"/>
            <w:bottom w:w="0" w:type="dxa"/>
            <w:right w:w="108" w:type="dxa"/>
          </w:tblCellMar>
        </w:tblPrEx>
        <w:trPr>
          <w:trHeight w:val="427" w:hRule="atLeast"/>
          <w:jc w:val="center"/>
        </w:trPr>
        <w:tc>
          <w:tcPr>
            <w:tcW w:w="6940" w:type="dxa"/>
            <w:gridSpan w:val="7"/>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color w:val="000000"/>
                <w:kern w:val="0"/>
                <w:sz w:val="21"/>
                <w:szCs w:val="21"/>
              </w:rPr>
            </w:pPr>
            <w:r>
              <w:rPr>
                <w:color w:val="000000"/>
                <w:kern w:val="0"/>
                <w:sz w:val="21"/>
                <w:szCs w:val="21"/>
              </w:rPr>
              <w:t>总分</w:t>
            </w:r>
          </w:p>
        </w:tc>
        <w:tc>
          <w:tcPr>
            <w:tcW w:w="8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color w:val="000000"/>
                <w:kern w:val="0"/>
                <w:sz w:val="21"/>
                <w:szCs w:val="21"/>
              </w:rPr>
            </w:pPr>
            <w:r>
              <w:rPr>
                <w:color w:val="000000"/>
                <w:kern w:val="0"/>
                <w:sz w:val="21"/>
                <w:szCs w:val="21"/>
              </w:rPr>
              <w:t>100</w:t>
            </w:r>
            <w:r>
              <w:rPr>
                <w:rFonts w:hint="eastAsia"/>
                <w:color w:val="000000"/>
                <w:kern w:val="0"/>
                <w:sz w:val="21"/>
                <w:szCs w:val="21"/>
              </w:rPr>
              <w:t>分</w:t>
            </w:r>
          </w:p>
        </w:tc>
        <w:tc>
          <w:tcPr>
            <w:tcW w:w="8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eastAsia="仿宋_GB2312"/>
                <w:color w:val="000000"/>
                <w:kern w:val="0"/>
                <w:sz w:val="21"/>
                <w:szCs w:val="21"/>
                <w:lang w:val="en-US" w:eastAsia="zh-CN"/>
              </w:rPr>
            </w:pPr>
            <w:r>
              <w:rPr>
                <w:rFonts w:hint="eastAsia"/>
                <w:color w:val="000000"/>
                <w:kern w:val="0"/>
                <w:sz w:val="21"/>
                <w:szCs w:val="21"/>
                <w:lang w:val="en-US" w:eastAsia="zh-CN"/>
              </w:rPr>
              <w:t>94.5分</w:t>
            </w:r>
          </w:p>
        </w:tc>
        <w:tc>
          <w:tcPr>
            <w:tcW w:w="16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color w:val="000000"/>
                <w:kern w:val="0"/>
                <w:sz w:val="21"/>
                <w:szCs w:val="21"/>
              </w:rPr>
            </w:pPr>
            <w:r>
              <w:rPr>
                <w:color w:val="000000"/>
                <w:kern w:val="0"/>
                <w:sz w:val="21"/>
                <w:szCs w:val="21"/>
              </w:rPr>
              <w:t>　</w:t>
            </w:r>
          </w:p>
        </w:tc>
      </w:tr>
    </w:tbl>
    <w:p>
      <w:pPr>
        <w:keepNext w:val="0"/>
        <w:keepLines w:val="0"/>
        <w:pageBreakBefore w:val="0"/>
        <w:widowControl w:val="0"/>
        <w:pBdr>
          <w:top w:val="none" w:color="000000" w:sz="0" w:space="0"/>
          <w:left w:val="none" w:color="000000" w:sz="0" w:space="0"/>
          <w:bottom w:val="none" w:color="000000" w:sz="0" w:space="21"/>
          <w:right w:val="none" w:color="000000" w:sz="0" w:space="1"/>
        </w:pBdr>
        <w:kinsoku/>
        <w:wordWrap/>
        <w:overflowPunct/>
        <w:topLinePunct w:val="0"/>
        <w:autoSpaceDE/>
        <w:autoSpaceDN w:val="0"/>
        <w:bidi w:val="0"/>
        <w:adjustRightInd/>
        <w:snapToGrid w:val="0"/>
        <w:spacing w:line="400" w:lineRule="exact"/>
        <w:ind w:left="140" w:leftChars="0" w:hanging="140" w:hangingChars="64"/>
        <w:jc w:val="left"/>
        <w:textAlignment w:val="auto"/>
        <w:rPr>
          <w:bCs/>
          <w:color w:val="000000"/>
          <w:kern w:val="0"/>
          <w:szCs w:val="32"/>
        </w:rPr>
      </w:pPr>
      <w:r>
        <w:rPr>
          <w:rFonts w:hint="eastAsia"/>
          <w:kern w:val="0"/>
          <w:sz w:val="22"/>
          <w:szCs w:val="22"/>
        </w:rPr>
        <w:t>填表人</w:t>
      </w:r>
      <w:r>
        <w:rPr>
          <w:kern w:val="0"/>
          <w:sz w:val="22"/>
          <w:szCs w:val="22"/>
        </w:rPr>
        <w:t>：</w:t>
      </w:r>
      <w:r>
        <w:rPr>
          <w:rFonts w:hint="eastAsia"/>
          <w:kern w:val="0"/>
          <w:sz w:val="22"/>
          <w:szCs w:val="22"/>
        </w:rPr>
        <w:t>潘菲丽</w:t>
      </w:r>
      <w:r>
        <w:rPr>
          <w:kern w:val="0"/>
          <w:sz w:val="22"/>
          <w:szCs w:val="22"/>
        </w:rPr>
        <w:t xml:space="preserve">   填报日期：</w:t>
      </w:r>
      <w:r>
        <w:rPr>
          <w:rFonts w:hint="eastAsia"/>
          <w:kern w:val="0"/>
          <w:sz w:val="22"/>
          <w:szCs w:val="22"/>
        </w:rPr>
        <w:t>202</w:t>
      </w:r>
      <w:r>
        <w:rPr>
          <w:rFonts w:hint="eastAsia"/>
          <w:kern w:val="0"/>
          <w:sz w:val="22"/>
          <w:szCs w:val="22"/>
          <w:lang w:val="en-US" w:eastAsia="zh-CN"/>
        </w:rPr>
        <w:t>3</w:t>
      </w:r>
      <w:r>
        <w:rPr>
          <w:rFonts w:hint="eastAsia"/>
          <w:kern w:val="0"/>
          <w:sz w:val="22"/>
          <w:szCs w:val="22"/>
        </w:rPr>
        <w:t>.0</w:t>
      </w:r>
      <w:r>
        <w:rPr>
          <w:rFonts w:hint="eastAsia"/>
          <w:kern w:val="0"/>
          <w:sz w:val="22"/>
          <w:szCs w:val="22"/>
          <w:lang w:val="en-US" w:eastAsia="zh-CN"/>
        </w:rPr>
        <w:t>3</w:t>
      </w:r>
      <w:r>
        <w:rPr>
          <w:kern w:val="0"/>
          <w:sz w:val="22"/>
          <w:szCs w:val="22"/>
        </w:rPr>
        <w:t xml:space="preserve">   联系电话：</w:t>
      </w:r>
      <w:r>
        <w:rPr>
          <w:rFonts w:hint="eastAsia"/>
          <w:kern w:val="0"/>
          <w:sz w:val="22"/>
          <w:szCs w:val="22"/>
        </w:rPr>
        <w:t>0737-4223049   单位负责人签字：</w:t>
      </w:r>
    </w:p>
    <w:sectPr>
      <w:footerReference r:id="rId3" w:type="default"/>
      <w:pgSz w:w="11906" w:h="16838"/>
      <w:pgMar w:top="1928" w:right="1474" w:bottom="1701" w:left="1587" w:header="851" w:footer="992" w:gutter="0"/>
      <w:pgNumType w:fmt="numberInDash" w:start="2"/>
      <w:cols w:space="720" w:num="1"/>
      <w:docGrid w:type="linesAndChars" w:linePitch="60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496A069-4C7C-4F34-BB77-ACDE3426F149}"/>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embedRegular r:id="rId2" w:fontKey="{16FA37E3-AE3F-443C-8638-E4369BF4886B}"/>
  </w:font>
  <w:font w:name="等线">
    <w:altName w:val="微软雅黑"/>
    <w:panose1 w:val="02010600030101010101"/>
    <w:charset w:val="86"/>
    <w:family w:val="roman"/>
    <w:pitch w:val="default"/>
    <w:sig w:usb0="00000000" w:usb1="00000000" w:usb2="00000016" w:usb3="00000000" w:csb0="0004000F" w:csb1="00000000"/>
  </w:font>
  <w:font w:name="TimesNewRomanPSMT">
    <w:altName w:val="Times New Roman"/>
    <w:panose1 w:val="00000000000000000000"/>
    <w:charset w:val="00"/>
    <w:family w:val="auto"/>
    <w:pitch w:val="default"/>
    <w:sig w:usb0="00000000" w:usb1="00000000" w:usb2="00000000"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embedRegular r:id="rId3" w:fontKey="{78CF4B2C-A87A-4852-9940-75EB14D0652A}"/>
  </w:font>
  <w:font w:name="楷体_GB2312">
    <w:panose1 w:val="02010609030101010101"/>
    <w:charset w:val="86"/>
    <w:family w:val="modern"/>
    <w:pitch w:val="default"/>
    <w:sig w:usb0="00000001" w:usb1="080E0000" w:usb2="00000000" w:usb3="00000000" w:csb0="00040000" w:csb1="00000000"/>
    <w:embedRegular r:id="rId4" w:fontKey="{9C97C8F5-9092-4F1D-982A-080E2F865D9F}"/>
  </w:font>
  <w:font w:name="方正仿宋_GBK">
    <w:panose1 w:val="02000000000000000000"/>
    <w:charset w:val="86"/>
    <w:family w:val="auto"/>
    <w:pitch w:val="default"/>
    <w:sig w:usb0="A00002BF" w:usb1="38CF7CFA" w:usb2="00082016" w:usb3="00000000" w:csb0="00040001" w:csb1="00000000"/>
    <w:embedRegular r:id="rId5" w:fontKey="{47F3D01D-4B5B-408A-A7DA-A2631C1F3F2F}"/>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ascii="仿宋_GB2312" w:hAnsi="仿宋_GB2312" w:cs="仿宋_GB2312"/>
                              <w:sz w:val="28"/>
                              <w:szCs w:val="28"/>
                            </w:rPr>
                          </w:pPr>
                          <w:r>
                            <w:rPr>
                              <w:rFonts w:hint="eastAsia" w:ascii="仿宋_GB2312" w:hAnsi="仿宋_GB2312" w:cs="仿宋_GB2312"/>
                              <w:sz w:val="28"/>
                              <w:szCs w:val="28"/>
                            </w:rPr>
                            <w:fldChar w:fldCharType="begin"/>
                          </w:r>
                          <w:r>
                            <w:rPr>
                              <w:rFonts w:hint="eastAsia" w:ascii="仿宋_GB2312" w:hAnsi="仿宋_GB2312" w:cs="仿宋_GB2312"/>
                              <w:sz w:val="28"/>
                              <w:szCs w:val="28"/>
                            </w:rPr>
                            <w:instrText xml:space="preserve"> PAGE  \* MERGEFORMAT </w:instrText>
                          </w:r>
                          <w:r>
                            <w:rPr>
                              <w:rFonts w:hint="eastAsia" w:ascii="仿宋_GB2312" w:hAnsi="仿宋_GB2312" w:cs="仿宋_GB2312"/>
                              <w:sz w:val="28"/>
                              <w:szCs w:val="28"/>
                            </w:rPr>
                            <w:fldChar w:fldCharType="separate"/>
                          </w:r>
                          <w:r>
                            <w:rPr>
                              <w:rFonts w:ascii="仿宋_GB2312" w:hAnsi="仿宋_GB2312" w:cs="仿宋_GB2312"/>
                              <w:sz w:val="28"/>
                              <w:szCs w:val="28"/>
                            </w:rPr>
                            <w:t>- 2 -</w:t>
                          </w:r>
                          <w:r>
                            <w:rPr>
                              <w:rFonts w:hint="eastAsia" w:ascii="仿宋_GB2312" w:hAnsi="仿宋_GB2312" w:cs="仿宋_GB2312"/>
                              <w:sz w:val="28"/>
                              <w:szCs w:val="28"/>
                            </w:rPr>
                            <w:fldChar w:fldCharType="end"/>
                          </w:r>
                        </w:p>
                      </w:txbxContent>
                    </wps:txbx>
                    <wps:bodyPr wrap="none" lIns="0" tIns="0" rIns="0" bIns="0" upright="0">
                      <a:spAutoFit/>
                    </wps:bodyPr>
                  </wps:wsp>
                </a:graphicData>
              </a:graphic>
            </wp:anchor>
          </w:drawing>
        </mc:Choice>
        <mc:Fallback>
          <w:pict>
            <v:shape id="文本框 1028"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fupl/LAQAAnAMAAA4AAAAAAAAAAQAgAAAAHgEAAGRycy9lMm9E&#10;b2MueG1sUEsFBgAAAAAGAAYAWQEAAFsFAAAAAA==&#10;">
              <v:fill on="f" focussize="0,0"/>
              <v:stroke on="f"/>
              <v:imagedata o:title=""/>
              <o:lock v:ext="edit" aspectratio="f"/>
              <v:textbox inset="0mm,0mm,0mm,0mm" style="mso-fit-shape-to-text:t;">
                <w:txbxContent>
                  <w:p>
                    <w:pPr>
                      <w:pStyle w:val="4"/>
                      <w:rPr>
                        <w:rFonts w:hint="eastAsia" w:ascii="仿宋_GB2312" w:hAnsi="仿宋_GB2312" w:cs="仿宋_GB2312"/>
                        <w:sz w:val="28"/>
                        <w:szCs w:val="28"/>
                      </w:rPr>
                    </w:pPr>
                    <w:r>
                      <w:rPr>
                        <w:rFonts w:hint="eastAsia" w:ascii="仿宋_GB2312" w:hAnsi="仿宋_GB2312" w:cs="仿宋_GB2312"/>
                        <w:sz w:val="28"/>
                        <w:szCs w:val="28"/>
                      </w:rPr>
                      <w:fldChar w:fldCharType="begin"/>
                    </w:r>
                    <w:r>
                      <w:rPr>
                        <w:rFonts w:hint="eastAsia" w:ascii="仿宋_GB2312" w:hAnsi="仿宋_GB2312" w:cs="仿宋_GB2312"/>
                        <w:sz w:val="28"/>
                        <w:szCs w:val="28"/>
                      </w:rPr>
                      <w:instrText xml:space="preserve"> PAGE  \* MERGEFORMAT </w:instrText>
                    </w:r>
                    <w:r>
                      <w:rPr>
                        <w:rFonts w:hint="eastAsia" w:ascii="仿宋_GB2312" w:hAnsi="仿宋_GB2312" w:cs="仿宋_GB2312"/>
                        <w:sz w:val="28"/>
                        <w:szCs w:val="28"/>
                      </w:rPr>
                      <w:fldChar w:fldCharType="separate"/>
                    </w:r>
                    <w:r>
                      <w:rPr>
                        <w:rFonts w:ascii="仿宋_GB2312" w:hAnsi="仿宋_GB2312" w:cs="仿宋_GB2312"/>
                        <w:sz w:val="28"/>
                        <w:szCs w:val="28"/>
                      </w:rPr>
                      <w:t>- 2 -</w:t>
                    </w:r>
                    <w:r>
                      <w:rPr>
                        <w:rFonts w:hint="eastAsia" w:ascii="仿宋_GB2312" w:hAnsi="仿宋_GB2312" w:cs="仿宋_GB2312"/>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hyphenationZone w:val="360"/>
  <w:drawingGridHorizontalSpacing w:val="320"/>
  <w:drawingGridVerticalSpacing w:val="300"/>
  <w:displayHorizontalDrawingGridEvery w:val="1"/>
  <w:displayVerticalDrawingGridEvery w:val="1"/>
  <w:noPunctuationKerning w:val="1"/>
  <w:characterSpacingControl w:val="compressPunctuation"/>
  <w:hdrShapeDefaults>
    <o:shapelayout v:ext="edit">
      <o:idmap v:ext="edit" data="15,16"/>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JlMThiNDdmODUwM2IzY2RkZDE5Mjc0NWRhYTY3NTQifQ=="/>
  </w:docVars>
  <w:rsids>
    <w:rsidRoot w:val="007609F1"/>
    <w:rsid w:val="0000021B"/>
    <w:rsid w:val="000006E3"/>
    <w:rsid w:val="00001B01"/>
    <w:rsid w:val="0000778A"/>
    <w:rsid w:val="00014945"/>
    <w:rsid w:val="00017AEE"/>
    <w:rsid w:val="00021E7E"/>
    <w:rsid w:val="00022928"/>
    <w:rsid w:val="00023027"/>
    <w:rsid w:val="0002375A"/>
    <w:rsid w:val="0002502E"/>
    <w:rsid w:val="00027C15"/>
    <w:rsid w:val="00031F01"/>
    <w:rsid w:val="0003293C"/>
    <w:rsid w:val="00033971"/>
    <w:rsid w:val="00035AC5"/>
    <w:rsid w:val="00036613"/>
    <w:rsid w:val="00037528"/>
    <w:rsid w:val="00040507"/>
    <w:rsid w:val="000409BF"/>
    <w:rsid w:val="0004123E"/>
    <w:rsid w:val="00055B94"/>
    <w:rsid w:val="00057B2E"/>
    <w:rsid w:val="00057CE8"/>
    <w:rsid w:val="00062E7C"/>
    <w:rsid w:val="00063554"/>
    <w:rsid w:val="00065923"/>
    <w:rsid w:val="00066020"/>
    <w:rsid w:val="00067FFB"/>
    <w:rsid w:val="00072310"/>
    <w:rsid w:val="00077165"/>
    <w:rsid w:val="00077915"/>
    <w:rsid w:val="000809B6"/>
    <w:rsid w:val="00082331"/>
    <w:rsid w:val="00082F73"/>
    <w:rsid w:val="00086B29"/>
    <w:rsid w:val="00087697"/>
    <w:rsid w:val="000879C3"/>
    <w:rsid w:val="00093C43"/>
    <w:rsid w:val="000A2307"/>
    <w:rsid w:val="000A3ED8"/>
    <w:rsid w:val="000A5937"/>
    <w:rsid w:val="000A6205"/>
    <w:rsid w:val="000A7969"/>
    <w:rsid w:val="000A7F67"/>
    <w:rsid w:val="000B3483"/>
    <w:rsid w:val="000B501E"/>
    <w:rsid w:val="000B6141"/>
    <w:rsid w:val="000C2ECB"/>
    <w:rsid w:val="000C4C61"/>
    <w:rsid w:val="000C627F"/>
    <w:rsid w:val="000C657E"/>
    <w:rsid w:val="000D0561"/>
    <w:rsid w:val="000D1091"/>
    <w:rsid w:val="000D2E93"/>
    <w:rsid w:val="000D719B"/>
    <w:rsid w:val="000E013B"/>
    <w:rsid w:val="000E4548"/>
    <w:rsid w:val="000E7892"/>
    <w:rsid w:val="000F4FAC"/>
    <w:rsid w:val="000F5984"/>
    <w:rsid w:val="00101892"/>
    <w:rsid w:val="00111687"/>
    <w:rsid w:val="0011344B"/>
    <w:rsid w:val="00114DED"/>
    <w:rsid w:val="00116E57"/>
    <w:rsid w:val="00120953"/>
    <w:rsid w:val="0012243C"/>
    <w:rsid w:val="001237EA"/>
    <w:rsid w:val="00124260"/>
    <w:rsid w:val="001245FE"/>
    <w:rsid w:val="00124B38"/>
    <w:rsid w:val="0012569E"/>
    <w:rsid w:val="0012599A"/>
    <w:rsid w:val="00126034"/>
    <w:rsid w:val="00127413"/>
    <w:rsid w:val="001306AB"/>
    <w:rsid w:val="00132CCA"/>
    <w:rsid w:val="00134393"/>
    <w:rsid w:val="00136EEA"/>
    <w:rsid w:val="0014090D"/>
    <w:rsid w:val="001423B3"/>
    <w:rsid w:val="00142DD2"/>
    <w:rsid w:val="00143910"/>
    <w:rsid w:val="00144A45"/>
    <w:rsid w:val="0014500F"/>
    <w:rsid w:val="00150FC9"/>
    <w:rsid w:val="001604FA"/>
    <w:rsid w:val="00165936"/>
    <w:rsid w:val="001707CA"/>
    <w:rsid w:val="0017105A"/>
    <w:rsid w:val="00171B88"/>
    <w:rsid w:val="00175108"/>
    <w:rsid w:val="0017785D"/>
    <w:rsid w:val="00183A2D"/>
    <w:rsid w:val="00184397"/>
    <w:rsid w:val="00184C9A"/>
    <w:rsid w:val="00184EE1"/>
    <w:rsid w:val="00197EC1"/>
    <w:rsid w:val="001A2168"/>
    <w:rsid w:val="001A2A12"/>
    <w:rsid w:val="001A5896"/>
    <w:rsid w:val="001A737E"/>
    <w:rsid w:val="001B4BD3"/>
    <w:rsid w:val="001B5AF7"/>
    <w:rsid w:val="001C274F"/>
    <w:rsid w:val="001C4D2F"/>
    <w:rsid w:val="001C5668"/>
    <w:rsid w:val="001C6876"/>
    <w:rsid w:val="001D0D51"/>
    <w:rsid w:val="001D43A6"/>
    <w:rsid w:val="001D59DE"/>
    <w:rsid w:val="001D6ADC"/>
    <w:rsid w:val="001D703E"/>
    <w:rsid w:val="001D7805"/>
    <w:rsid w:val="001D7F4E"/>
    <w:rsid w:val="001E092B"/>
    <w:rsid w:val="001E33CA"/>
    <w:rsid w:val="001E59AF"/>
    <w:rsid w:val="001E5EAD"/>
    <w:rsid w:val="001E73A9"/>
    <w:rsid w:val="001E7682"/>
    <w:rsid w:val="001F3BD4"/>
    <w:rsid w:val="001F3F5B"/>
    <w:rsid w:val="001F52F4"/>
    <w:rsid w:val="001F5F7F"/>
    <w:rsid w:val="001F79A4"/>
    <w:rsid w:val="00204E6C"/>
    <w:rsid w:val="00205ED0"/>
    <w:rsid w:val="00210104"/>
    <w:rsid w:val="00211922"/>
    <w:rsid w:val="00211F86"/>
    <w:rsid w:val="002133F6"/>
    <w:rsid w:val="00214553"/>
    <w:rsid w:val="00215188"/>
    <w:rsid w:val="00215E33"/>
    <w:rsid w:val="00223838"/>
    <w:rsid w:val="0023010F"/>
    <w:rsid w:val="00233182"/>
    <w:rsid w:val="002405B5"/>
    <w:rsid w:val="00245DC6"/>
    <w:rsid w:val="00247CEE"/>
    <w:rsid w:val="002525B9"/>
    <w:rsid w:val="002560EC"/>
    <w:rsid w:val="00257241"/>
    <w:rsid w:val="00257C5F"/>
    <w:rsid w:val="00260F2E"/>
    <w:rsid w:val="00267362"/>
    <w:rsid w:val="002769BB"/>
    <w:rsid w:val="002775CC"/>
    <w:rsid w:val="002817F7"/>
    <w:rsid w:val="002821F8"/>
    <w:rsid w:val="00284060"/>
    <w:rsid w:val="002921A0"/>
    <w:rsid w:val="00292851"/>
    <w:rsid w:val="00292908"/>
    <w:rsid w:val="00295AA1"/>
    <w:rsid w:val="002964AD"/>
    <w:rsid w:val="002A0EB1"/>
    <w:rsid w:val="002A12AB"/>
    <w:rsid w:val="002A2DC4"/>
    <w:rsid w:val="002A5C0A"/>
    <w:rsid w:val="002A73E4"/>
    <w:rsid w:val="002A7F1E"/>
    <w:rsid w:val="002B0783"/>
    <w:rsid w:val="002B1332"/>
    <w:rsid w:val="002B20CC"/>
    <w:rsid w:val="002B3E8D"/>
    <w:rsid w:val="002B52CD"/>
    <w:rsid w:val="002B56A8"/>
    <w:rsid w:val="002B681A"/>
    <w:rsid w:val="002B6B53"/>
    <w:rsid w:val="002B6F93"/>
    <w:rsid w:val="002B7A18"/>
    <w:rsid w:val="002C0160"/>
    <w:rsid w:val="002C4FF4"/>
    <w:rsid w:val="002C68A0"/>
    <w:rsid w:val="002D1FFF"/>
    <w:rsid w:val="002D534D"/>
    <w:rsid w:val="002D64EB"/>
    <w:rsid w:val="002D7E45"/>
    <w:rsid w:val="002E4E9B"/>
    <w:rsid w:val="002F558C"/>
    <w:rsid w:val="002F72C3"/>
    <w:rsid w:val="002F7A0C"/>
    <w:rsid w:val="0030511F"/>
    <w:rsid w:val="00311354"/>
    <w:rsid w:val="0031219D"/>
    <w:rsid w:val="003159BB"/>
    <w:rsid w:val="00317421"/>
    <w:rsid w:val="00317570"/>
    <w:rsid w:val="00320F5C"/>
    <w:rsid w:val="00325466"/>
    <w:rsid w:val="003322F0"/>
    <w:rsid w:val="00332723"/>
    <w:rsid w:val="00337C3F"/>
    <w:rsid w:val="00342310"/>
    <w:rsid w:val="00343ABF"/>
    <w:rsid w:val="003454AB"/>
    <w:rsid w:val="00345BB2"/>
    <w:rsid w:val="003462D8"/>
    <w:rsid w:val="00350B8E"/>
    <w:rsid w:val="0035107C"/>
    <w:rsid w:val="00352117"/>
    <w:rsid w:val="00352384"/>
    <w:rsid w:val="00356ACF"/>
    <w:rsid w:val="00357A94"/>
    <w:rsid w:val="00360831"/>
    <w:rsid w:val="00361887"/>
    <w:rsid w:val="003633CE"/>
    <w:rsid w:val="00370BBD"/>
    <w:rsid w:val="00372D13"/>
    <w:rsid w:val="003739AD"/>
    <w:rsid w:val="003752BF"/>
    <w:rsid w:val="0037776F"/>
    <w:rsid w:val="00380718"/>
    <w:rsid w:val="00382AD1"/>
    <w:rsid w:val="00385C38"/>
    <w:rsid w:val="00386AD7"/>
    <w:rsid w:val="00392105"/>
    <w:rsid w:val="0039386D"/>
    <w:rsid w:val="00396D75"/>
    <w:rsid w:val="003970AF"/>
    <w:rsid w:val="00397CF6"/>
    <w:rsid w:val="003A2200"/>
    <w:rsid w:val="003B2A38"/>
    <w:rsid w:val="003B3018"/>
    <w:rsid w:val="003B3BB3"/>
    <w:rsid w:val="003B7211"/>
    <w:rsid w:val="003C10DC"/>
    <w:rsid w:val="003C1836"/>
    <w:rsid w:val="003C23EE"/>
    <w:rsid w:val="003C517E"/>
    <w:rsid w:val="003C6167"/>
    <w:rsid w:val="003C7ED2"/>
    <w:rsid w:val="003D064A"/>
    <w:rsid w:val="003D19C3"/>
    <w:rsid w:val="003D5407"/>
    <w:rsid w:val="003D54E3"/>
    <w:rsid w:val="003D61A5"/>
    <w:rsid w:val="003E1AB7"/>
    <w:rsid w:val="003F3067"/>
    <w:rsid w:val="003F352F"/>
    <w:rsid w:val="003F3743"/>
    <w:rsid w:val="0040211E"/>
    <w:rsid w:val="00404BE0"/>
    <w:rsid w:val="004051B0"/>
    <w:rsid w:val="0040792A"/>
    <w:rsid w:val="00407930"/>
    <w:rsid w:val="004119B6"/>
    <w:rsid w:val="004129DD"/>
    <w:rsid w:val="004178B2"/>
    <w:rsid w:val="004217EF"/>
    <w:rsid w:val="00423037"/>
    <w:rsid w:val="00423804"/>
    <w:rsid w:val="00424CD8"/>
    <w:rsid w:val="00425379"/>
    <w:rsid w:val="00427A2F"/>
    <w:rsid w:val="00430347"/>
    <w:rsid w:val="00433D72"/>
    <w:rsid w:val="0043767F"/>
    <w:rsid w:val="00446278"/>
    <w:rsid w:val="0044799F"/>
    <w:rsid w:val="00450A10"/>
    <w:rsid w:val="0045354C"/>
    <w:rsid w:val="0045401C"/>
    <w:rsid w:val="004556D4"/>
    <w:rsid w:val="00457A8E"/>
    <w:rsid w:val="00460ABC"/>
    <w:rsid w:val="004631B4"/>
    <w:rsid w:val="004648CD"/>
    <w:rsid w:val="00464BDF"/>
    <w:rsid w:val="00464C3D"/>
    <w:rsid w:val="00465A5D"/>
    <w:rsid w:val="004670F3"/>
    <w:rsid w:val="0047638D"/>
    <w:rsid w:val="00485585"/>
    <w:rsid w:val="00487450"/>
    <w:rsid w:val="00497FDB"/>
    <w:rsid w:val="004A422D"/>
    <w:rsid w:val="004B07FF"/>
    <w:rsid w:val="004B15D5"/>
    <w:rsid w:val="004B5756"/>
    <w:rsid w:val="004B5FAC"/>
    <w:rsid w:val="004B70FE"/>
    <w:rsid w:val="004B79C2"/>
    <w:rsid w:val="004C3420"/>
    <w:rsid w:val="004C490D"/>
    <w:rsid w:val="004C64FC"/>
    <w:rsid w:val="004C6750"/>
    <w:rsid w:val="004C6F56"/>
    <w:rsid w:val="004C7283"/>
    <w:rsid w:val="004C744A"/>
    <w:rsid w:val="004D4371"/>
    <w:rsid w:val="004D610F"/>
    <w:rsid w:val="004D697A"/>
    <w:rsid w:val="004D72DA"/>
    <w:rsid w:val="004E1B91"/>
    <w:rsid w:val="004E2496"/>
    <w:rsid w:val="004E5B33"/>
    <w:rsid w:val="004E6572"/>
    <w:rsid w:val="004F2265"/>
    <w:rsid w:val="004F5E61"/>
    <w:rsid w:val="005003CC"/>
    <w:rsid w:val="0050098D"/>
    <w:rsid w:val="0050143C"/>
    <w:rsid w:val="00501722"/>
    <w:rsid w:val="00504E16"/>
    <w:rsid w:val="005060A6"/>
    <w:rsid w:val="005061DA"/>
    <w:rsid w:val="0051067A"/>
    <w:rsid w:val="005108D4"/>
    <w:rsid w:val="00511EFA"/>
    <w:rsid w:val="005126B2"/>
    <w:rsid w:val="00513EF2"/>
    <w:rsid w:val="005162CF"/>
    <w:rsid w:val="00516C9D"/>
    <w:rsid w:val="00516D33"/>
    <w:rsid w:val="00520BCC"/>
    <w:rsid w:val="00522CC3"/>
    <w:rsid w:val="00526F84"/>
    <w:rsid w:val="00532C98"/>
    <w:rsid w:val="00534B59"/>
    <w:rsid w:val="00534EF9"/>
    <w:rsid w:val="00541624"/>
    <w:rsid w:val="00545D41"/>
    <w:rsid w:val="005470E6"/>
    <w:rsid w:val="0055051F"/>
    <w:rsid w:val="005562FC"/>
    <w:rsid w:val="00564547"/>
    <w:rsid w:val="00564A01"/>
    <w:rsid w:val="00567892"/>
    <w:rsid w:val="00567FFB"/>
    <w:rsid w:val="005706FB"/>
    <w:rsid w:val="00571113"/>
    <w:rsid w:val="00575261"/>
    <w:rsid w:val="00576385"/>
    <w:rsid w:val="00581999"/>
    <w:rsid w:val="00592B79"/>
    <w:rsid w:val="005A031C"/>
    <w:rsid w:val="005A4577"/>
    <w:rsid w:val="005A4C81"/>
    <w:rsid w:val="005A709D"/>
    <w:rsid w:val="005B3708"/>
    <w:rsid w:val="005B4148"/>
    <w:rsid w:val="005B5B4C"/>
    <w:rsid w:val="005B60E2"/>
    <w:rsid w:val="005B7F94"/>
    <w:rsid w:val="005C3584"/>
    <w:rsid w:val="005C7F97"/>
    <w:rsid w:val="005D0D3C"/>
    <w:rsid w:val="005D209C"/>
    <w:rsid w:val="005D2A51"/>
    <w:rsid w:val="005D5DAA"/>
    <w:rsid w:val="005E250B"/>
    <w:rsid w:val="005E52F2"/>
    <w:rsid w:val="005E7D9B"/>
    <w:rsid w:val="005F2915"/>
    <w:rsid w:val="005F32DD"/>
    <w:rsid w:val="005F387E"/>
    <w:rsid w:val="005F562E"/>
    <w:rsid w:val="005F5B21"/>
    <w:rsid w:val="005F5D2F"/>
    <w:rsid w:val="00600318"/>
    <w:rsid w:val="006013CC"/>
    <w:rsid w:val="00602688"/>
    <w:rsid w:val="00605160"/>
    <w:rsid w:val="00605A37"/>
    <w:rsid w:val="00606E27"/>
    <w:rsid w:val="006133A1"/>
    <w:rsid w:val="00617039"/>
    <w:rsid w:val="0061772E"/>
    <w:rsid w:val="00624F33"/>
    <w:rsid w:val="00626D5D"/>
    <w:rsid w:val="00627A35"/>
    <w:rsid w:val="00634E06"/>
    <w:rsid w:val="006353E2"/>
    <w:rsid w:val="006354F0"/>
    <w:rsid w:val="0063718D"/>
    <w:rsid w:val="00642FF9"/>
    <w:rsid w:val="006467C9"/>
    <w:rsid w:val="006566B2"/>
    <w:rsid w:val="00657395"/>
    <w:rsid w:val="00660C12"/>
    <w:rsid w:val="00661679"/>
    <w:rsid w:val="00662EE7"/>
    <w:rsid w:val="00663A57"/>
    <w:rsid w:val="00673697"/>
    <w:rsid w:val="00675205"/>
    <w:rsid w:val="00683EB8"/>
    <w:rsid w:val="0068497C"/>
    <w:rsid w:val="006868F1"/>
    <w:rsid w:val="006870FD"/>
    <w:rsid w:val="00690ECE"/>
    <w:rsid w:val="006937BB"/>
    <w:rsid w:val="006A2C18"/>
    <w:rsid w:val="006A3FFE"/>
    <w:rsid w:val="006A4302"/>
    <w:rsid w:val="006A7121"/>
    <w:rsid w:val="006C386B"/>
    <w:rsid w:val="006C66AF"/>
    <w:rsid w:val="006D3E1D"/>
    <w:rsid w:val="006D483C"/>
    <w:rsid w:val="006D5696"/>
    <w:rsid w:val="006D6539"/>
    <w:rsid w:val="006E2116"/>
    <w:rsid w:val="006E37A3"/>
    <w:rsid w:val="006F01F4"/>
    <w:rsid w:val="006F33D6"/>
    <w:rsid w:val="006F6003"/>
    <w:rsid w:val="00700360"/>
    <w:rsid w:val="00701C32"/>
    <w:rsid w:val="00704790"/>
    <w:rsid w:val="00706621"/>
    <w:rsid w:val="00706E6F"/>
    <w:rsid w:val="00707DC2"/>
    <w:rsid w:val="00712F17"/>
    <w:rsid w:val="00713024"/>
    <w:rsid w:val="00717E32"/>
    <w:rsid w:val="00720349"/>
    <w:rsid w:val="007213A1"/>
    <w:rsid w:val="00723D7A"/>
    <w:rsid w:val="0072627E"/>
    <w:rsid w:val="007308E2"/>
    <w:rsid w:val="0073173B"/>
    <w:rsid w:val="00732842"/>
    <w:rsid w:val="0073366A"/>
    <w:rsid w:val="0073532E"/>
    <w:rsid w:val="00735DEE"/>
    <w:rsid w:val="0073694B"/>
    <w:rsid w:val="00740846"/>
    <w:rsid w:val="00740E72"/>
    <w:rsid w:val="00742BF5"/>
    <w:rsid w:val="00744EF0"/>
    <w:rsid w:val="007464EE"/>
    <w:rsid w:val="00750CA3"/>
    <w:rsid w:val="007604B8"/>
    <w:rsid w:val="007609F1"/>
    <w:rsid w:val="007625A1"/>
    <w:rsid w:val="007758AA"/>
    <w:rsid w:val="00775B7C"/>
    <w:rsid w:val="00784B85"/>
    <w:rsid w:val="00785C58"/>
    <w:rsid w:val="00785E14"/>
    <w:rsid w:val="00787F6D"/>
    <w:rsid w:val="00790508"/>
    <w:rsid w:val="007908E1"/>
    <w:rsid w:val="00794DEE"/>
    <w:rsid w:val="007A1639"/>
    <w:rsid w:val="007A319A"/>
    <w:rsid w:val="007A37B3"/>
    <w:rsid w:val="007A487E"/>
    <w:rsid w:val="007A5D58"/>
    <w:rsid w:val="007B0B2B"/>
    <w:rsid w:val="007B6FFE"/>
    <w:rsid w:val="007C3316"/>
    <w:rsid w:val="007C44BF"/>
    <w:rsid w:val="007C69D6"/>
    <w:rsid w:val="007D011D"/>
    <w:rsid w:val="007D08CB"/>
    <w:rsid w:val="007D3375"/>
    <w:rsid w:val="007D78A4"/>
    <w:rsid w:val="007E067F"/>
    <w:rsid w:val="007E55DE"/>
    <w:rsid w:val="007E7AAC"/>
    <w:rsid w:val="007F06A9"/>
    <w:rsid w:val="007F0BA6"/>
    <w:rsid w:val="007F308D"/>
    <w:rsid w:val="007F3F35"/>
    <w:rsid w:val="007F49BE"/>
    <w:rsid w:val="007F57BE"/>
    <w:rsid w:val="007F7A36"/>
    <w:rsid w:val="00802D9A"/>
    <w:rsid w:val="0080357E"/>
    <w:rsid w:val="00803808"/>
    <w:rsid w:val="0080395A"/>
    <w:rsid w:val="00806426"/>
    <w:rsid w:val="00815329"/>
    <w:rsid w:val="00817025"/>
    <w:rsid w:val="00817C13"/>
    <w:rsid w:val="0082062F"/>
    <w:rsid w:val="00821266"/>
    <w:rsid w:val="00821F00"/>
    <w:rsid w:val="00822AE8"/>
    <w:rsid w:val="008230F0"/>
    <w:rsid w:val="00826C3C"/>
    <w:rsid w:val="00826C50"/>
    <w:rsid w:val="0082706F"/>
    <w:rsid w:val="00830FD7"/>
    <w:rsid w:val="00832DA3"/>
    <w:rsid w:val="00841699"/>
    <w:rsid w:val="00841943"/>
    <w:rsid w:val="00847AA4"/>
    <w:rsid w:val="00850F53"/>
    <w:rsid w:val="0085113D"/>
    <w:rsid w:val="00854785"/>
    <w:rsid w:val="00854C11"/>
    <w:rsid w:val="00861CED"/>
    <w:rsid w:val="00863083"/>
    <w:rsid w:val="00863CA6"/>
    <w:rsid w:val="008659B8"/>
    <w:rsid w:val="00866480"/>
    <w:rsid w:val="00866AF9"/>
    <w:rsid w:val="008713F9"/>
    <w:rsid w:val="00874A1D"/>
    <w:rsid w:val="00883E0A"/>
    <w:rsid w:val="00884EF3"/>
    <w:rsid w:val="00885EDC"/>
    <w:rsid w:val="0088714F"/>
    <w:rsid w:val="008920CB"/>
    <w:rsid w:val="0089268A"/>
    <w:rsid w:val="00892BCE"/>
    <w:rsid w:val="008937EF"/>
    <w:rsid w:val="00893BF5"/>
    <w:rsid w:val="00894211"/>
    <w:rsid w:val="00894E1F"/>
    <w:rsid w:val="00894F04"/>
    <w:rsid w:val="008A4DF9"/>
    <w:rsid w:val="008B0C4E"/>
    <w:rsid w:val="008B3E6C"/>
    <w:rsid w:val="008B5932"/>
    <w:rsid w:val="008C0400"/>
    <w:rsid w:val="008C3180"/>
    <w:rsid w:val="008C36DE"/>
    <w:rsid w:val="008C4AA4"/>
    <w:rsid w:val="008D03DD"/>
    <w:rsid w:val="008D1CA7"/>
    <w:rsid w:val="008D1DF1"/>
    <w:rsid w:val="008D3B95"/>
    <w:rsid w:val="008D41EB"/>
    <w:rsid w:val="008D5594"/>
    <w:rsid w:val="008E4ACE"/>
    <w:rsid w:val="008E4DE4"/>
    <w:rsid w:val="008E64AD"/>
    <w:rsid w:val="008F2529"/>
    <w:rsid w:val="008F4715"/>
    <w:rsid w:val="008F4FC5"/>
    <w:rsid w:val="008F6307"/>
    <w:rsid w:val="008F7CB8"/>
    <w:rsid w:val="0090005A"/>
    <w:rsid w:val="00900D11"/>
    <w:rsid w:val="00902AA5"/>
    <w:rsid w:val="00906FD7"/>
    <w:rsid w:val="009103A3"/>
    <w:rsid w:val="00914A0B"/>
    <w:rsid w:val="009169DA"/>
    <w:rsid w:val="00921000"/>
    <w:rsid w:val="00921B28"/>
    <w:rsid w:val="0092279A"/>
    <w:rsid w:val="00923A2F"/>
    <w:rsid w:val="0092437A"/>
    <w:rsid w:val="009259D9"/>
    <w:rsid w:val="0092639F"/>
    <w:rsid w:val="009306BE"/>
    <w:rsid w:val="00930771"/>
    <w:rsid w:val="0093182B"/>
    <w:rsid w:val="00933285"/>
    <w:rsid w:val="0093588B"/>
    <w:rsid w:val="009363AF"/>
    <w:rsid w:val="009410B8"/>
    <w:rsid w:val="00941FDF"/>
    <w:rsid w:val="00946E00"/>
    <w:rsid w:val="00950842"/>
    <w:rsid w:val="0095100A"/>
    <w:rsid w:val="00952D79"/>
    <w:rsid w:val="00954CD3"/>
    <w:rsid w:val="009555B1"/>
    <w:rsid w:val="00955E0D"/>
    <w:rsid w:val="0096367C"/>
    <w:rsid w:val="009646EA"/>
    <w:rsid w:val="00964D08"/>
    <w:rsid w:val="009655D9"/>
    <w:rsid w:val="0097093A"/>
    <w:rsid w:val="00974A31"/>
    <w:rsid w:val="00974CD5"/>
    <w:rsid w:val="00975BC5"/>
    <w:rsid w:val="00981624"/>
    <w:rsid w:val="00984318"/>
    <w:rsid w:val="00985BCD"/>
    <w:rsid w:val="0099209D"/>
    <w:rsid w:val="009924FF"/>
    <w:rsid w:val="0099260D"/>
    <w:rsid w:val="00993545"/>
    <w:rsid w:val="009A0549"/>
    <w:rsid w:val="009A0596"/>
    <w:rsid w:val="009A20FF"/>
    <w:rsid w:val="009A2D03"/>
    <w:rsid w:val="009A52B0"/>
    <w:rsid w:val="009A638D"/>
    <w:rsid w:val="009A6E87"/>
    <w:rsid w:val="009A75AE"/>
    <w:rsid w:val="009A7839"/>
    <w:rsid w:val="009B51B1"/>
    <w:rsid w:val="009B7FE6"/>
    <w:rsid w:val="009C0085"/>
    <w:rsid w:val="009C14FE"/>
    <w:rsid w:val="009C181B"/>
    <w:rsid w:val="009C1FF0"/>
    <w:rsid w:val="009C21FF"/>
    <w:rsid w:val="009C3FD5"/>
    <w:rsid w:val="009C4A82"/>
    <w:rsid w:val="009C640A"/>
    <w:rsid w:val="009C6F4D"/>
    <w:rsid w:val="009C711A"/>
    <w:rsid w:val="009C74E5"/>
    <w:rsid w:val="009D24CD"/>
    <w:rsid w:val="009D7D6F"/>
    <w:rsid w:val="009E0D41"/>
    <w:rsid w:val="009E193E"/>
    <w:rsid w:val="009E1B18"/>
    <w:rsid w:val="009E5DEF"/>
    <w:rsid w:val="009F11A3"/>
    <w:rsid w:val="009F5D16"/>
    <w:rsid w:val="00A016F8"/>
    <w:rsid w:val="00A02C0E"/>
    <w:rsid w:val="00A05C76"/>
    <w:rsid w:val="00A064AC"/>
    <w:rsid w:val="00A068C3"/>
    <w:rsid w:val="00A06C5D"/>
    <w:rsid w:val="00A11C3C"/>
    <w:rsid w:val="00A14098"/>
    <w:rsid w:val="00A16063"/>
    <w:rsid w:val="00A21B46"/>
    <w:rsid w:val="00A23A12"/>
    <w:rsid w:val="00A305D4"/>
    <w:rsid w:val="00A34BB9"/>
    <w:rsid w:val="00A350EB"/>
    <w:rsid w:val="00A36DC8"/>
    <w:rsid w:val="00A405CD"/>
    <w:rsid w:val="00A4105C"/>
    <w:rsid w:val="00A42120"/>
    <w:rsid w:val="00A44739"/>
    <w:rsid w:val="00A4538B"/>
    <w:rsid w:val="00A4667D"/>
    <w:rsid w:val="00A47099"/>
    <w:rsid w:val="00A47C1D"/>
    <w:rsid w:val="00A47CCB"/>
    <w:rsid w:val="00A47E37"/>
    <w:rsid w:val="00A50F2D"/>
    <w:rsid w:val="00A52F21"/>
    <w:rsid w:val="00A5509E"/>
    <w:rsid w:val="00A558BC"/>
    <w:rsid w:val="00A55A1C"/>
    <w:rsid w:val="00A60720"/>
    <w:rsid w:val="00A60CD9"/>
    <w:rsid w:val="00A61B96"/>
    <w:rsid w:val="00A62D18"/>
    <w:rsid w:val="00A65E47"/>
    <w:rsid w:val="00A66658"/>
    <w:rsid w:val="00A672C2"/>
    <w:rsid w:val="00A731C8"/>
    <w:rsid w:val="00A73917"/>
    <w:rsid w:val="00A80B84"/>
    <w:rsid w:val="00A81344"/>
    <w:rsid w:val="00A83A90"/>
    <w:rsid w:val="00A9155F"/>
    <w:rsid w:val="00A91864"/>
    <w:rsid w:val="00A92E11"/>
    <w:rsid w:val="00A96176"/>
    <w:rsid w:val="00A969C0"/>
    <w:rsid w:val="00A9728F"/>
    <w:rsid w:val="00AB0320"/>
    <w:rsid w:val="00AB5A1C"/>
    <w:rsid w:val="00AB6830"/>
    <w:rsid w:val="00AC04AE"/>
    <w:rsid w:val="00AC4C90"/>
    <w:rsid w:val="00AC553F"/>
    <w:rsid w:val="00AC7F1A"/>
    <w:rsid w:val="00AD2DEA"/>
    <w:rsid w:val="00AD3ABF"/>
    <w:rsid w:val="00AE1F16"/>
    <w:rsid w:val="00AE343F"/>
    <w:rsid w:val="00AE6A4E"/>
    <w:rsid w:val="00AE7037"/>
    <w:rsid w:val="00AF39C9"/>
    <w:rsid w:val="00B04C96"/>
    <w:rsid w:val="00B04F2A"/>
    <w:rsid w:val="00B057A8"/>
    <w:rsid w:val="00B05FF9"/>
    <w:rsid w:val="00B104FE"/>
    <w:rsid w:val="00B109D9"/>
    <w:rsid w:val="00B10DBE"/>
    <w:rsid w:val="00B116F0"/>
    <w:rsid w:val="00B11F6A"/>
    <w:rsid w:val="00B1603D"/>
    <w:rsid w:val="00B1623E"/>
    <w:rsid w:val="00B17DBB"/>
    <w:rsid w:val="00B23082"/>
    <w:rsid w:val="00B23D1A"/>
    <w:rsid w:val="00B27DD1"/>
    <w:rsid w:val="00B33245"/>
    <w:rsid w:val="00B4300D"/>
    <w:rsid w:val="00B4493A"/>
    <w:rsid w:val="00B45140"/>
    <w:rsid w:val="00B46291"/>
    <w:rsid w:val="00B5610F"/>
    <w:rsid w:val="00B565AC"/>
    <w:rsid w:val="00B57EB7"/>
    <w:rsid w:val="00B60B37"/>
    <w:rsid w:val="00B64CB5"/>
    <w:rsid w:val="00B65F06"/>
    <w:rsid w:val="00B671A6"/>
    <w:rsid w:val="00B724A9"/>
    <w:rsid w:val="00B742A4"/>
    <w:rsid w:val="00B757C4"/>
    <w:rsid w:val="00B77AA9"/>
    <w:rsid w:val="00B83AFD"/>
    <w:rsid w:val="00B84724"/>
    <w:rsid w:val="00B85056"/>
    <w:rsid w:val="00B86E00"/>
    <w:rsid w:val="00B90AAB"/>
    <w:rsid w:val="00B96094"/>
    <w:rsid w:val="00BA3AEB"/>
    <w:rsid w:val="00BA3B51"/>
    <w:rsid w:val="00BA6851"/>
    <w:rsid w:val="00BA73B5"/>
    <w:rsid w:val="00BB21FD"/>
    <w:rsid w:val="00BB27D1"/>
    <w:rsid w:val="00BB2FCC"/>
    <w:rsid w:val="00BB3876"/>
    <w:rsid w:val="00BC0CD6"/>
    <w:rsid w:val="00BC1E0D"/>
    <w:rsid w:val="00BC28BD"/>
    <w:rsid w:val="00BC5EFD"/>
    <w:rsid w:val="00BC65AF"/>
    <w:rsid w:val="00BC6EDE"/>
    <w:rsid w:val="00BD43EE"/>
    <w:rsid w:val="00BD694C"/>
    <w:rsid w:val="00BE1E9E"/>
    <w:rsid w:val="00BE416F"/>
    <w:rsid w:val="00BE583A"/>
    <w:rsid w:val="00BE76C5"/>
    <w:rsid w:val="00BF42DB"/>
    <w:rsid w:val="00BF617F"/>
    <w:rsid w:val="00BF6FC0"/>
    <w:rsid w:val="00C0096B"/>
    <w:rsid w:val="00C00AA3"/>
    <w:rsid w:val="00C04399"/>
    <w:rsid w:val="00C075D7"/>
    <w:rsid w:val="00C07C95"/>
    <w:rsid w:val="00C11FE9"/>
    <w:rsid w:val="00C13317"/>
    <w:rsid w:val="00C147DE"/>
    <w:rsid w:val="00C16525"/>
    <w:rsid w:val="00C16785"/>
    <w:rsid w:val="00C16949"/>
    <w:rsid w:val="00C21B02"/>
    <w:rsid w:val="00C22DAC"/>
    <w:rsid w:val="00C2341B"/>
    <w:rsid w:val="00C2358E"/>
    <w:rsid w:val="00C26C16"/>
    <w:rsid w:val="00C271B8"/>
    <w:rsid w:val="00C27DD5"/>
    <w:rsid w:val="00C34438"/>
    <w:rsid w:val="00C35BF8"/>
    <w:rsid w:val="00C4342A"/>
    <w:rsid w:val="00C475DD"/>
    <w:rsid w:val="00C5047C"/>
    <w:rsid w:val="00C52C61"/>
    <w:rsid w:val="00C550D9"/>
    <w:rsid w:val="00C56C7C"/>
    <w:rsid w:val="00C5741A"/>
    <w:rsid w:val="00C667BE"/>
    <w:rsid w:val="00C675EC"/>
    <w:rsid w:val="00C712EC"/>
    <w:rsid w:val="00C761B1"/>
    <w:rsid w:val="00C83328"/>
    <w:rsid w:val="00C84425"/>
    <w:rsid w:val="00C85166"/>
    <w:rsid w:val="00C851DD"/>
    <w:rsid w:val="00C912C8"/>
    <w:rsid w:val="00C924D9"/>
    <w:rsid w:val="00C92745"/>
    <w:rsid w:val="00C93193"/>
    <w:rsid w:val="00C97257"/>
    <w:rsid w:val="00CA27EF"/>
    <w:rsid w:val="00CA34FE"/>
    <w:rsid w:val="00CA42BC"/>
    <w:rsid w:val="00CA7202"/>
    <w:rsid w:val="00CA7DA8"/>
    <w:rsid w:val="00CB4B99"/>
    <w:rsid w:val="00CB58A6"/>
    <w:rsid w:val="00CB6326"/>
    <w:rsid w:val="00CB6ECB"/>
    <w:rsid w:val="00CC15F9"/>
    <w:rsid w:val="00CC50F1"/>
    <w:rsid w:val="00CC640E"/>
    <w:rsid w:val="00CD19BD"/>
    <w:rsid w:val="00CD2FBF"/>
    <w:rsid w:val="00CD3313"/>
    <w:rsid w:val="00CD352C"/>
    <w:rsid w:val="00CD5C58"/>
    <w:rsid w:val="00CE0973"/>
    <w:rsid w:val="00CE2B61"/>
    <w:rsid w:val="00CE3C05"/>
    <w:rsid w:val="00CF029E"/>
    <w:rsid w:val="00CF0F75"/>
    <w:rsid w:val="00CF21B6"/>
    <w:rsid w:val="00CF4C44"/>
    <w:rsid w:val="00CF6184"/>
    <w:rsid w:val="00CF79B7"/>
    <w:rsid w:val="00D00227"/>
    <w:rsid w:val="00D04027"/>
    <w:rsid w:val="00D044F4"/>
    <w:rsid w:val="00D059D5"/>
    <w:rsid w:val="00D0610C"/>
    <w:rsid w:val="00D11773"/>
    <w:rsid w:val="00D11B5B"/>
    <w:rsid w:val="00D168D6"/>
    <w:rsid w:val="00D16B37"/>
    <w:rsid w:val="00D1745C"/>
    <w:rsid w:val="00D17600"/>
    <w:rsid w:val="00D20868"/>
    <w:rsid w:val="00D20DF3"/>
    <w:rsid w:val="00D30C98"/>
    <w:rsid w:val="00D3179F"/>
    <w:rsid w:val="00D31F6F"/>
    <w:rsid w:val="00D354BD"/>
    <w:rsid w:val="00D374F6"/>
    <w:rsid w:val="00D37BF2"/>
    <w:rsid w:val="00D432A9"/>
    <w:rsid w:val="00D43911"/>
    <w:rsid w:val="00D439A2"/>
    <w:rsid w:val="00D50A38"/>
    <w:rsid w:val="00D50F01"/>
    <w:rsid w:val="00D52ED1"/>
    <w:rsid w:val="00D635FB"/>
    <w:rsid w:val="00D64AE1"/>
    <w:rsid w:val="00D705B0"/>
    <w:rsid w:val="00D70A04"/>
    <w:rsid w:val="00D71E16"/>
    <w:rsid w:val="00D7273B"/>
    <w:rsid w:val="00D7323B"/>
    <w:rsid w:val="00D74D00"/>
    <w:rsid w:val="00D82641"/>
    <w:rsid w:val="00D82DE7"/>
    <w:rsid w:val="00D83C0C"/>
    <w:rsid w:val="00D8461E"/>
    <w:rsid w:val="00D855C2"/>
    <w:rsid w:val="00D90C23"/>
    <w:rsid w:val="00D9720E"/>
    <w:rsid w:val="00D973DE"/>
    <w:rsid w:val="00DA375C"/>
    <w:rsid w:val="00DA4AA5"/>
    <w:rsid w:val="00DA6155"/>
    <w:rsid w:val="00DA6DB8"/>
    <w:rsid w:val="00DB05C3"/>
    <w:rsid w:val="00DB06AF"/>
    <w:rsid w:val="00DB0EAE"/>
    <w:rsid w:val="00DB2340"/>
    <w:rsid w:val="00DB25AD"/>
    <w:rsid w:val="00DB4002"/>
    <w:rsid w:val="00DC5FCD"/>
    <w:rsid w:val="00DC7069"/>
    <w:rsid w:val="00DC70FA"/>
    <w:rsid w:val="00DC7C97"/>
    <w:rsid w:val="00DD3FD9"/>
    <w:rsid w:val="00DD4D82"/>
    <w:rsid w:val="00DD4F08"/>
    <w:rsid w:val="00DD65CF"/>
    <w:rsid w:val="00DE321B"/>
    <w:rsid w:val="00DE32CB"/>
    <w:rsid w:val="00DE3599"/>
    <w:rsid w:val="00DE361E"/>
    <w:rsid w:val="00DE45CE"/>
    <w:rsid w:val="00DE48C8"/>
    <w:rsid w:val="00DE4FD3"/>
    <w:rsid w:val="00DE7763"/>
    <w:rsid w:val="00DF0194"/>
    <w:rsid w:val="00DF0938"/>
    <w:rsid w:val="00DF11FA"/>
    <w:rsid w:val="00DF1EA1"/>
    <w:rsid w:val="00DF6567"/>
    <w:rsid w:val="00DF7AFB"/>
    <w:rsid w:val="00E00D69"/>
    <w:rsid w:val="00E02460"/>
    <w:rsid w:val="00E02D9C"/>
    <w:rsid w:val="00E048A8"/>
    <w:rsid w:val="00E05468"/>
    <w:rsid w:val="00E07BAF"/>
    <w:rsid w:val="00E12F49"/>
    <w:rsid w:val="00E132FB"/>
    <w:rsid w:val="00E1735C"/>
    <w:rsid w:val="00E17FF2"/>
    <w:rsid w:val="00E27D86"/>
    <w:rsid w:val="00E33BCE"/>
    <w:rsid w:val="00E34603"/>
    <w:rsid w:val="00E35A4C"/>
    <w:rsid w:val="00E37D43"/>
    <w:rsid w:val="00E40090"/>
    <w:rsid w:val="00E4088E"/>
    <w:rsid w:val="00E42750"/>
    <w:rsid w:val="00E45AC7"/>
    <w:rsid w:val="00E5350C"/>
    <w:rsid w:val="00E54548"/>
    <w:rsid w:val="00E57937"/>
    <w:rsid w:val="00E57E08"/>
    <w:rsid w:val="00E63840"/>
    <w:rsid w:val="00E63BEC"/>
    <w:rsid w:val="00E642D9"/>
    <w:rsid w:val="00E64AD3"/>
    <w:rsid w:val="00E65A13"/>
    <w:rsid w:val="00E6722F"/>
    <w:rsid w:val="00E676E5"/>
    <w:rsid w:val="00E75486"/>
    <w:rsid w:val="00E808BF"/>
    <w:rsid w:val="00E83755"/>
    <w:rsid w:val="00E85CC7"/>
    <w:rsid w:val="00E8714A"/>
    <w:rsid w:val="00E873A5"/>
    <w:rsid w:val="00E9317F"/>
    <w:rsid w:val="00E945ED"/>
    <w:rsid w:val="00E952AA"/>
    <w:rsid w:val="00E96F33"/>
    <w:rsid w:val="00EB397D"/>
    <w:rsid w:val="00EB52E6"/>
    <w:rsid w:val="00EB76DB"/>
    <w:rsid w:val="00EC0DC8"/>
    <w:rsid w:val="00EC16B9"/>
    <w:rsid w:val="00EC402F"/>
    <w:rsid w:val="00EC6A3C"/>
    <w:rsid w:val="00ED3480"/>
    <w:rsid w:val="00ED3876"/>
    <w:rsid w:val="00ED6206"/>
    <w:rsid w:val="00ED7756"/>
    <w:rsid w:val="00EE1C49"/>
    <w:rsid w:val="00EE2ED8"/>
    <w:rsid w:val="00EE54F3"/>
    <w:rsid w:val="00EE638D"/>
    <w:rsid w:val="00EF34AA"/>
    <w:rsid w:val="00EF4A04"/>
    <w:rsid w:val="00EF58A2"/>
    <w:rsid w:val="00F00E49"/>
    <w:rsid w:val="00F051E0"/>
    <w:rsid w:val="00F10420"/>
    <w:rsid w:val="00F1165F"/>
    <w:rsid w:val="00F11E8D"/>
    <w:rsid w:val="00F1233C"/>
    <w:rsid w:val="00F13891"/>
    <w:rsid w:val="00F15080"/>
    <w:rsid w:val="00F17A5F"/>
    <w:rsid w:val="00F17F41"/>
    <w:rsid w:val="00F21F34"/>
    <w:rsid w:val="00F24A82"/>
    <w:rsid w:val="00F256A9"/>
    <w:rsid w:val="00F26BF8"/>
    <w:rsid w:val="00F27DB0"/>
    <w:rsid w:val="00F27DB7"/>
    <w:rsid w:val="00F332A4"/>
    <w:rsid w:val="00F33CAC"/>
    <w:rsid w:val="00F3622F"/>
    <w:rsid w:val="00F40682"/>
    <w:rsid w:val="00F41A74"/>
    <w:rsid w:val="00F41D9A"/>
    <w:rsid w:val="00F4519A"/>
    <w:rsid w:val="00F47E2F"/>
    <w:rsid w:val="00F5273D"/>
    <w:rsid w:val="00F5355F"/>
    <w:rsid w:val="00F548E3"/>
    <w:rsid w:val="00F567FC"/>
    <w:rsid w:val="00F61230"/>
    <w:rsid w:val="00F630C5"/>
    <w:rsid w:val="00F65A38"/>
    <w:rsid w:val="00F66BE5"/>
    <w:rsid w:val="00F72413"/>
    <w:rsid w:val="00F766E8"/>
    <w:rsid w:val="00F77837"/>
    <w:rsid w:val="00F83BB5"/>
    <w:rsid w:val="00F8436A"/>
    <w:rsid w:val="00F8531A"/>
    <w:rsid w:val="00F900D6"/>
    <w:rsid w:val="00F91577"/>
    <w:rsid w:val="00F94E54"/>
    <w:rsid w:val="00F97712"/>
    <w:rsid w:val="00FA6109"/>
    <w:rsid w:val="00FB0C03"/>
    <w:rsid w:val="00FB3BC5"/>
    <w:rsid w:val="00FB5AFB"/>
    <w:rsid w:val="00FC2361"/>
    <w:rsid w:val="00FC52A1"/>
    <w:rsid w:val="00FC7739"/>
    <w:rsid w:val="00FD0449"/>
    <w:rsid w:val="00FD2197"/>
    <w:rsid w:val="00FD6A59"/>
    <w:rsid w:val="00FD7905"/>
    <w:rsid w:val="00FE3A41"/>
    <w:rsid w:val="00FE3C3B"/>
    <w:rsid w:val="00FE49CA"/>
    <w:rsid w:val="00FE4B92"/>
    <w:rsid w:val="00FF067B"/>
    <w:rsid w:val="00FF5288"/>
    <w:rsid w:val="00FF7C34"/>
    <w:rsid w:val="013B4C55"/>
    <w:rsid w:val="01705BB4"/>
    <w:rsid w:val="031346F5"/>
    <w:rsid w:val="03336FBB"/>
    <w:rsid w:val="0402442B"/>
    <w:rsid w:val="04F5495E"/>
    <w:rsid w:val="04F5654D"/>
    <w:rsid w:val="052C6D8B"/>
    <w:rsid w:val="05510DEB"/>
    <w:rsid w:val="05756571"/>
    <w:rsid w:val="05DD679E"/>
    <w:rsid w:val="05FE35A2"/>
    <w:rsid w:val="06CC1195"/>
    <w:rsid w:val="06D32584"/>
    <w:rsid w:val="07273B0E"/>
    <w:rsid w:val="074F0D7B"/>
    <w:rsid w:val="075C3866"/>
    <w:rsid w:val="07A37044"/>
    <w:rsid w:val="08A35045"/>
    <w:rsid w:val="08E925B7"/>
    <w:rsid w:val="08F518A5"/>
    <w:rsid w:val="0922492A"/>
    <w:rsid w:val="093013D9"/>
    <w:rsid w:val="094D1EDB"/>
    <w:rsid w:val="0A420FE1"/>
    <w:rsid w:val="0AB94B2B"/>
    <w:rsid w:val="0B2367D5"/>
    <w:rsid w:val="0B445062"/>
    <w:rsid w:val="0B6E242A"/>
    <w:rsid w:val="0B813EEC"/>
    <w:rsid w:val="0BA624B7"/>
    <w:rsid w:val="0C1A4BCD"/>
    <w:rsid w:val="0CE23B0F"/>
    <w:rsid w:val="0CF83635"/>
    <w:rsid w:val="0DE14385"/>
    <w:rsid w:val="0DED7598"/>
    <w:rsid w:val="0E7757E5"/>
    <w:rsid w:val="0E7A37D6"/>
    <w:rsid w:val="0E915AE1"/>
    <w:rsid w:val="0EA855E3"/>
    <w:rsid w:val="0EC23BCE"/>
    <w:rsid w:val="0EEE3C20"/>
    <w:rsid w:val="0FE50357"/>
    <w:rsid w:val="10283879"/>
    <w:rsid w:val="111237D7"/>
    <w:rsid w:val="11206DF3"/>
    <w:rsid w:val="12F02E1F"/>
    <w:rsid w:val="14C478CD"/>
    <w:rsid w:val="14FA2039"/>
    <w:rsid w:val="15123D9E"/>
    <w:rsid w:val="15295400"/>
    <w:rsid w:val="157E709D"/>
    <w:rsid w:val="15EC71B2"/>
    <w:rsid w:val="15F21121"/>
    <w:rsid w:val="183D2B26"/>
    <w:rsid w:val="1872365F"/>
    <w:rsid w:val="191C0440"/>
    <w:rsid w:val="193B7AB8"/>
    <w:rsid w:val="19A3496B"/>
    <w:rsid w:val="19A370D2"/>
    <w:rsid w:val="19D142FC"/>
    <w:rsid w:val="19ED7494"/>
    <w:rsid w:val="19F124BC"/>
    <w:rsid w:val="1A5378DC"/>
    <w:rsid w:val="1A864A2A"/>
    <w:rsid w:val="1A9C129C"/>
    <w:rsid w:val="1AE5444B"/>
    <w:rsid w:val="1AE67D2F"/>
    <w:rsid w:val="1B035C38"/>
    <w:rsid w:val="1B9C6B09"/>
    <w:rsid w:val="1BBB5DD7"/>
    <w:rsid w:val="1C947D3D"/>
    <w:rsid w:val="1CE809EB"/>
    <w:rsid w:val="1D9F5E03"/>
    <w:rsid w:val="1E4914E1"/>
    <w:rsid w:val="1E7C6661"/>
    <w:rsid w:val="1F7312F5"/>
    <w:rsid w:val="1F882FF2"/>
    <w:rsid w:val="1F9D516C"/>
    <w:rsid w:val="200C59D1"/>
    <w:rsid w:val="201511E6"/>
    <w:rsid w:val="203A143B"/>
    <w:rsid w:val="204B1C9C"/>
    <w:rsid w:val="20691163"/>
    <w:rsid w:val="20830574"/>
    <w:rsid w:val="211A20DA"/>
    <w:rsid w:val="21251C36"/>
    <w:rsid w:val="212A7F74"/>
    <w:rsid w:val="21474EF5"/>
    <w:rsid w:val="21D13784"/>
    <w:rsid w:val="23856B18"/>
    <w:rsid w:val="239F6B5C"/>
    <w:rsid w:val="23AF3398"/>
    <w:rsid w:val="23E73EA1"/>
    <w:rsid w:val="23EB6880"/>
    <w:rsid w:val="240103AF"/>
    <w:rsid w:val="24071BC3"/>
    <w:rsid w:val="24302354"/>
    <w:rsid w:val="247509BC"/>
    <w:rsid w:val="24F51456"/>
    <w:rsid w:val="25704CA6"/>
    <w:rsid w:val="258B1862"/>
    <w:rsid w:val="259D7142"/>
    <w:rsid w:val="25D95CAF"/>
    <w:rsid w:val="25FF5075"/>
    <w:rsid w:val="25FF73E4"/>
    <w:rsid w:val="265341BF"/>
    <w:rsid w:val="2677280B"/>
    <w:rsid w:val="26A44A59"/>
    <w:rsid w:val="272500C1"/>
    <w:rsid w:val="273121C1"/>
    <w:rsid w:val="27514B9D"/>
    <w:rsid w:val="28874201"/>
    <w:rsid w:val="289076CF"/>
    <w:rsid w:val="28AB1AFF"/>
    <w:rsid w:val="298356DD"/>
    <w:rsid w:val="29C6778B"/>
    <w:rsid w:val="29FB1640"/>
    <w:rsid w:val="2A8354A3"/>
    <w:rsid w:val="2B054B0E"/>
    <w:rsid w:val="2B7319D4"/>
    <w:rsid w:val="2BD02796"/>
    <w:rsid w:val="2CFC6DCE"/>
    <w:rsid w:val="2D063AA5"/>
    <w:rsid w:val="2D6A408E"/>
    <w:rsid w:val="2D8A262B"/>
    <w:rsid w:val="2DC13959"/>
    <w:rsid w:val="2F0B37D3"/>
    <w:rsid w:val="2F287B3B"/>
    <w:rsid w:val="2F3C0EE8"/>
    <w:rsid w:val="2F4965E1"/>
    <w:rsid w:val="2F8006F5"/>
    <w:rsid w:val="2FC71DFD"/>
    <w:rsid w:val="30760C13"/>
    <w:rsid w:val="30803872"/>
    <w:rsid w:val="30C35406"/>
    <w:rsid w:val="313337F2"/>
    <w:rsid w:val="31B269F5"/>
    <w:rsid w:val="31C93AD8"/>
    <w:rsid w:val="322F42CE"/>
    <w:rsid w:val="32537490"/>
    <w:rsid w:val="325C2C2C"/>
    <w:rsid w:val="32CC7242"/>
    <w:rsid w:val="32FA5FAE"/>
    <w:rsid w:val="335B0BA5"/>
    <w:rsid w:val="335E6C54"/>
    <w:rsid w:val="33860CF3"/>
    <w:rsid w:val="33880521"/>
    <w:rsid w:val="33D81489"/>
    <w:rsid w:val="342C3A57"/>
    <w:rsid w:val="34386650"/>
    <w:rsid w:val="34702AD1"/>
    <w:rsid w:val="353A1D60"/>
    <w:rsid w:val="354832E0"/>
    <w:rsid w:val="35854745"/>
    <w:rsid w:val="35F86D56"/>
    <w:rsid w:val="361839AE"/>
    <w:rsid w:val="36333885"/>
    <w:rsid w:val="36442481"/>
    <w:rsid w:val="36987B67"/>
    <w:rsid w:val="36DB578B"/>
    <w:rsid w:val="38B97841"/>
    <w:rsid w:val="38E17431"/>
    <w:rsid w:val="394E1DC0"/>
    <w:rsid w:val="397A64A7"/>
    <w:rsid w:val="398271FC"/>
    <w:rsid w:val="39EF65FF"/>
    <w:rsid w:val="3A6570BB"/>
    <w:rsid w:val="3A8A3C6B"/>
    <w:rsid w:val="3A963016"/>
    <w:rsid w:val="3AB463AC"/>
    <w:rsid w:val="3AF64AA1"/>
    <w:rsid w:val="3B270694"/>
    <w:rsid w:val="3BBF7BA2"/>
    <w:rsid w:val="3C6E7471"/>
    <w:rsid w:val="3C982B3B"/>
    <w:rsid w:val="3CCD541E"/>
    <w:rsid w:val="3CD411CD"/>
    <w:rsid w:val="3D6E550B"/>
    <w:rsid w:val="3DDE252E"/>
    <w:rsid w:val="3E0E070F"/>
    <w:rsid w:val="3F3C4CD2"/>
    <w:rsid w:val="40513703"/>
    <w:rsid w:val="40C14727"/>
    <w:rsid w:val="410E1867"/>
    <w:rsid w:val="41593046"/>
    <w:rsid w:val="4176358E"/>
    <w:rsid w:val="417A0166"/>
    <w:rsid w:val="41C94EB3"/>
    <w:rsid w:val="4290724E"/>
    <w:rsid w:val="42BF5ED3"/>
    <w:rsid w:val="42CB4DE2"/>
    <w:rsid w:val="43A46482"/>
    <w:rsid w:val="43EA2ABB"/>
    <w:rsid w:val="444C54A3"/>
    <w:rsid w:val="44A35E10"/>
    <w:rsid w:val="45886DAF"/>
    <w:rsid w:val="45EF14FF"/>
    <w:rsid w:val="46580047"/>
    <w:rsid w:val="46A95479"/>
    <w:rsid w:val="47207657"/>
    <w:rsid w:val="47213A23"/>
    <w:rsid w:val="47CC34D9"/>
    <w:rsid w:val="47FA7AD0"/>
    <w:rsid w:val="488B5981"/>
    <w:rsid w:val="48D01EB5"/>
    <w:rsid w:val="48E43AF2"/>
    <w:rsid w:val="49002223"/>
    <w:rsid w:val="497B3126"/>
    <w:rsid w:val="49D57616"/>
    <w:rsid w:val="49EC3B90"/>
    <w:rsid w:val="4A3B0ADD"/>
    <w:rsid w:val="4AD97775"/>
    <w:rsid w:val="4ADD0F23"/>
    <w:rsid w:val="4B452C20"/>
    <w:rsid w:val="4B637C05"/>
    <w:rsid w:val="4C156E18"/>
    <w:rsid w:val="4CAF213F"/>
    <w:rsid w:val="4D4B7289"/>
    <w:rsid w:val="4D8B5C5B"/>
    <w:rsid w:val="4DA96A6F"/>
    <w:rsid w:val="4E727546"/>
    <w:rsid w:val="4F35220E"/>
    <w:rsid w:val="505D3787"/>
    <w:rsid w:val="50E34B1C"/>
    <w:rsid w:val="50F01CAE"/>
    <w:rsid w:val="51921C42"/>
    <w:rsid w:val="51B25183"/>
    <w:rsid w:val="52212DA4"/>
    <w:rsid w:val="52C16DE0"/>
    <w:rsid w:val="534E5CC0"/>
    <w:rsid w:val="53A85B73"/>
    <w:rsid w:val="53C27B7A"/>
    <w:rsid w:val="540C500F"/>
    <w:rsid w:val="55DD3CBD"/>
    <w:rsid w:val="55E6794C"/>
    <w:rsid w:val="56670EB9"/>
    <w:rsid w:val="567F625A"/>
    <w:rsid w:val="56AA4999"/>
    <w:rsid w:val="57482194"/>
    <w:rsid w:val="57EE537F"/>
    <w:rsid w:val="582E406D"/>
    <w:rsid w:val="589531F5"/>
    <w:rsid w:val="58FF201C"/>
    <w:rsid w:val="59CA6C6A"/>
    <w:rsid w:val="59E16582"/>
    <w:rsid w:val="5A8E156E"/>
    <w:rsid w:val="5BF178BC"/>
    <w:rsid w:val="5C2A49E7"/>
    <w:rsid w:val="5C6B141E"/>
    <w:rsid w:val="5C9B1DAD"/>
    <w:rsid w:val="5CC340BC"/>
    <w:rsid w:val="5CDA07CD"/>
    <w:rsid w:val="5D106397"/>
    <w:rsid w:val="5E0C5358"/>
    <w:rsid w:val="5E512CA5"/>
    <w:rsid w:val="5E9C6226"/>
    <w:rsid w:val="5EAD6EFF"/>
    <w:rsid w:val="5F98434D"/>
    <w:rsid w:val="5FA26BF4"/>
    <w:rsid w:val="5FAC5784"/>
    <w:rsid w:val="5FFC178A"/>
    <w:rsid w:val="602E43E0"/>
    <w:rsid w:val="60983D92"/>
    <w:rsid w:val="61575831"/>
    <w:rsid w:val="6181576A"/>
    <w:rsid w:val="61E821B0"/>
    <w:rsid w:val="62094CC8"/>
    <w:rsid w:val="621140D0"/>
    <w:rsid w:val="629F0A72"/>
    <w:rsid w:val="62A03B5D"/>
    <w:rsid w:val="62DF7D15"/>
    <w:rsid w:val="62F1150C"/>
    <w:rsid w:val="62FD6B01"/>
    <w:rsid w:val="6303172F"/>
    <w:rsid w:val="632A231C"/>
    <w:rsid w:val="639C5E67"/>
    <w:rsid w:val="63D37A8B"/>
    <w:rsid w:val="63EF6786"/>
    <w:rsid w:val="63FE58EC"/>
    <w:rsid w:val="640A4283"/>
    <w:rsid w:val="642871A7"/>
    <w:rsid w:val="643A5ACF"/>
    <w:rsid w:val="64B44288"/>
    <w:rsid w:val="650D1E8B"/>
    <w:rsid w:val="652229BC"/>
    <w:rsid w:val="657F217B"/>
    <w:rsid w:val="65FD1764"/>
    <w:rsid w:val="66AA03AC"/>
    <w:rsid w:val="670C4141"/>
    <w:rsid w:val="67141965"/>
    <w:rsid w:val="67B05E4B"/>
    <w:rsid w:val="68856190"/>
    <w:rsid w:val="695E7639"/>
    <w:rsid w:val="69B361A2"/>
    <w:rsid w:val="69F125AC"/>
    <w:rsid w:val="6A622D30"/>
    <w:rsid w:val="6AC06849"/>
    <w:rsid w:val="6ADE6D9B"/>
    <w:rsid w:val="6B0C31FC"/>
    <w:rsid w:val="6BBC28A5"/>
    <w:rsid w:val="6BF47EB9"/>
    <w:rsid w:val="6BF9671D"/>
    <w:rsid w:val="6C9E6846"/>
    <w:rsid w:val="6CE81741"/>
    <w:rsid w:val="6D3E42BD"/>
    <w:rsid w:val="6D430713"/>
    <w:rsid w:val="6D620248"/>
    <w:rsid w:val="6DD10C8D"/>
    <w:rsid w:val="6DE9247B"/>
    <w:rsid w:val="6DF83EB4"/>
    <w:rsid w:val="6E076DA5"/>
    <w:rsid w:val="6EC20E2D"/>
    <w:rsid w:val="6FF10003"/>
    <w:rsid w:val="700E2739"/>
    <w:rsid w:val="70B937B0"/>
    <w:rsid w:val="70F84783"/>
    <w:rsid w:val="712823B2"/>
    <w:rsid w:val="71486219"/>
    <w:rsid w:val="71796584"/>
    <w:rsid w:val="719941B8"/>
    <w:rsid w:val="71AC2C9D"/>
    <w:rsid w:val="728C5899"/>
    <w:rsid w:val="73D557A4"/>
    <w:rsid w:val="74A65448"/>
    <w:rsid w:val="752F60AE"/>
    <w:rsid w:val="75AD4CEE"/>
    <w:rsid w:val="76632F68"/>
    <w:rsid w:val="76AC3961"/>
    <w:rsid w:val="76D02779"/>
    <w:rsid w:val="76F24EA0"/>
    <w:rsid w:val="77D96DB7"/>
    <w:rsid w:val="785800A6"/>
    <w:rsid w:val="78A31F32"/>
    <w:rsid w:val="78E417CF"/>
    <w:rsid w:val="79734A9E"/>
    <w:rsid w:val="79C844A3"/>
    <w:rsid w:val="7A2502B7"/>
    <w:rsid w:val="7A904DD0"/>
    <w:rsid w:val="7B1E35C5"/>
    <w:rsid w:val="7B204C45"/>
    <w:rsid w:val="7CB47F52"/>
    <w:rsid w:val="7CFF629E"/>
    <w:rsid w:val="7D860923"/>
    <w:rsid w:val="7DE60148"/>
    <w:rsid w:val="7E6B2EB3"/>
    <w:rsid w:val="7E863124"/>
    <w:rsid w:val="7EF97C90"/>
    <w:rsid w:val="7EFB59BE"/>
    <w:rsid w:val="7F133B99"/>
    <w:rsid w:val="7F504F35"/>
    <w:rsid w:val="7F910A0A"/>
    <w:rsid w:val="7FB91E8B"/>
    <w:rsid w:val="7FC02DE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iPriority="99" w:semiHidden="0"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9">
    <w:name w:val="Default Paragraph Font"/>
    <w:unhideWhenUsed/>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customStyle="1" w:styleId="2">
    <w:name w:val="_Style 5"/>
    <w:basedOn w:val="1"/>
    <w:qFormat/>
    <w:uiPriority w:val="0"/>
    <w:pPr>
      <w:ind w:firstLine="200" w:firstLineChars="200"/>
    </w:pPr>
    <w:rPr>
      <w:rFonts w:eastAsia="宋体"/>
      <w:sz w:val="24"/>
    </w:rPr>
  </w:style>
  <w:style w:type="paragraph" w:styleId="3">
    <w:name w:val="Block Text"/>
    <w:basedOn w:val="1"/>
    <w:unhideWhenUsed/>
    <w:qFormat/>
    <w:uiPriority w:val="99"/>
    <w:pPr>
      <w:spacing w:beforeLines="0" w:afterLines="0"/>
    </w:pPr>
    <w:rPr>
      <w:rFonts w:hint="default"/>
      <w:sz w:val="21"/>
      <w:szCs w:val="24"/>
    </w:rPr>
  </w:style>
  <w:style w:type="paragraph" w:styleId="4">
    <w:name w:val="footer"/>
    <w:basedOn w:val="1"/>
    <w:next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uiPriority w:val="99"/>
    <w:pPr>
      <w:pBdr>
        <w:bottom w:val="single" w:color="auto" w:sz="6" w:space="1"/>
      </w:pBdr>
      <w:tabs>
        <w:tab w:val="center" w:pos="4153"/>
        <w:tab w:val="right" w:pos="8306"/>
      </w:tabs>
      <w:snapToGrid w:val="0"/>
      <w:jc w:val="center"/>
    </w:pPr>
    <w:rPr>
      <w:sz w:val="18"/>
      <w:szCs w:val="18"/>
    </w:rPr>
  </w:style>
  <w:style w:type="paragraph" w:styleId="6">
    <w:name w:val="toc 1"/>
    <w:basedOn w:val="1"/>
    <w:next w:val="1"/>
    <w:unhideWhenUsed/>
    <w:qFormat/>
    <w:uiPriority w:val="39"/>
  </w:style>
  <w:style w:type="paragraph" w:styleId="7">
    <w:name w:val="Normal (Web)"/>
    <w:basedOn w:val="1"/>
    <w:qFormat/>
    <w:uiPriority w:val="99"/>
    <w:pPr>
      <w:spacing w:beforeAutospacing="1" w:afterAutospacing="1"/>
      <w:jc w:val="left"/>
    </w:pPr>
    <w:rPr>
      <w:rFonts w:ascii="Calibri" w:hAnsi="Calibri" w:eastAsia="宋体"/>
      <w:kern w:val="1"/>
      <w:sz w:val="24"/>
      <w:szCs w:val="24"/>
    </w:rPr>
  </w:style>
  <w:style w:type="character" w:styleId="10">
    <w:name w:val="page number"/>
    <w:basedOn w:val="9"/>
    <w:qFormat/>
    <w:uiPriority w:val="0"/>
  </w:style>
  <w:style w:type="character" w:styleId="11">
    <w:name w:val="Hyperlink"/>
    <w:basedOn w:val="9"/>
    <w:unhideWhenUsed/>
    <w:qFormat/>
    <w:uiPriority w:val="99"/>
    <w:rPr>
      <w:color w:val="0000FF"/>
      <w:u w:val="single"/>
    </w:rPr>
  </w:style>
  <w:style w:type="character" w:customStyle="1" w:styleId="12">
    <w:name w:val="页脚 Char"/>
    <w:basedOn w:val="9"/>
    <w:link w:val="4"/>
    <w:qFormat/>
    <w:uiPriority w:val="99"/>
    <w:rPr>
      <w:rFonts w:ascii="Times New Roman" w:hAnsi="Times New Roman" w:eastAsia="仿宋_GB2312" w:cs="Times New Roman"/>
      <w:sz w:val="18"/>
      <w:szCs w:val="18"/>
    </w:rPr>
  </w:style>
  <w:style w:type="character" w:customStyle="1" w:styleId="13">
    <w:name w:val="页眉 Char"/>
    <w:basedOn w:val="9"/>
    <w:link w:val="5"/>
    <w:qFormat/>
    <w:uiPriority w:val="99"/>
    <w:rPr>
      <w:rFonts w:ascii="Times New Roman" w:hAnsi="Times New Roman" w:eastAsia="仿宋_GB2312" w:cs="Times New Roman"/>
      <w:sz w:val="18"/>
      <w:szCs w:val="18"/>
    </w:rPr>
  </w:style>
  <w:style w:type="character" w:customStyle="1" w:styleId="14">
    <w:name w:val="NormalCharacter"/>
    <w:link w:val="15"/>
    <w:qFormat/>
    <w:uiPriority w:val="0"/>
  </w:style>
  <w:style w:type="paragraph" w:customStyle="1" w:styleId="15">
    <w:name w:val="UserStyle_11"/>
    <w:basedOn w:val="1"/>
    <w:link w:val="14"/>
    <w:qFormat/>
    <w:uiPriority w:val="0"/>
    <w:rPr>
      <w:rFonts w:ascii="Calibri" w:hAnsi="Calibri" w:eastAsia="宋体" w:cs="Times New Roman"/>
      <w:kern w:val="0"/>
      <w:sz w:val="20"/>
      <w:szCs w:val="24"/>
    </w:rPr>
  </w:style>
  <w:style w:type="character" w:customStyle="1" w:styleId="16">
    <w:name w:val="UserStyle_2"/>
    <w:basedOn w:val="14"/>
    <w:qFormat/>
    <w:uiPriority w:val="0"/>
    <w:rPr>
      <w:rFonts w:ascii="Calibri" w:hAnsi="Calibri" w:eastAsia="宋体" w:cs="Times New Roman"/>
      <w:kern w:val="2"/>
      <w:sz w:val="21"/>
      <w:szCs w:val="24"/>
      <w:lang w:val="en-US" w:eastAsia="zh-CN" w:bidi="ar-SA"/>
    </w:rPr>
  </w:style>
  <w:style w:type="paragraph" w:styleId="17">
    <w:name w:val="List Paragraph"/>
    <w:basedOn w:val="1"/>
    <w:qFormat/>
    <w:uiPriority w:val="99"/>
    <w:pPr>
      <w:ind w:firstLine="420" w:firstLineChars="200"/>
    </w:pPr>
  </w:style>
  <w:style w:type="paragraph" w:customStyle="1" w:styleId="18">
    <w:name w:val=" Char Char1"/>
    <w:basedOn w:val="1"/>
    <w:qFormat/>
    <w:uiPriority w:val="0"/>
    <w:pPr>
      <w:widowControl/>
      <w:spacing w:after="160" w:line="240" w:lineRule="exact"/>
      <w:jc w:val="left"/>
    </w:pPr>
    <w:rPr>
      <w:rFonts w:ascii="仿宋_GB2312" w:hAnsi="仿宋_GB2312"/>
    </w:rPr>
  </w:style>
  <w:style w:type="paragraph" w:customStyle="1" w:styleId="19">
    <w:name w:val="Char1 Char Char Char Char Char Char"/>
    <w:basedOn w:val="1"/>
    <w:qFormat/>
    <w:uiPriority w:val="0"/>
    <w:rPr>
      <w:rFonts w:ascii="等线" w:hAnsi="等线" w:eastAsia="等线"/>
      <w:sz w:val="21"/>
      <w:szCs w:val="22"/>
    </w:rPr>
  </w:style>
  <w:style w:type="paragraph" w:customStyle="1" w:styleId="20">
    <w:name w:val="Char Char Char Char"/>
    <w:basedOn w:val="1"/>
    <w:qFormat/>
    <w:uiPriority w:val="0"/>
    <w:rPr>
      <w:rFonts w:ascii="Calibri" w:hAnsi="Calibri" w:eastAsia="宋体"/>
      <w:sz w:val="21"/>
      <w:szCs w:val="24"/>
    </w:rPr>
  </w:style>
  <w:style w:type="character" w:customStyle="1" w:styleId="21">
    <w:name w:val="fontstyle01"/>
    <w:basedOn w:val="9"/>
    <w:qFormat/>
    <w:uiPriority w:val="0"/>
    <w:rPr>
      <w:rFonts w:hint="default" w:ascii="TimesNewRomanPSMT" w:hAnsi="TimesNewRomanPSMT" w:eastAsia="TimesNewRomanPSMT" w:cs="TimesNewRomanPSMT"/>
      <w:color w:val="000000"/>
      <w:sz w:val="32"/>
      <w:szCs w:val="32"/>
    </w:rPr>
  </w:style>
  <w:style w:type="paragraph" w:customStyle="1" w:styleId="22">
    <w:name w:val="No Spacing"/>
    <w:qFormat/>
    <w:uiPriority w:val="1"/>
    <w:pPr>
      <w:widowControl w:val="0"/>
      <w:jc w:val="both"/>
    </w:pPr>
    <w:rPr>
      <w:rFonts w:ascii="Calibri" w:hAnsi="Calibri" w:eastAsia="宋体" w:cs="Times New Roman"/>
      <w:kern w:val="2"/>
      <w:sz w:val="21"/>
      <w:szCs w:val="21"/>
      <w:lang w:val="en-US" w:eastAsia="zh-CN" w:bidi="ar-SA"/>
    </w:rPr>
  </w:style>
  <w:style w:type="character" w:customStyle="1" w:styleId="23">
    <w:name w:val="15"/>
    <w:basedOn w:val="9"/>
    <w:qFormat/>
    <w:uiPriority w:val="0"/>
    <w:rPr>
      <w:rFonts w:hint="default" w:ascii="TimesNewRomanPSMT" w:hAnsi="TimesNewRomanPSMT" w:eastAsia="Times New Roman"/>
      <w:color w:val="000000"/>
      <w:sz w:val="32"/>
      <w:szCs w:val="32"/>
    </w:rPr>
  </w:style>
  <w:style w:type="paragraph" w:customStyle="1" w:styleId="24">
    <w:name w:val="新正文"/>
    <w:basedOn w:val="1"/>
    <w:qFormat/>
    <w:uiPriority w:val="99"/>
    <w:pPr>
      <w:spacing w:line="600" w:lineRule="exact"/>
      <w:ind w:firstLine="880"/>
      <w:contextualSpacing/>
    </w:pPr>
    <w:rPr>
      <w:rFonts w:ascii="Times New Roman" w:hAnsi="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Info spid="_x0000_s1029"/>
    <customShpInfo spid="_x0000_s1030"/>
    <customShpInfo spid="_x0000_s1031"/>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31</Pages>
  <Words>16268</Words>
  <Characters>17632</Characters>
  <Lines>112</Lines>
  <Paragraphs>31</Paragraphs>
  <TotalTime>2</TotalTime>
  <ScaleCrop>false</ScaleCrop>
  <LinksUpToDate>false</LinksUpToDate>
  <CharactersWithSpaces>17779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2022-03-28T02:26:00Z</dcterms:created>
  <dc:creator>Windows 用户</dc:creator>
  <cp:lastModifiedBy>叮噹爸</cp:lastModifiedBy>
  <cp:lastPrinted>2023-03-25T02:14:00Z</cp:lastPrinted>
  <dcterms:modified xsi:type="dcterms:W3CDTF">2023-03-26T03:35:23Z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106FBDD39BBD423CB4D990E9DC412EEE</vt:lpwstr>
  </property>
</Properties>
</file>