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1A1B2C">
      <w:pPr>
        <w:pStyle w:val="2"/>
        <w:spacing w:line="520" w:lineRule="exact"/>
        <w:rPr>
          <w:rFonts w:ascii="黑体" w:hAnsi="黑体" w:eastAsia="黑体" w:cs="黑体"/>
          <w:color w:val="auto"/>
          <w:kern w:val="2"/>
          <w:sz w:val="32"/>
          <w:szCs w:val="32"/>
        </w:rPr>
      </w:pPr>
      <w:r>
        <w:rPr>
          <w:rFonts w:hint="eastAsia" w:ascii="黑体" w:hAnsi="黑体" w:eastAsia="黑体" w:cs="黑体"/>
          <w:color w:val="auto"/>
          <w:kern w:val="2"/>
          <w:sz w:val="32"/>
          <w:szCs w:val="32"/>
        </w:rPr>
        <w:t>附件1</w:t>
      </w:r>
    </w:p>
    <w:p w14:paraId="18911F55">
      <w:pPr>
        <w:pStyle w:val="2"/>
        <w:spacing w:line="520" w:lineRule="exact"/>
      </w:pPr>
    </w:p>
    <w:p w14:paraId="126BCA23">
      <w:pPr>
        <w:widowControl/>
        <w:shd w:val="clear" w:color="auto" w:fill="FFFFFF"/>
        <w:spacing w:line="520" w:lineRule="exact"/>
        <w:jc w:val="center"/>
        <w:outlineLvl w:val="0"/>
        <w:rPr>
          <w:rFonts w:ascii="方正小标宋简体" w:hAnsi="微软雅黑" w:eastAsia="方正小标宋简体" w:cs="宋体"/>
          <w:kern w:val="36"/>
          <w:sz w:val="40"/>
          <w:szCs w:val="40"/>
        </w:rPr>
      </w:pPr>
      <w:r>
        <w:fldChar w:fldCharType="begin"/>
      </w:r>
      <w:r>
        <w:instrText xml:space="preserve"> HYPERLINK "http://kjt.hunan.gov.cn/kjt/xxgk/xmxx/xmsb/202005/12122843/files/f6ce42c654f842b08cd9b6624651c789.docx" \t "_blank" </w:instrText>
      </w:r>
      <w:r>
        <w:fldChar w:fldCharType="separate"/>
      </w:r>
      <w:r>
        <w:rPr>
          <w:rFonts w:hint="eastAsia" w:ascii="方正小标宋简体" w:hAnsi="微软雅黑" w:eastAsia="方正小标宋简体" w:cs="宋体"/>
          <w:kern w:val="36"/>
          <w:sz w:val="40"/>
          <w:szCs w:val="40"/>
        </w:rPr>
        <w:t>2024年益阳市“揭榜挂帅”重大科技项目榜单</w:t>
      </w:r>
      <w:r>
        <w:rPr>
          <w:rFonts w:hint="eastAsia" w:ascii="方正小标宋简体" w:hAnsi="微软雅黑" w:eastAsia="方正小标宋简体" w:cs="宋体"/>
          <w:kern w:val="36"/>
          <w:sz w:val="40"/>
          <w:szCs w:val="40"/>
        </w:rPr>
        <w:fldChar w:fldCharType="end"/>
      </w:r>
    </w:p>
    <w:p w14:paraId="1E8291EB">
      <w:pPr>
        <w:overflowPunct w:val="0"/>
        <w:adjustRightInd w:val="0"/>
        <w:snapToGrid w:val="0"/>
        <w:spacing w:line="520" w:lineRule="exact"/>
        <w:ind w:firstLine="640" w:firstLineChars="200"/>
        <w:rPr>
          <w:rFonts w:ascii="黑体" w:hAnsi="黑体" w:eastAsia="黑体" w:cs="黑体"/>
          <w:sz w:val="32"/>
          <w:szCs w:val="32"/>
        </w:rPr>
      </w:pPr>
    </w:p>
    <w:p w14:paraId="1224A902">
      <w:pPr>
        <w:overflowPunct w:val="0"/>
        <w:adjustRightInd w:val="0"/>
        <w:snapToGrid w:val="0"/>
        <w:spacing w:line="520" w:lineRule="exact"/>
        <w:ind w:firstLine="640" w:firstLineChars="200"/>
        <w:rPr>
          <w:rFonts w:ascii="黑体" w:hAnsi="黑体" w:eastAsia="黑体" w:cs="黑体"/>
          <w:sz w:val="32"/>
          <w:szCs w:val="32"/>
        </w:rPr>
      </w:pPr>
      <w:r>
        <w:rPr>
          <w:rFonts w:hint="eastAsia" w:ascii="黑体" w:hAnsi="黑体" w:eastAsia="黑体" w:cs="黑体"/>
          <w:sz w:val="32"/>
          <w:szCs w:val="32"/>
        </w:rPr>
        <w:t>项目1</w:t>
      </w:r>
    </w:p>
    <w:p w14:paraId="237473E4">
      <w:pPr>
        <w:overflowPunct w:val="0"/>
        <w:adjustRightInd w:val="0"/>
        <w:snapToGrid w:val="0"/>
        <w:spacing w:line="520" w:lineRule="exact"/>
        <w:ind w:firstLine="643" w:firstLineChars="200"/>
        <w:jc w:val="left"/>
        <w:rPr>
          <w:rFonts w:ascii="楷体" w:hAnsi="楷体" w:eastAsia="楷体" w:cs="楷体_GB2312"/>
          <w:bCs/>
          <w:sz w:val="32"/>
          <w:szCs w:val="32"/>
        </w:rPr>
      </w:pPr>
      <w:r>
        <w:rPr>
          <w:rFonts w:hint="eastAsia" w:ascii="楷体" w:hAnsi="楷体" w:eastAsia="楷体" w:cs="楷体_GB2312"/>
          <w:b/>
          <w:sz w:val="32"/>
          <w:szCs w:val="32"/>
        </w:rPr>
        <w:t>项目名称：</w:t>
      </w:r>
      <w:r>
        <w:rPr>
          <w:rFonts w:hint="eastAsia" w:ascii="楷体" w:hAnsi="楷体" w:eastAsia="楷体" w:cs="楷体_GB2312"/>
          <w:bCs/>
          <w:sz w:val="32"/>
          <w:szCs w:val="32"/>
        </w:rPr>
        <w:t>基于</w:t>
      </w:r>
      <w:r>
        <w:rPr>
          <w:rFonts w:ascii="楷体" w:hAnsi="楷体" w:eastAsia="楷体" w:cs="楷体_GB2312"/>
          <w:bCs/>
          <w:sz w:val="32"/>
          <w:szCs w:val="32"/>
        </w:rPr>
        <w:t>5G的电容器全生命周期质量监控关键技术开发及应用</w:t>
      </w:r>
    </w:p>
    <w:p w14:paraId="458EB437">
      <w:pPr>
        <w:overflowPunct w:val="0"/>
        <w:adjustRightInd w:val="0"/>
        <w:snapToGrid w:val="0"/>
        <w:spacing w:line="520" w:lineRule="exact"/>
        <w:ind w:firstLine="643" w:firstLineChars="200"/>
        <w:jc w:val="left"/>
        <w:rPr>
          <w:rFonts w:ascii="楷体" w:hAnsi="楷体" w:eastAsia="楷体" w:cs="楷体_GB2312"/>
          <w:bCs/>
          <w:sz w:val="32"/>
          <w:szCs w:val="32"/>
        </w:rPr>
      </w:pPr>
      <w:r>
        <w:rPr>
          <w:rFonts w:hint="eastAsia" w:ascii="楷体" w:hAnsi="楷体" w:eastAsia="楷体" w:cs="楷体_GB2312"/>
          <w:b/>
          <w:sz w:val="32"/>
          <w:szCs w:val="32"/>
        </w:rPr>
        <w:t>发榜单位：</w:t>
      </w:r>
      <w:r>
        <w:rPr>
          <w:rFonts w:hint="eastAsia" w:ascii="楷体" w:hAnsi="楷体" w:eastAsia="楷体" w:cs="楷体_GB2312"/>
          <w:bCs/>
          <w:sz w:val="32"/>
          <w:szCs w:val="32"/>
        </w:rPr>
        <w:t>益阳市和天电子有限公司</w:t>
      </w:r>
    </w:p>
    <w:p w14:paraId="671809CA">
      <w:pPr>
        <w:pStyle w:val="2"/>
        <w:spacing w:line="520" w:lineRule="exact"/>
        <w:ind w:firstLine="643" w:firstLineChars="200"/>
        <w:rPr>
          <w:rFonts w:ascii="仿宋" w:hAnsi="仿宋" w:eastAsia="仿宋" w:cs="仿宋_GB2312"/>
          <w:b/>
          <w:bCs/>
          <w:color w:val="auto"/>
          <w:sz w:val="32"/>
          <w:szCs w:val="32"/>
        </w:rPr>
      </w:pPr>
      <w:r>
        <w:rPr>
          <w:rFonts w:hint="eastAsia" w:ascii="仿宋" w:hAnsi="仿宋" w:eastAsia="仿宋" w:cs="仿宋_GB2312"/>
          <w:b/>
          <w:bCs/>
          <w:color w:val="auto"/>
          <w:sz w:val="32"/>
          <w:szCs w:val="32"/>
        </w:rPr>
        <w:t>攻关任务：</w:t>
      </w:r>
    </w:p>
    <w:p w14:paraId="1C425788">
      <w:pPr>
        <w:pStyle w:val="2"/>
        <w:spacing w:line="520" w:lineRule="exact"/>
        <w:ind w:firstLine="640" w:firstLineChars="200"/>
        <w:rPr>
          <w:rFonts w:ascii="仿宋" w:hAnsi="仿宋" w:eastAsia="仿宋" w:cs="仿宋_GB2312"/>
          <w:color w:val="auto"/>
          <w:kern w:val="2"/>
          <w:sz w:val="32"/>
          <w:szCs w:val="32"/>
        </w:rPr>
      </w:pPr>
      <w:r>
        <w:rPr>
          <w:rFonts w:hint="eastAsia" w:ascii="仿宋" w:hAnsi="仿宋" w:eastAsia="仿宋" w:cs="仿宋_GB2312"/>
          <w:color w:val="auto"/>
          <w:kern w:val="2"/>
          <w:sz w:val="32"/>
          <w:szCs w:val="32"/>
        </w:rPr>
        <w:t>1.</w:t>
      </w:r>
      <w:r>
        <w:rPr>
          <w:rFonts w:ascii="仿宋" w:hAnsi="仿宋" w:eastAsia="仿宋" w:cs="仿宋_GB2312"/>
          <w:color w:val="auto"/>
          <w:kern w:val="2"/>
          <w:sz w:val="32"/>
          <w:szCs w:val="32"/>
        </w:rPr>
        <w:t>构建基于物联网和数据驱动的电容器全生命周期质量管理体系。面向全生命周期产品质量评价过程中,质量目标信息是质量评价活动的依据,一般包括市场用户需求信息、产品过程质量需求信息等。</w:t>
      </w:r>
    </w:p>
    <w:p w14:paraId="3824BEDE">
      <w:pPr>
        <w:pStyle w:val="2"/>
        <w:spacing w:line="520" w:lineRule="exact"/>
        <w:ind w:firstLine="640" w:firstLineChars="200"/>
        <w:rPr>
          <w:rFonts w:ascii="仿宋" w:hAnsi="仿宋" w:eastAsia="仿宋" w:cs="仿宋_GB2312"/>
          <w:color w:val="auto"/>
          <w:kern w:val="2"/>
          <w:sz w:val="32"/>
          <w:szCs w:val="32"/>
        </w:rPr>
      </w:pPr>
      <w:r>
        <w:rPr>
          <w:rFonts w:hint="eastAsia" w:ascii="仿宋" w:hAnsi="仿宋" w:eastAsia="仿宋" w:cs="仿宋_GB2312"/>
          <w:color w:val="auto"/>
          <w:kern w:val="2"/>
          <w:sz w:val="32"/>
          <w:szCs w:val="32"/>
        </w:rPr>
        <w:t>2.</w:t>
      </w:r>
      <w:r>
        <w:rPr>
          <w:rFonts w:ascii="仿宋" w:hAnsi="仿宋" w:eastAsia="仿宋" w:cs="仿宋_GB2312"/>
          <w:color w:val="auto"/>
          <w:kern w:val="2"/>
          <w:sz w:val="32"/>
          <w:szCs w:val="32"/>
        </w:rPr>
        <w:t>提出一种动态的、协同的、分布式的产品全生命周期质量管理系统模型,在此基础上构建系统框架,确定系统功能与体系结构。</w:t>
      </w:r>
    </w:p>
    <w:p w14:paraId="3B31E3A5">
      <w:pPr>
        <w:pStyle w:val="2"/>
        <w:spacing w:line="520" w:lineRule="exact"/>
        <w:ind w:firstLine="640" w:firstLineChars="200"/>
        <w:rPr>
          <w:rFonts w:ascii="仿宋" w:hAnsi="仿宋" w:eastAsia="仿宋" w:cs="仿宋_GB2312"/>
          <w:color w:val="auto"/>
          <w:kern w:val="2"/>
          <w:sz w:val="32"/>
          <w:szCs w:val="32"/>
        </w:rPr>
      </w:pPr>
      <w:r>
        <w:rPr>
          <w:rFonts w:hint="eastAsia" w:ascii="仿宋" w:hAnsi="仿宋" w:eastAsia="仿宋" w:cs="仿宋_GB2312"/>
          <w:color w:val="auto"/>
          <w:kern w:val="2"/>
          <w:sz w:val="32"/>
          <w:szCs w:val="32"/>
        </w:rPr>
        <w:t>3.</w:t>
      </w:r>
      <w:r>
        <w:rPr>
          <w:rFonts w:ascii="仿宋" w:hAnsi="仿宋" w:eastAsia="仿宋" w:cs="仿宋_GB2312"/>
          <w:color w:val="auto"/>
          <w:kern w:val="2"/>
          <w:sz w:val="32"/>
          <w:szCs w:val="32"/>
        </w:rPr>
        <w:t>提出一种基于三角模糊数的层次分析法与模糊综合评价方法相结合的质量评价方法。构建各阶段质量评价体系模型,从而实现对产品全生命周期质量进行科学的、多层次、多视角的全方位评价。</w:t>
      </w:r>
    </w:p>
    <w:p w14:paraId="35BC7054">
      <w:pPr>
        <w:pStyle w:val="2"/>
        <w:spacing w:line="520" w:lineRule="exact"/>
        <w:ind w:firstLine="643" w:firstLineChars="200"/>
        <w:rPr>
          <w:rFonts w:ascii="仿宋" w:hAnsi="仿宋" w:eastAsia="仿宋" w:cs="仿宋_GB2312"/>
          <w:b/>
          <w:bCs/>
          <w:color w:val="auto"/>
          <w:kern w:val="2"/>
          <w:sz w:val="32"/>
          <w:szCs w:val="32"/>
        </w:rPr>
      </w:pPr>
      <w:r>
        <w:rPr>
          <w:rFonts w:hint="eastAsia" w:ascii="仿宋" w:hAnsi="仿宋" w:eastAsia="仿宋" w:cs="仿宋_GB2312"/>
          <w:b/>
          <w:bCs/>
          <w:color w:val="auto"/>
          <w:kern w:val="2"/>
          <w:sz w:val="32"/>
          <w:szCs w:val="32"/>
        </w:rPr>
        <w:t>技术指标:</w:t>
      </w:r>
    </w:p>
    <w:p w14:paraId="76E36F96">
      <w:pPr>
        <w:pStyle w:val="2"/>
        <w:spacing w:line="520" w:lineRule="exact"/>
        <w:ind w:firstLine="640" w:firstLineChars="200"/>
        <w:rPr>
          <w:rFonts w:ascii="仿宋" w:hAnsi="仿宋" w:eastAsia="仿宋" w:cs="仿宋_GB2312"/>
          <w:color w:val="auto"/>
          <w:kern w:val="2"/>
          <w:sz w:val="32"/>
          <w:szCs w:val="32"/>
        </w:rPr>
      </w:pPr>
      <w:r>
        <w:rPr>
          <w:rFonts w:hint="eastAsia" w:ascii="仿宋" w:hAnsi="仿宋" w:eastAsia="仿宋" w:cs="仿宋_GB2312"/>
          <w:color w:val="auto"/>
          <w:kern w:val="2"/>
          <w:sz w:val="32"/>
          <w:szCs w:val="32"/>
        </w:rPr>
        <w:t>1.订单按时交付率提高</w:t>
      </w:r>
      <w:r>
        <w:rPr>
          <w:rFonts w:ascii="仿宋" w:hAnsi="仿宋" w:eastAsia="仿宋" w:cs="仿宋_GB2312"/>
          <w:color w:val="auto"/>
          <w:kern w:val="2"/>
          <w:sz w:val="32"/>
          <w:szCs w:val="32"/>
        </w:rPr>
        <w:t>30%；</w:t>
      </w:r>
    </w:p>
    <w:p w14:paraId="4AA0FA62">
      <w:pPr>
        <w:pStyle w:val="2"/>
        <w:spacing w:line="520" w:lineRule="exact"/>
        <w:ind w:firstLine="640" w:firstLineChars="200"/>
        <w:rPr>
          <w:rFonts w:ascii="仿宋" w:hAnsi="仿宋" w:eastAsia="仿宋" w:cs="仿宋_GB2312"/>
          <w:color w:val="auto"/>
          <w:kern w:val="2"/>
          <w:sz w:val="32"/>
          <w:szCs w:val="32"/>
        </w:rPr>
      </w:pPr>
      <w:r>
        <w:rPr>
          <w:rFonts w:hint="eastAsia" w:ascii="仿宋" w:hAnsi="仿宋" w:eastAsia="仿宋" w:cs="仿宋_GB2312"/>
          <w:color w:val="auto"/>
          <w:kern w:val="2"/>
          <w:sz w:val="32"/>
          <w:szCs w:val="32"/>
        </w:rPr>
        <w:t>2.</w:t>
      </w:r>
      <w:r>
        <w:rPr>
          <w:rFonts w:ascii="仿宋" w:hAnsi="仿宋" w:eastAsia="仿宋" w:cs="仿宋_GB2312"/>
          <w:color w:val="auto"/>
          <w:kern w:val="2"/>
          <w:sz w:val="32"/>
          <w:szCs w:val="32"/>
        </w:rPr>
        <w:t>企业生产效率提高20%以上；</w:t>
      </w:r>
    </w:p>
    <w:p w14:paraId="01FD6922">
      <w:pPr>
        <w:pStyle w:val="2"/>
        <w:spacing w:line="520" w:lineRule="exact"/>
        <w:ind w:firstLine="640" w:firstLineChars="200"/>
        <w:rPr>
          <w:rFonts w:ascii="仿宋" w:hAnsi="仿宋" w:eastAsia="仿宋" w:cs="仿宋_GB2312"/>
          <w:color w:val="auto"/>
          <w:kern w:val="2"/>
          <w:sz w:val="32"/>
          <w:szCs w:val="32"/>
        </w:rPr>
      </w:pPr>
      <w:r>
        <w:rPr>
          <w:rFonts w:hint="eastAsia" w:ascii="仿宋" w:hAnsi="仿宋" w:eastAsia="仿宋" w:cs="仿宋_GB2312"/>
          <w:color w:val="auto"/>
          <w:kern w:val="2"/>
          <w:sz w:val="32"/>
          <w:szCs w:val="32"/>
        </w:rPr>
        <w:t>3.</w:t>
      </w:r>
      <w:r>
        <w:rPr>
          <w:rFonts w:ascii="仿宋" w:hAnsi="仿宋" w:eastAsia="仿宋" w:cs="仿宋_GB2312"/>
          <w:color w:val="auto"/>
          <w:kern w:val="2"/>
          <w:sz w:val="32"/>
          <w:szCs w:val="32"/>
        </w:rPr>
        <w:t>生产周期缩短16%；</w:t>
      </w:r>
    </w:p>
    <w:p w14:paraId="0F704727">
      <w:pPr>
        <w:pStyle w:val="2"/>
        <w:spacing w:line="520" w:lineRule="exact"/>
        <w:ind w:firstLine="640" w:firstLineChars="200"/>
        <w:rPr>
          <w:rFonts w:ascii="仿宋" w:hAnsi="仿宋" w:eastAsia="仿宋" w:cs="仿宋_GB2312"/>
          <w:color w:val="auto"/>
          <w:kern w:val="2"/>
          <w:sz w:val="32"/>
          <w:szCs w:val="32"/>
        </w:rPr>
      </w:pPr>
      <w:r>
        <w:rPr>
          <w:rFonts w:hint="eastAsia" w:ascii="仿宋" w:hAnsi="仿宋" w:eastAsia="仿宋" w:cs="仿宋_GB2312"/>
          <w:color w:val="auto"/>
          <w:kern w:val="2"/>
          <w:sz w:val="32"/>
          <w:szCs w:val="32"/>
        </w:rPr>
        <w:t>4.</w:t>
      </w:r>
      <w:r>
        <w:rPr>
          <w:rFonts w:ascii="仿宋" w:hAnsi="仿宋" w:eastAsia="仿宋" w:cs="仿宋_GB2312"/>
          <w:color w:val="auto"/>
          <w:kern w:val="2"/>
          <w:sz w:val="32"/>
          <w:szCs w:val="32"/>
        </w:rPr>
        <w:t>减少导致生产的误操作40%；</w:t>
      </w:r>
    </w:p>
    <w:p w14:paraId="31416525">
      <w:pPr>
        <w:pStyle w:val="2"/>
        <w:spacing w:line="520" w:lineRule="exact"/>
        <w:ind w:firstLine="640" w:firstLineChars="200"/>
        <w:rPr>
          <w:rFonts w:ascii="仿宋" w:hAnsi="仿宋" w:eastAsia="仿宋" w:cs="仿宋_GB2312"/>
          <w:color w:val="auto"/>
          <w:kern w:val="2"/>
          <w:sz w:val="32"/>
          <w:szCs w:val="32"/>
        </w:rPr>
      </w:pPr>
      <w:r>
        <w:rPr>
          <w:rFonts w:hint="eastAsia" w:ascii="仿宋" w:hAnsi="仿宋" w:eastAsia="仿宋" w:cs="仿宋_GB2312"/>
          <w:color w:val="auto"/>
          <w:kern w:val="2"/>
          <w:sz w:val="32"/>
          <w:szCs w:val="32"/>
        </w:rPr>
        <w:t>5.</w:t>
      </w:r>
      <w:r>
        <w:rPr>
          <w:rFonts w:ascii="仿宋" w:hAnsi="仿宋" w:eastAsia="仿宋" w:cs="仿宋_GB2312"/>
          <w:color w:val="auto"/>
          <w:kern w:val="2"/>
          <w:sz w:val="32"/>
          <w:szCs w:val="32"/>
        </w:rPr>
        <w:t>异常事件响应时间缩短60%；</w:t>
      </w:r>
    </w:p>
    <w:p w14:paraId="78ED2E00">
      <w:pPr>
        <w:pStyle w:val="2"/>
        <w:spacing w:line="520" w:lineRule="exact"/>
        <w:ind w:firstLine="640" w:firstLineChars="200"/>
        <w:rPr>
          <w:rFonts w:ascii="仿宋" w:hAnsi="仿宋" w:eastAsia="仿宋" w:cs="仿宋_GB2312"/>
          <w:color w:val="auto"/>
          <w:kern w:val="2"/>
          <w:sz w:val="32"/>
          <w:szCs w:val="32"/>
        </w:rPr>
      </w:pPr>
      <w:r>
        <w:rPr>
          <w:rFonts w:hint="eastAsia" w:ascii="仿宋" w:hAnsi="仿宋" w:eastAsia="仿宋" w:cs="仿宋_GB2312"/>
          <w:color w:val="auto"/>
          <w:kern w:val="2"/>
          <w:sz w:val="32"/>
          <w:szCs w:val="32"/>
        </w:rPr>
        <w:t>6.</w:t>
      </w:r>
      <w:r>
        <w:rPr>
          <w:rFonts w:ascii="仿宋" w:hAnsi="仿宋" w:eastAsia="仿宋" w:cs="仿宋_GB2312"/>
          <w:color w:val="auto"/>
          <w:kern w:val="2"/>
          <w:sz w:val="32"/>
          <w:szCs w:val="32"/>
        </w:rPr>
        <w:t>不良品率下降4%；</w:t>
      </w:r>
    </w:p>
    <w:p w14:paraId="3A870B73">
      <w:pPr>
        <w:pStyle w:val="2"/>
        <w:spacing w:line="520" w:lineRule="exact"/>
        <w:ind w:firstLine="640" w:firstLineChars="200"/>
        <w:rPr>
          <w:rFonts w:hint="eastAsia" w:ascii="仿宋" w:hAnsi="仿宋" w:eastAsia="仿宋" w:cs="仿宋_GB2312"/>
          <w:color w:val="auto"/>
          <w:kern w:val="2"/>
          <w:sz w:val="32"/>
          <w:szCs w:val="32"/>
          <w:lang w:eastAsia="zh-CN"/>
        </w:rPr>
      </w:pPr>
      <w:r>
        <w:rPr>
          <w:rFonts w:hint="eastAsia" w:ascii="仿宋" w:hAnsi="仿宋" w:eastAsia="仿宋" w:cs="仿宋_GB2312"/>
          <w:color w:val="auto"/>
          <w:kern w:val="2"/>
          <w:sz w:val="32"/>
          <w:szCs w:val="32"/>
        </w:rPr>
        <w:t>7.</w:t>
      </w:r>
      <w:r>
        <w:rPr>
          <w:rFonts w:ascii="仿宋" w:hAnsi="仿宋" w:eastAsia="仿宋" w:cs="仿宋_GB2312"/>
          <w:color w:val="auto"/>
          <w:kern w:val="2"/>
          <w:sz w:val="32"/>
          <w:szCs w:val="32"/>
        </w:rPr>
        <w:t>生产质量问题可追溯率100%</w:t>
      </w:r>
      <w:r>
        <w:rPr>
          <w:rFonts w:hint="eastAsia" w:ascii="仿宋" w:hAnsi="仿宋" w:eastAsia="仿宋" w:cs="仿宋_GB2312"/>
          <w:color w:val="auto"/>
          <w:kern w:val="2"/>
          <w:sz w:val="32"/>
          <w:szCs w:val="32"/>
          <w:lang w:eastAsia="zh-CN"/>
        </w:rPr>
        <w:t>；</w:t>
      </w:r>
    </w:p>
    <w:p w14:paraId="491D1A26">
      <w:pPr>
        <w:pStyle w:val="2"/>
        <w:spacing w:line="520" w:lineRule="exact"/>
        <w:ind w:firstLine="640" w:firstLineChars="200"/>
        <w:rPr>
          <w:rFonts w:ascii="仿宋" w:hAnsi="仿宋" w:eastAsia="仿宋" w:cs="仿宋_GB2312"/>
          <w:color w:val="auto"/>
          <w:kern w:val="2"/>
          <w:sz w:val="32"/>
          <w:szCs w:val="32"/>
        </w:rPr>
      </w:pPr>
      <w:r>
        <w:rPr>
          <w:rFonts w:hint="eastAsia" w:ascii="仿宋" w:hAnsi="仿宋" w:eastAsia="仿宋" w:cs="仿宋_GB2312"/>
          <w:color w:val="auto"/>
          <w:kern w:val="2"/>
          <w:sz w:val="32"/>
          <w:szCs w:val="32"/>
        </w:rPr>
        <w:t>8.</w:t>
      </w:r>
      <w:r>
        <w:rPr>
          <w:rFonts w:ascii="仿宋" w:hAnsi="仿宋" w:eastAsia="仿宋" w:cs="仿宋_GB2312"/>
          <w:color w:val="auto"/>
          <w:kern w:val="2"/>
          <w:sz w:val="32"/>
          <w:szCs w:val="32"/>
        </w:rPr>
        <w:t>节省人力成本约20%；</w:t>
      </w:r>
    </w:p>
    <w:p w14:paraId="791FB0AC">
      <w:pPr>
        <w:pStyle w:val="2"/>
        <w:spacing w:line="520" w:lineRule="exact"/>
        <w:ind w:firstLine="640" w:firstLineChars="200"/>
        <w:rPr>
          <w:rFonts w:hint="eastAsia" w:ascii="仿宋" w:hAnsi="仿宋" w:eastAsia="仿宋" w:cs="仿宋_GB2312"/>
          <w:color w:val="auto"/>
          <w:kern w:val="2"/>
          <w:sz w:val="32"/>
          <w:szCs w:val="32"/>
          <w:lang w:eastAsia="zh-CN"/>
        </w:rPr>
      </w:pPr>
      <w:r>
        <w:rPr>
          <w:rFonts w:hint="eastAsia" w:ascii="仿宋" w:hAnsi="仿宋" w:eastAsia="仿宋" w:cs="仿宋_GB2312"/>
          <w:color w:val="auto"/>
          <w:kern w:val="2"/>
          <w:sz w:val="32"/>
          <w:szCs w:val="32"/>
        </w:rPr>
        <w:t>9.</w:t>
      </w:r>
      <w:r>
        <w:rPr>
          <w:rFonts w:ascii="仿宋" w:hAnsi="仿宋" w:eastAsia="仿宋" w:cs="仿宋_GB2312"/>
          <w:color w:val="auto"/>
          <w:kern w:val="2"/>
          <w:sz w:val="32"/>
          <w:szCs w:val="32"/>
        </w:rPr>
        <w:t>总体制造运营成本降低10～20%</w:t>
      </w:r>
      <w:r>
        <w:rPr>
          <w:rFonts w:hint="eastAsia" w:ascii="仿宋" w:hAnsi="仿宋" w:eastAsia="仿宋" w:cs="仿宋_GB2312"/>
          <w:color w:val="auto"/>
          <w:kern w:val="2"/>
          <w:sz w:val="32"/>
          <w:szCs w:val="32"/>
          <w:lang w:eastAsia="zh-CN"/>
        </w:rPr>
        <w:t>；</w:t>
      </w:r>
    </w:p>
    <w:p w14:paraId="7842ABE7">
      <w:pPr>
        <w:pStyle w:val="2"/>
        <w:spacing w:line="520" w:lineRule="exact"/>
        <w:ind w:firstLine="640" w:firstLineChars="200"/>
        <w:rPr>
          <w:rFonts w:ascii="仿宋" w:hAnsi="仿宋" w:eastAsia="仿宋" w:cs="仿宋_GB2312"/>
          <w:color w:val="auto"/>
          <w:kern w:val="2"/>
          <w:sz w:val="32"/>
          <w:szCs w:val="32"/>
        </w:rPr>
      </w:pPr>
      <w:r>
        <w:rPr>
          <w:rFonts w:hint="eastAsia" w:ascii="仿宋" w:hAnsi="仿宋" w:eastAsia="仿宋" w:cs="仿宋_GB2312"/>
          <w:color w:val="auto"/>
          <w:kern w:val="2"/>
          <w:sz w:val="32"/>
          <w:szCs w:val="32"/>
        </w:rPr>
        <w:t>10.</w:t>
      </w:r>
      <w:r>
        <w:rPr>
          <w:rFonts w:ascii="仿宋" w:hAnsi="仿宋" w:eastAsia="仿宋" w:cs="仿宋_GB2312"/>
          <w:color w:val="auto"/>
          <w:kern w:val="2"/>
          <w:sz w:val="32"/>
          <w:szCs w:val="32"/>
        </w:rPr>
        <w:t>通过先进的生产管理与节能控制技术，生产节能7%。</w:t>
      </w:r>
    </w:p>
    <w:p w14:paraId="7FEF3178">
      <w:pPr>
        <w:pStyle w:val="2"/>
        <w:spacing w:line="520" w:lineRule="exact"/>
        <w:ind w:firstLine="480" w:firstLineChars="200"/>
      </w:pPr>
    </w:p>
    <w:p w14:paraId="704F1615">
      <w:pPr>
        <w:overflowPunct w:val="0"/>
        <w:adjustRightInd w:val="0"/>
        <w:snapToGrid w:val="0"/>
        <w:spacing w:line="520" w:lineRule="exact"/>
        <w:ind w:firstLine="640" w:firstLineChars="200"/>
        <w:rPr>
          <w:rFonts w:ascii="黑体" w:hAnsi="黑体" w:eastAsia="黑体" w:cs="黑体"/>
          <w:sz w:val="32"/>
          <w:szCs w:val="32"/>
        </w:rPr>
      </w:pPr>
      <w:r>
        <w:rPr>
          <w:rFonts w:hint="eastAsia" w:ascii="黑体" w:hAnsi="黑体" w:eastAsia="黑体" w:cs="黑体"/>
          <w:sz w:val="32"/>
          <w:szCs w:val="32"/>
        </w:rPr>
        <w:t>项目2</w:t>
      </w:r>
    </w:p>
    <w:p w14:paraId="70C0898C">
      <w:pPr>
        <w:overflowPunct w:val="0"/>
        <w:adjustRightInd w:val="0"/>
        <w:snapToGrid w:val="0"/>
        <w:spacing w:line="520" w:lineRule="exact"/>
        <w:ind w:firstLine="643" w:firstLineChars="200"/>
        <w:jc w:val="left"/>
        <w:rPr>
          <w:rFonts w:ascii="楷体" w:hAnsi="楷体" w:eastAsia="楷体" w:cs="楷体_GB2312"/>
          <w:bCs/>
          <w:sz w:val="32"/>
          <w:szCs w:val="32"/>
        </w:rPr>
      </w:pPr>
      <w:r>
        <w:rPr>
          <w:rFonts w:hint="eastAsia" w:ascii="楷体" w:hAnsi="楷体" w:eastAsia="楷体" w:cs="楷体_GB2312"/>
          <w:b/>
          <w:sz w:val="32"/>
          <w:szCs w:val="32"/>
        </w:rPr>
        <w:t>项目名称：</w:t>
      </w:r>
      <w:r>
        <w:rPr>
          <w:rFonts w:hint="eastAsia" w:ascii="楷体" w:hAnsi="楷体" w:eastAsia="楷体" w:cs="楷体_GB2312"/>
          <w:bCs/>
          <w:sz w:val="32"/>
          <w:szCs w:val="32"/>
        </w:rPr>
        <w:t>高可靠大容量工商业储能系统关键技术开发</w:t>
      </w:r>
    </w:p>
    <w:p w14:paraId="510C720E">
      <w:pPr>
        <w:overflowPunct w:val="0"/>
        <w:adjustRightInd w:val="0"/>
        <w:snapToGrid w:val="0"/>
        <w:spacing w:line="520" w:lineRule="exact"/>
        <w:ind w:firstLine="643" w:firstLineChars="200"/>
        <w:jc w:val="left"/>
        <w:rPr>
          <w:rFonts w:ascii="楷体" w:hAnsi="楷体" w:eastAsia="楷体" w:cs="楷体_GB2312"/>
          <w:bCs/>
          <w:sz w:val="32"/>
          <w:szCs w:val="32"/>
        </w:rPr>
      </w:pPr>
      <w:r>
        <w:rPr>
          <w:rFonts w:hint="eastAsia" w:ascii="楷体" w:hAnsi="楷体" w:eastAsia="楷体" w:cs="楷体_GB2312"/>
          <w:b/>
          <w:sz w:val="32"/>
          <w:szCs w:val="32"/>
        </w:rPr>
        <w:t>发榜单位：</w:t>
      </w:r>
      <w:r>
        <w:rPr>
          <w:rFonts w:hint="eastAsia" w:ascii="楷体" w:hAnsi="楷体" w:eastAsia="楷体" w:cs="楷体_GB2312"/>
          <w:bCs/>
          <w:sz w:val="32"/>
          <w:szCs w:val="32"/>
        </w:rPr>
        <w:t>华翔翔能科技股份有限公司</w:t>
      </w:r>
    </w:p>
    <w:p w14:paraId="65806E3B">
      <w:pPr>
        <w:pStyle w:val="2"/>
        <w:spacing w:line="520" w:lineRule="exact"/>
        <w:ind w:firstLine="643" w:firstLineChars="200"/>
        <w:rPr>
          <w:rFonts w:ascii="仿宋" w:hAnsi="仿宋" w:eastAsia="仿宋" w:cs="仿宋_GB2312"/>
          <w:b/>
          <w:bCs/>
          <w:color w:val="auto"/>
          <w:sz w:val="32"/>
          <w:szCs w:val="32"/>
        </w:rPr>
      </w:pPr>
      <w:r>
        <w:rPr>
          <w:rFonts w:hint="eastAsia" w:ascii="仿宋" w:hAnsi="仿宋" w:eastAsia="仿宋" w:cs="仿宋_GB2312"/>
          <w:b/>
          <w:bCs/>
          <w:color w:val="auto"/>
          <w:sz w:val="32"/>
          <w:szCs w:val="32"/>
        </w:rPr>
        <w:t>攻关任务：</w:t>
      </w:r>
    </w:p>
    <w:p w14:paraId="3ABE48B1">
      <w:pPr>
        <w:pStyle w:val="2"/>
        <w:spacing w:line="520" w:lineRule="exact"/>
        <w:ind w:firstLine="640" w:firstLineChars="200"/>
        <w:rPr>
          <w:rFonts w:ascii="仿宋" w:hAnsi="仿宋" w:eastAsia="仿宋" w:cs="仿宋_GB2312"/>
          <w:color w:val="auto"/>
          <w:kern w:val="2"/>
          <w:sz w:val="32"/>
          <w:szCs w:val="32"/>
        </w:rPr>
      </w:pPr>
      <w:r>
        <w:rPr>
          <w:rFonts w:hint="eastAsia" w:ascii="仿宋" w:hAnsi="仿宋" w:eastAsia="仿宋" w:cs="仿宋_GB2312"/>
          <w:color w:val="auto"/>
          <w:kern w:val="2"/>
          <w:sz w:val="32"/>
          <w:szCs w:val="32"/>
        </w:rPr>
        <w:t>1.</w:t>
      </w:r>
      <w:r>
        <w:rPr>
          <w:rFonts w:ascii="仿宋" w:hAnsi="仿宋" w:eastAsia="仿宋" w:cs="仿宋_GB2312"/>
          <w:color w:val="auto"/>
          <w:kern w:val="2"/>
          <w:sz w:val="32"/>
          <w:szCs w:val="32"/>
        </w:rPr>
        <w:t>温度/应力/电荷等电芯级多状态评估方法</w:t>
      </w:r>
    </w:p>
    <w:p w14:paraId="30F793FB">
      <w:pPr>
        <w:pStyle w:val="2"/>
        <w:spacing w:line="520" w:lineRule="exact"/>
        <w:ind w:firstLine="640" w:firstLineChars="200"/>
        <w:rPr>
          <w:rFonts w:ascii="仿宋" w:hAnsi="仿宋" w:eastAsia="仿宋" w:cs="仿宋_GB2312"/>
          <w:color w:val="auto"/>
          <w:kern w:val="2"/>
          <w:sz w:val="32"/>
          <w:szCs w:val="32"/>
        </w:rPr>
      </w:pPr>
      <w:r>
        <w:rPr>
          <w:rFonts w:hint="eastAsia" w:ascii="仿宋" w:hAnsi="仿宋" w:eastAsia="仿宋" w:cs="仿宋_GB2312"/>
          <w:color w:val="auto"/>
          <w:kern w:val="2"/>
          <w:sz w:val="32"/>
          <w:szCs w:val="32"/>
        </w:rPr>
        <w:t>建立电化学</w:t>
      </w:r>
      <w:r>
        <w:rPr>
          <w:rFonts w:ascii="仿宋" w:hAnsi="仿宋" w:eastAsia="仿宋" w:cs="仿宋_GB2312"/>
          <w:color w:val="auto"/>
          <w:kern w:val="2"/>
          <w:sz w:val="32"/>
          <w:szCs w:val="32"/>
        </w:rPr>
        <w:t>/传热/力学耦合的解析模型和有限元模型；电化学模型涵盖正负极脱嵌锂反应、SEI分解/再生、电解液分解等可逆与不可逆反应；传热模型考虑局部焦耳热、电化学反应生热、各向异性导热率等非均匀热特性；力学模型考虑多孔复合电极材料粘弹性与非线弹性本构特征，热变形、电荷变形、循环变形等动态特性；提出反应率、产气率、导热率、熵热系数等动态非均匀建模参数试验标定和精确识别方法；开发秒级效率、高稳健的模型求解算法；最终实现电芯级温度、应力、电荷（SOC）等多状态高精度在线评估。</w:t>
      </w:r>
    </w:p>
    <w:p w14:paraId="24F4CA52">
      <w:pPr>
        <w:pStyle w:val="2"/>
        <w:spacing w:line="520" w:lineRule="exact"/>
        <w:ind w:firstLine="640" w:firstLineChars="200"/>
        <w:rPr>
          <w:rFonts w:ascii="仿宋" w:hAnsi="仿宋" w:eastAsia="仿宋" w:cs="仿宋_GB2312"/>
          <w:color w:val="auto"/>
          <w:kern w:val="2"/>
          <w:sz w:val="32"/>
          <w:szCs w:val="32"/>
        </w:rPr>
      </w:pPr>
      <w:r>
        <w:rPr>
          <w:rFonts w:hint="eastAsia" w:ascii="仿宋" w:hAnsi="仿宋" w:eastAsia="仿宋" w:cs="仿宋_GB2312"/>
          <w:color w:val="auto"/>
          <w:kern w:val="2"/>
          <w:sz w:val="32"/>
          <w:szCs w:val="32"/>
        </w:rPr>
        <w:t>2.</w:t>
      </w:r>
      <w:r>
        <w:rPr>
          <w:rFonts w:ascii="仿宋" w:hAnsi="仿宋" w:eastAsia="仿宋" w:cs="仿宋_GB2312"/>
          <w:color w:val="auto"/>
          <w:kern w:val="2"/>
          <w:sz w:val="32"/>
          <w:szCs w:val="32"/>
        </w:rPr>
        <w:t>多液并联流道一体化系统液冷散热装置</w:t>
      </w:r>
    </w:p>
    <w:p w14:paraId="5E025FDD">
      <w:pPr>
        <w:pStyle w:val="2"/>
        <w:spacing w:line="520" w:lineRule="exact"/>
        <w:ind w:firstLine="640" w:firstLineChars="200"/>
        <w:rPr>
          <w:rFonts w:ascii="仿宋" w:hAnsi="仿宋" w:eastAsia="仿宋" w:cs="仿宋_GB2312"/>
          <w:color w:val="auto"/>
          <w:kern w:val="2"/>
          <w:sz w:val="32"/>
          <w:szCs w:val="32"/>
        </w:rPr>
      </w:pPr>
      <w:r>
        <w:rPr>
          <w:rFonts w:hint="eastAsia" w:ascii="仿宋" w:hAnsi="仿宋" w:eastAsia="仿宋" w:cs="仿宋_GB2312"/>
          <w:color w:val="auto"/>
          <w:kern w:val="2"/>
          <w:sz w:val="32"/>
          <w:szCs w:val="32"/>
        </w:rPr>
        <w:t>建立液冷状态的流体动力学</w:t>
      </w:r>
      <w:r>
        <w:rPr>
          <w:rFonts w:ascii="仿宋" w:hAnsi="仿宋" w:eastAsia="仿宋" w:cs="仿宋_GB2312"/>
          <w:color w:val="auto"/>
          <w:kern w:val="2"/>
          <w:sz w:val="32"/>
          <w:szCs w:val="32"/>
        </w:rPr>
        <w:t>/传热/力学多场耦合仿真模型；流体模型涵盖冷却液粘度、层流、踹流、流速、压降等动力学特征，传热模型考虑异质界面热阻变化、冷却液相变特性、非均匀热源分布、冷端动态化热条件等特性，力学模型考虑流道几何拓扑、材料特性、流体压力对接触压力均匀性的影响；提出液冷装置中接触热阻、对流热阻等非均匀热参数识别方法；开发拓扑优化与形状优化结合的液冷流道设计方法；提出流固耦合自适应网格划分方法；最终实现高效高集成度的多液并联流道一体化液冷装置最优化设计。</w:t>
      </w:r>
    </w:p>
    <w:p w14:paraId="4E6F9745">
      <w:pPr>
        <w:pStyle w:val="2"/>
        <w:spacing w:line="520" w:lineRule="exact"/>
        <w:ind w:firstLine="640" w:firstLineChars="200"/>
        <w:rPr>
          <w:rFonts w:ascii="仿宋" w:hAnsi="仿宋" w:eastAsia="仿宋" w:cs="仿宋_GB2312"/>
          <w:color w:val="auto"/>
          <w:kern w:val="2"/>
          <w:sz w:val="32"/>
          <w:szCs w:val="32"/>
        </w:rPr>
      </w:pPr>
      <w:r>
        <w:rPr>
          <w:rFonts w:hint="eastAsia" w:ascii="仿宋" w:hAnsi="仿宋" w:eastAsia="仿宋" w:cs="仿宋_GB2312"/>
          <w:color w:val="auto"/>
          <w:kern w:val="2"/>
          <w:sz w:val="32"/>
          <w:szCs w:val="32"/>
        </w:rPr>
        <w:t>3.</w:t>
      </w:r>
      <w:r>
        <w:rPr>
          <w:rFonts w:ascii="仿宋" w:hAnsi="仿宋" w:eastAsia="仿宋" w:cs="仿宋_GB2312"/>
          <w:color w:val="auto"/>
          <w:kern w:val="2"/>
          <w:sz w:val="32"/>
          <w:szCs w:val="32"/>
        </w:rPr>
        <w:t>电芯-模组-系统多层次可靠性优化技术</w:t>
      </w:r>
    </w:p>
    <w:p w14:paraId="5614B98D">
      <w:pPr>
        <w:pStyle w:val="2"/>
        <w:spacing w:line="520" w:lineRule="exact"/>
        <w:ind w:firstLine="640" w:firstLineChars="200"/>
        <w:rPr>
          <w:rFonts w:ascii="仿宋" w:hAnsi="仿宋" w:eastAsia="仿宋" w:cs="仿宋_GB2312"/>
          <w:color w:val="auto"/>
          <w:kern w:val="2"/>
          <w:sz w:val="32"/>
          <w:szCs w:val="32"/>
        </w:rPr>
      </w:pPr>
      <w:r>
        <w:rPr>
          <w:rFonts w:ascii="仿宋" w:hAnsi="仿宋" w:eastAsia="仿宋" w:cs="仿宋_GB2312"/>
          <w:color w:val="auto"/>
          <w:kern w:val="2"/>
          <w:sz w:val="32"/>
          <w:szCs w:val="32"/>
        </w:rPr>
        <w:t>在电芯-模组性能仿真模型基础上开展系统建模参数敏感度分析；提出高敏度建模参数的不确定性度量方法，尤其考虑小样本条件下的不确定性建模及样本数据丰富后的模型更新机制；探索储能系统失效模式，开发多失效模式下的可靠性评估技术；构建快充放、机械滥用、热滥用等极端工况下系统可靠性优化模型；结合性能仿真技术，开发嵌套优化解耦算法以解决可靠性优化效率与收敛性障碍；最终形成工商业储能系统可靠性优化软件平台。</w:t>
      </w:r>
    </w:p>
    <w:p w14:paraId="21D8B458">
      <w:pPr>
        <w:pStyle w:val="2"/>
        <w:spacing w:line="520" w:lineRule="exact"/>
        <w:ind w:firstLine="643" w:firstLineChars="200"/>
        <w:rPr>
          <w:rFonts w:ascii="仿宋" w:hAnsi="仿宋" w:eastAsia="仿宋" w:cs="仿宋_GB2312"/>
          <w:b/>
          <w:bCs/>
          <w:color w:val="auto"/>
          <w:kern w:val="2"/>
          <w:sz w:val="32"/>
          <w:szCs w:val="32"/>
        </w:rPr>
      </w:pPr>
      <w:r>
        <w:rPr>
          <w:rFonts w:hint="eastAsia" w:ascii="仿宋" w:hAnsi="仿宋" w:eastAsia="仿宋" w:cs="仿宋_GB2312"/>
          <w:b/>
          <w:bCs/>
          <w:color w:val="auto"/>
          <w:kern w:val="2"/>
          <w:sz w:val="32"/>
          <w:szCs w:val="32"/>
        </w:rPr>
        <w:t>技术指标：</w:t>
      </w:r>
    </w:p>
    <w:p w14:paraId="3514E286">
      <w:pPr>
        <w:pStyle w:val="2"/>
        <w:spacing w:line="520" w:lineRule="exact"/>
        <w:ind w:firstLine="640" w:firstLineChars="200"/>
        <w:rPr>
          <w:rFonts w:hint="eastAsia" w:ascii="仿宋" w:hAnsi="仿宋" w:eastAsia="仿宋" w:cs="仿宋_GB2312"/>
          <w:color w:val="auto"/>
          <w:kern w:val="2"/>
          <w:sz w:val="32"/>
          <w:szCs w:val="32"/>
          <w:lang w:eastAsia="zh-CN"/>
        </w:rPr>
      </w:pPr>
      <w:r>
        <w:rPr>
          <w:rFonts w:hint="eastAsia" w:ascii="仿宋" w:hAnsi="仿宋" w:eastAsia="仿宋" w:cs="仿宋_GB2312"/>
          <w:color w:val="auto"/>
          <w:kern w:val="2"/>
          <w:sz w:val="32"/>
          <w:szCs w:val="32"/>
        </w:rPr>
        <w:t>1.</w:t>
      </w:r>
      <w:r>
        <w:rPr>
          <w:rFonts w:ascii="仿宋" w:hAnsi="仿宋" w:eastAsia="仿宋" w:cs="仿宋_GB2312"/>
          <w:color w:val="auto"/>
          <w:kern w:val="2"/>
          <w:sz w:val="32"/>
          <w:szCs w:val="32"/>
        </w:rPr>
        <w:t>系统体积能量密度：大于240 KWh/m3</w:t>
      </w:r>
      <w:r>
        <w:rPr>
          <w:rFonts w:hint="eastAsia" w:ascii="仿宋" w:hAnsi="仿宋" w:eastAsia="仿宋" w:cs="仿宋_GB2312"/>
          <w:color w:val="auto"/>
          <w:kern w:val="2"/>
          <w:sz w:val="32"/>
          <w:szCs w:val="32"/>
          <w:lang w:eastAsia="zh-CN"/>
        </w:rPr>
        <w:t>；</w:t>
      </w:r>
    </w:p>
    <w:p w14:paraId="7D430119">
      <w:pPr>
        <w:pStyle w:val="2"/>
        <w:spacing w:line="520" w:lineRule="exact"/>
        <w:ind w:firstLine="640" w:firstLineChars="200"/>
        <w:rPr>
          <w:rFonts w:hint="eastAsia" w:ascii="仿宋" w:hAnsi="仿宋" w:eastAsia="仿宋" w:cs="仿宋_GB2312"/>
          <w:color w:val="auto"/>
          <w:kern w:val="2"/>
          <w:sz w:val="32"/>
          <w:szCs w:val="32"/>
          <w:lang w:eastAsia="zh-CN"/>
        </w:rPr>
      </w:pPr>
      <w:r>
        <w:rPr>
          <w:rFonts w:hint="eastAsia" w:ascii="仿宋" w:hAnsi="仿宋" w:eastAsia="仿宋" w:cs="仿宋_GB2312"/>
          <w:color w:val="auto"/>
          <w:kern w:val="2"/>
          <w:sz w:val="32"/>
          <w:szCs w:val="32"/>
        </w:rPr>
        <w:t>2.</w:t>
      </w:r>
      <w:r>
        <w:rPr>
          <w:rFonts w:ascii="仿宋" w:hAnsi="仿宋" w:eastAsia="仿宋" w:cs="仿宋_GB2312"/>
          <w:color w:val="auto"/>
          <w:kern w:val="2"/>
          <w:sz w:val="32"/>
          <w:szCs w:val="32"/>
        </w:rPr>
        <w:t>电芯级状态感知：SOC评估误差小于3%、温度评估误差小于3%、应力评估误差小于5%、状态响应时间小于1秒</w:t>
      </w:r>
      <w:r>
        <w:rPr>
          <w:rFonts w:hint="eastAsia" w:ascii="仿宋" w:hAnsi="仿宋" w:eastAsia="仿宋" w:cs="仿宋_GB2312"/>
          <w:color w:val="auto"/>
          <w:kern w:val="2"/>
          <w:sz w:val="32"/>
          <w:szCs w:val="32"/>
          <w:lang w:eastAsia="zh-CN"/>
        </w:rPr>
        <w:t>；</w:t>
      </w:r>
    </w:p>
    <w:p w14:paraId="0E8E14CB">
      <w:pPr>
        <w:pStyle w:val="2"/>
        <w:spacing w:line="520" w:lineRule="exact"/>
        <w:ind w:firstLine="640" w:firstLineChars="200"/>
        <w:rPr>
          <w:rFonts w:hint="eastAsia" w:ascii="仿宋" w:hAnsi="仿宋" w:eastAsia="仿宋" w:cs="仿宋_GB2312"/>
          <w:color w:val="auto"/>
          <w:kern w:val="2"/>
          <w:sz w:val="32"/>
          <w:szCs w:val="32"/>
          <w:lang w:eastAsia="zh-CN"/>
        </w:rPr>
      </w:pPr>
      <w:r>
        <w:rPr>
          <w:rFonts w:hint="eastAsia" w:ascii="仿宋" w:hAnsi="仿宋" w:eastAsia="仿宋" w:cs="仿宋_GB2312"/>
          <w:color w:val="auto"/>
          <w:kern w:val="2"/>
          <w:sz w:val="32"/>
          <w:szCs w:val="32"/>
        </w:rPr>
        <w:t>3.</w:t>
      </w:r>
      <w:r>
        <w:rPr>
          <w:rFonts w:ascii="仿宋" w:hAnsi="仿宋" w:eastAsia="仿宋" w:cs="仿宋_GB2312"/>
          <w:color w:val="auto"/>
          <w:kern w:val="2"/>
          <w:sz w:val="32"/>
          <w:szCs w:val="32"/>
        </w:rPr>
        <w:t>热管理性能：系统温差小于3℃、簇级温度小于2.5℃、同组电芯温差小于2℃</w:t>
      </w:r>
      <w:r>
        <w:rPr>
          <w:rFonts w:hint="eastAsia" w:ascii="仿宋" w:hAnsi="仿宋" w:eastAsia="仿宋" w:cs="仿宋_GB2312"/>
          <w:color w:val="auto"/>
          <w:kern w:val="2"/>
          <w:sz w:val="32"/>
          <w:szCs w:val="32"/>
          <w:lang w:eastAsia="zh-CN"/>
        </w:rPr>
        <w:t>；</w:t>
      </w:r>
    </w:p>
    <w:p w14:paraId="7BC07B32">
      <w:pPr>
        <w:pStyle w:val="2"/>
        <w:spacing w:line="520" w:lineRule="exact"/>
        <w:ind w:firstLine="640" w:firstLineChars="200"/>
        <w:rPr>
          <w:rFonts w:hint="eastAsia" w:ascii="仿宋" w:hAnsi="仿宋" w:eastAsia="仿宋" w:cs="仿宋_GB2312"/>
          <w:color w:val="auto"/>
          <w:kern w:val="2"/>
          <w:sz w:val="32"/>
          <w:szCs w:val="32"/>
          <w:lang w:eastAsia="zh-CN"/>
        </w:rPr>
      </w:pPr>
      <w:r>
        <w:rPr>
          <w:rFonts w:hint="eastAsia" w:ascii="仿宋" w:hAnsi="仿宋" w:eastAsia="仿宋" w:cs="仿宋_GB2312"/>
          <w:color w:val="auto"/>
          <w:kern w:val="2"/>
          <w:sz w:val="32"/>
          <w:szCs w:val="32"/>
        </w:rPr>
        <w:t>4.</w:t>
      </w:r>
      <w:r>
        <w:rPr>
          <w:rFonts w:ascii="仿宋" w:hAnsi="仿宋" w:eastAsia="仿宋" w:cs="仿宋_GB2312"/>
          <w:color w:val="auto"/>
          <w:kern w:val="2"/>
          <w:sz w:val="32"/>
          <w:szCs w:val="32"/>
        </w:rPr>
        <w:t>环境适应性：工作温度-20℃-60℃、抗振动1.5g/200Hz/3方向、抗冲击3g/15ms/3方向、IP56防护等级</w:t>
      </w:r>
      <w:r>
        <w:rPr>
          <w:rFonts w:hint="eastAsia" w:ascii="仿宋" w:hAnsi="仿宋" w:eastAsia="仿宋" w:cs="仿宋_GB2312"/>
          <w:color w:val="auto"/>
          <w:kern w:val="2"/>
          <w:sz w:val="32"/>
          <w:szCs w:val="32"/>
          <w:lang w:eastAsia="zh-CN"/>
        </w:rPr>
        <w:t>；</w:t>
      </w:r>
    </w:p>
    <w:p w14:paraId="599890A5">
      <w:pPr>
        <w:pStyle w:val="2"/>
        <w:spacing w:line="520" w:lineRule="exact"/>
        <w:ind w:firstLine="640" w:firstLineChars="200"/>
        <w:rPr>
          <w:rFonts w:ascii="仿宋" w:hAnsi="仿宋" w:eastAsia="仿宋" w:cs="仿宋_GB2312"/>
          <w:color w:val="auto"/>
          <w:kern w:val="2"/>
          <w:sz w:val="32"/>
          <w:szCs w:val="32"/>
        </w:rPr>
      </w:pPr>
      <w:r>
        <w:rPr>
          <w:rFonts w:hint="eastAsia" w:ascii="仿宋" w:hAnsi="仿宋" w:eastAsia="仿宋" w:cs="仿宋_GB2312"/>
          <w:color w:val="auto"/>
          <w:kern w:val="2"/>
          <w:sz w:val="32"/>
          <w:szCs w:val="32"/>
        </w:rPr>
        <w:t>5.</w:t>
      </w:r>
      <w:r>
        <w:rPr>
          <w:rFonts w:ascii="仿宋" w:hAnsi="仿宋" w:eastAsia="仿宋" w:cs="仿宋_GB2312"/>
          <w:color w:val="auto"/>
          <w:kern w:val="2"/>
          <w:sz w:val="32"/>
          <w:szCs w:val="32"/>
        </w:rPr>
        <w:t>长循环寿命：10年/6000次。</w:t>
      </w:r>
    </w:p>
    <w:p w14:paraId="277FEF3E">
      <w:pPr>
        <w:pStyle w:val="2"/>
        <w:spacing w:line="520" w:lineRule="exact"/>
        <w:ind w:firstLine="640" w:firstLineChars="200"/>
        <w:rPr>
          <w:rFonts w:ascii="仿宋" w:hAnsi="仿宋" w:eastAsia="仿宋" w:cs="黑体"/>
          <w:sz w:val="32"/>
          <w:szCs w:val="32"/>
        </w:rPr>
      </w:pPr>
    </w:p>
    <w:p w14:paraId="4CF1EEDF">
      <w:pPr>
        <w:overflowPunct w:val="0"/>
        <w:adjustRightInd w:val="0"/>
        <w:snapToGrid w:val="0"/>
        <w:spacing w:line="520" w:lineRule="exact"/>
        <w:ind w:firstLine="640" w:firstLineChars="200"/>
        <w:rPr>
          <w:rFonts w:ascii="黑体" w:hAnsi="黑体" w:eastAsia="黑体" w:cs="黑体"/>
          <w:sz w:val="32"/>
          <w:szCs w:val="32"/>
        </w:rPr>
      </w:pPr>
      <w:r>
        <w:rPr>
          <w:rFonts w:hint="eastAsia" w:ascii="黑体" w:hAnsi="黑体" w:eastAsia="黑体" w:cs="黑体"/>
          <w:sz w:val="32"/>
          <w:szCs w:val="32"/>
        </w:rPr>
        <w:t>项目3</w:t>
      </w:r>
    </w:p>
    <w:p w14:paraId="7865AE2F">
      <w:pPr>
        <w:spacing w:line="520" w:lineRule="exact"/>
        <w:ind w:firstLine="643" w:firstLineChars="200"/>
        <w:rPr>
          <w:rFonts w:ascii="楷体" w:hAnsi="楷体" w:eastAsia="楷体" w:cs="仿宋_GB2312"/>
          <w:sz w:val="32"/>
          <w:szCs w:val="32"/>
        </w:rPr>
      </w:pPr>
      <w:r>
        <w:rPr>
          <w:rFonts w:hint="eastAsia" w:ascii="楷体" w:hAnsi="楷体" w:eastAsia="楷体" w:cs="楷体_GB2312"/>
          <w:b/>
          <w:sz w:val="32"/>
          <w:szCs w:val="32"/>
        </w:rPr>
        <w:t>项目名称</w:t>
      </w:r>
      <w:r>
        <w:rPr>
          <w:rFonts w:hint="eastAsia" w:ascii="楷体" w:hAnsi="楷体" w:eastAsia="楷体"/>
        </w:rPr>
        <w:t>：</w:t>
      </w:r>
      <w:r>
        <w:rPr>
          <w:rFonts w:hint="eastAsia" w:ascii="楷体" w:hAnsi="楷体" w:eastAsia="楷体" w:cs="楷体_GB2312"/>
          <w:bCs/>
          <w:sz w:val="32"/>
          <w:szCs w:val="32"/>
        </w:rPr>
        <w:t>小龙虾工厂化智慧育苗系统研发与精准繁育技术研究</w:t>
      </w:r>
    </w:p>
    <w:p w14:paraId="6FD844B8">
      <w:pPr>
        <w:spacing w:line="520" w:lineRule="exact"/>
        <w:ind w:firstLine="643" w:firstLineChars="200"/>
        <w:rPr>
          <w:rFonts w:ascii="楷体" w:hAnsi="楷体" w:eastAsia="楷体" w:cs="楷体_GB2312"/>
          <w:bCs/>
          <w:sz w:val="32"/>
          <w:szCs w:val="32"/>
        </w:rPr>
      </w:pPr>
      <w:r>
        <w:rPr>
          <w:rFonts w:hint="eastAsia" w:ascii="楷体" w:hAnsi="楷体" w:eastAsia="楷体" w:cs="楷体_GB2312"/>
          <w:b/>
          <w:sz w:val="32"/>
          <w:szCs w:val="32"/>
        </w:rPr>
        <w:t>发榜单位</w:t>
      </w:r>
      <w:r>
        <w:rPr>
          <w:rFonts w:hint="eastAsia" w:ascii="楷体" w:hAnsi="楷体" w:eastAsia="楷体"/>
          <w:sz w:val="28"/>
          <w:szCs w:val="28"/>
        </w:rPr>
        <w:t>：</w:t>
      </w:r>
      <w:r>
        <w:rPr>
          <w:rFonts w:hint="eastAsia" w:ascii="楷体" w:hAnsi="楷体" w:eastAsia="楷体" w:cs="楷体_GB2312"/>
          <w:bCs/>
          <w:sz w:val="32"/>
          <w:szCs w:val="32"/>
        </w:rPr>
        <w:t>顺祥食品有限公司</w:t>
      </w:r>
    </w:p>
    <w:p w14:paraId="56D14C97">
      <w:pPr>
        <w:snapToGrid w:val="0"/>
        <w:spacing w:line="520" w:lineRule="exact"/>
        <w:ind w:firstLine="643" w:firstLineChars="200"/>
        <w:jc w:val="left"/>
        <w:rPr>
          <w:rFonts w:ascii="仿宋" w:hAnsi="仿宋" w:eastAsia="仿宋" w:cs="仿宋_GB2312"/>
          <w:b/>
          <w:bCs/>
          <w:sz w:val="32"/>
          <w:szCs w:val="32"/>
        </w:rPr>
      </w:pPr>
      <w:r>
        <w:rPr>
          <w:rFonts w:hint="eastAsia" w:ascii="仿宋" w:hAnsi="仿宋" w:eastAsia="仿宋" w:cs="仿宋_GB2312"/>
          <w:b/>
          <w:bCs/>
          <w:sz w:val="32"/>
          <w:szCs w:val="32"/>
        </w:rPr>
        <w:t>攻关任务：</w:t>
      </w:r>
    </w:p>
    <w:p w14:paraId="47CCCAD0">
      <w:pPr>
        <w:snapToGrid w:val="0"/>
        <w:spacing w:line="520" w:lineRule="exact"/>
        <w:ind w:firstLine="640" w:firstLineChars="200"/>
        <w:jc w:val="left"/>
        <w:rPr>
          <w:rFonts w:hint="eastAsia" w:ascii="仿宋" w:hAnsi="仿宋" w:eastAsia="仿宋" w:cs="仿宋_GB2312"/>
          <w:sz w:val="32"/>
          <w:szCs w:val="32"/>
          <w:lang w:eastAsia="zh-CN"/>
        </w:rPr>
      </w:pPr>
      <w:r>
        <w:rPr>
          <w:rFonts w:hint="eastAsia" w:ascii="仿宋" w:hAnsi="仿宋" w:eastAsia="仿宋" w:cs="仿宋_GB2312"/>
          <w:sz w:val="32"/>
          <w:szCs w:val="32"/>
        </w:rPr>
        <w:t>针对小龙虾精准繁育产业化难题，开展集成创新“五位一体”综合繁养技术</w:t>
      </w:r>
      <w:r>
        <w:rPr>
          <w:rFonts w:hint="eastAsia" w:ascii="仿宋" w:hAnsi="仿宋" w:eastAsia="仿宋" w:cs="仿宋_GB2312"/>
          <w:sz w:val="32"/>
          <w:szCs w:val="32"/>
          <w:lang w:eastAsia="zh-CN"/>
        </w:rPr>
        <w:t>。</w:t>
      </w:r>
    </w:p>
    <w:p w14:paraId="168D721E">
      <w:pPr>
        <w:snapToGrid w:val="0"/>
        <w:spacing w:line="52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1.</w:t>
      </w:r>
      <w:r>
        <w:rPr>
          <w:rFonts w:ascii="仿宋" w:hAnsi="仿宋" w:eastAsia="仿宋" w:cs="仿宋_GB2312"/>
          <w:sz w:val="32"/>
          <w:szCs w:val="32"/>
        </w:rPr>
        <w:t>SPF亲本筛选技术：采用抗性筛选(Resistance)、受精卵离体阻断(Block)及分子标记等综合选育技术，结合快速无损表型分析技术，培育小龙虾SPF亲本群体；</w:t>
      </w:r>
    </w:p>
    <w:p w14:paraId="4B5FB999">
      <w:pPr>
        <w:snapToGrid w:val="0"/>
        <w:spacing w:line="52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2.</w:t>
      </w:r>
      <w:r>
        <w:rPr>
          <w:rFonts w:ascii="仿宋" w:hAnsi="仿宋" w:eastAsia="仿宋" w:cs="仿宋_GB2312"/>
          <w:sz w:val="32"/>
          <w:szCs w:val="32"/>
        </w:rPr>
        <w:t>亲本性腺同步发育调控技术：通过亲本营养与环境智能精准调控，提高雌虾卵巢发育整齐度；</w:t>
      </w:r>
    </w:p>
    <w:p w14:paraId="325FEE1C">
      <w:pPr>
        <w:snapToGrid w:val="0"/>
        <w:spacing w:line="52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3.</w:t>
      </w:r>
      <w:r>
        <w:rPr>
          <w:rFonts w:ascii="仿宋" w:hAnsi="仿宋" w:eastAsia="仿宋" w:cs="仿宋_GB2312"/>
          <w:sz w:val="32"/>
          <w:szCs w:val="32"/>
        </w:rPr>
        <w:t>人工催产促排技术：通过小龙虾雌雄单养、定向配对及人工催产，提高同步排卵率和授精率；</w:t>
      </w:r>
    </w:p>
    <w:p w14:paraId="253E859C">
      <w:pPr>
        <w:snapToGrid w:val="0"/>
        <w:spacing w:line="52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4.</w:t>
      </w:r>
      <w:r>
        <w:rPr>
          <w:rFonts w:ascii="仿宋" w:hAnsi="仿宋" w:eastAsia="仿宋" w:cs="仿宋_GB2312"/>
          <w:sz w:val="32"/>
          <w:szCs w:val="32"/>
        </w:rPr>
        <w:t>精准孵化技术：通过智能精准控温、消杀、流水增氧等技术，结合虾卵虾苗形态智能识别技术，提高授精卵孵化率；</w:t>
      </w:r>
    </w:p>
    <w:p w14:paraId="28E7CD8E">
      <w:pPr>
        <w:snapToGrid w:val="0"/>
        <w:spacing w:line="520" w:lineRule="exact"/>
        <w:ind w:firstLine="640" w:firstLineChars="200"/>
        <w:jc w:val="left"/>
        <w:rPr>
          <w:rFonts w:hint="eastAsia" w:ascii="仿宋" w:hAnsi="仿宋" w:eastAsia="仿宋" w:cs="仿宋_GB2312"/>
          <w:sz w:val="32"/>
          <w:szCs w:val="32"/>
          <w:lang w:eastAsia="zh-CN"/>
        </w:rPr>
      </w:pPr>
      <w:r>
        <w:rPr>
          <w:rFonts w:hint="eastAsia" w:ascii="仿宋" w:hAnsi="仿宋" w:eastAsia="仿宋" w:cs="仿宋_GB2312"/>
          <w:sz w:val="32"/>
          <w:szCs w:val="32"/>
        </w:rPr>
        <w:t>5.</w:t>
      </w:r>
      <w:r>
        <w:rPr>
          <w:rFonts w:ascii="仿宋" w:hAnsi="仿宋" w:eastAsia="仿宋" w:cs="仿宋_GB2312"/>
          <w:sz w:val="32"/>
          <w:szCs w:val="32"/>
        </w:rPr>
        <w:t>水花苗强化培育技术：研制专用开口饵料，研究智能精准投饲技术，提高苗种单位育成率</w:t>
      </w:r>
      <w:r>
        <w:rPr>
          <w:rFonts w:hint="eastAsia" w:ascii="仿宋" w:hAnsi="仿宋" w:eastAsia="仿宋" w:cs="仿宋_GB2312"/>
          <w:sz w:val="32"/>
          <w:szCs w:val="32"/>
          <w:lang w:eastAsia="zh-CN"/>
        </w:rPr>
        <w:t>。</w:t>
      </w:r>
    </w:p>
    <w:p w14:paraId="379FB98F">
      <w:pPr>
        <w:snapToGrid w:val="0"/>
        <w:spacing w:line="520" w:lineRule="exact"/>
        <w:ind w:firstLine="643" w:firstLineChars="200"/>
        <w:jc w:val="left"/>
        <w:rPr>
          <w:rFonts w:ascii="仿宋" w:hAnsi="仿宋" w:eastAsia="仿宋" w:cs="仿宋_GB2312"/>
          <w:b/>
          <w:bCs/>
          <w:sz w:val="32"/>
          <w:szCs w:val="32"/>
        </w:rPr>
      </w:pPr>
      <w:r>
        <w:rPr>
          <w:rFonts w:hint="eastAsia" w:ascii="仿宋" w:hAnsi="仿宋" w:eastAsia="仿宋" w:cs="仿宋_GB2312"/>
          <w:b/>
          <w:bCs/>
          <w:sz w:val="32"/>
          <w:szCs w:val="32"/>
        </w:rPr>
        <w:t>技术指标：</w:t>
      </w:r>
    </w:p>
    <w:p w14:paraId="56A657C0">
      <w:pPr>
        <w:snapToGrid w:val="0"/>
        <w:spacing w:line="520" w:lineRule="exact"/>
        <w:ind w:right="26" w:firstLine="640" w:firstLineChars="200"/>
        <w:jc w:val="left"/>
        <w:rPr>
          <w:rFonts w:hint="eastAsia" w:ascii="仿宋" w:hAnsi="仿宋" w:eastAsia="仿宋" w:cs="仿宋_GB2312"/>
          <w:sz w:val="32"/>
          <w:szCs w:val="32"/>
          <w:lang w:eastAsia="zh-CN"/>
        </w:rPr>
      </w:pPr>
      <w:r>
        <w:rPr>
          <w:rFonts w:hint="eastAsia" w:ascii="仿宋" w:hAnsi="仿宋" w:eastAsia="仿宋" w:cs="仿宋_GB2312"/>
          <w:sz w:val="32"/>
          <w:szCs w:val="32"/>
        </w:rPr>
        <w:t>1.</w:t>
      </w:r>
      <w:r>
        <w:rPr>
          <w:rFonts w:ascii="仿宋" w:hAnsi="仿宋" w:eastAsia="仿宋" w:cs="仿宋_GB2312"/>
          <w:sz w:val="32"/>
          <w:szCs w:val="32"/>
        </w:rPr>
        <w:t>搭建SPF活体快速检测实验平台1个，建设面积≥100平方米</w:t>
      </w:r>
      <w:r>
        <w:rPr>
          <w:rFonts w:hint="eastAsia" w:ascii="仿宋" w:hAnsi="仿宋" w:eastAsia="仿宋" w:cs="仿宋_GB2312"/>
          <w:sz w:val="32"/>
          <w:szCs w:val="32"/>
          <w:lang w:eastAsia="zh-CN"/>
        </w:rPr>
        <w:t>，</w:t>
      </w:r>
      <w:r>
        <w:rPr>
          <w:rFonts w:ascii="仿宋" w:hAnsi="仿宋" w:eastAsia="仿宋" w:cs="仿宋_GB2312"/>
          <w:sz w:val="32"/>
          <w:szCs w:val="32"/>
        </w:rPr>
        <w:t>研发小龙虾全生命周期无损快速活体表型分析系列装备</w:t>
      </w:r>
      <w:r>
        <w:rPr>
          <w:rFonts w:hint="eastAsia" w:ascii="仿宋" w:hAnsi="仿宋" w:eastAsia="仿宋" w:cs="仿宋_GB2312"/>
          <w:sz w:val="32"/>
          <w:szCs w:val="32"/>
          <w:lang w:eastAsia="zh-CN"/>
        </w:rPr>
        <w:t>；</w:t>
      </w:r>
    </w:p>
    <w:p w14:paraId="4681489A">
      <w:pPr>
        <w:snapToGrid w:val="0"/>
        <w:spacing w:line="520" w:lineRule="exact"/>
        <w:ind w:right="26" w:firstLine="640" w:firstLineChars="200"/>
        <w:jc w:val="left"/>
        <w:rPr>
          <w:rFonts w:ascii="仿宋" w:hAnsi="仿宋" w:eastAsia="仿宋" w:cs="仿宋_GB2312"/>
          <w:sz w:val="32"/>
          <w:szCs w:val="32"/>
        </w:rPr>
      </w:pPr>
      <w:r>
        <w:rPr>
          <w:rFonts w:hint="eastAsia" w:ascii="仿宋" w:hAnsi="仿宋" w:eastAsia="仿宋" w:cs="仿宋_GB2312"/>
          <w:sz w:val="32"/>
          <w:szCs w:val="32"/>
        </w:rPr>
        <w:t>2.</w:t>
      </w:r>
      <w:r>
        <w:rPr>
          <w:rFonts w:ascii="仿宋" w:hAnsi="仿宋" w:eastAsia="仿宋" w:cs="仿宋_GB2312"/>
          <w:sz w:val="32"/>
          <w:szCs w:val="32"/>
        </w:rPr>
        <w:t>生产小龙虾SPF亲本20万组；</w:t>
      </w:r>
    </w:p>
    <w:p w14:paraId="68CB0C57">
      <w:pPr>
        <w:snapToGrid w:val="0"/>
        <w:spacing w:line="520" w:lineRule="exact"/>
        <w:ind w:right="26" w:firstLine="640" w:firstLineChars="200"/>
        <w:jc w:val="left"/>
        <w:rPr>
          <w:rFonts w:ascii="仿宋" w:hAnsi="仿宋" w:eastAsia="仿宋" w:cs="仿宋_GB2312"/>
          <w:sz w:val="32"/>
          <w:szCs w:val="32"/>
        </w:rPr>
      </w:pPr>
      <w:r>
        <w:rPr>
          <w:rFonts w:hint="eastAsia" w:ascii="仿宋" w:hAnsi="仿宋" w:eastAsia="仿宋" w:cs="仿宋_GB2312"/>
          <w:sz w:val="32"/>
          <w:szCs w:val="32"/>
        </w:rPr>
        <w:t>3.</w:t>
      </w:r>
      <w:r>
        <w:rPr>
          <w:rFonts w:ascii="仿宋" w:hAnsi="仿宋" w:eastAsia="仿宋" w:cs="仿宋_GB2312"/>
          <w:sz w:val="32"/>
          <w:szCs w:val="32"/>
        </w:rPr>
        <w:t>研制亲本专用功能饲料1种；</w:t>
      </w:r>
      <w:bookmarkStart w:id="0" w:name="_GoBack"/>
      <w:bookmarkEnd w:id="0"/>
    </w:p>
    <w:p w14:paraId="50A561FC">
      <w:pPr>
        <w:snapToGrid w:val="0"/>
        <w:spacing w:line="520" w:lineRule="exact"/>
        <w:ind w:right="26" w:firstLine="640" w:firstLineChars="200"/>
        <w:jc w:val="left"/>
        <w:rPr>
          <w:rFonts w:hint="eastAsia" w:ascii="仿宋" w:hAnsi="仿宋" w:eastAsia="仿宋" w:cs="仿宋_GB2312"/>
          <w:sz w:val="32"/>
          <w:szCs w:val="32"/>
          <w:lang w:eastAsia="zh-CN"/>
        </w:rPr>
      </w:pPr>
      <w:r>
        <w:rPr>
          <w:rFonts w:hint="eastAsia" w:ascii="仿宋" w:hAnsi="仿宋" w:eastAsia="仿宋" w:cs="仿宋_GB2312"/>
          <w:sz w:val="32"/>
          <w:szCs w:val="32"/>
        </w:rPr>
        <w:t>4.</w:t>
      </w:r>
      <w:r>
        <w:rPr>
          <w:rFonts w:ascii="仿宋" w:hAnsi="仿宋" w:eastAsia="仿宋" w:cs="仿宋_GB2312"/>
          <w:sz w:val="32"/>
          <w:szCs w:val="32"/>
        </w:rPr>
        <w:t>建设SPF级小龙虾数智化温控繁育车间及尾水循环系统1套，面积≥1500平方米；实现对繁育环境智能控制、繁育水质智能调节、虾卵虾苗形态智能识别、饵料智能精准投放</w:t>
      </w:r>
      <w:r>
        <w:rPr>
          <w:rFonts w:hint="eastAsia" w:ascii="仿宋" w:hAnsi="仿宋" w:eastAsia="仿宋" w:cs="仿宋_GB2312"/>
          <w:sz w:val="32"/>
          <w:szCs w:val="32"/>
          <w:lang w:eastAsia="zh-CN"/>
        </w:rPr>
        <w:t>；</w:t>
      </w:r>
    </w:p>
    <w:p w14:paraId="73ACEE77">
      <w:pPr>
        <w:snapToGrid w:val="0"/>
        <w:spacing w:line="520" w:lineRule="exact"/>
        <w:ind w:right="26" w:firstLine="640" w:firstLineChars="200"/>
        <w:jc w:val="left"/>
        <w:rPr>
          <w:rFonts w:ascii="仿宋" w:hAnsi="仿宋" w:eastAsia="仿宋" w:cs="仿宋_GB2312"/>
          <w:sz w:val="32"/>
          <w:szCs w:val="32"/>
        </w:rPr>
      </w:pPr>
      <w:r>
        <w:rPr>
          <w:rFonts w:hint="eastAsia" w:ascii="仿宋" w:hAnsi="仿宋" w:eastAsia="仿宋" w:cs="仿宋_GB2312"/>
          <w:sz w:val="32"/>
          <w:szCs w:val="32"/>
        </w:rPr>
        <w:t>5.</w:t>
      </w:r>
      <w:r>
        <w:rPr>
          <w:rFonts w:ascii="仿宋" w:hAnsi="仿宋" w:eastAsia="仿宋" w:cs="仿宋_GB2312"/>
          <w:sz w:val="32"/>
          <w:szCs w:val="32"/>
        </w:rPr>
        <w:t>雌虾同步抱卵率70%以上，孵化率80%以上；</w:t>
      </w:r>
    </w:p>
    <w:p w14:paraId="18B0ACF0">
      <w:pPr>
        <w:snapToGrid w:val="0"/>
        <w:spacing w:line="520" w:lineRule="exact"/>
        <w:ind w:right="26" w:firstLine="640" w:firstLineChars="200"/>
        <w:jc w:val="left"/>
        <w:rPr>
          <w:rFonts w:ascii="仿宋" w:hAnsi="仿宋" w:eastAsia="仿宋" w:cs="仿宋_GB2312"/>
          <w:sz w:val="32"/>
          <w:szCs w:val="32"/>
        </w:rPr>
      </w:pPr>
      <w:r>
        <w:rPr>
          <w:rFonts w:hint="eastAsia" w:ascii="仿宋" w:hAnsi="仿宋" w:eastAsia="仿宋" w:cs="仿宋_GB2312"/>
          <w:sz w:val="32"/>
          <w:szCs w:val="32"/>
        </w:rPr>
        <w:t>6.</w:t>
      </w:r>
      <w:r>
        <w:rPr>
          <w:rFonts w:ascii="仿宋" w:hAnsi="仿宋" w:eastAsia="仿宋" w:cs="仿宋_GB2312"/>
          <w:sz w:val="32"/>
          <w:szCs w:val="32"/>
        </w:rPr>
        <w:t>每立方水体水花苗育成率1万只以上，年生产能力1亿尾以上。</w:t>
      </w:r>
    </w:p>
    <w:p w14:paraId="307F1293">
      <w:pPr>
        <w:overflowPunct w:val="0"/>
        <w:adjustRightInd w:val="0"/>
        <w:snapToGrid w:val="0"/>
        <w:spacing w:line="520" w:lineRule="exact"/>
        <w:rPr>
          <w:rFonts w:ascii="黑体" w:hAnsi="黑体" w:eastAsia="黑体" w:cs="黑体"/>
          <w:sz w:val="32"/>
          <w:szCs w:val="32"/>
        </w:rPr>
      </w:pPr>
    </w:p>
    <w:p w14:paraId="15F86E8B">
      <w:pPr>
        <w:overflowPunct w:val="0"/>
        <w:adjustRightInd w:val="0"/>
        <w:snapToGrid w:val="0"/>
        <w:spacing w:line="520" w:lineRule="exact"/>
        <w:ind w:firstLine="640" w:firstLineChars="200"/>
        <w:rPr>
          <w:rFonts w:ascii="黑体" w:hAnsi="黑体" w:eastAsia="黑体" w:cs="黑体"/>
          <w:sz w:val="32"/>
          <w:szCs w:val="32"/>
        </w:rPr>
      </w:pPr>
      <w:r>
        <w:rPr>
          <w:rFonts w:hint="eastAsia" w:ascii="黑体" w:hAnsi="黑体" w:eastAsia="黑体" w:cs="黑体"/>
          <w:sz w:val="32"/>
          <w:szCs w:val="32"/>
        </w:rPr>
        <w:t>项目4</w:t>
      </w:r>
    </w:p>
    <w:p w14:paraId="76B57580">
      <w:pPr>
        <w:overflowPunct w:val="0"/>
        <w:adjustRightInd w:val="0"/>
        <w:snapToGrid w:val="0"/>
        <w:spacing w:line="520" w:lineRule="exact"/>
        <w:ind w:firstLine="643" w:firstLineChars="200"/>
        <w:jc w:val="left"/>
        <w:rPr>
          <w:rFonts w:ascii="楷体" w:hAnsi="楷体" w:eastAsia="楷体" w:cs="楷体_GB2312"/>
          <w:bCs/>
          <w:sz w:val="32"/>
          <w:szCs w:val="32"/>
        </w:rPr>
      </w:pPr>
      <w:r>
        <w:rPr>
          <w:rFonts w:hint="eastAsia" w:ascii="楷体" w:hAnsi="楷体" w:eastAsia="楷体" w:cs="楷体_GB2312"/>
          <w:b/>
          <w:sz w:val="32"/>
          <w:szCs w:val="32"/>
        </w:rPr>
        <w:t>项目名称：</w:t>
      </w:r>
      <w:r>
        <w:rPr>
          <w:rFonts w:hint="eastAsia" w:ascii="楷体" w:hAnsi="楷体" w:eastAsia="楷体" w:cs="楷体_GB2312"/>
          <w:bCs/>
          <w:sz w:val="32"/>
          <w:szCs w:val="32"/>
        </w:rPr>
        <w:t>大规模碱性电解水制氢用泡沫镍铁阳极</w:t>
      </w:r>
    </w:p>
    <w:p w14:paraId="2A69B9BF">
      <w:pPr>
        <w:pStyle w:val="2"/>
        <w:spacing w:line="520" w:lineRule="exact"/>
        <w:ind w:firstLine="643" w:firstLineChars="200"/>
        <w:rPr>
          <w:rFonts w:ascii="楷体" w:hAnsi="楷体" w:eastAsia="楷体" w:cs="黑体"/>
          <w:bCs/>
          <w:color w:val="auto"/>
          <w:sz w:val="32"/>
          <w:szCs w:val="32"/>
        </w:rPr>
      </w:pPr>
      <w:r>
        <w:rPr>
          <w:rFonts w:hint="eastAsia" w:ascii="楷体" w:hAnsi="楷体" w:eastAsia="楷体" w:cs="楷体_GB2312"/>
          <w:b/>
          <w:color w:val="auto"/>
          <w:sz w:val="32"/>
          <w:szCs w:val="32"/>
        </w:rPr>
        <w:t>发榜单位：</w:t>
      </w:r>
      <w:r>
        <w:rPr>
          <w:rFonts w:hint="eastAsia" w:ascii="楷体" w:hAnsi="楷体" w:eastAsia="楷体" w:cs="楷体_GB2312"/>
          <w:bCs/>
          <w:color w:val="auto"/>
          <w:sz w:val="32"/>
          <w:szCs w:val="32"/>
        </w:rPr>
        <w:t>益阳市菲美特新材料有限公司</w:t>
      </w:r>
    </w:p>
    <w:p w14:paraId="08CB73A7">
      <w:pPr>
        <w:numPr>
          <w:ilvl w:val="255"/>
          <w:numId w:val="0"/>
        </w:numPr>
        <w:spacing w:line="520" w:lineRule="exact"/>
        <w:ind w:firstLine="643" w:firstLineChars="200"/>
        <w:rPr>
          <w:rFonts w:ascii="仿宋" w:hAnsi="仿宋" w:eastAsia="仿宋" w:cs="仿宋_GB2312"/>
          <w:b/>
          <w:bCs/>
          <w:sz w:val="32"/>
          <w:szCs w:val="32"/>
        </w:rPr>
      </w:pPr>
      <w:r>
        <w:rPr>
          <w:rFonts w:hint="eastAsia" w:ascii="仿宋" w:hAnsi="仿宋" w:eastAsia="仿宋" w:cs="仿宋_GB2312"/>
          <w:b/>
          <w:bCs/>
          <w:sz w:val="32"/>
          <w:szCs w:val="32"/>
        </w:rPr>
        <w:t>攻关任务：</w:t>
      </w:r>
    </w:p>
    <w:p w14:paraId="12A30AB6">
      <w:pPr>
        <w:numPr>
          <w:ilvl w:val="255"/>
          <w:numId w:val="0"/>
        </w:numPr>
        <w:spacing w:line="52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一、泡沫镍铁的成分和结构优化</w:t>
      </w:r>
    </w:p>
    <w:p w14:paraId="13DEAC9B">
      <w:pPr>
        <w:numPr>
          <w:ilvl w:val="255"/>
          <w:numId w:val="0"/>
        </w:numPr>
        <w:spacing w:line="52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w:t>
      </w:r>
      <w:r>
        <w:rPr>
          <w:rFonts w:ascii="仿宋" w:hAnsi="仿宋" w:eastAsia="仿宋" w:cs="仿宋_GB2312"/>
          <w:sz w:val="32"/>
          <w:szCs w:val="32"/>
        </w:rPr>
        <w:t>纳米级多孔结构调控技术：针对泡沫镍铁材料活性不足的问题，研发纳米级多孔结构调控技术。通过精确控制材料的孔径、孔隙率及孔隙分布，实现材料比表面积的显著提升，从而提高材料的催化活性。</w:t>
      </w:r>
    </w:p>
    <w:p w14:paraId="60906A88">
      <w:pPr>
        <w:numPr>
          <w:ilvl w:val="255"/>
          <w:numId w:val="0"/>
        </w:numPr>
        <w:spacing w:line="52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w:t>
      </w:r>
      <w:r>
        <w:rPr>
          <w:rFonts w:ascii="仿宋" w:hAnsi="仿宋" w:eastAsia="仿宋" w:cs="仿宋_GB2312"/>
          <w:sz w:val="32"/>
          <w:szCs w:val="32"/>
        </w:rPr>
        <w:t>高性能掺杂技术：通过研发高性能掺杂技术，解决泡沫镍铁稳定性差的问题。通过引入特殊的功能性基团或纳米粒子，改善材料的耐腐蚀性、抗氧化性及电导率，提高材料的稳定性。</w:t>
      </w:r>
    </w:p>
    <w:p w14:paraId="1F53D467">
      <w:pPr>
        <w:numPr>
          <w:ilvl w:val="255"/>
          <w:numId w:val="0"/>
        </w:numPr>
        <w:spacing w:line="52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二、析氧电催化层的原位制备</w:t>
      </w:r>
    </w:p>
    <w:p w14:paraId="6E082398">
      <w:pPr>
        <w:numPr>
          <w:ilvl w:val="255"/>
          <w:numId w:val="0"/>
        </w:numPr>
        <w:spacing w:line="52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w:t>
      </w:r>
      <w:r>
        <w:rPr>
          <w:rFonts w:ascii="仿宋" w:hAnsi="仿宋" w:eastAsia="仿宋" w:cs="仿宋_GB2312"/>
          <w:sz w:val="32"/>
          <w:szCs w:val="32"/>
        </w:rPr>
        <w:t>高性能表面改性技术：研发一种高性能表面改性技术，提高泡沫镍铁材料的表面活性和稳定性。通过引入合适的表面活性剂或进行表面化学处理，改善泡沫镍铁材料表面的润湿性和化学稳定性。</w:t>
      </w:r>
    </w:p>
    <w:p w14:paraId="494A768E">
      <w:pPr>
        <w:numPr>
          <w:ilvl w:val="255"/>
          <w:numId w:val="0"/>
        </w:numPr>
        <w:spacing w:line="52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w:t>
      </w:r>
      <w:r>
        <w:rPr>
          <w:rFonts w:ascii="仿宋" w:hAnsi="仿宋" w:eastAsia="仿宋" w:cs="仿宋_GB2312"/>
          <w:sz w:val="32"/>
          <w:szCs w:val="32"/>
        </w:rPr>
        <w:t>活性成分优化技术：通过调整泡沫镍铁中镍、铁的比例及添加适量的助剂，优化材料的电子结构，提高材料的催化活性。</w:t>
      </w:r>
    </w:p>
    <w:p w14:paraId="48B2F4A3">
      <w:pPr>
        <w:numPr>
          <w:ilvl w:val="255"/>
          <w:numId w:val="0"/>
        </w:numPr>
        <w:spacing w:line="52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三、泡沫镍铁制备工艺优化</w:t>
      </w:r>
    </w:p>
    <w:p w14:paraId="145FDCE5">
      <w:pPr>
        <w:numPr>
          <w:ilvl w:val="255"/>
          <w:numId w:val="0"/>
        </w:numPr>
        <w:spacing w:line="52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w:t>
      </w:r>
      <w:r>
        <w:rPr>
          <w:rFonts w:ascii="仿宋" w:hAnsi="仿宋" w:eastAsia="仿宋" w:cs="仿宋_GB2312"/>
          <w:sz w:val="32"/>
          <w:szCs w:val="32"/>
        </w:rPr>
        <w:t>规模化制备技术：优化规模化制备工艺，满足泡沫镍铁材料在碱性电解水制氢领域的应用需求。通过优化制备工艺和设备，实现泡沫镍铁材料的大规模、高效、稳定制备。</w:t>
      </w:r>
    </w:p>
    <w:p w14:paraId="20E28C8E">
      <w:pPr>
        <w:numPr>
          <w:ilvl w:val="255"/>
          <w:numId w:val="0"/>
        </w:numPr>
        <w:spacing w:line="52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w:t>
      </w:r>
      <w:r>
        <w:rPr>
          <w:rFonts w:ascii="仿宋" w:hAnsi="仿宋" w:eastAsia="仿宋" w:cs="仿宋_GB2312"/>
          <w:sz w:val="32"/>
          <w:szCs w:val="32"/>
        </w:rPr>
        <w:t>后处理工艺：为提高泡沫镍铁的性能稳定性及延长使用寿命，通过酸洗、钝化等处理手段，去除材料表面的杂质及氧化层，提高材料的耐腐蚀性。</w:t>
      </w:r>
    </w:p>
    <w:p w14:paraId="46D31A77">
      <w:pPr>
        <w:numPr>
          <w:ilvl w:val="255"/>
          <w:numId w:val="0"/>
        </w:numPr>
        <w:spacing w:line="520" w:lineRule="exact"/>
        <w:ind w:firstLine="643" w:firstLineChars="200"/>
        <w:rPr>
          <w:rFonts w:ascii="仿宋" w:hAnsi="仿宋" w:eastAsia="仿宋" w:cs="仿宋_GB2312"/>
          <w:b/>
          <w:bCs/>
          <w:sz w:val="32"/>
          <w:szCs w:val="32"/>
        </w:rPr>
      </w:pPr>
      <w:r>
        <w:rPr>
          <w:rFonts w:hint="eastAsia" w:ascii="仿宋" w:hAnsi="仿宋" w:eastAsia="仿宋" w:cs="仿宋_GB2312"/>
          <w:b/>
          <w:bCs/>
          <w:sz w:val="32"/>
          <w:szCs w:val="32"/>
        </w:rPr>
        <w:t>技术指标：</w:t>
      </w:r>
    </w:p>
    <w:p w14:paraId="681A300E">
      <w:pPr>
        <w:numPr>
          <w:ilvl w:val="255"/>
          <w:numId w:val="0"/>
        </w:numPr>
        <w:spacing w:line="520" w:lineRule="exact"/>
        <w:ind w:firstLine="640" w:firstLineChars="200"/>
        <w:rPr>
          <w:rFonts w:hint="eastAsia" w:ascii="仿宋" w:hAnsi="仿宋" w:eastAsia="仿宋" w:cs="仿宋_GB2312"/>
          <w:sz w:val="32"/>
          <w:szCs w:val="32"/>
          <w:lang w:eastAsia="zh-CN"/>
        </w:rPr>
      </w:pPr>
      <w:r>
        <w:rPr>
          <w:rFonts w:hint="eastAsia" w:ascii="仿宋" w:hAnsi="仿宋" w:eastAsia="仿宋" w:cs="仿宋_GB2312"/>
          <w:sz w:val="32"/>
          <w:szCs w:val="32"/>
        </w:rPr>
        <w:t>1.</w:t>
      </w:r>
      <w:r>
        <w:rPr>
          <w:rFonts w:ascii="仿宋" w:hAnsi="仿宋" w:eastAsia="仿宋" w:cs="仿宋_GB2312"/>
          <w:sz w:val="32"/>
          <w:szCs w:val="32"/>
        </w:rPr>
        <w:t>孔径分布范围10-100nm，孔隙率≥85%，比表面积≥50m²/g</w:t>
      </w:r>
      <w:r>
        <w:rPr>
          <w:rFonts w:hint="eastAsia" w:ascii="仿宋" w:hAnsi="仿宋" w:eastAsia="仿宋" w:cs="仿宋_GB2312"/>
          <w:sz w:val="32"/>
          <w:szCs w:val="32"/>
          <w:lang w:eastAsia="zh-CN"/>
        </w:rPr>
        <w:t>；</w:t>
      </w:r>
    </w:p>
    <w:p w14:paraId="5DD01741">
      <w:pPr>
        <w:numPr>
          <w:ilvl w:val="255"/>
          <w:numId w:val="0"/>
        </w:numPr>
        <w:spacing w:line="520" w:lineRule="exact"/>
        <w:ind w:firstLine="640" w:firstLineChars="200"/>
        <w:rPr>
          <w:rFonts w:hint="eastAsia" w:ascii="仿宋" w:hAnsi="仿宋" w:eastAsia="仿宋" w:cs="仿宋_GB2312"/>
          <w:sz w:val="32"/>
          <w:szCs w:val="32"/>
          <w:lang w:eastAsia="zh-CN"/>
        </w:rPr>
      </w:pPr>
      <w:r>
        <w:rPr>
          <w:rFonts w:hint="eastAsia" w:ascii="仿宋" w:hAnsi="仿宋" w:eastAsia="仿宋" w:cs="仿宋_GB2312"/>
          <w:sz w:val="32"/>
          <w:szCs w:val="32"/>
        </w:rPr>
        <w:t>2.</w:t>
      </w:r>
      <w:r>
        <w:rPr>
          <w:rFonts w:ascii="仿宋" w:hAnsi="仿宋" w:eastAsia="仿宋" w:cs="仿宋_GB2312"/>
          <w:sz w:val="32"/>
          <w:szCs w:val="32"/>
        </w:rPr>
        <w:t>耐腐蚀性（在碱性环境中稳定工作时长≥1000小时），抗氧化性（在空气中氧化速率降低50%以上），电导率≥1000S/m</w:t>
      </w:r>
      <w:r>
        <w:rPr>
          <w:rFonts w:hint="eastAsia" w:ascii="仿宋" w:hAnsi="仿宋" w:eastAsia="仿宋" w:cs="仿宋_GB2312"/>
          <w:sz w:val="32"/>
          <w:szCs w:val="32"/>
          <w:lang w:eastAsia="zh-CN"/>
        </w:rPr>
        <w:t>；</w:t>
      </w:r>
    </w:p>
    <w:p w14:paraId="3F1EEEEA">
      <w:pPr>
        <w:numPr>
          <w:ilvl w:val="255"/>
          <w:numId w:val="0"/>
        </w:numPr>
        <w:spacing w:line="520" w:lineRule="exact"/>
        <w:ind w:firstLine="640" w:firstLineChars="200"/>
        <w:rPr>
          <w:rFonts w:hint="eastAsia" w:ascii="仿宋" w:hAnsi="仿宋" w:eastAsia="仿宋" w:cs="仿宋_GB2312"/>
          <w:sz w:val="32"/>
          <w:szCs w:val="32"/>
          <w:lang w:eastAsia="zh-CN"/>
        </w:rPr>
      </w:pPr>
      <w:r>
        <w:rPr>
          <w:rFonts w:hint="eastAsia" w:ascii="仿宋" w:hAnsi="仿宋" w:eastAsia="仿宋" w:cs="仿宋_GB2312"/>
          <w:sz w:val="32"/>
          <w:szCs w:val="32"/>
        </w:rPr>
        <w:t>3.</w:t>
      </w:r>
      <w:r>
        <w:rPr>
          <w:rFonts w:ascii="仿宋" w:hAnsi="仿宋" w:eastAsia="仿宋" w:cs="仿宋_GB2312"/>
          <w:sz w:val="32"/>
          <w:szCs w:val="32"/>
        </w:rPr>
        <w:t>表面能降低至20mJ/m²以下，接触角小于30°，化学稳定性提高至在强酸、强碱环境中稳定存在</w:t>
      </w:r>
      <w:r>
        <w:rPr>
          <w:rFonts w:hint="eastAsia" w:ascii="仿宋" w:hAnsi="仿宋" w:eastAsia="仿宋" w:cs="仿宋_GB2312"/>
          <w:sz w:val="32"/>
          <w:szCs w:val="32"/>
          <w:lang w:eastAsia="zh-CN"/>
        </w:rPr>
        <w:t>；</w:t>
      </w:r>
    </w:p>
    <w:p w14:paraId="4EFD3B25">
      <w:pPr>
        <w:numPr>
          <w:ilvl w:val="255"/>
          <w:numId w:val="0"/>
        </w:numPr>
        <w:spacing w:line="520" w:lineRule="exact"/>
        <w:ind w:firstLine="640" w:firstLineChars="200"/>
        <w:rPr>
          <w:rFonts w:hint="eastAsia" w:ascii="仿宋" w:hAnsi="仿宋" w:eastAsia="仿宋" w:cs="仿宋_GB2312"/>
          <w:sz w:val="32"/>
          <w:szCs w:val="32"/>
          <w:lang w:eastAsia="zh-CN"/>
        </w:rPr>
      </w:pPr>
      <w:r>
        <w:rPr>
          <w:rFonts w:hint="eastAsia" w:ascii="仿宋" w:hAnsi="仿宋" w:eastAsia="仿宋" w:cs="仿宋_GB2312"/>
          <w:sz w:val="32"/>
          <w:szCs w:val="32"/>
        </w:rPr>
        <w:t>4.</w:t>
      </w:r>
      <w:r>
        <w:rPr>
          <w:rFonts w:ascii="仿宋" w:hAnsi="仿宋" w:eastAsia="仿宋" w:cs="仿宋_GB2312"/>
          <w:sz w:val="32"/>
          <w:szCs w:val="32"/>
        </w:rPr>
        <w:t>镍铁比例优化至最佳范围（如Ni:Fe=3:1），助剂添加量精确控制至最优值（如助剂添加量≤1wt%），催化活性提升50%以上</w:t>
      </w:r>
      <w:r>
        <w:rPr>
          <w:rFonts w:hint="eastAsia" w:ascii="仿宋" w:hAnsi="仿宋" w:eastAsia="仿宋" w:cs="仿宋_GB2312"/>
          <w:sz w:val="32"/>
          <w:szCs w:val="32"/>
          <w:lang w:eastAsia="zh-CN"/>
        </w:rPr>
        <w:t>；</w:t>
      </w:r>
    </w:p>
    <w:p w14:paraId="097857FE">
      <w:pPr>
        <w:numPr>
          <w:ilvl w:val="255"/>
          <w:numId w:val="0"/>
        </w:numPr>
        <w:spacing w:line="520" w:lineRule="exact"/>
        <w:ind w:firstLine="640" w:firstLineChars="200"/>
        <w:rPr>
          <w:rFonts w:hint="eastAsia" w:ascii="仿宋" w:hAnsi="仿宋" w:eastAsia="仿宋" w:cs="仿宋_GB2312"/>
          <w:sz w:val="32"/>
          <w:szCs w:val="32"/>
          <w:lang w:eastAsia="zh-CN"/>
        </w:rPr>
      </w:pPr>
      <w:r>
        <w:rPr>
          <w:rFonts w:hint="eastAsia" w:ascii="仿宋" w:hAnsi="仿宋" w:eastAsia="仿宋" w:cs="仿宋_GB2312"/>
          <w:sz w:val="32"/>
          <w:szCs w:val="32"/>
        </w:rPr>
        <w:t>5.</w:t>
      </w:r>
      <w:r>
        <w:rPr>
          <w:rFonts w:ascii="仿宋" w:hAnsi="仿宋" w:eastAsia="仿宋" w:cs="仿宋_GB2312"/>
          <w:sz w:val="32"/>
          <w:szCs w:val="32"/>
        </w:rPr>
        <w:t>制备周期小于24小时，制备成本降低至传统方法的50%以下</w:t>
      </w:r>
      <w:r>
        <w:rPr>
          <w:rFonts w:hint="eastAsia" w:ascii="仿宋" w:hAnsi="仿宋" w:eastAsia="仿宋" w:cs="仿宋_GB2312"/>
          <w:sz w:val="32"/>
          <w:szCs w:val="32"/>
          <w:lang w:eastAsia="zh-CN"/>
        </w:rPr>
        <w:t>；</w:t>
      </w:r>
    </w:p>
    <w:p w14:paraId="523FAFFB">
      <w:pPr>
        <w:numPr>
          <w:ilvl w:val="255"/>
          <w:numId w:val="0"/>
        </w:numPr>
        <w:spacing w:line="520" w:lineRule="exact"/>
        <w:ind w:firstLine="640" w:firstLineChars="200"/>
        <w:rPr>
          <w:rFonts w:ascii="仿宋" w:hAnsi="仿宋" w:eastAsia="仿宋"/>
        </w:rPr>
      </w:pPr>
      <w:r>
        <w:rPr>
          <w:rFonts w:hint="eastAsia" w:ascii="仿宋" w:hAnsi="仿宋" w:eastAsia="仿宋" w:cs="仿宋_GB2312"/>
          <w:sz w:val="32"/>
          <w:szCs w:val="32"/>
        </w:rPr>
        <w:t>6.</w:t>
      </w:r>
      <w:r>
        <w:rPr>
          <w:rFonts w:ascii="仿宋" w:hAnsi="仿宋" w:eastAsia="仿宋" w:cs="仿宋_GB2312"/>
          <w:sz w:val="32"/>
          <w:szCs w:val="32"/>
        </w:rPr>
        <w:t>酸洗时间≤30分钟，钝化时间≤1小时，耐腐蚀性提高50%以上。</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文星楷体">
    <w:altName w:val="@楷体"/>
    <w:panose1 w:val="00000000000000000000"/>
    <w:charset w:val="86"/>
    <w:family w:val="auto"/>
    <w:pitch w:val="default"/>
    <w:sig w:usb0="00000000" w:usb1="00000000" w:usb2="00000000" w:usb3="00000000" w:csb0="00040001"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E5NDIwMzNlZmIyMmJiMWNhY2QzYjI4MDg2OWJmZjEifQ=="/>
  </w:docVars>
  <w:rsids>
    <w:rsidRoot w:val="003770A5"/>
    <w:rsid w:val="00037D84"/>
    <w:rsid w:val="00074BBE"/>
    <w:rsid w:val="000D252A"/>
    <w:rsid w:val="00131879"/>
    <w:rsid w:val="00172DE5"/>
    <w:rsid w:val="00186FC2"/>
    <w:rsid w:val="002A28A6"/>
    <w:rsid w:val="00300C51"/>
    <w:rsid w:val="003770A5"/>
    <w:rsid w:val="00511C38"/>
    <w:rsid w:val="005540EA"/>
    <w:rsid w:val="005E5D7A"/>
    <w:rsid w:val="005F2A16"/>
    <w:rsid w:val="00667371"/>
    <w:rsid w:val="00797AEF"/>
    <w:rsid w:val="00804020"/>
    <w:rsid w:val="008C75A9"/>
    <w:rsid w:val="008E5BF1"/>
    <w:rsid w:val="008F2B62"/>
    <w:rsid w:val="00904D0A"/>
    <w:rsid w:val="00AA7820"/>
    <w:rsid w:val="00C756B6"/>
    <w:rsid w:val="00C845C2"/>
    <w:rsid w:val="00D44914"/>
    <w:rsid w:val="00DA717B"/>
    <w:rsid w:val="0C48146C"/>
    <w:rsid w:val="31D73965"/>
    <w:rsid w:val="750472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0" w:line="240" w:lineRule="auto"/>
      <w:jc w:val="both"/>
    </w:pPr>
    <w:rPr>
      <w:rFonts w:asciiTheme="minorHAnsi" w:hAnsiTheme="minorHAnsi" w:eastAsiaTheme="minorEastAsia" w:cstheme="minorBidi"/>
      <w:kern w:val="2"/>
      <w:sz w:val="21"/>
      <w:szCs w:val="22"/>
      <w:lang w:val="en-US" w:eastAsia="zh-CN" w:bidi="ar-SA"/>
      <w14:ligatures w14:val="none"/>
    </w:rPr>
  </w:style>
  <w:style w:type="paragraph" w:styleId="3">
    <w:name w:val="heading 1"/>
    <w:basedOn w:val="1"/>
    <w:next w:val="1"/>
    <w:link w:val="18"/>
    <w:qFormat/>
    <w:uiPriority w:val="9"/>
    <w:pPr>
      <w:keepNext/>
      <w:keepLines/>
      <w:spacing w:before="480" w:after="80" w:line="278" w:lineRule="auto"/>
      <w:jc w:val="left"/>
      <w:outlineLvl w:val="0"/>
    </w:pPr>
    <w:rPr>
      <w:rFonts w:asciiTheme="majorHAnsi" w:hAnsiTheme="majorHAnsi" w:eastAsiaTheme="majorEastAsia" w:cstheme="majorBidi"/>
      <w:color w:val="104862" w:themeColor="accent1" w:themeShade="BF"/>
      <w:sz w:val="48"/>
      <w:szCs w:val="48"/>
      <w14:ligatures w14:val="standardContextual"/>
    </w:rPr>
  </w:style>
  <w:style w:type="paragraph" w:styleId="4">
    <w:name w:val="heading 2"/>
    <w:basedOn w:val="1"/>
    <w:next w:val="1"/>
    <w:link w:val="19"/>
    <w:semiHidden/>
    <w:unhideWhenUsed/>
    <w:qFormat/>
    <w:uiPriority w:val="9"/>
    <w:pPr>
      <w:keepNext/>
      <w:keepLines/>
      <w:spacing w:before="160" w:after="80" w:line="278" w:lineRule="auto"/>
      <w:jc w:val="left"/>
      <w:outlineLvl w:val="1"/>
    </w:pPr>
    <w:rPr>
      <w:rFonts w:asciiTheme="majorHAnsi" w:hAnsiTheme="majorHAnsi" w:eastAsiaTheme="majorEastAsia" w:cstheme="majorBidi"/>
      <w:color w:val="104862" w:themeColor="accent1" w:themeShade="BF"/>
      <w:sz w:val="40"/>
      <w:szCs w:val="40"/>
      <w14:ligatures w14:val="standardContextual"/>
    </w:rPr>
  </w:style>
  <w:style w:type="paragraph" w:styleId="5">
    <w:name w:val="heading 3"/>
    <w:basedOn w:val="1"/>
    <w:next w:val="1"/>
    <w:link w:val="20"/>
    <w:semiHidden/>
    <w:unhideWhenUsed/>
    <w:qFormat/>
    <w:uiPriority w:val="9"/>
    <w:pPr>
      <w:keepNext/>
      <w:keepLines/>
      <w:spacing w:before="160" w:after="80" w:line="278" w:lineRule="auto"/>
      <w:jc w:val="left"/>
      <w:outlineLvl w:val="2"/>
    </w:pPr>
    <w:rPr>
      <w:rFonts w:asciiTheme="majorHAnsi" w:hAnsiTheme="majorHAnsi" w:eastAsiaTheme="majorEastAsia" w:cstheme="majorBidi"/>
      <w:color w:val="104862" w:themeColor="accent1" w:themeShade="BF"/>
      <w:sz w:val="32"/>
      <w:szCs w:val="32"/>
      <w14:ligatures w14:val="standardContextual"/>
    </w:rPr>
  </w:style>
  <w:style w:type="paragraph" w:styleId="6">
    <w:name w:val="heading 4"/>
    <w:basedOn w:val="1"/>
    <w:next w:val="1"/>
    <w:link w:val="21"/>
    <w:semiHidden/>
    <w:unhideWhenUsed/>
    <w:qFormat/>
    <w:uiPriority w:val="9"/>
    <w:pPr>
      <w:keepNext/>
      <w:keepLines/>
      <w:spacing w:before="80" w:after="40" w:line="278" w:lineRule="auto"/>
      <w:jc w:val="left"/>
      <w:outlineLvl w:val="3"/>
    </w:pPr>
    <w:rPr>
      <w:rFonts w:cstheme="majorBidi"/>
      <w:color w:val="104862" w:themeColor="accent1" w:themeShade="BF"/>
      <w:sz w:val="28"/>
      <w:szCs w:val="28"/>
      <w14:ligatures w14:val="standardContextual"/>
    </w:rPr>
  </w:style>
  <w:style w:type="paragraph" w:styleId="7">
    <w:name w:val="heading 5"/>
    <w:basedOn w:val="1"/>
    <w:next w:val="1"/>
    <w:link w:val="22"/>
    <w:semiHidden/>
    <w:unhideWhenUsed/>
    <w:qFormat/>
    <w:uiPriority w:val="9"/>
    <w:pPr>
      <w:keepNext/>
      <w:keepLines/>
      <w:spacing w:before="80" w:after="40" w:line="278" w:lineRule="auto"/>
      <w:jc w:val="left"/>
      <w:outlineLvl w:val="4"/>
    </w:pPr>
    <w:rPr>
      <w:rFonts w:cstheme="majorBidi"/>
      <w:color w:val="104862" w:themeColor="accent1" w:themeShade="BF"/>
      <w:sz w:val="24"/>
      <w:szCs w:val="24"/>
      <w14:ligatures w14:val="standardContextual"/>
    </w:rPr>
  </w:style>
  <w:style w:type="paragraph" w:styleId="8">
    <w:name w:val="heading 6"/>
    <w:basedOn w:val="1"/>
    <w:next w:val="1"/>
    <w:link w:val="23"/>
    <w:semiHidden/>
    <w:unhideWhenUsed/>
    <w:qFormat/>
    <w:uiPriority w:val="9"/>
    <w:pPr>
      <w:keepNext/>
      <w:keepLines/>
      <w:spacing w:before="40" w:line="278" w:lineRule="auto"/>
      <w:jc w:val="left"/>
      <w:outlineLvl w:val="5"/>
    </w:pPr>
    <w:rPr>
      <w:rFonts w:cstheme="majorBidi"/>
      <w:b/>
      <w:bCs/>
      <w:color w:val="104862" w:themeColor="accent1" w:themeShade="BF"/>
      <w:sz w:val="22"/>
      <w:szCs w:val="24"/>
      <w14:ligatures w14:val="standardContextual"/>
    </w:rPr>
  </w:style>
  <w:style w:type="paragraph" w:styleId="9">
    <w:name w:val="heading 7"/>
    <w:basedOn w:val="1"/>
    <w:next w:val="1"/>
    <w:link w:val="24"/>
    <w:semiHidden/>
    <w:unhideWhenUsed/>
    <w:qFormat/>
    <w:uiPriority w:val="9"/>
    <w:pPr>
      <w:keepNext/>
      <w:keepLines/>
      <w:spacing w:before="40" w:line="278" w:lineRule="auto"/>
      <w:jc w:val="left"/>
      <w:outlineLvl w:val="6"/>
    </w:pPr>
    <w:rPr>
      <w:rFonts w:cstheme="majorBidi"/>
      <w:b/>
      <w:bCs/>
      <w:color w:val="595959" w:themeColor="text1" w:themeTint="A6"/>
      <w:sz w:val="22"/>
      <w:szCs w:val="24"/>
      <w14:textFill>
        <w14:solidFill>
          <w14:schemeClr w14:val="tx1">
            <w14:lumMod w14:val="65000"/>
            <w14:lumOff w14:val="35000"/>
          </w14:schemeClr>
        </w14:solidFill>
      </w14:textFill>
      <w14:ligatures w14:val="standardContextual"/>
    </w:rPr>
  </w:style>
  <w:style w:type="paragraph" w:styleId="10">
    <w:name w:val="heading 8"/>
    <w:basedOn w:val="1"/>
    <w:next w:val="1"/>
    <w:link w:val="25"/>
    <w:semiHidden/>
    <w:unhideWhenUsed/>
    <w:qFormat/>
    <w:uiPriority w:val="9"/>
    <w:pPr>
      <w:keepNext/>
      <w:keepLines/>
      <w:spacing w:line="278" w:lineRule="auto"/>
      <w:jc w:val="left"/>
      <w:outlineLvl w:val="7"/>
    </w:pPr>
    <w:rPr>
      <w:rFonts w:cstheme="majorBidi"/>
      <w:color w:val="595959" w:themeColor="text1" w:themeTint="A6"/>
      <w:sz w:val="22"/>
      <w:szCs w:val="24"/>
      <w14:textFill>
        <w14:solidFill>
          <w14:schemeClr w14:val="tx1">
            <w14:lumMod w14:val="65000"/>
            <w14:lumOff w14:val="35000"/>
          </w14:schemeClr>
        </w14:solidFill>
      </w14:textFill>
      <w14:ligatures w14:val="standardContextual"/>
    </w:rPr>
  </w:style>
  <w:style w:type="paragraph" w:styleId="11">
    <w:name w:val="heading 9"/>
    <w:basedOn w:val="1"/>
    <w:next w:val="1"/>
    <w:link w:val="26"/>
    <w:semiHidden/>
    <w:unhideWhenUsed/>
    <w:qFormat/>
    <w:uiPriority w:val="9"/>
    <w:pPr>
      <w:keepNext/>
      <w:keepLines/>
      <w:spacing w:line="278" w:lineRule="auto"/>
      <w:jc w:val="left"/>
      <w:outlineLvl w:val="8"/>
    </w:pPr>
    <w:rPr>
      <w:rFonts w:eastAsiaTheme="majorEastAsia" w:cstheme="majorBidi"/>
      <w:color w:val="595959" w:themeColor="text1" w:themeTint="A6"/>
      <w:sz w:val="22"/>
      <w:szCs w:val="24"/>
      <w14:textFill>
        <w14:solidFill>
          <w14:schemeClr w14:val="tx1">
            <w14:lumMod w14:val="65000"/>
            <w14:lumOff w14:val="35000"/>
          </w14:schemeClr>
        </w14:solidFill>
      </w14:textFill>
      <w14:ligatures w14:val="standardContextual"/>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spacing w:after="0" w:line="240" w:lineRule="auto"/>
    </w:pPr>
    <w:rPr>
      <w:rFonts w:ascii="宋体" w:hAnsi="@文星楷体" w:eastAsia="宋体" w:cs="宋体"/>
      <w:color w:val="000000"/>
      <w:kern w:val="0"/>
      <w:sz w:val="24"/>
      <w:szCs w:val="24"/>
      <w:lang w:val="en-US" w:eastAsia="zh-CN" w:bidi="ar-SA"/>
      <w14:ligatures w14:val="none"/>
    </w:rPr>
  </w:style>
  <w:style w:type="paragraph" w:styleId="12">
    <w:name w:val="footer"/>
    <w:basedOn w:val="1"/>
    <w:link w:val="37"/>
    <w:unhideWhenUsed/>
    <w:qFormat/>
    <w:uiPriority w:val="99"/>
    <w:pPr>
      <w:tabs>
        <w:tab w:val="center" w:pos="4153"/>
        <w:tab w:val="right" w:pos="8306"/>
      </w:tabs>
      <w:snapToGrid w:val="0"/>
      <w:spacing w:after="160"/>
      <w:jc w:val="left"/>
    </w:pPr>
    <w:rPr>
      <w:sz w:val="18"/>
      <w:szCs w:val="18"/>
      <w14:ligatures w14:val="standardContextual"/>
    </w:rPr>
  </w:style>
  <w:style w:type="paragraph" w:styleId="13">
    <w:name w:val="header"/>
    <w:basedOn w:val="1"/>
    <w:link w:val="36"/>
    <w:unhideWhenUsed/>
    <w:qFormat/>
    <w:uiPriority w:val="99"/>
    <w:pPr>
      <w:tabs>
        <w:tab w:val="center" w:pos="4153"/>
        <w:tab w:val="right" w:pos="8306"/>
      </w:tabs>
      <w:snapToGrid w:val="0"/>
      <w:spacing w:after="160"/>
      <w:jc w:val="center"/>
    </w:pPr>
    <w:rPr>
      <w:sz w:val="18"/>
      <w:szCs w:val="18"/>
      <w14:ligatures w14:val="standardContextual"/>
    </w:rPr>
  </w:style>
  <w:style w:type="paragraph" w:styleId="14">
    <w:name w:val="Subtitle"/>
    <w:basedOn w:val="1"/>
    <w:next w:val="1"/>
    <w:link w:val="28"/>
    <w:qFormat/>
    <w:uiPriority w:val="11"/>
    <w:pPr>
      <w:spacing w:after="160" w:line="278" w:lineRule="auto"/>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14:ligatures w14:val="standardContextual"/>
    </w:rPr>
  </w:style>
  <w:style w:type="paragraph" w:styleId="15">
    <w:name w:val="Title"/>
    <w:basedOn w:val="1"/>
    <w:next w:val="1"/>
    <w:link w:val="27"/>
    <w:qFormat/>
    <w:uiPriority w:val="10"/>
    <w:pPr>
      <w:spacing w:after="80"/>
      <w:contextualSpacing/>
      <w:jc w:val="center"/>
    </w:pPr>
    <w:rPr>
      <w:rFonts w:asciiTheme="majorHAnsi" w:hAnsiTheme="majorHAnsi" w:eastAsiaTheme="majorEastAsia" w:cstheme="majorBidi"/>
      <w:spacing w:val="-10"/>
      <w:kern w:val="28"/>
      <w:sz w:val="56"/>
      <w:szCs w:val="56"/>
      <w14:ligatures w14:val="standardContextual"/>
    </w:rPr>
  </w:style>
  <w:style w:type="character" w:customStyle="1" w:styleId="18">
    <w:name w:val="标题 1 字符"/>
    <w:basedOn w:val="17"/>
    <w:link w:val="3"/>
    <w:qFormat/>
    <w:uiPriority w:val="9"/>
    <w:rPr>
      <w:rFonts w:asciiTheme="majorHAnsi" w:hAnsiTheme="majorHAnsi" w:eastAsiaTheme="majorEastAsia" w:cstheme="majorBidi"/>
      <w:color w:val="104862" w:themeColor="accent1" w:themeShade="BF"/>
      <w:sz w:val="48"/>
      <w:szCs w:val="48"/>
    </w:rPr>
  </w:style>
  <w:style w:type="character" w:customStyle="1" w:styleId="19">
    <w:name w:val="标题 2 字符"/>
    <w:basedOn w:val="17"/>
    <w:link w:val="4"/>
    <w:semiHidden/>
    <w:qFormat/>
    <w:uiPriority w:val="9"/>
    <w:rPr>
      <w:rFonts w:asciiTheme="majorHAnsi" w:hAnsiTheme="majorHAnsi" w:eastAsiaTheme="majorEastAsia" w:cstheme="majorBidi"/>
      <w:color w:val="104862" w:themeColor="accent1" w:themeShade="BF"/>
      <w:sz w:val="40"/>
      <w:szCs w:val="40"/>
    </w:rPr>
  </w:style>
  <w:style w:type="character" w:customStyle="1" w:styleId="20">
    <w:name w:val="标题 3 字符"/>
    <w:basedOn w:val="17"/>
    <w:link w:val="5"/>
    <w:semiHidden/>
    <w:qFormat/>
    <w:uiPriority w:val="9"/>
    <w:rPr>
      <w:rFonts w:asciiTheme="majorHAnsi" w:hAnsiTheme="majorHAnsi" w:eastAsiaTheme="majorEastAsia" w:cstheme="majorBidi"/>
      <w:color w:val="104862" w:themeColor="accent1" w:themeShade="BF"/>
      <w:sz w:val="32"/>
      <w:szCs w:val="32"/>
    </w:rPr>
  </w:style>
  <w:style w:type="character" w:customStyle="1" w:styleId="21">
    <w:name w:val="标题 4 字符"/>
    <w:basedOn w:val="17"/>
    <w:link w:val="6"/>
    <w:semiHidden/>
    <w:qFormat/>
    <w:uiPriority w:val="9"/>
    <w:rPr>
      <w:rFonts w:cstheme="majorBidi"/>
      <w:color w:val="104862" w:themeColor="accent1" w:themeShade="BF"/>
      <w:sz w:val="28"/>
      <w:szCs w:val="28"/>
    </w:rPr>
  </w:style>
  <w:style w:type="character" w:customStyle="1" w:styleId="22">
    <w:name w:val="标题 5 字符"/>
    <w:basedOn w:val="17"/>
    <w:link w:val="7"/>
    <w:semiHidden/>
    <w:qFormat/>
    <w:uiPriority w:val="9"/>
    <w:rPr>
      <w:rFonts w:cstheme="majorBidi"/>
      <w:color w:val="104862" w:themeColor="accent1" w:themeShade="BF"/>
      <w:sz w:val="24"/>
    </w:rPr>
  </w:style>
  <w:style w:type="character" w:customStyle="1" w:styleId="23">
    <w:name w:val="标题 6 字符"/>
    <w:basedOn w:val="17"/>
    <w:link w:val="8"/>
    <w:semiHidden/>
    <w:qFormat/>
    <w:uiPriority w:val="9"/>
    <w:rPr>
      <w:rFonts w:cstheme="majorBidi"/>
      <w:b/>
      <w:bCs/>
      <w:color w:val="104862" w:themeColor="accent1" w:themeShade="BF"/>
    </w:rPr>
  </w:style>
  <w:style w:type="character" w:customStyle="1" w:styleId="24">
    <w:name w:val="标题 7 字符"/>
    <w:basedOn w:val="17"/>
    <w:link w:val="9"/>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5">
    <w:name w:val="标题 8 字符"/>
    <w:basedOn w:val="17"/>
    <w:link w:val="10"/>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6">
    <w:name w:val="标题 9 字符"/>
    <w:basedOn w:val="17"/>
    <w:link w:val="11"/>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7">
    <w:name w:val="标题 字符"/>
    <w:basedOn w:val="17"/>
    <w:link w:val="15"/>
    <w:qFormat/>
    <w:uiPriority w:val="10"/>
    <w:rPr>
      <w:rFonts w:asciiTheme="majorHAnsi" w:hAnsiTheme="majorHAnsi" w:eastAsiaTheme="majorEastAsia" w:cstheme="majorBidi"/>
      <w:spacing w:val="-10"/>
      <w:kern w:val="28"/>
      <w:sz w:val="56"/>
      <w:szCs w:val="56"/>
    </w:rPr>
  </w:style>
  <w:style w:type="character" w:customStyle="1" w:styleId="28">
    <w:name w:val="副标题 字符"/>
    <w:basedOn w:val="17"/>
    <w:link w:val="14"/>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9">
    <w:name w:val="Quote"/>
    <w:basedOn w:val="1"/>
    <w:next w:val="1"/>
    <w:link w:val="30"/>
    <w:qFormat/>
    <w:uiPriority w:val="29"/>
    <w:pPr>
      <w:spacing w:before="160" w:after="160" w:line="278" w:lineRule="auto"/>
      <w:jc w:val="center"/>
    </w:pPr>
    <w:rPr>
      <w:i/>
      <w:iCs/>
      <w:color w:val="404040" w:themeColor="text1" w:themeTint="BF"/>
      <w:sz w:val="22"/>
      <w:szCs w:val="24"/>
      <w14:textFill>
        <w14:solidFill>
          <w14:schemeClr w14:val="tx1">
            <w14:lumMod w14:val="75000"/>
            <w14:lumOff w14:val="25000"/>
          </w14:schemeClr>
        </w14:solidFill>
      </w14:textFill>
      <w14:ligatures w14:val="standardContextual"/>
    </w:rPr>
  </w:style>
  <w:style w:type="character" w:customStyle="1" w:styleId="30">
    <w:name w:val="引用 字符"/>
    <w:basedOn w:val="17"/>
    <w:link w:val="29"/>
    <w:qFormat/>
    <w:uiPriority w:val="29"/>
    <w:rPr>
      <w:i/>
      <w:iCs/>
      <w:color w:val="404040" w:themeColor="text1" w:themeTint="BF"/>
      <w14:textFill>
        <w14:solidFill>
          <w14:schemeClr w14:val="tx1">
            <w14:lumMod w14:val="75000"/>
            <w14:lumOff w14:val="25000"/>
          </w14:schemeClr>
        </w14:solidFill>
      </w14:textFill>
    </w:rPr>
  </w:style>
  <w:style w:type="paragraph" w:styleId="31">
    <w:name w:val="List Paragraph"/>
    <w:basedOn w:val="1"/>
    <w:qFormat/>
    <w:uiPriority w:val="34"/>
    <w:pPr>
      <w:spacing w:after="160" w:line="278" w:lineRule="auto"/>
      <w:ind w:left="720"/>
      <w:contextualSpacing/>
      <w:jc w:val="left"/>
    </w:pPr>
    <w:rPr>
      <w:sz w:val="22"/>
      <w:szCs w:val="24"/>
      <w14:ligatures w14:val="standardContextual"/>
    </w:rPr>
  </w:style>
  <w:style w:type="character" w:customStyle="1" w:styleId="32">
    <w:name w:val="Intense Emphasis"/>
    <w:basedOn w:val="17"/>
    <w:qFormat/>
    <w:uiPriority w:val="21"/>
    <w:rPr>
      <w:i/>
      <w:iCs/>
      <w:color w:val="104862" w:themeColor="accent1" w:themeShade="BF"/>
    </w:rPr>
  </w:style>
  <w:style w:type="paragraph" w:styleId="33">
    <w:name w:val="Intense Quote"/>
    <w:basedOn w:val="1"/>
    <w:next w:val="1"/>
    <w:link w:val="34"/>
    <w:qFormat/>
    <w:uiPriority w:val="30"/>
    <w:pPr>
      <w:pBdr>
        <w:top w:val="single" w:color="0F4761" w:themeColor="accent1" w:themeShade="BF" w:sz="4" w:space="10"/>
        <w:bottom w:val="single" w:color="0F4761" w:themeColor="accent1" w:themeShade="BF" w:sz="4" w:space="10"/>
      </w:pBdr>
      <w:spacing w:before="360" w:after="360" w:line="278" w:lineRule="auto"/>
      <w:ind w:left="864" w:right="864"/>
      <w:jc w:val="center"/>
    </w:pPr>
    <w:rPr>
      <w:i/>
      <w:iCs/>
      <w:color w:val="104862" w:themeColor="accent1" w:themeShade="BF"/>
      <w:sz w:val="22"/>
      <w:szCs w:val="24"/>
      <w14:ligatures w14:val="standardContextual"/>
    </w:rPr>
  </w:style>
  <w:style w:type="character" w:customStyle="1" w:styleId="34">
    <w:name w:val="明显引用 字符"/>
    <w:basedOn w:val="17"/>
    <w:link w:val="33"/>
    <w:qFormat/>
    <w:uiPriority w:val="30"/>
    <w:rPr>
      <w:i/>
      <w:iCs/>
      <w:color w:val="104862" w:themeColor="accent1" w:themeShade="BF"/>
    </w:rPr>
  </w:style>
  <w:style w:type="character" w:customStyle="1" w:styleId="35">
    <w:name w:val="Intense Reference"/>
    <w:basedOn w:val="17"/>
    <w:qFormat/>
    <w:uiPriority w:val="32"/>
    <w:rPr>
      <w:b/>
      <w:bCs/>
      <w:smallCaps/>
      <w:color w:val="104862" w:themeColor="accent1" w:themeShade="BF"/>
      <w:spacing w:val="5"/>
    </w:rPr>
  </w:style>
  <w:style w:type="character" w:customStyle="1" w:styleId="36">
    <w:name w:val="页眉 字符"/>
    <w:basedOn w:val="17"/>
    <w:link w:val="13"/>
    <w:qFormat/>
    <w:uiPriority w:val="99"/>
    <w:rPr>
      <w:sz w:val="18"/>
      <w:szCs w:val="18"/>
    </w:rPr>
  </w:style>
  <w:style w:type="character" w:customStyle="1" w:styleId="37">
    <w:name w:val="页脚 字符"/>
    <w:basedOn w:val="17"/>
    <w:link w:val="12"/>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2654</Words>
  <Characters>2861</Characters>
  <Lines>21</Lines>
  <Paragraphs>6</Paragraphs>
  <TotalTime>8</TotalTime>
  <ScaleCrop>false</ScaleCrop>
  <LinksUpToDate>false</LinksUpToDate>
  <CharactersWithSpaces>2862</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2024-09-18T01:26:00Z</dcterms:created>
  <dc:creator>泽冬 廖</dc:creator>
  <cp:lastModifiedBy>纯</cp:lastModifiedBy>
  <cp:lastPrinted>2024-09-18T08:38:00Z</cp:lastPrinted>
  <dcterms:modified xsi:type="dcterms:W3CDTF">2024-09-18T09:15:22Z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8E8B07BB1E934795A31ED8F44F735471_12</vt:lpwstr>
  </property>
</Properties>
</file>