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622E6">
      <w:pPr>
        <w:rPr>
          <w:color w:val="000000" w:themeColor="text1"/>
          <w14:textFill>
            <w14:solidFill>
              <w14:schemeClr w14:val="tx1"/>
            </w14:solidFill>
          </w14:textFill>
        </w:rPr>
      </w:pPr>
    </w:p>
    <w:p w14:paraId="53984FC1">
      <w:pPr>
        <w:pStyle w:val="5"/>
        <w:spacing w:before="0" w:after="0" w:line="240" w:lineRule="auto"/>
        <w:ind w:left="0" w:firstLine="0"/>
        <w:rPr>
          <w:color w:val="000000" w:themeColor="text1"/>
          <w14:textFill>
            <w14:solidFill>
              <w14:schemeClr w14:val="tx1"/>
            </w14:solidFill>
          </w14:textFill>
        </w:rPr>
      </w:pPr>
    </w:p>
    <w:p w14:paraId="1B04C69D">
      <w:pPr>
        <w:jc w:val="both"/>
        <w:rPr>
          <w:rFonts w:ascii="方正小标宋简体" w:eastAsia="方正小标宋简体"/>
          <w:color w:val="000000" w:themeColor="text1"/>
          <w:sz w:val="24"/>
          <w14:textFill>
            <w14:solidFill>
              <w14:schemeClr w14:val="tx1"/>
            </w14:solidFill>
          </w14:textFill>
        </w:rPr>
      </w:pPr>
    </w:p>
    <w:p w14:paraId="0D6A2BE5">
      <w:pPr>
        <w:widowControl/>
        <w:adjustRightInd w:val="0"/>
        <w:snapToGrid w:val="0"/>
        <w:spacing w:after="200"/>
        <w:ind w:firstLine="629"/>
        <w:jc w:val="right"/>
        <w:rPr>
          <w:rFonts w:hint="eastAsia" w:ascii="仿宋_GB2312" w:hAnsi="仿宋_GB2312" w:cs="仿宋_GB2312"/>
          <w:color w:val="000000" w:themeColor="text1"/>
          <w:kern w:val="0"/>
          <w:szCs w:val="32"/>
          <w14:textFill>
            <w14:solidFill>
              <w14:schemeClr w14:val="tx1"/>
            </w14:solidFill>
          </w14:textFill>
        </w:rPr>
      </w:pPr>
      <w:r>
        <w:rPr>
          <w:rFonts w:hint="eastAsia" w:ascii="仿宋_GB2312"/>
          <w:color w:val="000000" w:themeColor="text1"/>
          <w:sz w:val="24"/>
          <w14:textFill>
            <w14:solidFill>
              <w14:schemeClr w14:val="tx1"/>
            </w14:solidFill>
          </w14:textFill>
        </w:rPr>
        <w:t xml:space="preserve">                                 </w:t>
      </w:r>
      <w:r>
        <w:rPr>
          <w:rFonts w:hint="eastAsia" w:ascii="仿宋_GB2312" w:hAnsi="仿宋_GB2312" w:cs="仿宋_GB2312"/>
          <w:color w:val="000000" w:themeColor="text1"/>
          <w:kern w:val="0"/>
          <w:sz w:val="32"/>
          <w:szCs w:val="32"/>
          <w14:textFill>
            <w14:solidFill>
              <w14:schemeClr w14:val="tx1"/>
            </w14:solidFill>
          </w14:textFill>
        </w:rPr>
        <w:t>益高</w:t>
      </w:r>
      <w:bookmarkStart w:id="0" w:name="_GoBack"/>
      <w:r>
        <w:rPr>
          <w:rFonts w:hint="eastAsia" w:ascii="仿宋_GB2312" w:hAnsi="仿宋_GB2312" w:cs="仿宋_GB2312"/>
          <w:color w:val="000000" w:themeColor="text1"/>
          <w:kern w:val="0"/>
          <w:sz w:val="32"/>
          <w:szCs w:val="32"/>
          <w14:textFill>
            <w14:solidFill>
              <w14:schemeClr w14:val="tx1"/>
            </w14:solidFill>
          </w14:textFill>
        </w:rPr>
        <w:t>环评</w:t>
      </w:r>
      <w:bookmarkEnd w:id="0"/>
      <w:r>
        <w:rPr>
          <w:rFonts w:hint="eastAsia" w:ascii="仿宋_GB2312" w:hAnsi="仿宋_GB2312" w:cs="仿宋_GB2312"/>
          <w:color w:val="000000" w:themeColor="text1"/>
          <w:kern w:val="0"/>
          <w:sz w:val="32"/>
          <w:szCs w:val="32"/>
          <w14:textFill>
            <w14:solidFill>
              <w14:schemeClr w14:val="tx1"/>
            </w14:solidFill>
          </w14:textFill>
        </w:rPr>
        <w:t>表〔2026〕</w:t>
      </w:r>
      <w:r>
        <w:rPr>
          <w:rFonts w:hint="eastAsia" w:ascii="仿宋_GB2312" w:hAnsi="仿宋_GB2312" w:cs="仿宋_GB2312"/>
          <w:sz w:val="32"/>
          <w:szCs w:val="32"/>
          <w:lang w:val="en-US" w:eastAsia="zh-CN"/>
        </w:rPr>
        <w:t>3</w:t>
      </w:r>
      <w:r>
        <w:rPr>
          <w:rFonts w:hint="eastAsia" w:ascii="仿宋_GB2312" w:hAnsi="仿宋_GB2312" w:cs="仿宋_GB2312"/>
          <w:color w:val="000000" w:themeColor="text1"/>
          <w:kern w:val="0"/>
          <w:sz w:val="32"/>
          <w:szCs w:val="32"/>
          <w14:textFill>
            <w14:solidFill>
              <w14:schemeClr w14:val="tx1"/>
            </w14:solidFill>
          </w14:textFill>
        </w:rPr>
        <w:t>号</w:t>
      </w:r>
    </w:p>
    <w:p w14:paraId="631D8784">
      <w:pPr>
        <w:pStyle w:val="5"/>
        <w:ind w:left="0" w:firstLine="0"/>
        <w:rPr>
          <w:color w:val="000000" w:themeColor="text1"/>
          <w14:textFill>
            <w14:solidFill>
              <w14:schemeClr w14:val="tx1"/>
            </w14:solidFill>
          </w14:textFill>
        </w:rPr>
      </w:pPr>
    </w:p>
    <w:p w14:paraId="298481BC">
      <w:pPr>
        <w:tabs>
          <w:tab w:val="left" w:pos="6240"/>
        </w:tabs>
        <w:spacing w:line="560" w:lineRule="exact"/>
        <w:jc w:val="center"/>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益阳市生态环境局</w:t>
      </w:r>
    </w:p>
    <w:p w14:paraId="4A6E635E">
      <w:pPr>
        <w:tabs>
          <w:tab w:val="left" w:pos="6240"/>
        </w:tabs>
        <w:spacing w:line="560" w:lineRule="exact"/>
        <w:jc w:val="center"/>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关于</w:t>
      </w:r>
      <w:r>
        <w:rPr>
          <w:rFonts w:hint="eastAsia" w:eastAsia="方正小标宋简体"/>
          <w:color w:val="000000" w:themeColor="text1"/>
          <w:sz w:val="44"/>
          <w:szCs w:val="44"/>
          <w14:textFill>
            <w14:solidFill>
              <w14:schemeClr w14:val="tx1"/>
            </w14:solidFill>
          </w14:textFill>
        </w:rPr>
        <w:t>湖南卓舜电子科技有限公司硬质合金刀柄生产建设项目</w:t>
      </w:r>
      <w:r>
        <w:rPr>
          <w:rFonts w:eastAsia="方正小标宋简体"/>
          <w:color w:val="000000" w:themeColor="text1"/>
          <w:sz w:val="44"/>
          <w:szCs w:val="44"/>
          <w14:textFill>
            <w14:solidFill>
              <w14:schemeClr w14:val="tx1"/>
            </w14:solidFill>
          </w14:textFill>
        </w:rPr>
        <w:t>环境影响报告</w:t>
      </w:r>
      <w:r>
        <w:rPr>
          <w:rFonts w:hint="eastAsia" w:eastAsia="方正小标宋简体"/>
          <w:color w:val="000000" w:themeColor="text1"/>
          <w:sz w:val="44"/>
          <w:szCs w:val="44"/>
          <w14:textFill>
            <w14:solidFill>
              <w14:schemeClr w14:val="tx1"/>
            </w14:solidFill>
          </w14:textFill>
        </w:rPr>
        <w:t>表</w:t>
      </w:r>
      <w:r>
        <w:rPr>
          <w:rFonts w:eastAsia="方正小标宋简体"/>
          <w:color w:val="000000" w:themeColor="text1"/>
          <w:sz w:val="44"/>
          <w:szCs w:val="44"/>
          <w14:textFill>
            <w14:solidFill>
              <w14:schemeClr w14:val="tx1"/>
            </w14:solidFill>
          </w14:textFill>
        </w:rPr>
        <w:t>的批复</w:t>
      </w:r>
    </w:p>
    <w:p w14:paraId="65686C06">
      <w:pPr>
        <w:jc w:val="center"/>
        <w:rPr>
          <w:rFonts w:eastAsia="黑体"/>
          <w:color w:val="000000" w:themeColor="text1"/>
          <w:sz w:val="36"/>
          <w:szCs w:val="36"/>
          <w14:textFill>
            <w14:solidFill>
              <w14:schemeClr w14:val="tx1"/>
            </w14:solidFill>
          </w14:textFill>
        </w:rPr>
      </w:pPr>
    </w:p>
    <w:p w14:paraId="2A24C592">
      <w:pPr>
        <w:keepNext w:val="0"/>
        <w:keepLines w:val="0"/>
        <w:pageBreakBefore w:val="0"/>
        <w:kinsoku/>
        <w:wordWrap/>
        <w:topLinePunct w:val="0"/>
        <w:bidi w:val="0"/>
        <w:spacing w:line="52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湖南卓舜电子科技有限公司：</w:t>
      </w:r>
    </w:p>
    <w:p w14:paraId="4047A4F4">
      <w:pPr>
        <w:keepNext w:val="0"/>
        <w:keepLines w:val="0"/>
        <w:pageBreakBefore w:val="0"/>
        <w:widowControl/>
        <w:kinsoku/>
        <w:wordWrap/>
        <w:topLinePunct w:val="0"/>
        <w:bidi w:val="0"/>
        <w:adjustRightInd w:val="0"/>
        <w:snapToGrid w:val="0"/>
        <w:spacing w:line="520" w:lineRule="exact"/>
        <w:ind w:firstLine="64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你公司关于《湖南卓舜电子科技有限公司硬质合金刀柄生产建设项目环境影响报告表》申请批复的报告及相关材料已收悉。经审查研究，批复如下：</w:t>
      </w:r>
    </w:p>
    <w:p w14:paraId="6CE11874">
      <w:pPr>
        <w:keepNext w:val="0"/>
        <w:keepLines w:val="0"/>
        <w:pageBreakBefore w:val="0"/>
        <w:numPr>
          <w:ilvl w:val="0"/>
          <w:numId w:val="1"/>
        </w:numPr>
        <w:kinsoku/>
        <w:wordWrap/>
        <w:topLinePunct w:val="0"/>
        <w:bidi w:val="0"/>
        <w:spacing w:line="52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湖南卓舜电子科技有限公司拟投资3000万元，在湖南省益阳高新区东部产业园D区D1栋第一层东头</w:t>
      </w:r>
      <w:r>
        <w:rPr>
          <w:rFonts w:hint="eastAsia" w:ascii="仿宋_GB2312" w:hAnsi="仿宋_GB2312" w:eastAsia="仿宋_GB2312" w:cs="仿宋_GB2312"/>
          <w:color w:val="000000" w:themeColor="text1"/>
          <w:spacing w:val="4"/>
          <w:sz w:val="32"/>
          <w:szCs w:val="32"/>
          <w14:textFill>
            <w14:solidFill>
              <w14:schemeClr w14:val="tx1"/>
            </w14:solidFill>
          </w14:textFill>
        </w:rPr>
        <w:t>建</w:t>
      </w:r>
      <w:r>
        <w:rPr>
          <w:rFonts w:hint="eastAsia" w:ascii="仿宋_GB2312" w:hAnsi="仿宋_GB2312" w:eastAsia="仿宋_GB2312" w:cs="仿宋_GB2312"/>
          <w:color w:val="000000" w:themeColor="text1"/>
          <w:kern w:val="0"/>
          <w:sz w:val="32"/>
          <w:szCs w:val="32"/>
          <w14:textFill>
            <w14:solidFill>
              <w14:schemeClr w14:val="tx1"/>
            </w14:solidFill>
          </w14:textFill>
        </w:rPr>
        <w:t>设硬质合金刀柄生产建设项目，</w:t>
      </w:r>
      <w:r>
        <w:rPr>
          <w:rFonts w:hint="eastAsia" w:ascii="仿宋_GB2312" w:hAnsi="仿宋_GB2312" w:eastAsia="仿宋_GB2312" w:cs="仿宋_GB2312"/>
          <w:color w:val="000000" w:themeColor="text1"/>
          <w:spacing w:val="4"/>
          <w:sz w:val="32"/>
          <w:szCs w:val="32"/>
          <w14:textFill>
            <w14:solidFill>
              <w14:schemeClr w14:val="tx1"/>
            </w14:solidFill>
          </w14:textFill>
        </w:rPr>
        <w:t>建筑面积</w:t>
      </w:r>
      <w:r>
        <w:rPr>
          <w:rFonts w:hint="eastAsia" w:ascii="仿宋_GB2312" w:hAnsi="仿宋_GB2312" w:eastAsia="仿宋_GB2312" w:cs="仿宋_GB2312"/>
          <w:color w:val="000000" w:themeColor="text1"/>
          <w:kern w:val="0"/>
          <w:sz w:val="32"/>
          <w:szCs w:val="32"/>
          <w14:textFill>
            <w14:solidFill>
              <w14:schemeClr w14:val="tx1"/>
            </w14:solidFill>
          </w14:textFill>
        </w:rPr>
        <w:t>5728㎡，</w:t>
      </w:r>
      <w:r>
        <w:rPr>
          <w:rFonts w:hint="eastAsia" w:ascii="仿宋_GB2312" w:hAnsi="仿宋_GB2312" w:cs="仿宋_GB2312"/>
          <w:color w:val="000000" w:themeColor="text1"/>
          <w:kern w:val="0"/>
          <w:szCs w:val="32"/>
          <w14:textFill>
            <w14:solidFill>
              <w14:schemeClr w14:val="tx1"/>
            </w14:solidFill>
          </w14:textFill>
        </w:rPr>
        <w:t>主要建设一条硬质合金刀柄生产线和一条半成品硬质合金刀头加工线、办公区、生活区等</w:t>
      </w:r>
      <w:r>
        <w:rPr>
          <w:rFonts w:hint="eastAsia" w:ascii="仿宋_GB2312" w:hAnsi="仿宋_GB2312" w:cs="仿宋_GB2312"/>
          <w:color w:val="000000" w:themeColor="text1"/>
          <w:spacing w:val="4"/>
          <w:szCs w:val="32"/>
          <w14:textFill>
            <w14:solidFill>
              <w14:schemeClr w14:val="tx1"/>
            </w14:solidFill>
          </w14:textFill>
        </w:rPr>
        <w:t>其他配套公辅设施及环保工程。项目建成后年产</w:t>
      </w:r>
      <w:r>
        <w:rPr>
          <w:rFonts w:hint="eastAsia" w:ascii="仿宋_GB2312" w:hAnsi="仿宋_GB2312" w:cs="仿宋_GB2312"/>
          <w:color w:val="000000" w:themeColor="text1"/>
          <w:kern w:val="0"/>
          <w:szCs w:val="32"/>
          <w14:textFill>
            <w14:solidFill>
              <w14:schemeClr w14:val="tx1"/>
            </w14:solidFill>
          </w14:textFill>
        </w:rPr>
        <w:t>硬质合金刀柄6亿支，年加工半成品硬质合金刀头0.25亿支。</w:t>
      </w:r>
    </w:p>
    <w:p w14:paraId="6612FC6C">
      <w:pPr>
        <w:keepNext w:val="0"/>
        <w:keepLines w:val="0"/>
        <w:pageBreakBefore w:val="0"/>
        <w:widowControl/>
        <w:kinsoku/>
        <w:wordWrap/>
        <w:topLinePunct w:val="0"/>
        <w:bidi w:val="0"/>
        <w:adjustRightInd w:val="0"/>
        <w:snapToGrid w:val="0"/>
        <w:spacing w:line="520" w:lineRule="exact"/>
        <w:ind w:firstLine="640"/>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项目符合国家产业政策，符合《湖南省“三线一单”生态环境总体管控要求暨省级以上产业园区生态环境准入清单》中益阳高新技术产业开发区生态环境准入清单要求。</w:t>
      </w:r>
      <w:r>
        <w:rPr>
          <w:rFonts w:hint="eastAsia" w:ascii="仿宋_GB2312" w:hAnsi="仿宋_GB2312" w:eastAsia="仿宋_GB2312" w:cs="仿宋_GB2312"/>
          <w:color w:val="000000" w:themeColor="text1"/>
          <w:kern w:val="0"/>
          <w:sz w:val="32"/>
          <w:szCs w:val="32"/>
          <w14:textFill>
            <w14:solidFill>
              <w14:schemeClr w14:val="tx1"/>
            </w14:solidFill>
          </w14:textFill>
        </w:rPr>
        <w:t>根据湖南中鉴生态环境科技有限公司编制的报告表的分析结论</w:t>
      </w:r>
      <w:r>
        <w:rPr>
          <w:rFonts w:hint="eastAsia" w:ascii="仿宋_GB2312" w:hAnsi="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在建设单位认真落实报告表和本批复提出的</w:t>
      </w:r>
      <w:r>
        <w:rPr>
          <w:rFonts w:hint="eastAsia" w:ascii="仿宋_GB2312" w:hAnsi="仿宋_GB2312" w:eastAsia="仿宋_GB2312" w:cs="仿宋_GB2312"/>
          <w:color w:val="000000" w:themeColor="text1"/>
          <w:spacing w:val="4"/>
          <w:sz w:val="32"/>
          <w:szCs w:val="32"/>
          <w14:textFill>
            <w14:solidFill>
              <w14:schemeClr w14:val="tx1"/>
            </w14:solidFill>
          </w14:textFill>
        </w:rPr>
        <w:t>各项生态环境保</w:t>
      </w:r>
    </w:p>
    <w:p w14:paraId="6FF9F3B5">
      <w:pPr>
        <w:keepNext w:val="0"/>
        <w:keepLines w:val="0"/>
        <w:pageBreakBefore w:val="0"/>
        <w:widowControl/>
        <w:kinsoku/>
        <w:wordWrap/>
        <w:topLinePunct w:val="0"/>
        <w:bidi w:val="0"/>
        <w:adjustRightInd w:val="0"/>
        <w:snapToGrid w:val="0"/>
        <w:spacing w:line="520" w:lineRule="exact"/>
        <w:rPr>
          <w:rFonts w:hint="eastAsia" w:ascii="仿宋_GB2312" w:hAnsi="仿宋_GB2312" w:eastAsia="仿宋_GB2312" w:cs="仿宋_GB2312"/>
          <w:color w:val="000000" w:themeColor="text1"/>
          <w:spacing w:val="4"/>
          <w:sz w:val="32"/>
          <w:szCs w:val="32"/>
          <w14:textFill>
            <w14:solidFill>
              <w14:schemeClr w14:val="tx1"/>
            </w14:solidFill>
          </w14:textFill>
        </w:rPr>
        <w:sectPr>
          <w:pgSz w:w="11906" w:h="16838"/>
          <w:pgMar w:top="1701" w:right="1701" w:bottom="1701" w:left="1701" w:header="851" w:footer="992" w:gutter="0"/>
          <w:pgNumType w:fmt="decimal" w:start="2"/>
          <w:cols w:space="425" w:num="1"/>
          <w:docGrid w:type="lines" w:linePitch="312" w:charSpace="0"/>
        </w:sectPr>
      </w:pPr>
    </w:p>
    <w:p w14:paraId="5AE75BC0">
      <w:pPr>
        <w:keepNext w:val="0"/>
        <w:keepLines w:val="0"/>
        <w:pageBreakBefore w:val="0"/>
        <w:widowControl/>
        <w:kinsoku/>
        <w:wordWrap/>
        <w:topLinePunct w:val="0"/>
        <w:bidi w:val="0"/>
        <w:adjustRightInd w:val="0"/>
        <w:snapToGrid w:val="0"/>
        <w:spacing w:line="520" w:lineRule="exac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护措施，确保各类污染物稳定达标排放的前提下，</w:t>
      </w:r>
      <w:r>
        <w:rPr>
          <w:rFonts w:hint="eastAsia" w:ascii="仿宋_GB2312" w:hAnsi="仿宋_GB2312" w:eastAsia="仿宋_GB2312" w:cs="仿宋_GB2312"/>
          <w:color w:val="000000" w:themeColor="text1"/>
          <w:kern w:val="0"/>
          <w:sz w:val="32"/>
          <w:szCs w:val="32"/>
          <w14:textFill>
            <w14:solidFill>
              <w14:schemeClr w14:val="tx1"/>
            </w14:solidFill>
          </w14:textFill>
        </w:rPr>
        <w:t>我局原则同意湖南卓舜电子科技有限公司硬质合金刀柄生产建设项目的选址及建设。</w:t>
      </w:r>
    </w:p>
    <w:p w14:paraId="4E61A375">
      <w:pPr>
        <w:keepNext w:val="0"/>
        <w:keepLines w:val="0"/>
        <w:pageBreakBefore w:val="0"/>
        <w:widowControl/>
        <w:kinsoku/>
        <w:wordWrap/>
        <w:topLinePunct w:val="0"/>
        <w:bidi w:val="0"/>
        <w:adjustRightInd w:val="0"/>
        <w:snapToGrid w:val="0"/>
        <w:spacing w:line="520" w:lineRule="exact"/>
        <w:ind w:firstLine="640"/>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二、你公司在工程设计、建设和运营管理中，必须落实环评提出的各项污染防治和风险防范措施要求，着重做好以下工作：</w:t>
      </w:r>
    </w:p>
    <w:p w14:paraId="6301AE74">
      <w:pPr>
        <w:keepNext w:val="0"/>
        <w:keepLines w:val="0"/>
        <w:pageBreakBefore w:val="0"/>
        <w:kinsoku/>
        <w:wordWrap/>
        <w:topLinePunct w:val="0"/>
        <w:bidi w:val="0"/>
        <w:spacing w:line="520" w:lineRule="exact"/>
        <w:ind w:firstLine="656" w:firstLineChars="200"/>
        <w:rPr>
          <w:color w:val="000000" w:themeColor="text1"/>
          <w:kern w:val="0"/>
          <w:szCs w:val="32"/>
          <w14:textFill>
            <w14:solidFill>
              <w14:schemeClr w14:val="tx1"/>
            </w14:solidFill>
          </w14:textFill>
        </w:rPr>
      </w:pPr>
      <w:r>
        <w:rPr>
          <w:rFonts w:eastAsia="楷体_GB2312"/>
          <w:color w:val="000000" w:themeColor="text1"/>
          <w:spacing w:val="4"/>
          <w:szCs w:val="32"/>
          <w14:textFill>
            <w14:solidFill>
              <w14:schemeClr w14:val="tx1"/>
            </w14:solidFill>
          </w14:textFill>
        </w:rPr>
        <w:t>（一）严格履行建设单位的环保主体责任</w:t>
      </w:r>
      <w:r>
        <w:rPr>
          <w:rFonts w:eastAsia="楷体_GB2312"/>
          <w:color w:val="000000"/>
          <w:spacing w:val="4"/>
          <w:szCs w:val="32"/>
        </w:rPr>
        <w:t>，加强环境管理</w:t>
      </w:r>
      <w:r>
        <w:rPr>
          <w:rFonts w:eastAsia="楷体_GB2312"/>
          <w:color w:val="000000" w:themeColor="text1"/>
          <w:spacing w:val="4"/>
          <w:szCs w:val="32"/>
          <w14:textFill>
            <w14:solidFill>
              <w14:schemeClr w14:val="tx1"/>
            </w14:solidFill>
          </w14:textFill>
        </w:rPr>
        <w:t>。</w:t>
      </w:r>
      <w:r>
        <w:rPr>
          <w:rFonts w:hint="eastAsia" w:ascii="仿宋_GB2312" w:hAnsi="仿宋_GB2312" w:eastAsia="仿宋_GB2312" w:cs="仿宋_GB2312"/>
          <w:color w:val="000000" w:themeColor="text1"/>
          <w:spacing w:val="4"/>
          <w:sz w:val="32"/>
          <w:szCs w:val="32"/>
          <w14:textFill>
            <w14:solidFill>
              <w14:schemeClr w14:val="tx1"/>
            </w14:solidFill>
          </w14:textFill>
        </w:rPr>
        <w:t>建立健全环保规章制度和岗位责任制，配备专职或兼职环保管理人员；加强</w:t>
      </w:r>
      <w:r>
        <w:rPr>
          <w:rFonts w:hint="eastAsia" w:ascii="仿宋_GB2312" w:hAnsi="仿宋_GB2312" w:eastAsia="仿宋_GB2312" w:cs="仿宋_GB2312"/>
          <w:color w:val="000000" w:themeColor="text1"/>
          <w:kern w:val="0"/>
          <w:sz w:val="32"/>
          <w:szCs w:val="32"/>
          <w14:textFill>
            <w14:solidFill>
              <w14:schemeClr w14:val="tx1"/>
            </w14:solidFill>
          </w14:textFill>
        </w:rPr>
        <w:t>生</w:t>
      </w:r>
      <w:r>
        <w:rPr>
          <w:rFonts w:hint="eastAsia" w:ascii="仿宋_GB2312" w:hAnsi="仿宋_GB2312" w:eastAsia="仿宋_GB2312" w:cs="仿宋_GB2312"/>
          <w:color w:val="000000" w:themeColor="text1"/>
          <w:spacing w:val="4"/>
          <w:sz w:val="32"/>
          <w:szCs w:val="32"/>
          <w14:textFill>
            <w14:solidFill>
              <w14:schemeClr w14:val="tx1"/>
            </w14:solidFill>
          </w14:textFill>
        </w:rPr>
        <w:t>产台账和环保台账的登记管理，做到有据可查；定期对污染防治设施进行检查和维修，确保环保设施稳定正常运行和污染物稳定达标排放；根据《湖南省突发环境事件应急预案管理办法（修订版）》（湘环发〔2024〕49 号）的要求进行应急预案管理，落实事故风险防范措施，切实防范各类环境风险事故。</w:t>
      </w:r>
    </w:p>
    <w:p w14:paraId="509F60B1">
      <w:pPr>
        <w:keepNext w:val="0"/>
        <w:keepLines w:val="0"/>
        <w:pageBreakBefore w:val="0"/>
        <w:kinsoku/>
        <w:wordWrap/>
        <w:topLinePunct w:val="0"/>
        <w:bidi w:val="0"/>
        <w:spacing w:line="520" w:lineRule="exact"/>
        <w:ind w:firstLine="656" w:firstLineChars="200"/>
        <w:rPr>
          <w:rFonts w:hint="eastAsia" w:ascii="仿宋_GB2312" w:hAnsi="仿宋_GB2312" w:eastAsia="仿宋_GB2312" w:cs="仿宋_GB2312"/>
          <w:color w:val="000000" w:themeColor="text1"/>
          <w:kern w:val="0"/>
          <w:szCs w:val="32"/>
          <w14:textFill>
            <w14:solidFill>
              <w14:schemeClr w14:val="tx1"/>
            </w14:solidFill>
          </w14:textFill>
        </w:rPr>
      </w:pPr>
      <w:r>
        <w:rPr>
          <w:rFonts w:eastAsia="楷体"/>
          <w:color w:val="000000" w:themeColor="text1"/>
          <w:spacing w:val="4"/>
          <w:szCs w:val="32"/>
          <w14:textFill>
            <w14:solidFill>
              <w14:schemeClr w14:val="tx1"/>
            </w14:solidFill>
          </w14:textFill>
        </w:rPr>
        <w:t>（二）</w:t>
      </w:r>
      <w:r>
        <w:rPr>
          <w:rFonts w:eastAsia="楷体_GB2312"/>
          <w:color w:val="000000" w:themeColor="text1"/>
          <w:spacing w:val="4"/>
          <w:szCs w:val="32"/>
          <w14:textFill>
            <w14:solidFill>
              <w14:schemeClr w14:val="tx1"/>
            </w14:solidFill>
          </w14:textFill>
        </w:rPr>
        <w:t>落实大气污染防治措施。</w:t>
      </w:r>
      <w:r>
        <w:rPr>
          <w:rFonts w:hint="eastAsia" w:ascii="仿宋_GB2312" w:hAnsi="仿宋_GB2312" w:cs="仿宋_GB2312"/>
          <w:color w:val="000000" w:themeColor="text1"/>
          <w:spacing w:val="4"/>
          <w:szCs w:val="32"/>
          <w14:textFill>
            <w14:solidFill>
              <w14:schemeClr w14:val="tx1"/>
            </w14:solidFill>
          </w14:textFill>
        </w:rPr>
        <w:t>项目生产过程产生的油雾废气通过集气罩收集后经油雾净化+活性炭吸附装置处理后通过2</w:t>
      </w:r>
      <w:r>
        <w:rPr>
          <w:rFonts w:hint="eastAsia" w:ascii="仿宋_GB2312" w:hAnsi="仿宋_GB2312" w:cs="仿宋_GB2312"/>
          <w:color w:val="000000" w:themeColor="text1"/>
          <w:spacing w:val="4"/>
          <w:szCs w:val="32"/>
          <w:lang w:val="en-US" w:eastAsia="zh-CN"/>
          <w14:textFill>
            <w14:solidFill>
              <w14:schemeClr w14:val="tx1"/>
            </w14:solidFill>
          </w14:textFill>
        </w:rPr>
        <w:t>0</w:t>
      </w:r>
      <w:r>
        <w:rPr>
          <w:rFonts w:hint="eastAsia" w:ascii="仿宋_GB2312" w:hAnsi="仿宋_GB2312" w:cs="仿宋_GB2312"/>
          <w:color w:val="000000" w:themeColor="text1"/>
          <w:spacing w:val="4"/>
          <w:szCs w:val="32"/>
          <w14:textFill>
            <w14:solidFill>
              <w14:schemeClr w14:val="tx1"/>
            </w14:solidFill>
          </w14:textFill>
        </w:rPr>
        <w:t>米高的排气筒（DA001）排放，</w:t>
      </w:r>
      <w:r>
        <w:rPr>
          <w:rFonts w:hint="eastAsia" w:ascii="仿宋_GB2312" w:hAnsi="仿宋_GB2312" w:eastAsia="仿宋_GB2312" w:cs="仿宋_GB2312"/>
          <w:color w:val="000000" w:themeColor="text1"/>
          <w:spacing w:val="4"/>
          <w:szCs w:val="32"/>
          <w14:textFill>
            <w14:solidFill>
              <w14:schemeClr w14:val="tx1"/>
            </w14:solidFill>
          </w14:textFill>
        </w:rPr>
        <w:t>外排非甲烷总烃满足《工业企业挥发性有机物排放标准》（DB43/3550-2026）表1 其他行业最高允许排放浓度，无组织排放的非甲烷总烃、颗粒物满足《大气污染物综合排放标准》（GB16297-1996）表2的无组织监控浓度限值要求；厂区内VOCs满足《工业企业挥发性有机物排放标准》（DB43/3550-2026）表2厂区内VOCs无组织排放监控点浓度限</w:t>
      </w:r>
      <w:r>
        <w:rPr>
          <w:rFonts w:hint="eastAsia" w:ascii="仿宋_GB2312" w:hAnsi="仿宋_GB2312" w:cs="仿宋_GB2312"/>
          <w:color w:val="000000" w:themeColor="text1"/>
          <w:spacing w:val="4"/>
          <w:szCs w:val="32"/>
          <w:lang w:eastAsia="zh-CN"/>
          <w14:textFill>
            <w14:solidFill>
              <w14:schemeClr w14:val="tx1"/>
            </w14:solidFill>
          </w14:textFill>
        </w:rPr>
        <w:t>值要</w:t>
      </w:r>
      <w:r>
        <w:rPr>
          <w:rFonts w:hint="eastAsia" w:ascii="仿宋_GB2312" w:hAnsi="仿宋_GB2312" w:eastAsia="仿宋_GB2312" w:cs="仿宋_GB2312"/>
          <w:color w:val="000000" w:themeColor="text1"/>
          <w:spacing w:val="4"/>
          <w:szCs w:val="32"/>
          <w14:textFill>
            <w14:solidFill>
              <w14:schemeClr w14:val="tx1"/>
            </w14:solidFill>
          </w14:textFill>
        </w:rPr>
        <w:t>求，厂界氨气满足《恶臭污染物排放标准》（GB14554-93）的无组织排放源厂界限值要求；食堂油烟满足《饮食业油烟排放标准》（GB18483-2001）表2中的标准限值后</w:t>
      </w:r>
      <w:r>
        <w:rPr>
          <w:rFonts w:hint="eastAsia" w:ascii="仿宋_GB2312" w:hAnsi="仿宋_GB2312" w:cs="仿宋_GB2312"/>
          <w:color w:val="000000" w:themeColor="text1"/>
          <w:spacing w:val="4"/>
          <w:szCs w:val="32"/>
          <w:lang w:eastAsia="zh-CN"/>
          <w14:textFill>
            <w14:solidFill>
              <w14:schemeClr w14:val="tx1"/>
            </w14:solidFill>
          </w14:textFill>
        </w:rPr>
        <w:t>高于屋顶排放</w:t>
      </w:r>
      <w:r>
        <w:rPr>
          <w:rFonts w:hint="eastAsia" w:ascii="仿宋_GB2312" w:hAnsi="仿宋_GB2312" w:eastAsia="仿宋_GB2312" w:cs="仿宋_GB2312"/>
          <w:color w:val="000000" w:themeColor="text1"/>
          <w:spacing w:val="4"/>
          <w:szCs w:val="32"/>
          <w14:textFill>
            <w14:solidFill>
              <w14:schemeClr w14:val="tx1"/>
            </w14:solidFill>
          </w14:textFill>
        </w:rPr>
        <w:t>。</w:t>
      </w:r>
      <w:r>
        <w:rPr>
          <w:rFonts w:hint="eastAsia" w:ascii="仿宋_GB2312" w:hAnsi="仿宋_GB2312" w:eastAsia="仿宋_GB2312" w:cs="仿宋_GB2312"/>
          <w:color w:val="000000" w:themeColor="text1"/>
          <w:kern w:val="0"/>
          <w:szCs w:val="32"/>
          <w14:textFill>
            <w14:solidFill>
              <w14:schemeClr w14:val="tx1"/>
            </w14:solidFill>
          </w14:textFill>
        </w:rPr>
        <w:t xml:space="preserve"> </w:t>
      </w:r>
    </w:p>
    <w:p w14:paraId="23F18C20">
      <w:pPr>
        <w:keepNext w:val="0"/>
        <w:keepLines w:val="0"/>
        <w:pageBreakBefore w:val="0"/>
        <w:widowControl/>
        <w:kinsoku/>
        <w:wordWrap/>
        <w:topLinePunct w:val="0"/>
        <w:bidi w:val="0"/>
        <w:adjustRightInd w:val="0"/>
        <w:snapToGrid w:val="0"/>
        <w:spacing w:line="520" w:lineRule="exact"/>
        <w:ind w:firstLine="656" w:firstLineChars="200"/>
        <w:rPr>
          <w:color w:val="000000" w:themeColor="text1"/>
          <w:kern w:val="0"/>
          <w:szCs w:val="32"/>
          <w14:textFill>
            <w14:solidFill>
              <w14:schemeClr w14:val="tx1"/>
            </w14:solidFill>
          </w14:textFill>
        </w:rPr>
      </w:pPr>
      <w:r>
        <w:rPr>
          <w:rFonts w:eastAsia="楷体_GB2312"/>
          <w:color w:val="000000" w:themeColor="text1"/>
          <w:spacing w:val="4"/>
          <w:szCs w:val="32"/>
          <w14:textFill>
            <w14:solidFill>
              <w14:schemeClr w14:val="tx1"/>
            </w14:solidFill>
          </w14:textFill>
        </w:rPr>
        <w:t>（</w:t>
      </w:r>
      <w:r>
        <w:rPr>
          <w:rFonts w:hint="eastAsia" w:eastAsia="楷体_GB2312"/>
          <w:color w:val="000000" w:themeColor="text1"/>
          <w:spacing w:val="4"/>
          <w:szCs w:val="32"/>
          <w14:textFill>
            <w14:solidFill>
              <w14:schemeClr w14:val="tx1"/>
            </w14:solidFill>
          </w14:textFill>
        </w:rPr>
        <w:t>三</w:t>
      </w:r>
      <w:r>
        <w:rPr>
          <w:rFonts w:eastAsia="楷体_GB2312"/>
          <w:color w:val="000000" w:themeColor="text1"/>
          <w:spacing w:val="4"/>
          <w:szCs w:val="32"/>
          <w14:textFill>
            <w14:solidFill>
              <w14:schemeClr w14:val="tx1"/>
            </w14:solidFill>
          </w14:textFill>
        </w:rPr>
        <w:t>）落实水污染防治措施。</w:t>
      </w:r>
      <w:r>
        <w:rPr>
          <w:rFonts w:hint="eastAsia" w:ascii="仿宋_GB2312" w:hAnsi="仿宋_GB2312" w:eastAsia="仿宋_GB2312" w:cs="仿宋_GB2312"/>
          <w:color w:val="000000" w:themeColor="text1"/>
          <w:szCs w:val="32"/>
          <w14:textFill>
            <w14:solidFill>
              <w14:schemeClr w14:val="tx1"/>
            </w14:solidFill>
          </w14:textFill>
        </w:rPr>
        <w:t>按照“雨污分流、污污分流”的方式规范建设厂区排水系统</w:t>
      </w:r>
      <w:r>
        <w:rPr>
          <w:rFonts w:hint="eastAsia" w:ascii="仿宋_GB2312" w:hAnsi="仿宋_GB2312" w:eastAsia="仿宋_GB2312" w:cs="仿宋_GB2312"/>
          <w:color w:val="000000" w:themeColor="text1"/>
          <w:kern w:val="0"/>
          <w:szCs w:val="32"/>
          <w14:textFill>
            <w14:solidFill>
              <w14:schemeClr w14:val="tx1"/>
            </w14:solidFill>
          </w14:textFill>
        </w:rPr>
        <w:t>。生产废水经</w:t>
      </w:r>
      <w:r>
        <w:rPr>
          <w:rFonts w:hint="eastAsia" w:ascii="仿宋_GB2312" w:hAnsi="仿宋_GB2312" w:eastAsia="仿宋_GB2312" w:cs="仿宋_GB2312"/>
          <w:color w:val="000000" w:themeColor="text1"/>
          <w:szCs w:val="32"/>
          <w14:textFill>
            <w14:solidFill>
              <w14:schemeClr w14:val="tx1"/>
            </w14:solidFill>
          </w14:textFill>
        </w:rPr>
        <w:t>自建污水处理设施（隔油+破乳絮凝沉淀</w:t>
      </w:r>
      <w:r>
        <w:rPr>
          <w:rFonts w:hint="eastAsia" w:ascii="仿宋_GB2312" w:hAnsi="仿宋_GB2312" w:eastAsia="仿宋_GB2312" w:cs="仿宋_GB2312"/>
          <w:color w:val="000000" w:themeColor="text1"/>
          <w:kern w:val="0"/>
          <w:szCs w:val="32"/>
          <w14:textFill>
            <w14:solidFill>
              <w14:schemeClr w14:val="tx1"/>
            </w14:solidFill>
          </w14:textFill>
        </w:rPr>
        <w:t>）处理、生活污水经隔油+化粪池处理达到东部新区污水处理厂接管标准后通过</w:t>
      </w:r>
      <w:r>
        <w:rPr>
          <w:rFonts w:hint="eastAsia" w:ascii="仿宋_GB2312" w:hAnsi="仿宋_GB2312" w:eastAsia="仿宋_GB2312" w:cs="仿宋_GB2312"/>
          <w:color w:val="000000" w:themeColor="text1"/>
          <w:spacing w:val="4"/>
          <w:szCs w:val="32"/>
          <w14:textFill>
            <w14:solidFill>
              <w14:schemeClr w14:val="tx1"/>
            </w14:solidFill>
          </w14:textFill>
        </w:rPr>
        <w:t>园区污水管网</w:t>
      </w:r>
      <w:r>
        <w:rPr>
          <w:rFonts w:hint="eastAsia" w:ascii="仿宋_GB2312" w:hAnsi="仿宋_GB2312" w:eastAsia="仿宋_GB2312" w:cs="仿宋_GB2312"/>
          <w:color w:val="000000" w:themeColor="text1"/>
          <w:kern w:val="0"/>
          <w:szCs w:val="32"/>
          <w14:textFill>
            <w14:solidFill>
              <w14:schemeClr w14:val="tx1"/>
            </w14:solidFill>
          </w14:textFill>
        </w:rPr>
        <w:t>排入益阳市东部新区污水处理厂进行深度处理。</w:t>
      </w:r>
    </w:p>
    <w:p w14:paraId="195B148D">
      <w:pPr>
        <w:keepNext w:val="0"/>
        <w:keepLines w:val="0"/>
        <w:pageBreakBefore w:val="0"/>
        <w:widowControl/>
        <w:kinsoku/>
        <w:wordWrap/>
        <w:topLinePunct w:val="0"/>
        <w:bidi w:val="0"/>
        <w:adjustRightInd w:val="0"/>
        <w:snapToGrid w:val="0"/>
        <w:spacing w:line="520" w:lineRule="exact"/>
        <w:ind w:firstLine="656"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eastAsia="楷体_GB2312"/>
          <w:color w:val="000000" w:themeColor="text1"/>
          <w:spacing w:val="4"/>
          <w:szCs w:val="32"/>
          <w14:textFill>
            <w14:solidFill>
              <w14:schemeClr w14:val="tx1"/>
            </w14:solidFill>
          </w14:textFill>
        </w:rPr>
        <w:t>（</w:t>
      </w:r>
      <w:r>
        <w:rPr>
          <w:rFonts w:hint="eastAsia" w:eastAsia="楷体_GB2312"/>
          <w:color w:val="000000" w:themeColor="text1"/>
          <w:spacing w:val="4"/>
          <w:szCs w:val="32"/>
          <w14:textFill>
            <w14:solidFill>
              <w14:schemeClr w14:val="tx1"/>
            </w14:solidFill>
          </w14:textFill>
        </w:rPr>
        <w:t>四</w:t>
      </w:r>
      <w:r>
        <w:rPr>
          <w:rFonts w:eastAsia="楷体_GB2312"/>
          <w:color w:val="000000" w:themeColor="text1"/>
          <w:spacing w:val="4"/>
          <w:szCs w:val="32"/>
          <w14:textFill>
            <w14:solidFill>
              <w14:schemeClr w14:val="tx1"/>
            </w14:solidFill>
          </w14:textFill>
        </w:rPr>
        <w:t>）落实固体废物处置措施。</w:t>
      </w:r>
      <w:r>
        <w:rPr>
          <w:rFonts w:hint="eastAsia" w:ascii="仿宋_GB2312" w:hAnsi="仿宋_GB2312" w:eastAsia="仿宋_GB2312" w:cs="仿宋_GB2312"/>
          <w:color w:val="000000" w:themeColor="text1"/>
          <w:spacing w:val="4"/>
          <w:sz w:val="32"/>
          <w:szCs w:val="32"/>
          <w14:textFill>
            <w14:solidFill>
              <w14:schemeClr w14:val="tx1"/>
            </w14:solidFill>
          </w14:textFill>
        </w:rPr>
        <w:t>按照“减量化、资源化、无害化”的原则，做好固废的分类收集、暂存、安全处置工作。按规范要求设置危废暂存间和一般固废暂存间，其建设、运行和管理应分别满足《危险废物贮存污染控制标准》（GB18597-2023）、《一般工业固体废物贮存和填埋污染控制标准》（GB18599-2020）要求。</w:t>
      </w:r>
      <w:r>
        <w:rPr>
          <w:rFonts w:hint="eastAsia" w:ascii="仿宋_GB2312" w:hAnsi="仿宋_GB2312" w:eastAsia="仿宋_GB2312" w:cs="仿宋_GB2312"/>
          <w:color w:val="000000"/>
          <w:sz w:val="32"/>
          <w:szCs w:val="32"/>
        </w:rPr>
        <w:t>废边角料、</w:t>
      </w:r>
      <w:r>
        <w:rPr>
          <w:rFonts w:hint="eastAsia" w:ascii="仿宋_GB2312" w:hAnsi="仿宋_GB2312" w:eastAsia="仿宋_GB2312" w:cs="仿宋_GB2312"/>
          <w:color w:val="000000"/>
          <w:spacing w:val="4"/>
          <w:sz w:val="32"/>
          <w:szCs w:val="32"/>
        </w:rPr>
        <w:t>废包装材料经收集后暂存一般固废暂存间，外售综合利用；不合格产品返回生产线重新加工；</w:t>
      </w:r>
      <w:r>
        <w:rPr>
          <w:rFonts w:hint="eastAsia" w:ascii="仿宋_GB2312" w:hAnsi="仿宋_GB2312" w:cs="仿宋_GB2312"/>
          <w:color w:val="000000" w:themeColor="text1"/>
          <w:spacing w:val="4"/>
          <w:szCs w:val="32"/>
          <w14:textFill>
            <w14:solidFill>
              <w14:schemeClr w14:val="tx1"/>
            </w14:solidFill>
          </w14:textFill>
        </w:rPr>
        <w:t>废切削油、废切磨削液、废磨削油收集后回用于打磨、段差工序；含切削油金属屑、含磨削油金属屑经预处理使其静置无滴漏后暂存于危废暂存间,定期外委有相关资质的单位外运处置</w:t>
      </w:r>
      <w:r>
        <w:rPr>
          <w:rFonts w:hint="eastAsia" w:ascii="仿宋_GB2312" w:hAnsi="仿宋_GB2312" w:eastAsia="仿宋_GB2312" w:cs="仿宋_GB2312"/>
          <w:color w:val="000000" w:themeColor="text1"/>
          <w:spacing w:val="4"/>
          <w:sz w:val="32"/>
          <w:szCs w:val="32"/>
          <w14:textFill>
            <w14:solidFill>
              <w14:schemeClr w14:val="tx1"/>
            </w14:solidFill>
          </w14:textFill>
        </w:rPr>
        <w:t>；废包装桶、废油桶、废润滑油、含油废手套及抹布、隔油池油污、清洗沉渣、废过滤材料、废活性炭等</w:t>
      </w:r>
      <w:r>
        <w:rPr>
          <w:rFonts w:hint="eastAsia" w:ascii="仿宋_GB2312" w:hAnsi="仿宋_GB2312" w:eastAsia="仿宋_GB2312" w:cs="仿宋_GB2312"/>
          <w:color w:val="000000"/>
          <w:spacing w:val="4"/>
          <w:sz w:val="32"/>
          <w:szCs w:val="32"/>
        </w:rPr>
        <w:t>危险废物分类收集后暂存于危废暂存间，定期外委有相关资质的单位外运处置；生活垃圾交由</w:t>
      </w:r>
      <w:r>
        <w:rPr>
          <w:rFonts w:hint="eastAsia" w:ascii="仿宋_GB2312" w:hAnsi="仿宋_GB2312" w:eastAsia="仿宋_GB2312" w:cs="仿宋_GB2312"/>
          <w:sz w:val="32"/>
          <w:szCs w:val="32"/>
        </w:rPr>
        <w:t>当地</w:t>
      </w:r>
      <w:r>
        <w:rPr>
          <w:rFonts w:hint="eastAsia" w:ascii="仿宋_GB2312" w:hAnsi="仿宋_GB2312" w:eastAsia="仿宋_GB2312" w:cs="仿宋_GB2312"/>
          <w:color w:val="000000"/>
          <w:spacing w:val="4"/>
          <w:sz w:val="32"/>
          <w:szCs w:val="32"/>
        </w:rPr>
        <w:t>环卫部门统一清运。</w:t>
      </w:r>
    </w:p>
    <w:p w14:paraId="5BCF808B">
      <w:pPr>
        <w:pStyle w:val="5"/>
        <w:keepNext w:val="0"/>
        <w:keepLines w:val="0"/>
        <w:pageBreakBefore w:val="0"/>
        <w:kinsoku/>
        <w:wordWrap/>
        <w:topLinePunct w:val="0"/>
        <w:autoSpaceDE w:val="0"/>
        <w:autoSpaceDN w:val="0"/>
        <w:bidi w:val="0"/>
        <w:adjustRightInd w:val="0"/>
        <w:snapToGrid/>
        <w:spacing w:before="0" w:after="0" w:line="520" w:lineRule="exact"/>
        <w:ind w:left="0" w:firstLine="656" w:firstLineChars="200"/>
        <w:textAlignment w:val="baseline"/>
        <w:rPr>
          <w:rFonts w:hint="eastAsia" w:ascii="仿宋_GB2312" w:hAnsi="仿宋_GB2312" w:eastAsia="仿宋_GB2312" w:cs="仿宋_GB2312"/>
          <w:b w:val="0"/>
          <w:bCs w:val="0"/>
          <w:kern w:val="2"/>
          <w:sz w:val="32"/>
          <w:szCs w:val="32"/>
        </w:rPr>
      </w:pPr>
      <w:r>
        <w:rPr>
          <w:rFonts w:eastAsia="楷体_GB2312"/>
          <w:b w:val="0"/>
          <w:bCs w:val="0"/>
          <w:spacing w:val="4"/>
          <w:kern w:val="2"/>
          <w:sz w:val="32"/>
          <w:szCs w:val="32"/>
        </w:rPr>
        <w:t>（</w:t>
      </w:r>
      <w:r>
        <w:rPr>
          <w:rFonts w:hint="eastAsia" w:eastAsia="楷体_GB2312"/>
          <w:b w:val="0"/>
          <w:bCs w:val="0"/>
          <w:spacing w:val="4"/>
          <w:kern w:val="2"/>
          <w:sz w:val="32"/>
          <w:szCs w:val="32"/>
        </w:rPr>
        <w:t>五</w:t>
      </w:r>
      <w:r>
        <w:rPr>
          <w:rFonts w:eastAsia="楷体_GB2312"/>
          <w:b w:val="0"/>
          <w:bCs w:val="0"/>
          <w:spacing w:val="4"/>
          <w:kern w:val="2"/>
          <w:sz w:val="32"/>
          <w:szCs w:val="32"/>
        </w:rPr>
        <w:t>）落实地下水及土壤污染防治措施。</w:t>
      </w:r>
      <w:r>
        <w:rPr>
          <w:rFonts w:hint="eastAsia" w:ascii="仿宋_GB2312" w:hAnsi="仿宋_GB2312" w:eastAsia="仿宋_GB2312" w:cs="仿宋_GB2312"/>
          <w:b w:val="0"/>
          <w:bCs w:val="0"/>
          <w:kern w:val="2"/>
          <w:sz w:val="32"/>
          <w:szCs w:val="32"/>
        </w:rPr>
        <w:t>按照“源头控制、分区防控、应急响应”的原则，加强各环节生产管理，减少“跑、冒、滴、漏”，做好分区防腐、防渗工作，防止地下水和土壤环境污染。</w:t>
      </w:r>
    </w:p>
    <w:p w14:paraId="53C5F825">
      <w:pPr>
        <w:pStyle w:val="5"/>
        <w:keepNext w:val="0"/>
        <w:keepLines w:val="0"/>
        <w:pageBreakBefore w:val="0"/>
        <w:kinsoku/>
        <w:wordWrap/>
        <w:topLinePunct w:val="0"/>
        <w:autoSpaceDE w:val="0"/>
        <w:autoSpaceDN w:val="0"/>
        <w:bidi w:val="0"/>
        <w:adjustRightInd w:val="0"/>
        <w:snapToGrid/>
        <w:spacing w:before="0" w:after="0" w:line="520" w:lineRule="exact"/>
        <w:ind w:left="0" w:firstLine="656" w:firstLineChars="200"/>
        <w:textAlignment w:val="baseline"/>
        <w:rPr>
          <w:rFonts w:eastAsia="仿宋_GB2312"/>
          <w:b w:val="0"/>
          <w:bCs w:val="0"/>
          <w:color w:val="000000" w:themeColor="text1"/>
          <w:kern w:val="2"/>
          <w:sz w:val="32"/>
          <w:szCs w:val="32"/>
          <w14:textFill>
            <w14:solidFill>
              <w14:schemeClr w14:val="tx1"/>
            </w14:solidFill>
          </w14:textFill>
        </w:rPr>
      </w:pPr>
      <w:r>
        <w:rPr>
          <w:rFonts w:eastAsia="楷体_GB2312"/>
          <w:b w:val="0"/>
          <w:bCs w:val="0"/>
          <w:spacing w:val="4"/>
          <w:kern w:val="2"/>
          <w:sz w:val="32"/>
          <w:szCs w:val="32"/>
        </w:rPr>
        <w:t>（</w:t>
      </w:r>
      <w:r>
        <w:rPr>
          <w:rFonts w:hint="eastAsia" w:eastAsia="楷体_GB2312"/>
          <w:b w:val="0"/>
          <w:bCs w:val="0"/>
          <w:spacing w:val="4"/>
          <w:kern w:val="2"/>
          <w:sz w:val="32"/>
          <w:szCs w:val="32"/>
        </w:rPr>
        <w:t>六</w:t>
      </w:r>
      <w:r>
        <w:rPr>
          <w:rFonts w:eastAsia="楷体_GB2312"/>
          <w:b w:val="0"/>
          <w:bCs w:val="0"/>
          <w:spacing w:val="4"/>
          <w:kern w:val="2"/>
          <w:sz w:val="32"/>
          <w:szCs w:val="32"/>
        </w:rPr>
        <w:t>）落实噪声污染防治措施。</w:t>
      </w:r>
      <w:r>
        <w:rPr>
          <w:rFonts w:hint="eastAsia" w:ascii="仿宋_GB2312" w:hAnsi="仿宋_GB2312" w:eastAsia="仿宋_GB2312" w:cs="仿宋_GB2312"/>
          <w:b w:val="0"/>
          <w:bCs w:val="0"/>
          <w:kern w:val="2"/>
          <w:sz w:val="32"/>
          <w:szCs w:val="32"/>
        </w:rPr>
        <w:t>优化总平面布置和设备的选型，对高噪声设备采取减震、消声、隔声等措施，确保厂界噪声达到《工业企业厂界环境噪声排放标准》（GB12348-2008）中3类区标准要求。</w:t>
      </w:r>
    </w:p>
    <w:p w14:paraId="398757CE">
      <w:pPr>
        <w:keepNext w:val="0"/>
        <w:keepLines w:val="0"/>
        <w:pageBreakBefore w:val="0"/>
        <w:kinsoku/>
        <w:wordWrap/>
        <w:topLinePunct w:val="0"/>
        <w:bidi w:val="0"/>
        <w:spacing w:line="520" w:lineRule="exact"/>
        <w:ind w:firstLine="656" w:firstLineChars="200"/>
        <w:rPr>
          <w:rFonts w:hint="eastAsia" w:ascii="仿宋_GB2312" w:hAnsi="仿宋_GB2312" w:eastAsia="仿宋_GB2312" w:cs="仿宋_GB2312"/>
          <w:color w:val="000000" w:themeColor="text1"/>
          <w:spacing w:val="4"/>
          <w:szCs w:val="32"/>
          <w14:textFill>
            <w14:solidFill>
              <w14:schemeClr w14:val="tx1"/>
            </w14:solidFill>
          </w14:textFill>
        </w:rPr>
      </w:pPr>
      <w:r>
        <w:rPr>
          <w:rFonts w:eastAsia="楷体_GB2312"/>
          <w:color w:val="000000"/>
          <w:spacing w:val="4"/>
          <w:szCs w:val="32"/>
        </w:rPr>
        <w:t>（</w:t>
      </w:r>
      <w:r>
        <w:rPr>
          <w:rFonts w:hint="eastAsia" w:eastAsia="楷体_GB2312"/>
          <w:color w:val="000000"/>
          <w:spacing w:val="4"/>
          <w:szCs w:val="32"/>
          <w:lang w:eastAsia="zh-CN"/>
        </w:rPr>
        <w:t>七</w:t>
      </w:r>
      <w:r>
        <w:rPr>
          <w:rFonts w:eastAsia="楷体_GB2312"/>
          <w:color w:val="000000"/>
          <w:spacing w:val="4"/>
          <w:szCs w:val="32"/>
        </w:rPr>
        <w:t>）本项目污染物总量控制指标为：</w:t>
      </w:r>
      <w:r>
        <w:rPr>
          <w:rFonts w:hint="eastAsia" w:ascii="仿宋_GB2312" w:hAnsi="仿宋_GB2312" w:eastAsia="仿宋_GB2312" w:cs="仿宋_GB2312"/>
          <w:color w:val="000000" w:themeColor="text1"/>
          <w:spacing w:val="4"/>
          <w:szCs w:val="32"/>
          <w14:textFill>
            <w14:solidFill>
              <w14:schemeClr w14:val="tx1"/>
            </w14:solidFill>
          </w14:textFill>
        </w:rPr>
        <w:t>化学需氧量（COD）</w:t>
      </w:r>
      <w:r>
        <w:rPr>
          <w:rFonts w:hint="eastAsia" w:ascii="仿宋_GB2312" w:hAnsi="仿宋_GB2312" w:eastAsia="仿宋_GB2312" w:cs="仿宋_GB2312"/>
          <w:color w:val="000000" w:themeColor="text1"/>
          <w:szCs w:val="32"/>
          <w:lang w:bidi="ar"/>
          <w14:textFill>
            <w14:solidFill>
              <w14:schemeClr w14:val="tx1"/>
            </w14:solidFill>
          </w14:textFill>
        </w:rPr>
        <w:t>≤</w:t>
      </w:r>
      <w:r>
        <w:rPr>
          <w:rFonts w:hint="eastAsia" w:ascii="仿宋_GB2312" w:hAnsi="仿宋_GB2312" w:eastAsia="仿宋_GB2312" w:cs="仿宋_GB2312"/>
          <w:color w:val="000000" w:themeColor="text1"/>
          <w:spacing w:val="4"/>
          <w:szCs w:val="32"/>
          <w14:textFill>
            <w14:solidFill>
              <w14:schemeClr w14:val="tx1"/>
            </w14:solidFill>
          </w14:textFill>
        </w:rPr>
        <w:t>0.07t/a</w:t>
      </w:r>
      <w:r>
        <w:rPr>
          <w:rFonts w:hint="eastAsia" w:ascii="仿宋_GB2312" w:hAnsi="仿宋_GB2312" w:eastAsia="仿宋_GB2312" w:cs="仿宋_GB2312"/>
          <w:color w:val="000000" w:themeColor="text1"/>
          <w:kern w:val="0"/>
          <w:szCs w:val="32"/>
          <w14:textFill>
            <w14:solidFill>
              <w14:schemeClr w14:val="tx1"/>
            </w14:solidFill>
          </w14:textFill>
        </w:rPr>
        <w:t>、</w:t>
      </w:r>
      <w:r>
        <w:rPr>
          <w:rFonts w:hint="eastAsia" w:ascii="仿宋_GB2312" w:hAnsi="仿宋_GB2312" w:eastAsia="仿宋_GB2312" w:cs="仿宋_GB2312"/>
          <w:color w:val="000000" w:themeColor="text1"/>
          <w:spacing w:val="4"/>
          <w:szCs w:val="32"/>
          <w14:textFill>
            <w14:solidFill>
              <w14:schemeClr w14:val="tx1"/>
            </w14:solidFill>
          </w14:textFill>
        </w:rPr>
        <w:t>氨氮（NH</w:t>
      </w:r>
      <w:r>
        <w:rPr>
          <w:rFonts w:hint="eastAsia" w:ascii="仿宋_GB2312" w:hAnsi="仿宋_GB2312" w:eastAsia="仿宋_GB2312" w:cs="仿宋_GB2312"/>
          <w:color w:val="000000" w:themeColor="text1"/>
          <w:spacing w:val="4"/>
          <w:szCs w:val="32"/>
          <w:vertAlign w:val="subscript"/>
          <w14:textFill>
            <w14:solidFill>
              <w14:schemeClr w14:val="tx1"/>
            </w14:solidFill>
          </w14:textFill>
        </w:rPr>
        <w:t>3</w:t>
      </w:r>
      <w:r>
        <w:rPr>
          <w:rFonts w:hint="eastAsia" w:ascii="仿宋_GB2312" w:hAnsi="仿宋_GB2312" w:eastAsia="仿宋_GB2312" w:cs="仿宋_GB2312"/>
          <w:color w:val="000000" w:themeColor="text1"/>
          <w:spacing w:val="4"/>
          <w:szCs w:val="32"/>
          <w14:textFill>
            <w14:solidFill>
              <w14:schemeClr w14:val="tx1"/>
            </w14:solidFill>
          </w14:textFill>
        </w:rPr>
        <w:t>-N）</w:t>
      </w:r>
      <w:r>
        <w:rPr>
          <w:rFonts w:hint="eastAsia" w:ascii="仿宋_GB2312" w:hAnsi="仿宋_GB2312" w:eastAsia="仿宋_GB2312" w:cs="仿宋_GB2312"/>
          <w:color w:val="000000" w:themeColor="text1"/>
          <w:szCs w:val="32"/>
          <w:lang w:bidi="ar"/>
          <w14:textFill>
            <w14:solidFill>
              <w14:schemeClr w14:val="tx1"/>
            </w14:solidFill>
          </w14:textFill>
        </w:rPr>
        <w:t>≤</w:t>
      </w:r>
      <w:r>
        <w:rPr>
          <w:rFonts w:hint="eastAsia" w:ascii="仿宋_GB2312" w:hAnsi="仿宋_GB2312" w:eastAsia="仿宋_GB2312" w:cs="仿宋_GB2312"/>
          <w:color w:val="000000" w:themeColor="text1"/>
          <w:spacing w:val="4"/>
          <w:szCs w:val="32"/>
          <w14:textFill>
            <w14:solidFill>
              <w14:schemeClr w14:val="tx1"/>
            </w14:solidFill>
          </w14:textFill>
        </w:rPr>
        <w:t>0.007t/a、总磷（TP）</w:t>
      </w:r>
      <w:r>
        <w:rPr>
          <w:rFonts w:hint="eastAsia" w:ascii="仿宋_GB2312" w:hAnsi="仿宋_GB2312" w:eastAsia="仿宋_GB2312" w:cs="仿宋_GB2312"/>
          <w:color w:val="000000" w:themeColor="text1"/>
          <w:szCs w:val="32"/>
          <w:lang w:bidi="ar"/>
          <w14:textFill>
            <w14:solidFill>
              <w14:schemeClr w14:val="tx1"/>
            </w14:solidFill>
          </w14:textFill>
        </w:rPr>
        <w:t>≤</w:t>
      </w:r>
      <w:r>
        <w:rPr>
          <w:rFonts w:hint="eastAsia" w:ascii="仿宋_GB2312" w:hAnsi="仿宋_GB2312" w:eastAsia="仿宋_GB2312" w:cs="仿宋_GB2312"/>
          <w:color w:val="000000" w:themeColor="text1"/>
          <w:spacing w:val="4"/>
          <w:szCs w:val="32"/>
          <w14:textFill>
            <w14:solidFill>
              <w14:schemeClr w14:val="tx1"/>
            </w14:solidFill>
          </w14:textFill>
        </w:rPr>
        <w:t>0.001t/a，挥发性有机物（VOCs）</w:t>
      </w:r>
      <w:r>
        <w:rPr>
          <w:rFonts w:hint="eastAsia" w:ascii="仿宋_GB2312" w:hAnsi="仿宋_GB2312" w:eastAsia="仿宋_GB2312" w:cs="仿宋_GB2312"/>
          <w:color w:val="000000" w:themeColor="text1"/>
          <w:szCs w:val="32"/>
          <w:lang w:bidi="ar"/>
          <w14:textFill>
            <w14:solidFill>
              <w14:schemeClr w14:val="tx1"/>
            </w14:solidFill>
          </w14:textFill>
        </w:rPr>
        <w:t>≤</w:t>
      </w:r>
      <w:r>
        <w:rPr>
          <w:rFonts w:hint="eastAsia" w:ascii="仿宋_GB2312" w:hAnsi="仿宋_GB2312" w:eastAsia="仿宋_GB2312" w:cs="仿宋_GB2312"/>
          <w:color w:val="000000" w:themeColor="text1"/>
          <w:spacing w:val="4"/>
          <w:szCs w:val="32"/>
          <w14:textFill>
            <w14:solidFill>
              <w14:schemeClr w14:val="tx1"/>
            </w14:solidFill>
          </w14:textFill>
        </w:rPr>
        <w:t>0.012t/a，</w:t>
      </w:r>
      <w:r>
        <w:rPr>
          <w:rFonts w:hint="eastAsia" w:ascii="仿宋_GB2312" w:hAnsi="仿宋_GB2312" w:eastAsia="仿宋_GB2312" w:cs="仿宋_GB2312"/>
          <w:color w:val="000000" w:themeColor="text1"/>
          <w:szCs w:val="32"/>
          <w14:textFill>
            <w14:solidFill>
              <w14:schemeClr w14:val="tx1"/>
            </w14:solidFill>
          </w14:textFill>
        </w:rPr>
        <w:t>总量指标纳入高新区总量控制</w:t>
      </w:r>
      <w:r>
        <w:rPr>
          <w:rFonts w:hint="eastAsia" w:ascii="仿宋_GB2312" w:hAnsi="仿宋_GB2312" w:eastAsia="仿宋_GB2312" w:cs="仿宋_GB2312"/>
          <w:color w:val="000000" w:themeColor="text1"/>
          <w:spacing w:val="4"/>
          <w:szCs w:val="32"/>
          <w14:textFill>
            <w14:solidFill>
              <w14:schemeClr w14:val="tx1"/>
            </w14:solidFill>
          </w14:textFill>
        </w:rPr>
        <w:t>。</w:t>
      </w:r>
    </w:p>
    <w:p w14:paraId="43772E5E">
      <w:pPr>
        <w:keepNext w:val="0"/>
        <w:keepLines w:val="0"/>
        <w:pageBreakBefore w:val="0"/>
        <w:kinsoku/>
        <w:wordWrap/>
        <w:topLinePunct w:val="0"/>
        <w:bidi w:val="0"/>
        <w:spacing w:line="520" w:lineRule="exact"/>
        <w:ind w:firstLine="656" w:firstLineChars="200"/>
        <w:rPr>
          <w:rFonts w:hint="eastAsia" w:ascii="仿宋_GB2312" w:hAnsi="仿宋_GB2312" w:eastAsia="仿宋_GB2312" w:cs="仿宋_GB2312"/>
          <w:color w:val="000000" w:themeColor="text1"/>
          <w:spacing w:val="4"/>
          <w:szCs w:val="32"/>
          <w14:textFill>
            <w14:solidFill>
              <w14:schemeClr w14:val="tx1"/>
            </w14:solidFill>
          </w14:textFill>
        </w:rPr>
      </w:pPr>
      <w:r>
        <w:rPr>
          <w:rFonts w:hint="eastAsia" w:ascii="仿宋_GB2312" w:hAnsi="仿宋_GB2312" w:eastAsia="仿宋_GB2312" w:cs="仿宋_GB2312"/>
          <w:color w:val="000000" w:themeColor="text1"/>
          <w:spacing w:val="4"/>
          <w:szCs w:val="32"/>
          <w14:textFill>
            <w14:solidFill>
              <w14:schemeClr w14:val="tx1"/>
            </w14:solidFill>
          </w14:textFill>
        </w:rPr>
        <w:t>三、本项目经审批后，建设的性质、规模、地点、采用的生产工艺或者防治污染、防止生态破坏的措施发生重大变动的，你公司应重新报批建设项目的环评文件。项目建成投产前，须按照《排污许可管理条例》（国务院令第736</w:t>
      </w:r>
      <w:r>
        <w:rPr>
          <w:rFonts w:hint="eastAsia" w:ascii="仿宋_GB2312" w:hAnsi="仿宋_GB2312" w:cs="仿宋_GB2312"/>
          <w:color w:val="000000" w:themeColor="text1"/>
          <w:spacing w:val="4"/>
          <w:szCs w:val="32"/>
          <w:lang w:eastAsia="zh-CN"/>
          <w14:textFill>
            <w14:solidFill>
              <w14:schemeClr w14:val="tx1"/>
            </w14:solidFill>
          </w14:textFill>
        </w:rPr>
        <w:t>条</w:t>
      </w:r>
      <w:r>
        <w:rPr>
          <w:rFonts w:hint="eastAsia" w:ascii="仿宋_GB2312" w:hAnsi="仿宋_GB2312" w:eastAsia="仿宋_GB2312" w:cs="仿宋_GB2312"/>
          <w:color w:val="000000" w:themeColor="text1"/>
          <w:spacing w:val="4"/>
          <w:szCs w:val="32"/>
          <w14:textFill>
            <w14:solidFill>
              <w14:schemeClr w14:val="tx1"/>
            </w14:solidFill>
          </w14:textFill>
        </w:rPr>
        <w:t>）和《固定污染源排污许可分类管理名录》的要求办理排污许可相关手续。项目建设投运后，须按《建设项目环境保护管理条例》的有关规定，及时进行项目竣工环保自主验收。益阳市生态环境保护综合行政执法支队高新区大队负责本项目“三同时”监督检查和管理工作。</w:t>
      </w:r>
    </w:p>
    <w:p w14:paraId="3BE10ECC">
      <w:pPr>
        <w:keepNext w:val="0"/>
        <w:keepLines w:val="0"/>
        <w:pageBreakBefore w:val="0"/>
        <w:kinsoku/>
        <w:wordWrap/>
        <w:topLinePunct w:val="0"/>
        <w:bidi w:val="0"/>
        <w:spacing w:line="520" w:lineRule="exact"/>
        <w:ind w:firstLine="656" w:firstLineChars="200"/>
        <w:rPr>
          <w:color w:val="000000" w:themeColor="text1"/>
          <w:spacing w:val="4"/>
          <w:szCs w:val="32"/>
          <w14:textFill>
            <w14:solidFill>
              <w14:schemeClr w14:val="tx1"/>
            </w14:solidFill>
          </w14:textFill>
        </w:rPr>
      </w:pPr>
      <w:r>
        <w:rPr>
          <w:rFonts w:hint="eastAsia" w:ascii="仿宋_GB2312" w:hAnsi="仿宋_GB2312" w:eastAsia="仿宋_GB2312" w:cs="仿宋_GB2312"/>
          <w:color w:val="000000" w:themeColor="text1"/>
          <w:spacing w:val="4"/>
          <w:szCs w:val="32"/>
          <w14:textFill>
            <w14:solidFill>
              <w14:schemeClr w14:val="tx1"/>
            </w14:solidFill>
          </w14:textFill>
        </w:rPr>
        <w:t>四、你公司在收到本批复后15个工作日内，将本批复及项目环评报告表送至益阳市生态环境局高新区分局。</w:t>
      </w:r>
    </w:p>
    <w:p w14:paraId="6C4952EA">
      <w:pPr>
        <w:spacing w:line="560" w:lineRule="exact"/>
        <w:ind w:firstLine="640" w:firstLineChars="200"/>
        <w:rPr>
          <w:rFonts w:ascii="仿宋_GB2312"/>
          <w:color w:val="000000" w:themeColor="text1"/>
          <w:szCs w:val="32"/>
          <w14:textFill>
            <w14:solidFill>
              <w14:schemeClr w14:val="tx1"/>
            </w14:solidFill>
          </w14:textFill>
        </w:rPr>
      </w:pPr>
      <w:r>
        <w:rPr>
          <w:color w:val="000000" w:themeColor="text1"/>
          <w:szCs w:val="32"/>
          <w14:textFill>
            <w14:solidFill>
              <w14:schemeClr w14:val="tx1"/>
            </w14:solidFill>
          </w14:textFill>
        </w:rPr>
        <w:t xml:space="preserve">                           </w:t>
      </w:r>
    </w:p>
    <w:p w14:paraId="5F7D5A4E">
      <w:pPr>
        <w:spacing w:line="560" w:lineRule="exact"/>
        <w:ind w:firstLine="640" w:firstLineChars="200"/>
        <w:jc w:val="center"/>
        <w:rPr>
          <w:rFonts w:hint="eastAsia"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 xml:space="preserve">                         </w:t>
      </w:r>
    </w:p>
    <w:p w14:paraId="1423B2A7">
      <w:pPr>
        <w:spacing w:line="560" w:lineRule="exact"/>
        <w:ind w:firstLine="640" w:firstLineChars="200"/>
        <w:jc w:val="center"/>
        <w:rPr>
          <w:rFonts w:ascii="仿宋_GB2312"/>
          <w:color w:val="000000" w:themeColor="text1"/>
          <w:szCs w:val="32"/>
          <w14:textFill>
            <w14:solidFill>
              <w14:schemeClr w14:val="tx1"/>
            </w14:solidFill>
          </w14:textFill>
        </w:rPr>
      </w:pPr>
      <w:r>
        <w:rPr>
          <w:rFonts w:hint="eastAsia" w:ascii="仿宋_GB2312"/>
          <w:color w:val="000000" w:themeColor="text1"/>
          <w:szCs w:val="32"/>
          <w:lang w:val="en-US" w:eastAsia="zh-CN"/>
          <w14:textFill>
            <w14:solidFill>
              <w14:schemeClr w14:val="tx1"/>
            </w14:solidFill>
          </w14:textFill>
        </w:rPr>
        <w:t xml:space="preserve">                 </w:t>
      </w:r>
      <w:r>
        <w:rPr>
          <w:rFonts w:hint="eastAsia" w:ascii="仿宋_GB2312"/>
          <w:color w:val="000000" w:themeColor="text1"/>
          <w:szCs w:val="32"/>
          <w14:textFill>
            <w14:solidFill>
              <w14:schemeClr w14:val="tx1"/>
            </w14:solidFill>
          </w14:textFill>
        </w:rPr>
        <w:t>益阳市生态环境局</w:t>
      </w:r>
    </w:p>
    <w:p w14:paraId="4D1DEC24">
      <w:pPr>
        <w:rPr>
          <w:color w:val="000000" w:themeColor="text1"/>
          <w:spacing w:val="4"/>
          <w:szCs w:val="32"/>
          <w14:textFill>
            <w14:solidFill>
              <w14:schemeClr w14:val="tx1"/>
            </w14:solidFill>
          </w14:textFill>
        </w:rPr>
      </w:pPr>
      <w:r>
        <w:rPr>
          <w:rFonts w:hint="eastAsia" w:ascii="仿宋_GB2312"/>
          <w:color w:val="000000" w:themeColor="text1"/>
          <w:szCs w:val="32"/>
          <w14:textFill>
            <w14:solidFill>
              <w14:schemeClr w14:val="tx1"/>
            </w14:solidFill>
          </w14:textFill>
        </w:rPr>
        <w:t xml:space="preserve">                              </w:t>
      </w:r>
      <w:r>
        <w:rPr>
          <w:rFonts w:hint="eastAsia"/>
          <w:color w:val="000000" w:themeColor="text1"/>
          <w:spacing w:val="4"/>
          <w:szCs w:val="32"/>
          <w14:textFill>
            <w14:solidFill>
              <w14:schemeClr w14:val="tx1"/>
            </w14:solidFill>
          </w14:textFill>
        </w:rPr>
        <w:t>2026年</w:t>
      </w:r>
      <w:r>
        <w:rPr>
          <w:rFonts w:hint="eastAsia"/>
          <w:color w:val="000000" w:themeColor="text1"/>
          <w:spacing w:val="4"/>
          <w:szCs w:val="32"/>
          <w:lang w:val="en-US" w:eastAsia="zh-CN"/>
          <w14:textFill>
            <w14:solidFill>
              <w14:schemeClr w14:val="tx1"/>
            </w14:solidFill>
          </w14:textFill>
        </w:rPr>
        <w:t>6</w:t>
      </w:r>
      <w:r>
        <w:rPr>
          <w:rFonts w:hint="eastAsia"/>
          <w:color w:val="000000" w:themeColor="text1"/>
          <w:spacing w:val="4"/>
          <w:szCs w:val="32"/>
          <w14:textFill>
            <w14:solidFill>
              <w14:schemeClr w14:val="tx1"/>
            </w14:solidFill>
          </w14:textFill>
        </w:rPr>
        <w:t>月</w:t>
      </w:r>
      <w:r>
        <w:rPr>
          <w:rFonts w:hint="eastAsia"/>
          <w:color w:val="000000" w:themeColor="text1"/>
          <w:spacing w:val="4"/>
          <w:szCs w:val="32"/>
          <w:lang w:val="en-US" w:eastAsia="zh-CN"/>
          <w14:textFill>
            <w14:solidFill>
              <w14:schemeClr w14:val="tx1"/>
            </w14:solidFill>
          </w14:textFill>
        </w:rPr>
        <w:t>9</w:t>
      </w:r>
      <w:r>
        <w:rPr>
          <w:rFonts w:hint="eastAsia"/>
          <w:color w:val="000000" w:themeColor="text1"/>
          <w:spacing w:val="4"/>
          <w:szCs w:val="32"/>
          <w14:textFill>
            <w14:solidFill>
              <w14:schemeClr w14:val="tx1"/>
            </w14:solidFill>
          </w14:textFill>
        </w:rPr>
        <w:t>日</w:t>
      </w:r>
    </w:p>
    <w:sectPr>
      <w:footerReference r:id="rId3" w:type="default"/>
      <w:pgSz w:w="11906" w:h="16838"/>
      <w:pgMar w:top="1701" w:right="1701" w:bottom="1701" w:left="1701"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0000600000000000000"/>
    <w:charset w:val="86"/>
    <w:family w:val="script"/>
    <w:pitch w:val="default"/>
    <w:sig w:usb0="800002BF" w:usb1="184F6CF8" w:usb2="00000012" w:usb3="00000000" w:csb0="00160001" w:csb1="1203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0696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62A6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5462A6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501B7"/>
    <w:multiLevelType w:val="singleLevel"/>
    <w:tmpl w:val="9D3501B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xMTk3NTc1NzI3NTBmNjE3NTg5YTVhYmVmNzdhOWQifQ=="/>
  </w:docVars>
  <w:rsids>
    <w:rsidRoot w:val="7DB33405"/>
    <w:rsid w:val="000419C7"/>
    <w:rsid w:val="00096DF0"/>
    <w:rsid w:val="000B0C5E"/>
    <w:rsid w:val="000B493D"/>
    <w:rsid w:val="00144DF9"/>
    <w:rsid w:val="00186BF0"/>
    <w:rsid w:val="001F2799"/>
    <w:rsid w:val="002F53A2"/>
    <w:rsid w:val="00324CEA"/>
    <w:rsid w:val="00374B70"/>
    <w:rsid w:val="00381AAB"/>
    <w:rsid w:val="00382DEE"/>
    <w:rsid w:val="00416602"/>
    <w:rsid w:val="004A6ADE"/>
    <w:rsid w:val="004F03F5"/>
    <w:rsid w:val="00536D0E"/>
    <w:rsid w:val="005C121D"/>
    <w:rsid w:val="005D0F8A"/>
    <w:rsid w:val="00602FDC"/>
    <w:rsid w:val="006B4636"/>
    <w:rsid w:val="006C077D"/>
    <w:rsid w:val="006F6EEC"/>
    <w:rsid w:val="008D431B"/>
    <w:rsid w:val="00910151"/>
    <w:rsid w:val="00925A1C"/>
    <w:rsid w:val="009C4AF7"/>
    <w:rsid w:val="009D0BF5"/>
    <w:rsid w:val="00A267C3"/>
    <w:rsid w:val="00A51659"/>
    <w:rsid w:val="00AA036D"/>
    <w:rsid w:val="00AB248B"/>
    <w:rsid w:val="00AF26CB"/>
    <w:rsid w:val="00C208BB"/>
    <w:rsid w:val="00C76CC5"/>
    <w:rsid w:val="00CB7E35"/>
    <w:rsid w:val="00CC1E36"/>
    <w:rsid w:val="00D002A3"/>
    <w:rsid w:val="00D055D9"/>
    <w:rsid w:val="00DA3A08"/>
    <w:rsid w:val="00DC12CF"/>
    <w:rsid w:val="00DD3758"/>
    <w:rsid w:val="00E34195"/>
    <w:rsid w:val="00EA169A"/>
    <w:rsid w:val="00EA40A9"/>
    <w:rsid w:val="00EF7822"/>
    <w:rsid w:val="00F02637"/>
    <w:rsid w:val="00F26AF0"/>
    <w:rsid w:val="00F27105"/>
    <w:rsid w:val="00F35B55"/>
    <w:rsid w:val="00FF1BB4"/>
    <w:rsid w:val="01D86637"/>
    <w:rsid w:val="03B83B4E"/>
    <w:rsid w:val="09FE0C04"/>
    <w:rsid w:val="0C8C7AEC"/>
    <w:rsid w:val="0C8F3D96"/>
    <w:rsid w:val="0E667697"/>
    <w:rsid w:val="102660B1"/>
    <w:rsid w:val="1068327B"/>
    <w:rsid w:val="1206262D"/>
    <w:rsid w:val="12C14EC5"/>
    <w:rsid w:val="15495B9A"/>
    <w:rsid w:val="16747E6A"/>
    <w:rsid w:val="171F098A"/>
    <w:rsid w:val="18A961DF"/>
    <w:rsid w:val="193F08F1"/>
    <w:rsid w:val="1B182296"/>
    <w:rsid w:val="1DA358F3"/>
    <w:rsid w:val="1E4F7095"/>
    <w:rsid w:val="1ECE4BF1"/>
    <w:rsid w:val="1FDC1300"/>
    <w:rsid w:val="20EB18B3"/>
    <w:rsid w:val="22806203"/>
    <w:rsid w:val="230019E8"/>
    <w:rsid w:val="235558E1"/>
    <w:rsid w:val="23E32F6D"/>
    <w:rsid w:val="257A3206"/>
    <w:rsid w:val="25FE652C"/>
    <w:rsid w:val="26CB1A16"/>
    <w:rsid w:val="27545AF9"/>
    <w:rsid w:val="27B54BA0"/>
    <w:rsid w:val="27FA0128"/>
    <w:rsid w:val="285048C9"/>
    <w:rsid w:val="29B93B49"/>
    <w:rsid w:val="29E0546B"/>
    <w:rsid w:val="29E259F5"/>
    <w:rsid w:val="2B595843"/>
    <w:rsid w:val="2D614E83"/>
    <w:rsid w:val="2E304F81"/>
    <w:rsid w:val="2E3C4096"/>
    <w:rsid w:val="2EDE1BFA"/>
    <w:rsid w:val="2F4F27ED"/>
    <w:rsid w:val="2FD111ED"/>
    <w:rsid w:val="2FE75B13"/>
    <w:rsid w:val="3082583C"/>
    <w:rsid w:val="30B67293"/>
    <w:rsid w:val="32B24CA3"/>
    <w:rsid w:val="32D970F4"/>
    <w:rsid w:val="33FD5BB8"/>
    <w:rsid w:val="341B5A61"/>
    <w:rsid w:val="34E00D83"/>
    <w:rsid w:val="36C46BAE"/>
    <w:rsid w:val="3ADB199C"/>
    <w:rsid w:val="3DF52EB3"/>
    <w:rsid w:val="3EE80688"/>
    <w:rsid w:val="40544927"/>
    <w:rsid w:val="424470DF"/>
    <w:rsid w:val="42BD2703"/>
    <w:rsid w:val="436311E1"/>
    <w:rsid w:val="44E16B7D"/>
    <w:rsid w:val="45294080"/>
    <w:rsid w:val="46154B59"/>
    <w:rsid w:val="46B56B5F"/>
    <w:rsid w:val="476A2E5A"/>
    <w:rsid w:val="47C307BC"/>
    <w:rsid w:val="48846505"/>
    <w:rsid w:val="48BC6A17"/>
    <w:rsid w:val="4A607445"/>
    <w:rsid w:val="4AA93C99"/>
    <w:rsid w:val="4F4E3061"/>
    <w:rsid w:val="50B42DD4"/>
    <w:rsid w:val="526861E8"/>
    <w:rsid w:val="53317391"/>
    <w:rsid w:val="53D1600F"/>
    <w:rsid w:val="53DA4EC3"/>
    <w:rsid w:val="545E6066"/>
    <w:rsid w:val="54794C90"/>
    <w:rsid w:val="54813591"/>
    <w:rsid w:val="554611D2"/>
    <w:rsid w:val="55FC0C50"/>
    <w:rsid w:val="56FC7846"/>
    <w:rsid w:val="59B07562"/>
    <w:rsid w:val="5CAE513F"/>
    <w:rsid w:val="5D804D2D"/>
    <w:rsid w:val="5EEC1B4A"/>
    <w:rsid w:val="5FAC4437"/>
    <w:rsid w:val="5FE41D14"/>
    <w:rsid w:val="60216AC4"/>
    <w:rsid w:val="604407C3"/>
    <w:rsid w:val="606D3778"/>
    <w:rsid w:val="613A550F"/>
    <w:rsid w:val="62EF64DC"/>
    <w:rsid w:val="64156940"/>
    <w:rsid w:val="6469740C"/>
    <w:rsid w:val="659E0BB7"/>
    <w:rsid w:val="668F7D8F"/>
    <w:rsid w:val="66FC5B95"/>
    <w:rsid w:val="6735607D"/>
    <w:rsid w:val="67A1673C"/>
    <w:rsid w:val="69394E7E"/>
    <w:rsid w:val="6A040A94"/>
    <w:rsid w:val="6A8219B9"/>
    <w:rsid w:val="6BCE3061"/>
    <w:rsid w:val="6CB3291C"/>
    <w:rsid w:val="6CF03552"/>
    <w:rsid w:val="6E881C94"/>
    <w:rsid w:val="6F765F90"/>
    <w:rsid w:val="70480FAF"/>
    <w:rsid w:val="70D016D0"/>
    <w:rsid w:val="70E62E17"/>
    <w:rsid w:val="71E76CD1"/>
    <w:rsid w:val="721E46BD"/>
    <w:rsid w:val="72516841"/>
    <w:rsid w:val="72602270"/>
    <w:rsid w:val="729257A8"/>
    <w:rsid w:val="738E13CF"/>
    <w:rsid w:val="73BC418E"/>
    <w:rsid w:val="73DC213A"/>
    <w:rsid w:val="758A6A62"/>
    <w:rsid w:val="75EB3E28"/>
    <w:rsid w:val="764346F2"/>
    <w:rsid w:val="77FA6918"/>
    <w:rsid w:val="790973F0"/>
    <w:rsid w:val="7A110D97"/>
    <w:rsid w:val="7B9D7CA1"/>
    <w:rsid w:val="7D0E5A5A"/>
    <w:rsid w:val="7D2F67E0"/>
    <w:rsid w:val="7DB33405"/>
    <w:rsid w:val="7E475116"/>
    <w:rsid w:val="7E775881"/>
    <w:rsid w:val="7F6C5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tabs>
        <w:tab w:val="left" w:pos="5985"/>
      </w:tabs>
      <w:ind w:firstLine="420"/>
    </w:pPr>
  </w:style>
  <w:style w:type="paragraph" w:styleId="3">
    <w:name w:val="Body Text Indent"/>
    <w:basedOn w:val="1"/>
    <w:next w:val="4"/>
    <w:autoRedefine/>
    <w:qFormat/>
    <w:uiPriority w:val="0"/>
    <w:pPr>
      <w:tabs>
        <w:tab w:val="left" w:pos="5985"/>
      </w:tabs>
      <w:ind w:firstLine="560" w:firstLineChars="200"/>
    </w:pPr>
    <w:rPr>
      <w:rFonts w:eastAsia="宋体"/>
      <w:sz w:val="28"/>
    </w:rPr>
  </w:style>
  <w:style w:type="paragraph" w:styleId="4">
    <w:name w:val="Body Text Indent 2"/>
    <w:basedOn w:val="1"/>
    <w:autoRedefine/>
    <w:qFormat/>
    <w:uiPriority w:val="0"/>
    <w:pPr>
      <w:spacing w:after="120" w:line="480" w:lineRule="auto"/>
      <w:ind w:left="420" w:leftChars="200"/>
    </w:pPr>
  </w:style>
  <w:style w:type="paragraph" w:styleId="6">
    <w:name w:val="annotation text"/>
    <w:basedOn w:val="1"/>
    <w:qFormat/>
    <w:uiPriority w:val="0"/>
    <w:pPr>
      <w:jc w:val="left"/>
    </w:pPr>
  </w:style>
  <w:style w:type="paragraph" w:styleId="7">
    <w:name w:val="Balloon Text"/>
    <w:basedOn w:val="1"/>
    <w:link w:val="17"/>
    <w:qFormat/>
    <w:uiPriority w:val="0"/>
    <w:rPr>
      <w:sz w:val="18"/>
      <w:szCs w:val="18"/>
    </w:rPr>
  </w:style>
  <w:style w:type="paragraph" w:styleId="8">
    <w:name w:val="footer"/>
    <w:basedOn w:val="1"/>
    <w:link w:val="16"/>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12">
    <w:name w:val="annotation reference"/>
    <w:basedOn w:val="11"/>
    <w:qFormat/>
    <w:uiPriority w:val="0"/>
    <w:rPr>
      <w:sz w:val="21"/>
      <w:szCs w:val="21"/>
    </w:rPr>
  </w:style>
  <w:style w:type="paragraph" w:customStyle="1" w:styleId="13">
    <w:name w:val="Default"/>
    <w:basedOn w:val="14"/>
    <w:next w:val="1"/>
    <w:autoRedefine/>
    <w:qFormat/>
    <w:uiPriority w:val="99"/>
    <w:pPr>
      <w:adjustRightInd w:val="0"/>
    </w:pPr>
    <w:rPr>
      <w:rFonts w:ascii="仿宋" w:eastAsia="仿宋" w:cs="仿宋"/>
      <w:color w:val="000000"/>
      <w:sz w:val="24"/>
      <w:lang w:val="en-US"/>
    </w:rPr>
  </w:style>
  <w:style w:type="paragraph" w:customStyle="1" w:styleId="14">
    <w:name w:val="文本"/>
    <w:basedOn w:val="1"/>
    <w:next w:val="1"/>
    <w:autoRedefine/>
    <w:qFormat/>
    <w:uiPriority w:val="0"/>
    <w:pPr>
      <w:autoSpaceDE w:val="0"/>
      <w:autoSpaceDN w:val="0"/>
      <w:ind w:firstLine="480"/>
    </w:pPr>
    <w:rPr>
      <w:lang w:val="zh-CN"/>
    </w:rPr>
  </w:style>
  <w:style w:type="character" w:customStyle="1" w:styleId="15">
    <w:name w:val="页眉 字符"/>
    <w:basedOn w:val="11"/>
    <w:link w:val="9"/>
    <w:qFormat/>
    <w:uiPriority w:val="0"/>
    <w:rPr>
      <w:rFonts w:ascii="Times New Roman" w:hAnsi="Times New Roman" w:eastAsia="仿宋_GB2312" w:cs="Times New Roman"/>
      <w:kern w:val="2"/>
      <w:sz w:val="18"/>
      <w:szCs w:val="18"/>
    </w:rPr>
  </w:style>
  <w:style w:type="character" w:customStyle="1" w:styleId="16">
    <w:name w:val="页脚 字符"/>
    <w:basedOn w:val="11"/>
    <w:link w:val="8"/>
    <w:qFormat/>
    <w:uiPriority w:val="0"/>
    <w:rPr>
      <w:rFonts w:ascii="Times New Roman" w:hAnsi="Times New Roman" w:eastAsia="仿宋_GB2312" w:cs="Times New Roman"/>
      <w:kern w:val="2"/>
      <w:sz w:val="18"/>
      <w:szCs w:val="18"/>
    </w:rPr>
  </w:style>
  <w:style w:type="character" w:customStyle="1" w:styleId="17">
    <w:name w:val="批注框文本 字符"/>
    <w:basedOn w:val="11"/>
    <w:link w:val="7"/>
    <w:qFormat/>
    <w:uiPriority w:val="0"/>
    <w:rPr>
      <w:rFonts w:ascii="Times New Roman" w:hAnsi="Times New Roman" w:eastAsia="仿宋_GB2312" w:cs="Times New Roman"/>
      <w:kern w:val="2"/>
      <w:sz w:val="18"/>
      <w:szCs w:val="18"/>
    </w:rPr>
  </w:style>
  <w:style w:type="paragraph" w:customStyle="1" w:styleId="18">
    <w:name w:val="修订1"/>
    <w:hidden/>
    <w:unhideWhenUsed/>
    <w:qFormat/>
    <w:uiPriority w:val="99"/>
    <w:rPr>
      <w:rFonts w:ascii="Times New Roman" w:hAnsi="Times New Roman" w:eastAsia="仿宋_GB2312" w:cs="Times New Roman"/>
      <w:kern w:val="2"/>
      <w:sz w:val="32"/>
      <w:szCs w:val="24"/>
      <w:lang w:val="en-US" w:eastAsia="zh-CN" w:bidi="ar-SA"/>
    </w:rPr>
  </w:style>
  <w:style w:type="paragraph" w:customStyle="1" w:styleId="19">
    <w:name w:val="Revision"/>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1994</Words>
  <Characters>2155</Characters>
  <Lines>55</Lines>
  <Paragraphs>21</Paragraphs>
  <TotalTime>5</TotalTime>
  <ScaleCrop>false</ScaleCrop>
  <LinksUpToDate>false</LinksUpToDate>
  <CharactersWithSpaces>2293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2023-02-24T03:37:00Z</dcterms:created>
  <dc:creator>福</dc:creator>
  <cp:lastModifiedBy>郭静</cp:lastModifiedBy>
  <cp:lastPrinted>2026-06-09T00:31:23Z</cp:lastPrinted>
  <dcterms:modified xsi:type="dcterms:W3CDTF">2026-06-09T00:34:26Z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B205930516234F5E939EBCE2C0AD10E4_13</vt:lpwstr>
  </property>
  <property fmtid="{D5CDD505-2E9C-101B-9397-08002B2CF9AE}" pid="4" name="KSOTemplateDocerSaveRecord">
    <vt:lpwstr>eyJoZGlkIjoiNDkxN2M1MmY1NDU2YzE2OWEwNjZkM2VhNWM2YTJjYTEiLCJ1c2VySWQiOiI0MzA0MDYyMTAifQ==</vt:lpwstr>
  </property>
</Properties>
</file>