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13445">
      <w:pPr>
        <w:ind w:firstLine="0" w:firstLineChars="0"/>
        <w:rPr>
          <w:rFonts w:hint="default" w:ascii="Times New Roman" w:hAnsi="Times New Roman" w:eastAsia="华文新魏" w:cs="Times New Roman"/>
          <w:b/>
          <w:bCs/>
          <w:color w:val="FF0000"/>
          <w:sz w:val="52"/>
          <w:szCs w:val="52"/>
          <w:highlight w:val="none"/>
          <w:u w:val="none" w:color="auto"/>
        </w:rPr>
      </w:pPr>
    </w:p>
    <w:p w14:paraId="0C11EBB0">
      <w:pPr>
        <w:ind w:firstLine="0" w:firstLineChars="0"/>
        <w:rPr>
          <w:rFonts w:hint="default" w:ascii="Times New Roman" w:hAnsi="Times New Roman" w:eastAsia="华文新魏" w:cs="Times New Roman"/>
          <w:b/>
          <w:bCs/>
          <w:color w:val="auto"/>
          <w:sz w:val="52"/>
          <w:szCs w:val="52"/>
          <w:highlight w:val="none"/>
          <w:u w:val="none" w:color="auto"/>
        </w:rPr>
      </w:pPr>
    </w:p>
    <w:p w14:paraId="14DD3DC7">
      <w:pPr>
        <w:ind w:left="0" w:leftChars="0" w:firstLine="0" w:firstLineChars="0"/>
        <w:jc w:val="center"/>
        <w:outlineLvl w:val="9"/>
        <w:rPr>
          <w:rFonts w:hint="default" w:ascii="Times New Roman" w:hAnsi="Times New Roman" w:cs="Times New Roman" w:eastAsiaTheme="majorEastAsia"/>
          <w:b/>
          <w:bCs/>
          <w:color w:val="auto"/>
          <w:sz w:val="56"/>
          <w:szCs w:val="56"/>
          <w:highlight w:val="none"/>
          <w:u w:val="none" w:color="auto"/>
          <w:lang w:eastAsia="zh-CN"/>
        </w:rPr>
      </w:pPr>
      <w:r>
        <w:rPr>
          <w:rFonts w:hint="default" w:ascii="Times New Roman" w:hAnsi="Times New Roman" w:cs="Times New Roman" w:eastAsiaTheme="majorEastAsia"/>
          <w:b/>
          <w:bCs/>
          <w:color w:val="auto"/>
          <w:sz w:val="56"/>
          <w:szCs w:val="56"/>
          <w:highlight w:val="none"/>
          <w:u w:val="none" w:color="auto"/>
          <w:lang w:eastAsia="zh-CN"/>
        </w:rPr>
        <w:t>大通湖工业园污水处理厂</w:t>
      </w:r>
    </w:p>
    <w:p w14:paraId="7A15F462">
      <w:pPr>
        <w:ind w:left="0" w:leftChars="0" w:firstLine="0" w:firstLineChars="0"/>
        <w:jc w:val="center"/>
        <w:outlineLvl w:val="9"/>
        <w:rPr>
          <w:rFonts w:hint="default" w:ascii="Times New Roman" w:hAnsi="Times New Roman" w:cs="Times New Roman" w:eastAsiaTheme="majorEastAsia"/>
          <w:b/>
          <w:bCs/>
          <w:color w:val="auto"/>
          <w:sz w:val="56"/>
          <w:szCs w:val="56"/>
          <w:highlight w:val="none"/>
          <w:u w:val="none" w:color="auto"/>
          <w:lang w:eastAsia="zh-CN"/>
        </w:rPr>
      </w:pPr>
      <w:r>
        <w:rPr>
          <w:rFonts w:hint="default" w:ascii="Times New Roman" w:hAnsi="Times New Roman" w:cs="Times New Roman" w:eastAsiaTheme="majorEastAsia"/>
          <w:b/>
          <w:bCs/>
          <w:color w:val="auto"/>
          <w:sz w:val="56"/>
          <w:szCs w:val="56"/>
          <w:highlight w:val="none"/>
          <w:u w:val="none" w:color="auto"/>
          <w:lang w:eastAsia="zh-CN"/>
        </w:rPr>
        <w:t>提质改造建设项目</w:t>
      </w:r>
      <w:r>
        <w:rPr>
          <w:rFonts w:hint="eastAsia" w:cs="Times New Roman" w:eastAsiaTheme="majorEastAsia"/>
          <w:b/>
          <w:bCs/>
          <w:color w:val="auto"/>
          <w:sz w:val="56"/>
          <w:szCs w:val="56"/>
          <w:highlight w:val="none"/>
          <w:u w:val="none" w:color="auto"/>
          <w:lang w:eastAsia="zh-CN"/>
        </w:rPr>
        <w:t>（</w:t>
      </w:r>
      <w:r>
        <w:rPr>
          <w:rFonts w:hint="eastAsia" w:cs="Times New Roman" w:eastAsiaTheme="majorEastAsia"/>
          <w:b/>
          <w:bCs/>
          <w:color w:val="auto"/>
          <w:sz w:val="56"/>
          <w:szCs w:val="56"/>
          <w:highlight w:val="none"/>
          <w:u w:val="none" w:color="auto"/>
          <w:lang w:val="en-US" w:eastAsia="zh-CN"/>
        </w:rPr>
        <w:t>一期</w:t>
      </w:r>
      <w:r>
        <w:rPr>
          <w:rFonts w:hint="eastAsia" w:cs="Times New Roman" w:eastAsiaTheme="majorEastAsia"/>
          <w:b/>
          <w:bCs/>
          <w:color w:val="auto"/>
          <w:sz w:val="56"/>
          <w:szCs w:val="56"/>
          <w:highlight w:val="none"/>
          <w:u w:val="none" w:color="auto"/>
          <w:lang w:eastAsia="zh-CN"/>
        </w:rPr>
        <w:t>）</w:t>
      </w:r>
    </w:p>
    <w:p w14:paraId="35FF31CC">
      <w:pPr>
        <w:pStyle w:val="96"/>
        <w:rPr>
          <w:rFonts w:hint="default" w:ascii="Times New Roman" w:hAnsi="Times New Roman" w:cs="Times New Roman"/>
          <w:color w:val="auto"/>
          <w:highlight w:val="none"/>
          <w:u w:val="none" w:color="auto"/>
          <w:lang w:eastAsia="zh-CN"/>
        </w:rPr>
      </w:pPr>
    </w:p>
    <w:p w14:paraId="5FFF5EE7">
      <w:pPr>
        <w:ind w:left="0" w:leftChars="0" w:firstLine="0" w:firstLineChars="0"/>
        <w:jc w:val="center"/>
        <w:outlineLvl w:val="9"/>
        <w:rPr>
          <w:rFonts w:hint="default" w:ascii="Times New Roman" w:hAnsi="Times New Roman" w:eastAsia="黑体" w:cs="Times New Roman"/>
          <w:b/>
          <w:color w:val="auto"/>
          <w:spacing w:val="60"/>
          <w:sz w:val="72"/>
          <w:szCs w:val="72"/>
          <w:highlight w:val="none"/>
          <w:u w:val="none" w:color="auto"/>
        </w:rPr>
      </w:pPr>
      <w:r>
        <w:rPr>
          <w:rFonts w:hint="default" w:ascii="Times New Roman" w:hAnsi="Times New Roman" w:eastAsia="黑体" w:cs="Times New Roman"/>
          <w:b/>
          <w:color w:val="auto"/>
          <w:spacing w:val="60"/>
          <w:sz w:val="72"/>
          <w:szCs w:val="72"/>
          <w:highlight w:val="none"/>
          <w:u w:val="none" w:color="auto"/>
        </w:rPr>
        <w:t>环境影响报告书</w:t>
      </w:r>
    </w:p>
    <w:p w14:paraId="66F92715">
      <w:pPr>
        <w:ind w:left="0" w:leftChars="0" w:firstLine="0" w:firstLineChars="0"/>
        <w:jc w:val="center"/>
        <w:rPr>
          <w:rFonts w:hint="default" w:ascii="Times New Roman" w:hAnsi="Times New Roman" w:cs="Times New Roman" w:eastAsiaTheme="majorEastAsia"/>
          <w:b/>
          <w:bCs/>
          <w:color w:val="auto"/>
          <w:sz w:val="56"/>
          <w:szCs w:val="56"/>
          <w:highlight w:val="none"/>
          <w:u w:val="none" w:color="auto"/>
          <w:lang w:eastAsia="zh-CN"/>
        </w:rPr>
      </w:pPr>
      <w:r>
        <w:rPr>
          <w:rFonts w:hint="default" w:ascii="Times New Roman" w:hAnsi="Times New Roman" w:cs="Times New Roman" w:eastAsiaTheme="majorEastAsia"/>
          <w:b/>
          <w:bCs/>
          <w:color w:val="auto"/>
          <w:sz w:val="56"/>
          <w:szCs w:val="56"/>
          <w:highlight w:val="none"/>
          <w:u w:val="none" w:color="auto"/>
          <w:lang w:eastAsia="zh-CN"/>
        </w:rPr>
        <w:t>（</w:t>
      </w:r>
      <w:r>
        <w:rPr>
          <w:rFonts w:hint="eastAsia" w:cs="Times New Roman" w:eastAsiaTheme="majorEastAsia"/>
          <w:b/>
          <w:bCs/>
          <w:color w:val="auto"/>
          <w:sz w:val="56"/>
          <w:szCs w:val="56"/>
          <w:highlight w:val="none"/>
          <w:u w:val="none" w:color="auto"/>
          <w:lang w:val="en-US" w:eastAsia="zh-CN"/>
        </w:rPr>
        <w:t>报批</w:t>
      </w:r>
      <w:r>
        <w:rPr>
          <w:rFonts w:hint="default" w:ascii="Times New Roman" w:hAnsi="Times New Roman" w:cs="Times New Roman" w:eastAsiaTheme="majorEastAsia"/>
          <w:b/>
          <w:bCs/>
          <w:color w:val="auto"/>
          <w:sz w:val="56"/>
          <w:szCs w:val="56"/>
          <w:highlight w:val="none"/>
          <w:u w:val="none" w:color="auto"/>
          <w:lang w:eastAsia="zh-CN"/>
        </w:rPr>
        <w:t>稿）</w:t>
      </w:r>
    </w:p>
    <w:p w14:paraId="00BEBD35">
      <w:pPr>
        <w:pStyle w:val="96"/>
        <w:rPr>
          <w:rFonts w:hint="default" w:ascii="Times New Roman" w:hAnsi="Times New Roman" w:cs="Times New Roman" w:eastAsiaTheme="minorEastAsia"/>
          <w:color w:val="auto"/>
          <w:highlight w:val="none"/>
          <w:u w:val="none" w:color="auto"/>
        </w:rPr>
      </w:pPr>
    </w:p>
    <w:p w14:paraId="39A699A2">
      <w:pPr>
        <w:pStyle w:val="96"/>
        <w:rPr>
          <w:rFonts w:hint="default" w:ascii="Times New Roman" w:hAnsi="Times New Roman" w:cs="Times New Roman" w:eastAsiaTheme="minorEastAsia"/>
          <w:color w:val="auto"/>
          <w:highlight w:val="none"/>
          <w:u w:val="none" w:color="auto"/>
        </w:rPr>
      </w:pPr>
    </w:p>
    <w:p w14:paraId="352FE871">
      <w:pPr>
        <w:ind w:firstLine="480"/>
        <w:rPr>
          <w:rFonts w:hint="default" w:ascii="Times New Roman" w:hAnsi="Times New Roman" w:cs="Times New Roman"/>
          <w:color w:val="auto"/>
          <w:highlight w:val="none"/>
          <w:u w:val="none" w:color="auto"/>
        </w:rPr>
      </w:pPr>
    </w:p>
    <w:p w14:paraId="64BF4216">
      <w:pPr>
        <w:ind w:firstLine="480"/>
        <w:rPr>
          <w:rFonts w:hint="default" w:ascii="Times New Roman" w:hAnsi="Times New Roman" w:cs="Times New Roman"/>
          <w:color w:val="auto"/>
          <w:highlight w:val="none"/>
          <w:u w:val="none" w:color="auto"/>
        </w:rPr>
      </w:pPr>
    </w:p>
    <w:p w14:paraId="335255DC">
      <w:pPr>
        <w:ind w:firstLine="480"/>
        <w:jc w:val="center"/>
        <w:rPr>
          <w:rFonts w:hint="default" w:ascii="Times New Roman" w:hAnsi="Times New Roman" w:cs="Times New Roman"/>
          <w:color w:val="auto"/>
          <w:highlight w:val="none"/>
          <w:u w:val="none" w:color="auto"/>
        </w:rPr>
      </w:pPr>
    </w:p>
    <w:p w14:paraId="0B8080A8">
      <w:pPr>
        <w:pStyle w:val="96"/>
        <w:rPr>
          <w:rFonts w:hint="default" w:ascii="Times New Roman" w:hAnsi="Times New Roman" w:cs="Times New Roman" w:eastAsiaTheme="minorEastAsia"/>
          <w:color w:val="auto"/>
          <w:highlight w:val="none"/>
          <w:u w:val="none" w:color="auto"/>
        </w:rPr>
      </w:pPr>
    </w:p>
    <w:p w14:paraId="7FBBCB6B">
      <w:pPr>
        <w:pStyle w:val="96"/>
        <w:rPr>
          <w:rFonts w:hint="default" w:ascii="Times New Roman" w:hAnsi="Times New Roman" w:cs="Times New Roman" w:eastAsiaTheme="minorEastAsia"/>
          <w:color w:val="auto"/>
          <w:highlight w:val="none"/>
          <w:u w:val="none" w:color="auto"/>
        </w:rPr>
      </w:pPr>
    </w:p>
    <w:p w14:paraId="54E309A4">
      <w:pPr>
        <w:pStyle w:val="96"/>
        <w:rPr>
          <w:rFonts w:hint="default" w:ascii="Times New Roman" w:hAnsi="Times New Roman" w:cs="Times New Roman" w:eastAsiaTheme="minorEastAsia"/>
          <w:color w:val="auto"/>
          <w:highlight w:val="none"/>
          <w:u w:val="none" w:color="auto"/>
        </w:rPr>
      </w:pPr>
    </w:p>
    <w:p w14:paraId="7C95F36C">
      <w:pPr>
        <w:pStyle w:val="96"/>
        <w:ind w:left="0" w:leftChars="0" w:firstLine="0" w:firstLineChars="0"/>
        <w:rPr>
          <w:rFonts w:hint="default" w:ascii="Times New Roman" w:hAnsi="Times New Roman" w:cs="Times New Roman" w:eastAsiaTheme="minorEastAsia"/>
          <w:color w:val="auto"/>
          <w:highlight w:val="none"/>
          <w:u w:val="none" w:color="auto"/>
        </w:rPr>
      </w:pPr>
    </w:p>
    <w:p w14:paraId="3D1BE765">
      <w:pPr>
        <w:pStyle w:val="98"/>
        <w:rPr>
          <w:rFonts w:hint="default" w:ascii="Times New Roman" w:hAnsi="Times New Roman" w:cs="Times New Roman"/>
          <w:highlight w:val="none"/>
        </w:rPr>
      </w:pPr>
    </w:p>
    <w:p w14:paraId="4376C801">
      <w:pPr>
        <w:pStyle w:val="96"/>
        <w:rPr>
          <w:rFonts w:hint="default" w:ascii="Times New Roman" w:hAnsi="Times New Roman" w:cs="Times New Roman" w:eastAsiaTheme="minorEastAsia"/>
          <w:color w:val="auto"/>
          <w:highlight w:val="none"/>
          <w:u w:val="none" w:color="auto"/>
        </w:rPr>
      </w:pPr>
    </w:p>
    <w:p w14:paraId="41508D3A">
      <w:pPr>
        <w:pStyle w:val="96"/>
        <w:rPr>
          <w:rFonts w:hint="default" w:ascii="Times New Roman" w:hAnsi="Times New Roman" w:cs="Times New Roman" w:eastAsiaTheme="minorEastAsia"/>
          <w:color w:val="auto"/>
          <w:highlight w:val="none"/>
          <w:u w:val="none" w:color="auto"/>
        </w:rPr>
      </w:pPr>
    </w:p>
    <w:tbl>
      <w:tblPr>
        <w:tblStyle w:val="76"/>
        <w:tblW w:w="8745" w:type="dxa"/>
        <w:jc w:val="right"/>
        <w:tblLayout w:type="fixed"/>
        <w:tblCellMar>
          <w:top w:w="0" w:type="dxa"/>
          <w:left w:w="108" w:type="dxa"/>
          <w:bottom w:w="0" w:type="dxa"/>
          <w:right w:w="108" w:type="dxa"/>
        </w:tblCellMar>
      </w:tblPr>
      <w:tblGrid>
        <w:gridCol w:w="1800"/>
        <w:gridCol w:w="6945"/>
      </w:tblGrid>
      <w:tr w14:paraId="7D47434A">
        <w:tblPrEx>
          <w:tblCellMar>
            <w:top w:w="0" w:type="dxa"/>
            <w:left w:w="108" w:type="dxa"/>
            <w:bottom w:w="0" w:type="dxa"/>
            <w:right w:w="108" w:type="dxa"/>
          </w:tblCellMar>
        </w:tblPrEx>
        <w:trPr>
          <w:trHeight w:val="23" w:hRule="atLeast"/>
          <w:jc w:val="right"/>
        </w:trPr>
        <w:tc>
          <w:tcPr>
            <w:tcW w:w="1800" w:type="dxa"/>
            <w:tcBorders>
              <w:tl2br w:val="nil"/>
              <w:tr2bl w:val="nil"/>
            </w:tcBorders>
            <w:vAlign w:val="center"/>
          </w:tcPr>
          <w:p w14:paraId="0E04C85E">
            <w:pPr>
              <w:keepNext w:val="0"/>
              <w:keepLines w:val="0"/>
              <w:widowControl/>
              <w:suppressLineNumbers w:val="0"/>
              <w:autoSpaceDE/>
              <w:autoSpaceDN/>
              <w:snapToGrid w:val="0"/>
              <w:spacing w:before="0" w:beforeAutospacing="0" w:after="200" w:afterAutospacing="0" w:line="240" w:lineRule="auto"/>
              <w:ind w:left="0" w:right="-154" w:rightChars="-64" w:firstLine="0" w:firstLineChars="0"/>
              <w:jc w:val="left"/>
              <w:rPr>
                <w:rFonts w:hint="default" w:ascii="Times New Roman" w:hAnsi="Times New Roman" w:cs="Times New Roman" w:eastAsiaTheme="majorEastAsia"/>
                <w:b/>
                <w:color w:val="auto"/>
                <w:sz w:val="36"/>
                <w:highlight w:val="none"/>
                <w:u w:val="none" w:color="auto"/>
              </w:rPr>
            </w:pPr>
            <w:r>
              <w:rPr>
                <w:rFonts w:hint="default" w:ascii="Times New Roman" w:hAnsi="Times New Roman" w:cs="Times New Roman" w:eastAsiaTheme="majorEastAsia"/>
                <w:b/>
                <w:bCs/>
                <w:color w:val="auto"/>
                <w:sz w:val="36"/>
                <w:highlight w:val="none"/>
                <w:u w:val="none" w:color="auto"/>
              </w:rPr>
              <w:t>建设单位：</w:t>
            </w:r>
          </w:p>
        </w:tc>
        <w:tc>
          <w:tcPr>
            <w:tcW w:w="6945" w:type="dxa"/>
            <w:tcBorders>
              <w:tl2br w:val="nil"/>
              <w:tr2bl w:val="nil"/>
            </w:tcBorders>
            <w:vAlign w:val="center"/>
          </w:tcPr>
          <w:p w14:paraId="438CA09E">
            <w:pPr>
              <w:keepNext w:val="0"/>
              <w:keepLines w:val="0"/>
              <w:widowControl/>
              <w:suppressLineNumbers w:val="0"/>
              <w:autoSpaceDE/>
              <w:autoSpaceDN/>
              <w:snapToGrid w:val="0"/>
              <w:spacing w:before="0" w:beforeAutospacing="0" w:after="200" w:afterAutospacing="0" w:line="240" w:lineRule="auto"/>
              <w:ind w:left="0" w:right="0" w:firstLine="0" w:firstLineChars="0"/>
              <w:jc w:val="left"/>
              <w:rPr>
                <w:rFonts w:hint="default" w:ascii="Times New Roman" w:hAnsi="Times New Roman" w:cs="Times New Roman" w:eastAsiaTheme="majorEastAsia"/>
                <w:b/>
                <w:bCs/>
                <w:color w:val="auto"/>
                <w:sz w:val="36"/>
                <w:highlight w:val="none"/>
                <w:u w:val="none" w:color="auto"/>
                <w:lang w:eastAsia="zh-CN"/>
              </w:rPr>
            </w:pPr>
            <w:r>
              <w:rPr>
                <w:rFonts w:hint="default" w:ascii="Times New Roman" w:hAnsi="Times New Roman" w:cs="Times New Roman" w:eastAsiaTheme="majorEastAsia"/>
                <w:b/>
                <w:bCs/>
                <w:color w:val="auto"/>
                <w:sz w:val="36"/>
                <w:highlight w:val="none"/>
                <w:u w:val="none" w:color="auto"/>
                <w:lang w:eastAsia="zh-CN"/>
              </w:rPr>
              <w:t>大通湖产业发展中心</w:t>
            </w:r>
          </w:p>
        </w:tc>
      </w:tr>
      <w:tr w14:paraId="68BC470D">
        <w:tblPrEx>
          <w:tblCellMar>
            <w:top w:w="0" w:type="dxa"/>
            <w:left w:w="108" w:type="dxa"/>
            <w:bottom w:w="0" w:type="dxa"/>
            <w:right w:w="108" w:type="dxa"/>
          </w:tblCellMar>
        </w:tblPrEx>
        <w:trPr>
          <w:trHeight w:val="23" w:hRule="atLeast"/>
          <w:jc w:val="right"/>
        </w:trPr>
        <w:tc>
          <w:tcPr>
            <w:tcW w:w="1800" w:type="dxa"/>
            <w:tcBorders>
              <w:tl2br w:val="nil"/>
              <w:tr2bl w:val="nil"/>
            </w:tcBorders>
            <w:vAlign w:val="center"/>
          </w:tcPr>
          <w:p w14:paraId="19D8E467">
            <w:pPr>
              <w:keepNext w:val="0"/>
              <w:keepLines w:val="0"/>
              <w:widowControl/>
              <w:suppressLineNumbers w:val="0"/>
              <w:autoSpaceDE/>
              <w:autoSpaceDN/>
              <w:snapToGrid w:val="0"/>
              <w:spacing w:before="0" w:beforeAutospacing="0" w:after="200" w:afterAutospacing="0" w:line="240" w:lineRule="auto"/>
              <w:ind w:left="0" w:right="-154" w:rightChars="-64" w:firstLine="0" w:firstLineChars="0"/>
              <w:jc w:val="left"/>
              <w:rPr>
                <w:rFonts w:hint="default" w:ascii="Times New Roman" w:hAnsi="Times New Roman" w:cs="Times New Roman" w:eastAsiaTheme="majorEastAsia"/>
                <w:b/>
                <w:color w:val="auto"/>
                <w:sz w:val="36"/>
                <w:highlight w:val="none"/>
                <w:u w:val="none" w:color="auto"/>
              </w:rPr>
            </w:pPr>
            <w:r>
              <w:rPr>
                <w:rFonts w:hint="default" w:ascii="Times New Roman" w:hAnsi="Times New Roman" w:cs="Times New Roman" w:eastAsiaTheme="majorEastAsia"/>
                <w:b/>
                <w:bCs/>
                <w:color w:val="auto"/>
                <w:sz w:val="36"/>
                <w:highlight w:val="none"/>
                <w:u w:val="none" w:color="auto"/>
              </w:rPr>
              <w:t>评价单位：</w:t>
            </w:r>
          </w:p>
        </w:tc>
        <w:tc>
          <w:tcPr>
            <w:tcW w:w="6945" w:type="dxa"/>
            <w:tcBorders>
              <w:tl2br w:val="nil"/>
              <w:tr2bl w:val="nil"/>
            </w:tcBorders>
            <w:vAlign w:val="center"/>
          </w:tcPr>
          <w:p w14:paraId="0B065466">
            <w:pPr>
              <w:keepNext w:val="0"/>
              <w:keepLines w:val="0"/>
              <w:widowControl/>
              <w:suppressLineNumbers w:val="0"/>
              <w:autoSpaceDE/>
              <w:autoSpaceDN/>
              <w:snapToGrid w:val="0"/>
              <w:spacing w:before="0" w:beforeAutospacing="0" w:after="200" w:afterAutospacing="0" w:line="240" w:lineRule="auto"/>
              <w:ind w:left="0" w:right="0" w:firstLine="0" w:firstLineChars="0"/>
              <w:jc w:val="left"/>
              <w:rPr>
                <w:rFonts w:hint="default" w:ascii="Times New Roman" w:hAnsi="Times New Roman" w:cs="Times New Roman" w:eastAsiaTheme="majorEastAsia"/>
                <w:b/>
                <w:color w:val="auto"/>
                <w:sz w:val="36"/>
                <w:highlight w:val="none"/>
                <w:u w:val="none" w:color="auto"/>
                <w:lang w:eastAsia="zh-CN"/>
              </w:rPr>
            </w:pPr>
            <w:r>
              <w:rPr>
                <w:rFonts w:hint="default" w:ascii="Times New Roman" w:hAnsi="Times New Roman" w:cs="Times New Roman" w:eastAsiaTheme="majorEastAsia"/>
                <w:b/>
                <w:bCs/>
                <w:color w:val="auto"/>
                <w:sz w:val="36"/>
                <w:highlight w:val="none"/>
                <w:u w:val="none" w:color="auto"/>
                <w:lang w:eastAsia="zh-CN"/>
              </w:rPr>
              <w:t>湖南沐程生态环境工程有限公司</w:t>
            </w:r>
          </w:p>
        </w:tc>
      </w:tr>
    </w:tbl>
    <w:p w14:paraId="6E058D4B">
      <w:pPr>
        <w:widowControl/>
        <w:autoSpaceDE/>
        <w:autoSpaceDN/>
        <w:snapToGrid w:val="0"/>
        <w:spacing w:before="120" w:beforeLines="50" w:after="200" w:line="240" w:lineRule="auto"/>
        <w:ind w:firstLine="0" w:firstLineChars="0"/>
        <w:jc w:val="center"/>
        <w:rPr>
          <w:rFonts w:hint="default" w:ascii="Times New Roman" w:hAnsi="Times New Roman" w:cs="Times New Roman" w:eastAsiaTheme="majorEastAsia"/>
          <w:b/>
          <w:color w:val="auto"/>
          <w:sz w:val="36"/>
          <w:szCs w:val="56"/>
          <w:highlight w:val="none"/>
          <w:u w:val="none" w:color="auto"/>
          <w:lang w:val="en-US"/>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0" w:footer="992" w:gutter="0"/>
          <w:pgBorders>
            <w:top w:val="none" w:sz="0" w:space="0"/>
            <w:left w:val="none" w:sz="0" w:space="0"/>
            <w:bottom w:val="none" w:sz="0" w:space="0"/>
            <w:right w:val="none" w:sz="0" w:space="0"/>
          </w:pgBorders>
          <w:cols w:space="425" w:num="1"/>
          <w:titlePg/>
          <w:docGrid w:linePitch="326" w:charSpace="0"/>
        </w:sectPr>
      </w:pPr>
      <w:r>
        <w:rPr>
          <w:rFonts w:hint="default" w:ascii="Times New Roman" w:hAnsi="Times New Roman" w:cs="Times New Roman" w:eastAsiaTheme="majorEastAsia"/>
          <w:b/>
          <w:color w:val="auto"/>
          <w:sz w:val="36"/>
          <w:szCs w:val="56"/>
          <w:highlight w:val="none"/>
          <w:u w:val="none" w:color="auto"/>
        </w:rPr>
        <w:t>二0二</w:t>
      </w:r>
      <w:r>
        <w:rPr>
          <w:rFonts w:hint="eastAsia" w:cs="Times New Roman" w:eastAsiaTheme="majorEastAsia"/>
          <w:b/>
          <w:color w:val="auto"/>
          <w:sz w:val="36"/>
          <w:szCs w:val="56"/>
          <w:highlight w:val="none"/>
          <w:u w:val="none" w:color="auto"/>
          <w:lang w:val="en-US" w:eastAsia="zh-CN"/>
        </w:rPr>
        <w:t>六</w:t>
      </w:r>
      <w:r>
        <w:rPr>
          <w:rFonts w:hint="default" w:ascii="Times New Roman" w:hAnsi="Times New Roman" w:cs="Times New Roman" w:eastAsiaTheme="majorEastAsia"/>
          <w:b/>
          <w:color w:val="auto"/>
          <w:sz w:val="36"/>
          <w:szCs w:val="56"/>
          <w:highlight w:val="none"/>
          <w:u w:val="none" w:color="auto"/>
        </w:rPr>
        <w:t>年</w:t>
      </w:r>
      <w:r>
        <w:rPr>
          <w:rFonts w:hint="eastAsia" w:cs="Times New Roman" w:eastAsiaTheme="majorEastAsia"/>
          <w:b/>
          <w:color w:val="auto"/>
          <w:sz w:val="36"/>
          <w:szCs w:val="56"/>
          <w:highlight w:val="none"/>
          <w:u w:val="none" w:color="auto"/>
          <w:lang w:val="en-US" w:eastAsia="zh-CN"/>
        </w:rPr>
        <w:t>二</w:t>
      </w:r>
      <w:r>
        <w:rPr>
          <w:rFonts w:hint="default" w:ascii="Times New Roman" w:hAnsi="Times New Roman" w:cs="Times New Roman" w:eastAsiaTheme="majorEastAsia"/>
          <w:b/>
          <w:color w:val="auto"/>
          <w:sz w:val="36"/>
          <w:szCs w:val="56"/>
          <w:highlight w:val="none"/>
          <w:u w:val="none" w:color="auto"/>
          <w:lang w:val="en-US" w:eastAsia="zh-CN"/>
        </w:rPr>
        <w:t>月</w:t>
      </w:r>
    </w:p>
    <w:p w14:paraId="58396953">
      <w:pPr>
        <w:tabs>
          <w:tab w:val="center" w:pos="4594"/>
          <w:tab w:val="left" w:pos="5664"/>
        </w:tabs>
        <w:spacing w:before="0" w:beforeLines="0" w:after="0" w:afterLines="0" w:line="360" w:lineRule="auto"/>
        <w:ind w:left="0" w:leftChars="0" w:right="0" w:rightChars="0" w:firstLine="0" w:firstLineChars="0"/>
        <w:jc w:val="both"/>
        <w:rPr>
          <w:rFonts w:hint="default" w:ascii="Times New Roman" w:hAnsi="Times New Roman" w:cs="Times New Roman"/>
          <w:b/>
          <w:bCs/>
          <w:color w:val="FF0000"/>
          <w:sz w:val="36"/>
          <w:szCs w:val="44"/>
          <w:highlight w:val="none"/>
          <w:u w:val="none" w:color="auto"/>
          <w:lang w:val="en-US" w:eastAsia="zh-CN" w:bidi="ar-SA"/>
        </w:rPr>
      </w:pPr>
      <w:r>
        <w:rPr>
          <w:rFonts w:hint="default" w:ascii="Times New Roman" w:hAnsi="Times New Roman" w:cs="Times New Roman"/>
          <w:b/>
          <w:bCs/>
          <w:color w:val="FF0000"/>
          <w:sz w:val="36"/>
          <w:szCs w:val="44"/>
          <w:highlight w:val="none"/>
          <w:u w:val="none" w:color="auto"/>
          <w:lang w:val="en-US" w:eastAsia="zh-CN" w:bidi="ar-SA"/>
        </w:rPr>
        <w:tab/>
      </w:r>
    </w:p>
    <w:sdt>
      <w:sdtPr>
        <w:rPr>
          <w:rFonts w:hint="default" w:ascii="Times New Roman" w:hAnsi="Times New Roman" w:eastAsia="宋体" w:cs="Times New Roman"/>
          <w:b/>
          <w:bCs/>
          <w:color w:val="auto"/>
          <w:sz w:val="36"/>
          <w:szCs w:val="44"/>
          <w:highlight w:val="none"/>
          <w:u w:val="none" w:color="auto"/>
          <w:lang w:val="en-US" w:eastAsia="zh-CN" w:bidi="ar-SA"/>
        </w:rPr>
        <w:id w:val="147456828"/>
        <w15:color w:val="DBDBDB"/>
        <w:docPartObj>
          <w:docPartGallery w:val="Table of Contents"/>
          <w:docPartUnique/>
        </w:docPartObj>
      </w:sdtPr>
      <w:sdtEndPr>
        <w:rPr>
          <w:rFonts w:hint="default" w:ascii="Times New Roman" w:hAnsi="Times New Roman" w:eastAsia="宋体" w:cs="Times New Roman"/>
          <w:b/>
          <w:bCs/>
          <w:color w:val="FF0000"/>
          <w:sz w:val="36"/>
          <w:szCs w:val="44"/>
          <w:highlight w:val="none"/>
          <w:u w:val="none" w:color="auto"/>
          <w:lang w:val="en-US" w:eastAsia="zh-CN" w:bidi="ar-SA"/>
        </w:rPr>
      </w:sdtEndPr>
      <w:sdtContent>
        <w:p w14:paraId="4296905B">
          <w:pPr>
            <w:tabs>
              <w:tab w:val="center" w:pos="4594"/>
              <w:tab w:val="left" w:pos="5664"/>
            </w:tabs>
            <w:spacing w:before="0" w:beforeLines="0" w:after="0" w:afterLines="0" w:line="360" w:lineRule="auto"/>
            <w:ind w:left="0" w:leftChars="0" w:right="0" w:rightChars="0" w:firstLine="0" w:firstLineChars="0"/>
            <w:jc w:val="center"/>
            <w:rPr>
              <w:rFonts w:hint="default" w:ascii="Times New Roman" w:hAnsi="Times New Roman" w:eastAsia="宋体" w:cs="Times New Roman"/>
              <w:b/>
              <w:bCs/>
              <w:color w:val="auto"/>
              <w:sz w:val="44"/>
              <w:szCs w:val="44"/>
              <w:highlight w:val="none"/>
              <w:u w:val="none" w:color="auto"/>
              <w:lang w:eastAsia="zh-CN"/>
            </w:rPr>
          </w:pPr>
          <w:r>
            <w:rPr>
              <w:rFonts w:hint="default" w:ascii="Times New Roman" w:hAnsi="Times New Roman" w:eastAsia="宋体" w:cs="Times New Roman"/>
              <w:b/>
              <w:bCs/>
              <w:color w:val="auto"/>
              <w:sz w:val="36"/>
              <w:szCs w:val="44"/>
              <w:highlight w:val="none"/>
              <w:u w:val="none" w:color="auto"/>
            </w:rPr>
            <w:t>目</w:t>
          </w:r>
          <w:r>
            <w:rPr>
              <w:rFonts w:hint="default" w:ascii="Times New Roman" w:hAnsi="Times New Roman" w:eastAsia="宋体" w:cs="Times New Roman"/>
              <w:b/>
              <w:bCs/>
              <w:color w:val="auto"/>
              <w:sz w:val="36"/>
              <w:szCs w:val="44"/>
              <w:highlight w:val="none"/>
              <w:u w:val="none" w:color="auto"/>
              <w:lang w:val="en-US" w:eastAsia="zh-CN"/>
            </w:rPr>
            <w:t xml:space="preserve"> </w:t>
          </w:r>
          <w:r>
            <w:rPr>
              <w:rFonts w:hint="default" w:ascii="Times New Roman" w:hAnsi="Times New Roman" w:eastAsia="宋体" w:cs="Times New Roman"/>
              <w:b/>
              <w:bCs/>
              <w:color w:val="auto"/>
              <w:sz w:val="36"/>
              <w:szCs w:val="44"/>
              <w:highlight w:val="none"/>
              <w:u w:val="none" w:color="auto"/>
            </w:rPr>
            <w:t>录</w:t>
          </w:r>
        </w:p>
        <w:p w14:paraId="13072B32">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0"/>
              <w:highlight w:val="none"/>
            </w:rPr>
          </w:pP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color w:val="FF0000"/>
              <w:sz w:val="24"/>
              <w:szCs w:val="20"/>
              <w:highlight w:val="none"/>
              <w:u w:val="none" w:color="auto"/>
            </w:rPr>
            <w:instrText xml:space="preserve">TOC \o "1-2" \h \u </w:instrText>
          </w:r>
          <w:r>
            <w:rPr>
              <w:rFonts w:hint="default" w:ascii="Times New Roman" w:hAnsi="Times New Roman" w:cs="Times New Roman"/>
              <w:color w:val="FF0000"/>
              <w:sz w:val="24"/>
              <w:szCs w:val="20"/>
              <w:highlight w:val="none"/>
              <w:u w:val="none" w:color="auto"/>
            </w:rPr>
            <w:fldChar w:fldCharType="separate"/>
          </w: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sz w:val="24"/>
              <w:szCs w:val="20"/>
              <w:highlight w:val="none"/>
            </w:rPr>
            <w:instrText xml:space="preserve"> HYPERLINK \l _Toc18516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lang w:val="en-US" w:eastAsia="zh-CN"/>
            </w:rPr>
            <w:t xml:space="preserve">1 </w:t>
          </w:r>
          <w:r>
            <w:rPr>
              <w:rFonts w:hint="default" w:ascii="Times New Roman" w:hAnsi="Times New Roman" w:cs="Times New Roman"/>
              <w:sz w:val="24"/>
              <w:szCs w:val="20"/>
              <w:highlight w:val="none"/>
              <w:lang w:eastAsia="zh-CN"/>
            </w:rPr>
            <w:t>概述</w:t>
          </w:r>
          <w:r>
            <w:rPr>
              <w:rFonts w:hint="default" w:ascii="Times New Roman" w:hAnsi="Times New Roman" w:cs="Times New Roman"/>
              <w:sz w:val="24"/>
              <w:szCs w:val="20"/>
              <w:highlight w:val="none"/>
            </w:rPr>
            <w:tab/>
          </w:r>
          <w:r>
            <w:rPr>
              <w:rFonts w:hint="default" w:ascii="Times New Roman" w:hAnsi="Times New Roman" w:cs="Times New Roman"/>
              <w:sz w:val="24"/>
              <w:szCs w:val="20"/>
              <w:highlight w:val="none"/>
            </w:rPr>
            <w:fldChar w:fldCharType="begin"/>
          </w:r>
          <w:r>
            <w:rPr>
              <w:rFonts w:hint="default" w:ascii="Times New Roman" w:hAnsi="Times New Roman" w:cs="Times New Roman"/>
              <w:sz w:val="24"/>
              <w:szCs w:val="20"/>
              <w:highlight w:val="none"/>
            </w:rPr>
            <w:instrText xml:space="preserve"> PAGEREF _Toc18516 \h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rPr>
            <w:t>1</w:t>
          </w:r>
          <w:r>
            <w:rPr>
              <w:rFonts w:hint="default" w:ascii="Times New Roman" w:hAnsi="Times New Roman" w:cs="Times New Roman"/>
              <w:sz w:val="24"/>
              <w:szCs w:val="20"/>
              <w:highlight w:val="none"/>
            </w:rPr>
            <w:fldChar w:fldCharType="end"/>
          </w:r>
          <w:r>
            <w:rPr>
              <w:rFonts w:hint="default" w:ascii="Times New Roman" w:hAnsi="Times New Roman" w:cs="Times New Roman"/>
              <w:color w:val="FF0000"/>
              <w:sz w:val="24"/>
              <w:szCs w:val="20"/>
              <w:highlight w:val="none"/>
              <w:u w:val="none" w:color="auto"/>
            </w:rPr>
            <w:fldChar w:fldCharType="end"/>
          </w:r>
        </w:p>
        <w:p w14:paraId="1BD73478">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_Toc4256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1.1 </w:t>
          </w:r>
          <w:r>
            <w:rPr>
              <w:rFonts w:hint="default" w:ascii="Times New Roman" w:hAnsi="Times New Roman" w:cs="Times New Roman"/>
              <w:sz w:val="24"/>
              <w:szCs w:val="24"/>
              <w:highlight w:val="none"/>
            </w:rPr>
            <w:t>项目由来</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_Toc4256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703CCD3E">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_Toc9494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1.2 </w:t>
          </w:r>
          <w:r>
            <w:rPr>
              <w:rFonts w:hint="default" w:ascii="Times New Roman" w:hAnsi="Times New Roman" w:cs="Times New Roman"/>
              <w:sz w:val="24"/>
              <w:szCs w:val="24"/>
              <w:highlight w:val="none"/>
            </w:rPr>
            <w:t>项目特点</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_Toc9494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2</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C1C7D55">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_Toc14032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1.3 </w:t>
          </w:r>
          <w:r>
            <w:rPr>
              <w:rFonts w:hint="default" w:ascii="Times New Roman" w:hAnsi="Times New Roman" w:cs="Times New Roman"/>
              <w:sz w:val="24"/>
              <w:szCs w:val="24"/>
              <w:highlight w:val="none"/>
            </w:rPr>
            <w:t>环境影响评价过程</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_Toc14032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3</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F7B371A">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_Toc3775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1.4 </w:t>
          </w:r>
          <w:r>
            <w:rPr>
              <w:rFonts w:hint="default" w:ascii="Times New Roman" w:hAnsi="Times New Roman" w:cs="Times New Roman"/>
              <w:sz w:val="24"/>
              <w:szCs w:val="24"/>
              <w:highlight w:val="none"/>
            </w:rPr>
            <w:t>分析判</w:t>
          </w:r>
          <w:r>
            <w:rPr>
              <w:rFonts w:hint="default" w:ascii="Times New Roman" w:hAnsi="Times New Roman" w:cs="Times New Roman"/>
              <w:sz w:val="24"/>
              <w:szCs w:val="24"/>
              <w:highlight w:val="none"/>
              <w:lang w:eastAsia="zh-CN"/>
            </w:rPr>
            <w:t>定</w:t>
          </w:r>
          <w:r>
            <w:rPr>
              <w:rFonts w:hint="default" w:ascii="Times New Roman" w:hAnsi="Times New Roman" w:cs="Times New Roman"/>
              <w:sz w:val="24"/>
              <w:szCs w:val="24"/>
              <w:highlight w:val="none"/>
            </w:rPr>
            <w:t>相关情况</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_Toc3775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4</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1D9C85F0">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_Toc12365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1.5 </w:t>
          </w:r>
          <w:r>
            <w:rPr>
              <w:rFonts w:hint="default" w:ascii="Times New Roman" w:hAnsi="Times New Roman" w:cs="Times New Roman"/>
              <w:sz w:val="24"/>
              <w:szCs w:val="24"/>
              <w:highlight w:val="none"/>
            </w:rPr>
            <w:t>关注的主要环境问题及环境影响</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_Toc12365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13</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75D946B">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_Toc7554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pacing w:val="2"/>
              <w:sz w:val="24"/>
              <w:szCs w:val="24"/>
              <w:highlight w:val="none"/>
              <w:lang w:val="en-US" w:eastAsia="zh-CN"/>
            </w:rPr>
            <w:t xml:space="preserve">1.6 </w:t>
          </w:r>
          <w:r>
            <w:rPr>
              <w:rFonts w:hint="default" w:ascii="Times New Roman" w:hAnsi="Times New Roman" w:cs="Times New Roman"/>
              <w:spacing w:val="2"/>
              <w:sz w:val="24"/>
              <w:szCs w:val="24"/>
              <w:highlight w:val="none"/>
            </w:rPr>
            <w:t>报</w:t>
          </w:r>
          <w:r>
            <w:rPr>
              <w:rFonts w:hint="default" w:ascii="Times New Roman" w:hAnsi="Times New Roman" w:cs="Times New Roman"/>
              <w:sz w:val="24"/>
              <w:szCs w:val="24"/>
              <w:highlight w:val="none"/>
            </w:rPr>
            <w:t>告书</w:t>
          </w:r>
          <w:r>
            <w:rPr>
              <w:rFonts w:hint="default" w:ascii="Times New Roman" w:hAnsi="Times New Roman" w:cs="Times New Roman"/>
              <w:spacing w:val="2"/>
              <w:sz w:val="24"/>
              <w:szCs w:val="24"/>
              <w:highlight w:val="none"/>
            </w:rPr>
            <w:t>主</w:t>
          </w:r>
          <w:r>
            <w:rPr>
              <w:rFonts w:hint="default" w:ascii="Times New Roman" w:hAnsi="Times New Roman" w:cs="Times New Roman"/>
              <w:sz w:val="24"/>
              <w:szCs w:val="24"/>
              <w:highlight w:val="none"/>
            </w:rPr>
            <w:t>要</w:t>
          </w:r>
          <w:r>
            <w:rPr>
              <w:rFonts w:hint="default" w:ascii="Times New Roman" w:hAnsi="Times New Roman" w:cs="Times New Roman"/>
              <w:spacing w:val="2"/>
              <w:sz w:val="24"/>
              <w:szCs w:val="24"/>
              <w:highlight w:val="none"/>
            </w:rPr>
            <w:t>结</w:t>
          </w:r>
          <w:r>
            <w:rPr>
              <w:rFonts w:hint="default" w:ascii="Times New Roman" w:hAnsi="Times New Roman" w:cs="Times New Roman"/>
              <w:sz w:val="24"/>
              <w:szCs w:val="24"/>
              <w:highlight w:val="none"/>
            </w:rPr>
            <w:t>论</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_Toc7554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14</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02B4A13F">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0"/>
              <w:highlight w:val="none"/>
            </w:rPr>
          </w:pP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sz w:val="24"/>
              <w:szCs w:val="20"/>
              <w:highlight w:val="none"/>
            </w:rPr>
            <w:instrText xml:space="preserve"> HYPERLINK \l _Toc13941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lang w:val="en-US" w:eastAsia="zh-CN"/>
            </w:rPr>
            <w:t xml:space="preserve">2 </w:t>
          </w:r>
          <w:r>
            <w:rPr>
              <w:rFonts w:hint="default" w:ascii="Times New Roman" w:hAnsi="Times New Roman" w:cs="Times New Roman"/>
              <w:sz w:val="24"/>
              <w:szCs w:val="20"/>
              <w:highlight w:val="none"/>
            </w:rPr>
            <w:t>总则</w:t>
          </w:r>
          <w:r>
            <w:rPr>
              <w:rFonts w:hint="default" w:ascii="Times New Roman" w:hAnsi="Times New Roman" w:cs="Times New Roman"/>
              <w:sz w:val="24"/>
              <w:szCs w:val="20"/>
              <w:highlight w:val="none"/>
            </w:rPr>
            <w:tab/>
          </w:r>
          <w:r>
            <w:rPr>
              <w:rFonts w:hint="default" w:ascii="Times New Roman" w:hAnsi="Times New Roman" w:cs="Times New Roman"/>
              <w:sz w:val="24"/>
              <w:szCs w:val="20"/>
              <w:highlight w:val="none"/>
            </w:rPr>
            <w:fldChar w:fldCharType="begin"/>
          </w:r>
          <w:r>
            <w:rPr>
              <w:rFonts w:hint="default" w:ascii="Times New Roman" w:hAnsi="Times New Roman" w:cs="Times New Roman"/>
              <w:sz w:val="24"/>
              <w:szCs w:val="20"/>
              <w:highlight w:val="none"/>
            </w:rPr>
            <w:instrText xml:space="preserve"> PAGEREF _Toc13941 \h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rPr>
            <w:t>15</w:t>
          </w:r>
          <w:r>
            <w:rPr>
              <w:rFonts w:hint="default" w:ascii="Times New Roman" w:hAnsi="Times New Roman" w:cs="Times New Roman"/>
              <w:sz w:val="24"/>
              <w:szCs w:val="20"/>
              <w:highlight w:val="none"/>
            </w:rPr>
            <w:fldChar w:fldCharType="end"/>
          </w:r>
          <w:r>
            <w:rPr>
              <w:rFonts w:hint="default" w:ascii="Times New Roman" w:hAnsi="Times New Roman" w:cs="Times New Roman"/>
              <w:color w:val="FF0000"/>
              <w:sz w:val="24"/>
              <w:szCs w:val="20"/>
              <w:highlight w:val="none"/>
              <w:u w:val="none" w:color="auto"/>
            </w:rPr>
            <w:fldChar w:fldCharType="end"/>
          </w:r>
        </w:p>
        <w:p w14:paraId="4B39501D">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_Toc1881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2.1 </w:t>
          </w:r>
          <w:r>
            <w:rPr>
              <w:rFonts w:hint="default" w:ascii="Times New Roman" w:hAnsi="Times New Roman" w:cs="Times New Roman"/>
              <w:sz w:val="24"/>
              <w:szCs w:val="24"/>
              <w:highlight w:val="none"/>
            </w:rPr>
            <w:t>编制依据</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_Toc1881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15</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1544ABB">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_Toc18724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2.2 </w:t>
          </w:r>
          <w:r>
            <w:rPr>
              <w:rFonts w:hint="default" w:ascii="Times New Roman" w:hAnsi="Times New Roman" w:cs="Times New Roman"/>
              <w:sz w:val="24"/>
              <w:szCs w:val="24"/>
              <w:highlight w:val="none"/>
            </w:rPr>
            <w:t>环境影响因素识别及评价因子筛选</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_Toc18724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17</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7A5EC0A7">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_Toc3921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2.3 </w:t>
          </w:r>
          <w:r>
            <w:rPr>
              <w:rFonts w:hint="default" w:ascii="Times New Roman" w:hAnsi="Times New Roman" w:cs="Times New Roman"/>
              <w:sz w:val="24"/>
              <w:szCs w:val="24"/>
              <w:highlight w:val="none"/>
            </w:rPr>
            <w:t>评价标准</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_Toc3921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20</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7BCCA45C">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_Toc24396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2.4 </w:t>
          </w:r>
          <w:r>
            <w:rPr>
              <w:rFonts w:hint="default" w:ascii="Times New Roman" w:hAnsi="Times New Roman" w:cs="Times New Roman"/>
              <w:sz w:val="24"/>
              <w:szCs w:val="24"/>
              <w:highlight w:val="none"/>
            </w:rPr>
            <w:t>评价工作等级与</w:t>
          </w:r>
          <w:r>
            <w:rPr>
              <w:rFonts w:hint="default" w:ascii="Times New Roman" w:hAnsi="Times New Roman" w:cs="Times New Roman"/>
              <w:sz w:val="24"/>
              <w:szCs w:val="24"/>
              <w:highlight w:val="none"/>
              <w:lang w:eastAsia="zh-CN"/>
            </w:rPr>
            <w:t>评价</w:t>
          </w:r>
          <w:r>
            <w:rPr>
              <w:rFonts w:hint="default" w:ascii="Times New Roman" w:hAnsi="Times New Roman" w:cs="Times New Roman"/>
              <w:sz w:val="24"/>
              <w:szCs w:val="24"/>
              <w:highlight w:val="none"/>
            </w:rPr>
            <w:t>范围</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_Toc24396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25</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0CD21871">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_Toc30790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2.5 </w:t>
          </w:r>
          <w:r>
            <w:rPr>
              <w:rFonts w:hint="default" w:ascii="Times New Roman" w:hAnsi="Times New Roman" w:cs="Times New Roman"/>
              <w:sz w:val="24"/>
              <w:szCs w:val="24"/>
              <w:highlight w:val="none"/>
            </w:rPr>
            <w:t>环境保护目标</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_Toc30790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30</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35BFB923">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0"/>
              <w:highlight w:val="none"/>
            </w:rPr>
          </w:pP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sz w:val="24"/>
              <w:szCs w:val="20"/>
              <w:highlight w:val="none"/>
            </w:rPr>
            <w:instrText xml:space="preserve"> HYPERLINK \l _Toc326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36"/>
              <w:highlight w:val="none"/>
              <w:lang w:val="en-US" w:eastAsia="zh-CN"/>
            </w:rPr>
            <w:t xml:space="preserve">3 </w:t>
          </w:r>
          <w:r>
            <w:rPr>
              <w:rFonts w:hint="default" w:ascii="Times New Roman" w:hAnsi="Times New Roman" w:cs="Times New Roman"/>
              <w:sz w:val="24"/>
              <w:szCs w:val="36"/>
              <w:highlight w:val="none"/>
              <w:lang w:eastAsia="zh-CN"/>
            </w:rPr>
            <w:t>建设项目</w:t>
          </w:r>
          <w:r>
            <w:rPr>
              <w:rFonts w:hint="default" w:ascii="Times New Roman" w:hAnsi="Times New Roman" w:cs="Times New Roman"/>
              <w:sz w:val="24"/>
              <w:szCs w:val="36"/>
              <w:highlight w:val="none"/>
            </w:rPr>
            <w:t>工程</w:t>
          </w:r>
          <w:r>
            <w:rPr>
              <w:rFonts w:hint="default" w:ascii="Times New Roman" w:hAnsi="Times New Roman" w:cs="Times New Roman"/>
              <w:sz w:val="24"/>
              <w:szCs w:val="36"/>
              <w:highlight w:val="none"/>
              <w:lang w:eastAsia="zh-CN"/>
            </w:rPr>
            <w:t>分析</w:t>
          </w:r>
          <w:r>
            <w:rPr>
              <w:rFonts w:hint="default" w:ascii="Times New Roman" w:hAnsi="Times New Roman" w:cs="Times New Roman"/>
              <w:sz w:val="24"/>
              <w:szCs w:val="20"/>
              <w:highlight w:val="none"/>
            </w:rPr>
            <w:tab/>
          </w:r>
          <w:r>
            <w:rPr>
              <w:rFonts w:hint="default" w:ascii="Times New Roman" w:hAnsi="Times New Roman" w:cs="Times New Roman"/>
              <w:sz w:val="24"/>
              <w:szCs w:val="20"/>
              <w:highlight w:val="none"/>
            </w:rPr>
            <w:fldChar w:fldCharType="begin"/>
          </w:r>
          <w:r>
            <w:rPr>
              <w:rFonts w:hint="default" w:ascii="Times New Roman" w:hAnsi="Times New Roman" w:cs="Times New Roman"/>
              <w:sz w:val="24"/>
              <w:szCs w:val="20"/>
              <w:highlight w:val="none"/>
            </w:rPr>
            <w:instrText xml:space="preserve"> PAGEREF _Toc326 \h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rPr>
            <w:t>33</w:t>
          </w:r>
          <w:r>
            <w:rPr>
              <w:rFonts w:hint="default" w:ascii="Times New Roman" w:hAnsi="Times New Roman" w:cs="Times New Roman"/>
              <w:sz w:val="24"/>
              <w:szCs w:val="20"/>
              <w:highlight w:val="none"/>
            </w:rPr>
            <w:fldChar w:fldCharType="end"/>
          </w:r>
          <w:r>
            <w:rPr>
              <w:rFonts w:hint="default" w:ascii="Times New Roman" w:hAnsi="Times New Roman" w:cs="Times New Roman"/>
              <w:color w:val="FF0000"/>
              <w:sz w:val="24"/>
              <w:szCs w:val="20"/>
              <w:highlight w:val="none"/>
              <w:u w:val="none" w:color="auto"/>
            </w:rPr>
            <w:fldChar w:fldCharType="end"/>
          </w:r>
        </w:p>
        <w:p w14:paraId="0EB0C6F3">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_Toc24176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8"/>
              <w:highlight w:val="none"/>
              <w:lang w:val="en-US" w:eastAsia="zh-CN"/>
            </w:rPr>
            <w:t>3.1 现有工程回顾性分析</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_Toc24176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33</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628FA964">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_Toc17057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8"/>
              <w:highlight w:val="none"/>
              <w:lang w:val="en-US" w:eastAsia="zh-CN"/>
            </w:rPr>
            <w:t>3.2 改扩建工程概况</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_Toc17057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40</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BBB959A">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_Toc13938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8"/>
              <w:highlight w:val="none"/>
              <w:lang w:val="en-US" w:eastAsia="zh-CN"/>
            </w:rPr>
            <w:t>3.3 项目设计方案</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_Toc13938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41</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111F84DD">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_Toc32639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8"/>
              <w:highlight w:val="none"/>
              <w:lang w:val="en-US" w:eastAsia="zh-CN"/>
            </w:rPr>
            <w:t xml:space="preserve">3.4 </w:t>
          </w:r>
          <w:r>
            <w:rPr>
              <w:rFonts w:hint="default" w:ascii="Times New Roman" w:hAnsi="Times New Roman" w:cs="Times New Roman"/>
              <w:sz w:val="24"/>
              <w:szCs w:val="28"/>
              <w:highlight w:val="none"/>
              <w:lang w:eastAsia="zh-CN"/>
            </w:rPr>
            <w:t>施工期工程分析</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_Toc32639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68</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6F044973">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_Toc26060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3.5 </w:t>
          </w:r>
          <w:r>
            <w:rPr>
              <w:rFonts w:hint="default" w:ascii="Times New Roman" w:hAnsi="Times New Roman" w:cs="Times New Roman"/>
              <w:sz w:val="24"/>
              <w:szCs w:val="24"/>
              <w:highlight w:val="none"/>
            </w:rPr>
            <w:t>运营期</w:t>
          </w:r>
          <w:r>
            <w:rPr>
              <w:rFonts w:hint="default" w:ascii="Times New Roman" w:hAnsi="Times New Roman" w:cs="Times New Roman"/>
              <w:sz w:val="24"/>
              <w:szCs w:val="24"/>
              <w:highlight w:val="none"/>
              <w:lang w:eastAsia="zh-CN"/>
            </w:rPr>
            <w:t>工程分析</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_Toc26060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71</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6A2276A4">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_Toc8636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3.6“三本帐”分析</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_Toc8636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77</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62DD6201">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0"/>
              <w:highlight w:val="none"/>
            </w:rPr>
          </w:pP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sz w:val="24"/>
              <w:szCs w:val="20"/>
              <w:highlight w:val="none"/>
            </w:rPr>
            <w:instrText xml:space="preserve"> HYPERLINK \l _Toc18389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lang w:val="en-US" w:eastAsia="zh-CN"/>
            </w:rPr>
            <w:t xml:space="preserve">4 </w:t>
          </w:r>
          <w:r>
            <w:rPr>
              <w:rFonts w:hint="default" w:ascii="Times New Roman" w:hAnsi="Times New Roman" w:cs="Times New Roman"/>
              <w:sz w:val="24"/>
              <w:szCs w:val="20"/>
              <w:highlight w:val="none"/>
              <w:lang w:eastAsia="zh-CN"/>
            </w:rPr>
            <w:t>区域环境概况</w:t>
          </w:r>
          <w:r>
            <w:rPr>
              <w:rFonts w:hint="default" w:ascii="Times New Roman" w:hAnsi="Times New Roman" w:cs="Times New Roman"/>
              <w:sz w:val="24"/>
              <w:szCs w:val="20"/>
              <w:highlight w:val="none"/>
            </w:rPr>
            <w:tab/>
          </w:r>
          <w:r>
            <w:rPr>
              <w:rFonts w:hint="default" w:ascii="Times New Roman" w:hAnsi="Times New Roman" w:cs="Times New Roman"/>
              <w:sz w:val="24"/>
              <w:szCs w:val="20"/>
              <w:highlight w:val="none"/>
            </w:rPr>
            <w:fldChar w:fldCharType="begin"/>
          </w:r>
          <w:r>
            <w:rPr>
              <w:rFonts w:hint="default" w:ascii="Times New Roman" w:hAnsi="Times New Roman" w:cs="Times New Roman"/>
              <w:sz w:val="24"/>
              <w:szCs w:val="20"/>
              <w:highlight w:val="none"/>
            </w:rPr>
            <w:instrText xml:space="preserve"> PAGEREF _Toc18389 \h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rPr>
            <w:t>78</w:t>
          </w:r>
          <w:r>
            <w:rPr>
              <w:rFonts w:hint="default" w:ascii="Times New Roman" w:hAnsi="Times New Roman" w:cs="Times New Roman"/>
              <w:sz w:val="24"/>
              <w:szCs w:val="20"/>
              <w:highlight w:val="none"/>
            </w:rPr>
            <w:fldChar w:fldCharType="end"/>
          </w:r>
          <w:r>
            <w:rPr>
              <w:rFonts w:hint="default" w:ascii="Times New Roman" w:hAnsi="Times New Roman" w:cs="Times New Roman"/>
              <w:color w:val="FF0000"/>
              <w:sz w:val="24"/>
              <w:szCs w:val="20"/>
              <w:highlight w:val="none"/>
              <w:u w:val="none" w:color="auto"/>
            </w:rPr>
            <w:fldChar w:fldCharType="end"/>
          </w:r>
        </w:p>
        <w:p w14:paraId="4AB5767A">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_Toc5240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4.1</w:t>
          </w:r>
          <w:r>
            <w:rPr>
              <w:rFonts w:hint="default" w:ascii="Times New Roman" w:hAnsi="Times New Roman" w:cs="Times New Roman"/>
              <w:sz w:val="24"/>
              <w:szCs w:val="24"/>
              <w:highlight w:val="none"/>
            </w:rPr>
            <w:t>自然环境概况</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_Toc5240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78</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1518A20C">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_Toc19383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4.2 环境质量现状调查与评价</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_Toc19383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81</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0653C01E">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_Toc182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kern w:val="0"/>
              <w:sz w:val="24"/>
              <w:szCs w:val="24"/>
              <w:highlight w:val="none"/>
              <w:lang w:val="en-US" w:eastAsia="zh-CN" w:bidi="ar-SA"/>
            </w:rPr>
            <w:t>4.3</w:t>
          </w:r>
          <w:r>
            <w:rPr>
              <w:rFonts w:hint="default" w:ascii="Times New Roman" w:hAnsi="Times New Roman" w:cs="Times New Roman"/>
              <w:kern w:val="0"/>
              <w:sz w:val="24"/>
              <w:szCs w:val="24"/>
              <w:highlight w:val="none"/>
              <w:lang w:val="en-US" w:eastAsia="zh-CN" w:bidi="ar-SA"/>
            </w:rPr>
            <w:t xml:space="preserve"> </w:t>
          </w:r>
          <w:r>
            <w:rPr>
              <w:rFonts w:hint="default" w:ascii="Times New Roman" w:hAnsi="Times New Roman" w:eastAsia="宋体" w:cs="Times New Roman"/>
              <w:kern w:val="0"/>
              <w:sz w:val="24"/>
              <w:szCs w:val="24"/>
              <w:highlight w:val="none"/>
              <w:lang w:val="en-US" w:eastAsia="zh-CN" w:bidi="ar-SA"/>
            </w:rPr>
            <w:t>湖南大通湖产业开发区规划概况</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_Toc182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94</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09F22B3A">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p>
        <w:p w14:paraId="3F0AA6B1">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_Toc1070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kern w:val="0"/>
              <w:sz w:val="24"/>
              <w:szCs w:val="24"/>
              <w:highlight w:val="none"/>
              <w:lang w:val="en-US" w:eastAsia="zh-CN" w:bidi="ar-SA"/>
            </w:rPr>
            <w:t>4.</w:t>
          </w:r>
          <w:r>
            <w:rPr>
              <w:rFonts w:hint="eastAsia" w:cs="Times New Roman"/>
              <w:kern w:val="0"/>
              <w:sz w:val="24"/>
              <w:szCs w:val="24"/>
              <w:highlight w:val="none"/>
              <w:lang w:val="en-US" w:eastAsia="zh-CN" w:bidi="ar-SA"/>
            </w:rPr>
            <w:t xml:space="preserve">4 </w:t>
          </w:r>
          <w:r>
            <w:rPr>
              <w:rFonts w:hint="default" w:ascii="Times New Roman" w:hAnsi="Times New Roman" w:eastAsia="宋体" w:cs="Times New Roman"/>
              <w:kern w:val="0"/>
              <w:sz w:val="24"/>
              <w:szCs w:val="24"/>
              <w:highlight w:val="none"/>
              <w:lang w:val="en-US" w:eastAsia="zh-CN" w:bidi="ar-SA"/>
            </w:rPr>
            <w:t>区域污染源调查</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_Toc1070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97</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0746CCAF">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0"/>
              <w:highlight w:val="none"/>
            </w:rPr>
          </w:pP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sz w:val="24"/>
              <w:szCs w:val="20"/>
              <w:highlight w:val="none"/>
            </w:rPr>
            <w:instrText xml:space="preserve"> HYPERLINK \l _Toc30094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lang w:val="en-US" w:eastAsia="zh-CN"/>
            </w:rPr>
            <w:t xml:space="preserve">5 </w:t>
          </w:r>
          <w:r>
            <w:rPr>
              <w:rFonts w:hint="default" w:ascii="Times New Roman" w:hAnsi="Times New Roman" w:cs="Times New Roman"/>
              <w:sz w:val="24"/>
              <w:szCs w:val="20"/>
              <w:highlight w:val="none"/>
            </w:rPr>
            <w:t>环境影响预测与评价</w:t>
          </w:r>
          <w:r>
            <w:rPr>
              <w:rFonts w:hint="default" w:ascii="Times New Roman" w:hAnsi="Times New Roman" w:cs="Times New Roman"/>
              <w:sz w:val="24"/>
              <w:szCs w:val="20"/>
              <w:highlight w:val="none"/>
            </w:rPr>
            <w:tab/>
          </w:r>
          <w:r>
            <w:rPr>
              <w:rFonts w:hint="default" w:ascii="Times New Roman" w:hAnsi="Times New Roman" w:cs="Times New Roman"/>
              <w:sz w:val="24"/>
              <w:szCs w:val="20"/>
              <w:highlight w:val="none"/>
            </w:rPr>
            <w:fldChar w:fldCharType="begin"/>
          </w:r>
          <w:r>
            <w:rPr>
              <w:rFonts w:hint="default" w:ascii="Times New Roman" w:hAnsi="Times New Roman" w:cs="Times New Roman"/>
              <w:sz w:val="24"/>
              <w:szCs w:val="20"/>
              <w:highlight w:val="none"/>
            </w:rPr>
            <w:instrText xml:space="preserve"> PAGEREF _Toc30094 \h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rPr>
            <w:t>99</w:t>
          </w:r>
          <w:r>
            <w:rPr>
              <w:rFonts w:hint="default" w:ascii="Times New Roman" w:hAnsi="Times New Roman" w:cs="Times New Roman"/>
              <w:sz w:val="24"/>
              <w:szCs w:val="20"/>
              <w:highlight w:val="none"/>
            </w:rPr>
            <w:fldChar w:fldCharType="end"/>
          </w:r>
          <w:r>
            <w:rPr>
              <w:rFonts w:hint="default" w:ascii="Times New Roman" w:hAnsi="Times New Roman" w:cs="Times New Roman"/>
              <w:color w:val="FF0000"/>
              <w:sz w:val="24"/>
              <w:szCs w:val="20"/>
              <w:highlight w:val="none"/>
              <w:u w:val="none" w:color="auto"/>
            </w:rPr>
            <w:fldChar w:fldCharType="end"/>
          </w:r>
        </w:p>
        <w:p w14:paraId="052C917C">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_Toc23435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8"/>
              <w:highlight w:val="none"/>
              <w:lang w:val="en-US" w:eastAsia="zh-CN"/>
            </w:rPr>
            <w:t>5.1</w:t>
          </w:r>
          <w:r>
            <w:rPr>
              <w:rFonts w:hint="default" w:ascii="Times New Roman" w:hAnsi="Times New Roman" w:cs="Times New Roman"/>
              <w:sz w:val="24"/>
              <w:szCs w:val="28"/>
              <w:highlight w:val="none"/>
            </w:rPr>
            <w:t>施工期</w:t>
          </w:r>
          <w:r>
            <w:rPr>
              <w:rFonts w:hint="default" w:ascii="Times New Roman" w:hAnsi="Times New Roman" w:cs="Times New Roman"/>
              <w:sz w:val="24"/>
              <w:szCs w:val="28"/>
              <w:highlight w:val="none"/>
              <w:lang w:eastAsia="zh-CN"/>
            </w:rPr>
            <w:t>环境影响分析</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_Toc23435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99</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24865441">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_Toc6062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5.2 </w:t>
          </w:r>
          <w:r>
            <w:rPr>
              <w:rFonts w:hint="default" w:ascii="Times New Roman" w:hAnsi="Times New Roman" w:cs="Times New Roman"/>
              <w:sz w:val="24"/>
              <w:szCs w:val="24"/>
              <w:highlight w:val="none"/>
            </w:rPr>
            <w:t>运营期环境影响预测与分析</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_Toc6062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103</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688F6E2B">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0"/>
              <w:highlight w:val="none"/>
            </w:rPr>
          </w:pP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sz w:val="24"/>
              <w:szCs w:val="20"/>
              <w:highlight w:val="none"/>
            </w:rPr>
            <w:instrText xml:space="preserve"> HYPERLINK \l _Toc930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lang w:val="en-US" w:eastAsia="zh-CN"/>
            </w:rPr>
            <w:t xml:space="preserve">6 </w:t>
          </w:r>
          <w:r>
            <w:rPr>
              <w:rFonts w:hint="default" w:ascii="Times New Roman" w:hAnsi="Times New Roman" w:cs="Times New Roman"/>
              <w:sz w:val="24"/>
              <w:szCs w:val="20"/>
              <w:highlight w:val="none"/>
            </w:rPr>
            <w:t>环境风险评价</w:t>
          </w:r>
          <w:r>
            <w:rPr>
              <w:rFonts w:hint="default" w:ascii="Times New Roman" w:hAnsi="Times New Roman" w:cs="Times New Roman"/>
              <w:sz w:val="24"/>
              <w:szCs w:val="20"/>
              <w:highlight w:val="none"/>
            </w:rPr>
            <w:tab/>
          </w:r>
          <w:r>
            <w:rPr>
              <w:rFonts w:hint="default" w:ascii="Times New Roman" w:hAnsi="Times New Roman" w:cs="Times New Roman"/>
              <w:sz w:val="24"/>
              <w:szCs w:val="20"/>
              <w:highlight w:val="none"/>
            </w:rPr>
            <w:fldChar w:fldCharType="begin"/>
          </w:r>
          <w:r>
            <w:rPr>
              <w:rFonts w:hint="default" w:ascii="Times New Roman" w:hAnsi="Times New Roman" w:cs="Times New Roman"/>
              <w:sz w:val="24"/>
              <w:szCs w:val="20"/>
              <w:highlight w:val="none"/>
            </w:rPr>
            <w:instrText xml:space="preserve"> PAGEREF _Toc930 \h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rPr>
            <w:t>125</w:t>
          </w:r>
          <w:r>
            <w:rPr>
              <w:rFonts w:hint="default" w:ascii="Times New Roman" w:hAnsi="Times New Roman" w:cs="Times New Roman"/>
              <w:sz w:val="24"/>
              <w:szCs w:val="20"/>
              <w:highlight w:val="none"/>
            </w:rPr>
            <w:fldChar w:fldCharType="end"/>
          </w:r>
          <w:r>
            <w:rPr>
              <w:rFonts w:hint="default" w:ascii="Times New Roman" w:hAnsi="Times New Roman" w:cs="Times New Roman"/>
              <w:color w:val="FF0000"/>
              <w:sz w:val="24"/>
              <w:szCs w:val="20"/>
              <w:highlight w:val="none"/>
              <w:u w:val="none" w:color="auto"/>
            </w:rPr>
            <w:fldChar w:fldCharType="end"/>
          </w:r>
        </w:p>
        <w:p w14:paraId="3F6E61CB">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_Toc24216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6.1 </w:t>
          </w:r>
          <w:r>
            <w:rPr>
              <w:rFonts w:hint="default" w:ascii="Times New Roman" w:hAnsi="Times New Roman" w:cs="Times New Roman"/>
              <w:sz w:val="24"/>
              <w:szCs w:val="24"/>
              <w:highlight w:val="none"/>
            </w:rPr>
            <w:t>风险调查</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_Toc24216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125</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7DC54E33">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_Toc12655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8"/>
              <w:highlight w:val="none"/>
              <w:lang w:val="en-US" w:eastAsia="zh-CN"/>
            </w:rPr>
            <w:t xml:space="preserve">6.2 </w:t>
          </w:r>
          <w:r>
            <w:rPr>
              <w:rFonts w:hint="default" w:ascii="Times New Roman" w:hAnsi="Times New Roman" w:cs="Times New Roman"/>
              <w:sz w:val="24"/>
              <w:szCs w:val="28"/>
              <w:highlight w:val="none"/>
            </w:rPr>
            <w:t>环境风险潜势初判</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_Toc12655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127</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1D830226">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_Toc3375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6.3 </w:t>
          </w:r>
          <w:r>
            <w:rPr>
              <w:rFonts w:hint="default" w:ascii="Times New Roman" w:hAnsi="Times New Roman" w:cs="Times New Roman"/>
              <w:sz w:val="24"/>
              <w:szCs w:val="24"/>
              <w:highlight w:val="none"/>
            </w:rPr>
            <w:t>风险识别</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_Toc3375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132</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2D14A75">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_Toc16083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6.4 </w:t>
          </w:r>
          <w:r>
            <w:rPr>
              <w:rFonts w:hint="default" w:ascii="Times New Roman" w:hAnsi="Times New Roman" w:cs="Times New Roman"/>
              <w:sz w:val="24"/>
              <w:szCs w:val="24"/>
              <w:highlight w:val="none"/>
            </w:rPr>
            <w:t>风险防范措施</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_Toc16083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134</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4112C6AD">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_Toc22066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6.5 </w:t>
          </w:r>
          <w:r>
            <w:rPr>
              <w:rFonts w:hint="default" w:ascii="Times New Roman" w:hAnsi="Times New Roman" w:cs="Times New Roman"/>
              <w:sz w:val="24"/>
              <w:szCs w:val="24"/>
              <w:highlight w:val="none"/>
            </w:rPr>
            <w:t>应急预案</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_Toc22066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137</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0740F4CE">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_Toc23142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6.6 </w:t>
          </w:r>
          <w:r>
            <w:rPr>
              <w:rFonts w:hint="default" w:ascii="Times New Roman" w:hAnsi="Times New Roman" w:cs="Times New Roman"/>
              <w:sz w:val="24"/>
              <w:szCs w:val="24"/>
              <w:highlight w:val="none"/>
            </w:rPr>
            <w:t>环境风险评价结论</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_Toc23142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140</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024413FB">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0"/>
              <w:highlight w:val="none"/>
            </w:rPr>
          </w:pP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sz w:val="24"/>
              <w:szCs w:val="20"/>
              <w:highlight w:val="none"/>
            </w:rPr>
            <w:instrText xml:space="preserve"> HYPERLINK \l _Toc16708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lang w:val="en-US" w:eastAsia="zh-CN"/>
            </w:rPr>
            <w:t xml:space="preserve">7 </w:t>
          </w:r>
          <w:r>
            <w:rPr>
              <w:rFonts w:hint="default" w:ascii="Times New Roman" w:hAnsi="Times New Roman" w:cs="Times New Roman"/>
              <w:sz w:val="24"/>
              <w:szCs w:val="20"/>
              <w:highlight w:val="none"/>
            </w:rPr>
            <w:t>污染防治措施及可行性分析</w:t>
          </w:r>
          <w:r>
            <w:rPr>
              <w:rFonts w:hint="default" w:ascii="Times New Roman" w:hAnsi="Times New Roman" w:cs="Times New Roman"/>
              <w:sz w:val="24"/>
              <w:szCs w:val="20"/>
              <w:highlight w:val="none"/>
            </w:rPr>
            <w:tab/>
          </w:r>
          <w:r>
            <w:rPr>
              <w:rFonts w:hint="default" w:ascii="Times New Roman" w:hAnsi="Times New Roman" w:cs="Times New Roman"/>
              <w:sz w:val="24"/>
              <w:szCs w:val="20"/>
              <w:highlight w:val="none"/>
            </w:rPr>
            <w:fldChar w:fldCharType="begin"/>
          </w:r>
          <w:r>
            <w:rPr>
              <w:rFonts w:hint="default" w:ascii="Times New Roman" w:hAnsi="Times New Roman" w:cs="Times New Roman"/>
              <w:sz w:val="24"/>
              <w:szCs w:val="20"/>
              <w:highlight w:val="none"/>
            </w:rPr>
            <w:instrText xml:space="preserve"> PAGEREF _Toc16708 \h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rPr>
            <w:t>142</w:t>
          </w:r>
          <w:r>
            <w:rPr>
              <w:rFonts w:hint="default" w:ascii="Times New Roman" w:hAnsi="Times New Roman" w:cs="Times New Roman"/>
              <w:sz w:val="24"/>
              <w:szCs w:val="20"/>
              <w:highlight w:val="none"/>
            </w:rPr>
            <w:fldChar w:fldCharType="end"/>
          </w:r>
          <w:r>
            <w:rPr>
              <w:rFonts w:hint="default" w:ascii="Times New Roman" w:hAnsi="Times New Roman" w:cs="Times New Roman"/>
              <w:color w:val="FF0000"/>
              <w:sz w:val="24"/>
              <w:szCs w:val="20"/>
              <w:highlight w:val="none"/>
              <w:u w:val="none" w:color="auto"/>
            </w:rPr>
            <w:fldChar w:fldCharType="end"/>
          </w:r>
        </w:p>
        <w:p w14:paraId="102A74B3">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_Toc31465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7.1 </w:t>
          </w:r>
          <w:r>
            <w:rPr>
              <w:rFonts w:hint="default" w:ascii="Times New Roman" w:hAnsi="Times New Roman" w:cs="Times New Roman"/>
              <w:sz w:val="24"/>
              <w:szCs w:val="24"/>
              <w:highlight w:val="none"/>
            </w:rPr>
            <w:t>施工期污染防治措施可行性</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_Toc31465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142</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6DA76A51">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_Toc26921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7.2 </w:t>
          </w:r>
          <w:r>
            <w:rPr>
              <w:rFonts w:hint="default" w:ascii="Times New Roman" w:hAnsi="Times New Roman" w:cs="Times New Roman"/>
              <w:sz w:val="24"/>
              <w:szCs w:val="24"/>
              <w:highlight w:val="none"/>
            </w:rPr>
            <w:t>营运期环境保护措施可行性</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_Toc26921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146</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22A95C3">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0"/>
              <w:highlight w:val="none"/>
            </w:rPr>
          </w:pP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sz w:val="24"/>
              <w:szCs w:val="20"/>
              <w:highlight w:val="none"/>
            </w:rPr>
            <w:instrText xml:space="preserve"> HYPERLINK \l _Toc23311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lang w:val="en-US" w:eastAsia="zh-CN"/>
            </w:rPr>
            <w:t xml:space="preserve">8 </w:t>
          </w:r>
          <w:r>
            <w:rPr>
              <w:rFonts w:hint="default" w:ascii="Times New Roman" w:hAnsi="Times New Roman" w:cs="Times New Roman"/>
              <w:sz w:val="24"/>
              <w:szCs w:val="20"/>
              <w:highlight w:val="none"/>
            </w:rPr>
            <w:t>环境影响经济损益分析</w:t>
          </w:r>
          <w:r>
            <w:rPr>
              <w:rFonts w:hint="default" w:ascii="Times New Roman" w:hAnsi="Times New Roman" w:cs="Times New Roman"/>
              <w:sz w:val="24"/>
              <w:szCs w:val="20"/>
              <w:highlight w:val="none"/>
            </w:rPr>
            <w:tab/>
          </w:r>
          <w:r>
            <w:rPr>
              <w:rFonts w:hint="default" w:ascii="Times New Roman" w:hAnsi="Times New Roman" w:cs="Times New Roman"/>
              <w:sz w:val="24"/>
              <w:szCs w:val="20"/>
              <w:highlight w:val="none"/>
            </w:rPr>
            <w:fldChar w:fldCharType="begin"/>
          </w:r>
          <w:r>
            <w:rPr>
              <w:rFonts w:hint="default" w:ascii="Times New Roman" w:hAnsi="Times New Roman" w:cs="Times New Roman"/>
              <w:sz w:val="24"/>
              <w:szCs w:val="20"/>
              <w:highlight w:val="none"/>
            </w:rPr>
            <w:instrText xml:space="preserve"> PAGEREF _Toc23311 \h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rPr>
            <w:t>154</w:t>
          </w:r>
          <w:r>
            <w:rPr>
              <w:rFonts w:hint="default" w:ascii="Times New Roman" w:hAnsi="Times New Roman" w:cs="Times New Roman"/>
              <w:sz w:val="24"/>
              <w:szCs w:val="20"/>
              <w:highlight w:val="none"/>
            </w:rPr>
            <w:fldChar w:fldCharType="end"/>
          </w:r>
          <w:r>
            <w:rPr>
              <w:rFonts w:hint="default" w:ascii="Times New Roman" w:hAnsi="Times New Roman" w:cs="Times New Roman"/>
              <w:color w:val="FF0000"/>
              <w:sz w:val="24"/>
              <w:szCs w:val="20"/>
              <w:highlight w:val="none"/>
              <w:u w:val="none" w:color="auto"/>
            </w:rPr>
            <w:fldChar w:fldCharType="end"/>
          </w:r>
        </w:p>
        <w:p w14:paraId="194A7B0F">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_Toc25819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8.1 </w:t>
          </w:r>
          <w:r>
            <w:rPr>
              <w:rFonts w:hint="default" w:ascii="Times New Roman" w:hAnsi="Times New Roman" w:cs="Times New Roman"/>
              <w:sz w:val="24"/>
              <w:szCs w:val="24"/>
              <w:highlight w:val="none"/>
            </w:rPr>
            <w:t>环境保护投资</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_Toc25819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154</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0BA8DA6">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_Toc10419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8.2 </w:t>
          </w:r>
          <w:r>
            <w:rPr>
              <w:rFonts w:hint="default" w:ascii="Times New Roman" w:hAnsi="Times New Roman" w:cs="Times New Roman"/>
              <w:sz w:val="24"/>
              <w:szCs w:val="24"/>
              <w:highlight w:val="none"/>
            </w:rPr>
            <w:t>环境损益分析</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_Toc10419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155</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04A182BC">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0"/>
              <w:highlight w:val="none"/>
            </w:rPr>
          </w:pP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sz w:val="24"/>
              <w:szCs w:val="20"/>
              <w:highlight w:val="none"/>
            </w:rPr>
            <w:instrText xml:space="preserve"> HYPERLINK \l _Toc31336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lang w:val="en-US" w:eastAsia="zh-CN"/>
            </w:rPr>
            <w:t xml:space="preserve">9 </w:t>
          </w:r>
          <w:r>
            <w:rPr>
              <w:rFonts w:hint="default" w:ascii="Times New Roman" w:hAnsi="Times New Roman" w:cs="Times New Roman"/>
              <w:sz w:val="24"/>
              <w:szCs w:val="20"/>
              <w:highlight w:val="none"/>
            </w:rPr>
            <w:t>污染物总量控制</w:t>
          </w:r>
          <w:r>
            <w:rPr>
              <w:rFonts w:hint="default" w:ascii="Times New Roman" w:hAnsi="Times New Roman" w:cs="Times New Roman"/>
              <w:sz w:val="24"/>
              <w:szCs w:val="20"/>
              <w:highlight w:val="none"/>
            </w:rPr>
            <w:tab/>
          </w:r>
          <w:r>
            <w:rPr>
              <w:rFonts w:hint="default" w:ascii="Times New Roman" w:hAnsi="Times New Roman" w:cs="Times New Roman"/>
              <w:sz w:val="24"/>
              <w:szCs w:val="20"/>
              <w:highlight w:val="none"/>
            </w:rPr>
            <w:fldChar w:fldCharType="begin"/>
          </w:r>
          <w:r>
            <w:rPr>
              <w:rFonts w:hint="default" w:ascii="Times New Roman" w:hAnsi="Times New Roman" w:cs="Times New Roman"/>
              <w:sz w:val="24"/>
              <w:szCs w:val="20"/>
              <w:highlight w:val="none"/>
            </w:rPr>
            <w:instrText xml:space="preserve"> PAGEREF _Toc31336 \h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rPr>
            <w:t>156</w:t>
          </w:r>
          <w:r>
            <w:rPr>
              <w:rFonts w:hint="default" w:ascii="Times New Roman" w:hAnsi="Times New Roman" w:cs="Times New Roman"/>
              <w:sz w:val="24"/>
              <w:szCs w:val="20"/>
              <w:highlight w:val="none"/>
            </w:rPr>
            <w:fldChar w:fldCharType="end"/>
          </w:r>
          <w:r>
            <w:rPr>
              <w:rFonts w:hint="default" w:ascii="Times New Roman" w:hAnsi="Times New Roman" w:cs="Times New Roman"/>
              <w:color w:val="FF0000"/>
              <w:sz w:val="24"/>
              <w:szCs w:val="20"/>
              <w:highlight w:val="none"/>
              <w:u w:val="none" w:color="auto"/>
            </w:rPr>
            <w:fldChar w:fldCharType="end"/>
          </w:r>
        </w:p>
        <w:p w14:paraId="7C601C87">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_Toc10944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9.1</w:t>
          </w:r>
          <w:r>
            <w:rPr>
              <w:rFonts w:hint="default" w:ascii="Times New Roman" w:hAnsi="Times New Roman" w:cs="Times New Roman"/>
              <w:sz w:val="24"/>
              <w:szCs w:val="24"/>
              <w:highlight w:val="none"/>
            </w:rPr>
            <w:t>总量控制因子</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_Toc10944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156</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4E5177E0">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_Toc29120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9.2 </w:t>
          </w:r>
          <w:r>
            <w:rPr>
              <w:rFonts w:hint="default" w:ascii="Times New Roman" w:hAnsi="Times New Roman" w:cs="Times New Roman"/>
              <w:sz w:val="24"/>
              <w:szCs w:val="24"/>
              <w:highlight w:val="none"/>
            </w:rPr>
            <w:t>污染物排放总量控制指标分析</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_Toc29120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156</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225A90E6">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0"/>
              <w:highlight w:val="none"/>
            </w:rPr>
          </w:pP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sz w:val="24"/>
              <w:szCs w:val="20"/>
              <w:highlight w:val="none"/>
            </w:rPr>
            <w:instrText xml:space="preserve"> HYPERLINK \l _Toc31571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lang w:val="en-US" w:eastAsia="zh-CN"/>
            </w:rPr>
            <w:t xml:space="preserve">10 </w:t>
          </w:r>
          <w:r>
            <w:rPr>
              <w:rFonts w:hint="default" w:ascii="Times New Roman" w:hAnsi="Times New Roman" w:cs="Times New Roman"/>
              <w:sz w:val="24"/>
              <w:szCs w:val="20"/>
              <w:highlight w:val="none"/>
            </w:rPr>
            <w:t>环境管理与监测计划</w:t>
          </w:r>
          <w:r>
            <w:rPr>
              <w:rFonts w:hint="default" w:ascii="Times New Roman" w:hAnsi="Times New Roman" w:cs="Times New Roman"/>
              <w:sz w:val="24"/>
              <w:szCs w:val="20"/>
              <w:highlight w:val="none"/>
            </w:rPr>
            <w:tab/>
          </w:r>
          <w:r>
            <w:rPr>
              <w:rFonts w:hint="default" w:ascii="Times New Roman" w:hAnsi="Times New Roman" w:cs="Times New Roman"/>
              <w:sz w:val="24"/>
              <w:szCs w:val="20"/>
              <w:highlight w:val="none"/>
            </w:rPr>
            <w:fldChar w:fldCharType="begin"/>
          </w:r>
          <w:r>
            <w:rPr>
              <w:rFonts w:hint="default" w:ascii="Times New Roman" w:hAnsi="Times New Roman" w:cs="Times New Roman"/>
              <w:sz w:val="24"/>
              <w:szCs w:val="20"/>
              <w:highlight w:val="none"/>
            </w:rPr>
            <w:instrText xml:space="preserve"> PAGEREF _Toc31571 \h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rPr>
            <w:t>158</w:t>
          </w:r>
          <w:r>
            <w:rPr>
              <w:rFonts w:hint="default" w:ascii="Times New Roman" w:hAnsi="Times New Roman" w:cs="Times New Roman"/>
              <w:sz w:val="24"/>
              <w:szCs w:val="20"/>
              <w:highlight w:val="none"/>
            </w:rPr>
            <w:fldChar w:fldCharType="end"/>
          </w:r>
          <w:r>
            <w:rPr>
              <w:rFonts w:hint="default" w:ascii="Times New Roman" w:hAnsi="Times New Roman" w:cs="Times New Roman"/>
              <w:color w:val="FF0000"/>
              <w:sz w:val="24"/>
              <w:szCs w:val="20"/>
              <w:highlight w:val="none"/>
              <w:u w:val="none" w:color="auto"/>
            </w:rPr>
            <w:fldChar w:fldCharType="end"/>
          </w:r>
        </w:p>
        <w:p w14:paraId="63528A60">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_Toc20179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10.1 </w:t>
          </w:r>
          <w:r>
            <w:rPr>
              <w:rFonts w:hint="default" w:ascii="Times New Roman" w:hAnsi="Times New Roman" w:cs="Times New Roman"/>
              <w:sz w:val="24"/>
              <w:szCs w:val="24"/>
              <w:highlight w:val="none"/>
            </w:rPr>
            <w:t>环境管理基本任务</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_Toc20179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158</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48945F3E">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_Toc8152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10.2 </w:t>
          </w:r>
          <w:r>
            <w:rPr>
              <w:rFonts w:hint="default" w:ascii="Times New Roman" w:hAnsi="Times New Roman" w:cs="Times New Roman"/>
              <w:sz w:val="24"/>
              <w:szCs w:val="24"/>
              <w:highlight w:val="none"/>
            </w:rPr>
            <w:t>环境管理机构</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_Toc8152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158</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7BDB1D2A">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_Toc13739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10.3 </w:t>
          </w:r>
          <w:r>
            <w:rPr>
              <w:rFonts w:hint="default" w:ascii="Times New Roman" w:hAnsi="Times New Roman" w:cs="Times New Roman"/>
              <w:sz w:val="24"/>
              <w:szCs w:val="24"/>
              <w:highlight w:val="none"/>
            </w:rPr>
            <w:t>环境管理制度</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_Toc13739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159</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13518865">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_Toc22328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10.4 </w:t>
          </w:r>
          <w:r>
            <w:rPr>
              <w:rFonts w:hint="default" w:ascii="Times New Roman" w:hAnsi="Times New Roman" w:cs="Times New Roman"/>
              <w:sz w:val="24"/>
              <w:szCs w:val="24"/>
              <w:highlight w:val="none"/>
            </w:rPr>
            <w:t>污染物排放清单</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_Toc22328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161</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6023440B">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_Toc4210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10.5 </w:t>
          </w:r>
          <w:r>
            <w:rPr>
              <w:rFonts w:hint="default" w:ascii="Times New Roman" w:hAnsi="Times New Roman" w:cs="Times New Roman"/>
              <w:sz w:val="24"/>
              <w:szCs w:val="24"/>
              <w:highlight w:val="none"/>
            </w:rPr>
            <w:t>环境监测</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_Toc4210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162</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648A2F8">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_Toc30289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10.6 </w:t>
          </w:r>
          <w:r>
            <w:rPr>
              <w:rFonts w:hint="default" w:ascii="Times New Roman" w:hAnsi="Times New Roman" w:cs="Times New Roman"/>
              <w:sz w:val="24"/>
              <w:szCs w:val="24"/>
              <w:highlight w:val="none"/>
            </w:rPr>
            <w:t>排污口规范化管理</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_Toc30289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162</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0BA2C622">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_Toc3709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10.7 </w:t>
          </w:r>
          <w:r>
            <w:rPr>
              <w:rFonts w:hint="default" w:ascii="Times New Roman" w:hAnsi="Times New Roman" w:cs="Times New Roman"/>
              <w:sz w:val="24"/>
              <w:szCs w:val="24"/>
              <w:highlight w:val="none"/>
            </w:rPr>
            <w:t>环境保护竣工验收要求</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_Toc3709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165</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7A91966D">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0"/>
              <w:highlight w:val="none"/>
            </w:rPr>
          </w:pPr>
          <w:r>
            <w:rPr>
              <w:rFonts w:hint="default" w:ascii="Times New Roman" w:hAnsi="Times New Roman" w:cs="Times New Roman"/>
              <w:color w:val="FF0000"/>
              <w:sz w:val="24"/>
              <w:szCs w:val="20"/>
              <w:highlight w:val="none"/>
              <w:u w:val="none" w:color="auto"/>
            </w:rPr>
            <w:fldChar w:fldCharType="begin"/>
          </w:r>
          <w:r>
            <w:rPr>
              <w:rFonts w:hint="default" w:ascii="Times New Roman" w:hAnsi="Times New Roman" w:cs="Times New Roman"/>
              <w:sz w:val="24"/>
              <w:szCs w:val="20"/>
              <w:highlight w:val="none"/>
            </w:rPr>
            <w:instrText xml:space="preserve"> HYPERLINK \l _Toc11597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lang w:val="en-US" w:eastAsia="zh-CN"/>
            </w:rPr>
            <w:t xml:space="preserve">11 </w:t>
          </w:r>
          <w:r>
            <w:rPr>
              <w:rFonts w:hint="default" w:ascii="Times New Roman" w:hAnsi="Times New Roman" w:cs="Times New Roman"/>
              <w:sz w:val="24"/>
              <w:szCs w:val="20"/>
              <w:highlight w:val="none"/>
            </w:rPr>
            <w:t>环境影响评价结论</w:t>
          </w:r>
          <w:r>
            <w:rPr>
              <w:rFonts w:hint="default" w:ascii="Times New Roman" w:hAnsi="Times New Roman" w:cs="Times New Roman"/>
              <w:sz w:val="24"/>
              <w:szCs w:val="20"/>
              <w:highlight w:val="none"/>
            </w:rPr>
            <w:tab/>
          </w:r>
          <w:r>
            <w:rPr>
              <w:rFonts w:hint="default" w:ascii="Times New Roman" w:hAnsi="Times New Roman" w:cs="Times New Roman"/>
              <w:sz w:val="24"/>
              <w:szCs w:val="20"/>
              <w:highlight w:val="none"/>
            </w:rPr>
            <w:fldChar w:fldCharType="begin"/>
          </w:r>
          <w:r>
            <w:rPr>
              <w:rFonts w:hint="default" w:ascii="Times New Roman" w:hAnsi="Times New Roman" w:cs="Times New Roman"/>
              <w:sz w:val="24"/>
              <w:szCs w:val="20"/>
              <w:highlight w:val="none"/>
            </w:rPr>
            <w:instrText xml:space="preserve"> PAGEREF _Toc11597 \h </w:instrText>
          </w:r>
          <w:r>
            <w:rPr>
              <w:rFonts w:hint="default" w:ascii="Times New Roman" w:hAnsi="Times New Roman" w:cs="Times New Roman"/>
              <w:sz w:val="24"/>
              <w:szCs w:val="20"/>
              <w:highlight w:val="none"/>
            </w:rPr>
            <w:fldChar w:fldCharType="separate"/>
          </w:r>
          <w:r>
            <w:rPr>
              <w:rFonts w:hint="default" w:ascii="Times New Roman" w:hAnsi="Times New Roman" w:cs="Times New Roman"/>
              <w:sz w:val="24"/>
              <w:szCs w:val="20"/>
              <w:highlight w:val="none"/>
            </w:rPr>
            <w:t>166</w:t>
          </w:r>
          <w:r>
            <w:rPr>
              <w:rFonts w:hint="default" w:ascii="Times New Roman" w:hAnsi="Times New Roman" w:cs="Times New Roman"/>
              <w:sz w:val="24"/>
              <w:szCs w:val="20"/>
              <w:highlight w:val="none"/>
            </w:rPr>
            <w:fldChar w:fldCharType="end"/>
          </w:r>
          <w:r>
            <w:rPr>
              <w:rFonts w:hint="default" w:ascii="Times New Roman" w:hAnsi="Times New Roman" w:cs="Times New Roman"/>
              <w:color w:val="FF0000"/>
              <w:sz w:val="24"/>
              <w:szCs w:val="20"/>
              <w:highlight w:val="none"/>
              <w:u w:val="none" w:color="auto"/>
            </w:rPr>
            <w:fldChar w:fldCharType="end"/>
          </w:r>
        </w:p>
        <w:p w14:paraId="758763E1">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_Toc3282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11.1 </w:t>
          </w:r>
          <w:r>
            <w:rPr>
              <w:rFonts w:hint="default" w:ascii="Times New Roman" w:hAnsi="Times New Roman" w:cs="Times New Roman"/>
              <w:sz w:val="24"/>
              <w:szCs w:val="24"/>
              <w:highlight w:val="none"/>
            </w:rPr>
            <w:t>建设项目概况</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_Toc3282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166</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A272049">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_Toc9365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11.2 </w:t>
          </w:r>
          <w:r>
            <w:rPr>
              <w:rFonts w:hint="default" w:ascii="Times New Roman" w:hAnsi="Times New Roman" w:cs="Times New Roman"/>
              <w:sz w:val="24"/>
              <w:szCs w:val="24"/>
              <w:highlight w:val="none"/>
            </w:rPr>
            <w:t>评价区环境质量现状</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_Toc9365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166</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395DAD5C">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_Toc15303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11.3 </w:t>
          </w:r>
          <w:r>
            <w:rPr>
              <w:rFonts w:hint="default" w:ascii="Times New Roman" w:hAnsi="Times New Roman" w:cs="Times New Roman"/>
              <w:sz w:val="24"/>
              <w:szCs w:val="24"/>
              <w:highlight w:val="none"/>
            </w:rPr>
            <w:t>环境影响预测评价结论</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_Toc15303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167</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4B1D5AC5">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_Toc5744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11.4 </w:t>
          </w:r>
          <w:r>
            <w:rPr>
              <w:rFonts w:hint="default" w:ascii="Times New Roman" w:hAnsi="Times New Roman" w:cs="Times New Roman"/>
              <w:sz w:val="24"/>
              <w:szCs w:val="24"/>
              <w:highlight w:val="none"/>
            </w:rPr>
            <w:t>环境风险评价结论</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_Toc5744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169</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0D802836">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_Toc12968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11.5 </w:t>
          </w:r>
          <w:r>
            <w:rPr>
              <w:rFonts w:hint="default" w:ascii="Times New Roman" w:hAnsi="Times New Roman" w:cs="Times New Roman"/>
              <w:sz w:val="24"/>
              <w:szCs w:val="24"/>
              <w:highlight w:val="none"/>
            </w:rPr>
            <w:t>产业政策、规划符合性和选址合理性结论</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_Toc12968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169</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4ABD647A">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_Toc29331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11.6 </w:t>
          </w:r>
          <w:r>
            <w:rPr>
              <w:rFonts w:hint="default" w:ascii="Times New Roman" w:hAnsi="Times New Roman" w:cs="Times New Roman"/>
              <w:sz w:val="24"/>
              <w:szCs w:val="24"/>
              <w:highlight w:val="none"/>
            </w:rPr>
            <w:t>总量建议</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_Toc29331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169</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8180D3F">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_Toc27020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11.7 </w:t>
          </w:r>
          <w:r>
            <w:rPr>
              <w:rFonts w:hint="default" w:ascii="Times New Roman" w:hAnsi="Times New Roman" w:cs="Times New Roman"/>
              <w:sz w:val="24"/>
              <w:szCs w:val="24"/>
              <w:highlight w:val="none"/>
            </w:rPr>
            <w:t>环境可行性结论</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_Toc27020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169</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50843EC8">
          <w:pPr>
            <w:pStyle w:val="6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default" w:ascii="Times New Roman" w:hAnsi="Times New Roman" w:cs="Times New Roman"/>
              <w:sz w:val="24"/>
              <w:szCs w:val="24"/>
              <w:highlight w:val="none"/>
            </w:rPr>
          </w:pPr>
          <w:r>
            <w:rPr>
              <w:rFonts w:hint="default" w:ascii="Times New Roman" w:hAnsi="Times New Roman" w:cs="Times New Roman"/>
              <w:color w:val="FF0000"/>
              <w:sz w:val="24"/>
              <w:szCs w:val="24"/>
              <w:highlight w:val="none"/>
              <w:u w:val="none" w:color="auto"/>
            </w:rPr>
            <w:fldChar w:fldCharType="begin"/>
          </w:r>
          <w:r>
            <w:rPr>
              <w:rFonts w:hint="default" w:ascii="Times New Roman" w:hAnsi="Times New Roman" w:cs="Times New Roman"/>
              <w:sz w:val="24"/>
              <w:szCs w:val="24"/>
              <w:highlight w:val="none"/>
            </w:rPr>
            <w:instrText xml:space="preserve"> HYPERLINK \l _Toc17190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lang w:val="en-US" w:eastAsia="zh-CN"/>
            </w:rPr>
            <w:t xml:space="preserve">11.8 </w:t>
          </w:r>
          <w:r>
            <w:rPr>
              <w:rFonts w:hint="default" w:ascii="Times New Roman" w:hAnsi="Times New Roman" w:cs="Times New Roman"/>
              <w:sz w:val="24"/>
              <w:szCs w:val="24"/>
              <w:highlight w:val="none"/>
            </w:rPr>
            <w:t>建议</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PAGEREF _Toc17190 \h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170</w:t>
          </w:r>
          <w:r>
            <w:rPr>
              <w:rFonts w:hint="default" w:ascii="Times New Roman" w:hAnsi="Times New Roman" w:cs="Times New Roman"/>
              <w:sz w:val="24"/>
              <w:szCs w:val="24"/>
              <w:highlight w:val="none"/>
            </w:rPr>
            <w:fldChar w:fldCharType="end"/>
          </w:r>
          <w:r>
            <w:rPr>
              <w:rFonts w:hint="default" w:ascii="Times New Roman" w:hAnsi="Times New Roman" w:cs="Times New Roman"/>
              <w:color w:val="FF0000"/>
              <w:sz w:val="24"/>
              <w:szCs w:val="24"/>
              <w:highlight w:val="none"/>
              <w:u w:val="none" w:color="auto"/>
            </w:rPr>
            <w:fldChar w:fldCharType="end"/>
          </w:r>
        </w:p>
        <w:p w14:paraId="7E82265B">
          <w:pPr>
            <w:pStyle w:val="53"/>
            <w:keepNext w:val="0"/>
            <w:keepLines w:val="0"/>
            <w:pageBreakBefore w:val="0"/>
            <w:widowControl w:val="0"/>
            <w:tabs>
              <w:tab w:val="right" w:leader="dot" w:pos="9070"/>
            </w:tabs>
            <w:kinsoku/>
            <w:wordWrap/>
            <w:overflowPunct/>
            <w:topLinePunct w:val="0"/>
            <w:autoSpaceDE w:val="0"/>
            <w:autoSpaceDN w:val="0"/>
            <w:bidi w:val="0"/>
            <w:adjustRightInd w:val="0"/>
            <w:snapToGrid/>
            <w:spacing w:line="500" w:lineRule="exact"/>
            <w:textAlignment w:val="auto"/>
            <w:rPr>
              <w:rFonts w:hint="eastAsia" w:ascii="Times New Roman" w:hAnsi="Times New Roman" w:eastAsia="宋体" w:cs="Times New Roman"/>
              <w:sz w:val="24"/>
              <w:szCs w:val="20"/>
              <w:highlight w:val="none"/>
              <w:lang w:val="en-US" w:eastAsia="zh-CN"/>
            </w:rPr>
          </w:pPr>
          <w:r>
            <w:rPr>
              <w:rFonts w:hint="default" w:ascii="Times New Roman" w:hAnsi="Times New Roman" w:cs="Times New Roman"/>
              <w:color w:val="FF0000"/>
              <w:sz w:val="24"/>
              <w:szCs w:val="24"/>
              <w:highlight w:val="none"/>
              <w:u w:val="none" w:color="auto"/>
            </w:rPr>
            <w:fldChar w:fldCharType="end"/>
          </w:r>
          <w:r>
            <w:rPr>
              <w:rFonts w:hint="default" w:ascii="Times New Roman" w:hAnsi="Times New Roman" w:cs="Times New Roman"/>
              <w:color w:val="000000" w:themeColor="text1"/>
              <w:sz w:val="24"/>
              <w:szCs w:val="24"/>
              <w:highlight w:val="none"/>
              <w:u w:val="none" w:color="auto"/>
              <w14:textFill>
                <w14:solidFill>
                  <w14:schemeClr w14:val="tx1"/>
                </w14:solidFill>
              </w14:textFill>
            </w:rPr>
            <w:t>入河排污口设置论证专章</w:t>
          </w:r>
          <w:r>
            <w:rPr>
              <w:rFonts w:hint="default" w:ascii="Times New Roman" w:hAnsi="Times New Roman" w:cs="Times New Roman"/>
              <w:color w:val="000000" w:themeColor="text1"/>
              <w:sz w:val="24"/>
              <w:szCs w:val="20"/>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sz w:val="24"/>
              <w:szCs w:val="20"/>
              <w:highlight w:val="none"/>
              <w14:textFill>
                <w14:solidFill>
                  <w14:schemeClr w14:val="tx1"/>
                </w14:solidFill>
              </w14:textFill>
            </w:rPr>
            <w:instrText xml:space="preserve"> HYPERLINK \l _Toc11597 </w:instrText>
          </w:r>
          <w:r>
            <w:rPr>
              <w:rFonts w:hint="default" w:ascii="Times New Roman" w:hAnsi="Times New Roman" w:cs="Times New Roman"/>
              <w:color w:val="000000" w:themeColor="text1"/>
              <w:sz w:val="24"/>
              <w:szCs w:val="20"/>
              <w:highlight w:val="none"/>
              <w14:textFill>
                <w14:solidFill>
                  <w14:schemeClr w14:val="tx1"/>
                </w14:solidFill>
              </w14:textFill>
            </w:rPr>
            <w:fldChar w:fldCharType="separate"/>
          </w:r>
          <w:r>
            <w:rPr>
              <w:rFonts w:hint="default" w:ascii="Times New Roman" w:hAnsi="Times New Roman" w:cs="Times New Roman"/>
              <w:color w:val="000000" w:themeColor="text1"/>
              <w:sz w:val="24"/>
              <w:szCs w:val="20"/>
              <w:highlight w:val="none"/>
              <w14:textFill>
                <w14:solidFill>
                  <w14:schemeClr w14:val="tx1"/>
                </w14:solidFill>
              </w14:textFill>
            </w:rPr>
            <w:tab/>
          </w:r>
          <w:r>
            <w:rPr>
              <w:rFonts w:hint="default" w:ascii="Times New Roman" w:hAnsi="Times New Roman" w:cs="Times New Roman"/>
              <w:color w:val="000000" w:themeColor="text1"/>
              <w:sz w:val="24"/>
              <w:szCs w:val="20"/>
              <w:highlight w:val="none"/>
              <w14:textFill>
                <w14:solidFill>
                  <w14:schemeClr w14:val="tx1"/>
                </w14:solidFill>
              </w14:textFill>
            </w:rPr>
            <w:fldChar w:fldCharType="begin"/>
          </w:r>
          <w:r>
            <w:rPr>
              <w:rFonts w:hint="default" w:ascii="Times New Roman" w:hAnsi="Times New Roman" w:cs="Times New Roman"/>
              <w:color w:val="000000" w:themeColor="text1"/>
              <w:sz w:val="24"/>
              <w:szCs w:val="20"/>
              <w:highlight w:val="none"/>
              <w14:textFill>
                <w14:solidFill>
                  <w14:schemeClr w14:val="tx1"/>
                </w14:solidFill>
              </w14:textFill>
            </w:rPr>
            <w:instrText xml:space="preserve"> PAGEREF _Toc11597 \h </w:instrText>
          </w:r>
          <w:r>
            <w:rPr>
              <w:rFonts w:hint="default" w:ascii="Times New Roman" w:hAnsi="Times New Roman" w:cs="Times New Roman"/>
              <w:color w:val="000000" w:themeColor="text1"/>
              <w:sz w:val="24"/>
              <w:szCs w:val="20"/>
              <w:highlight w:val="none"/>
              <w14:textFill>
                <w14:solidFill>
                  <w14:schemeClr w14:val="tx1"/>
                </w14:solidFill>
              </w14:textFill>
            </w:rPr>
            <w:fldChar w:fldCharType="separate"/>
          </w:r>
          <w:r>
            <w:rPr>
              <w:rFonts w:hint="default" w:ascii="Times New Roman" w:hAnsi="Times New Roman" w:cs="Times New Roman"/>
              <w:color w:val="000000" w:themeColor="text1"/>
              <w:sz w:val="24"/>
              <w:szCs w:val="20"/>
              <w:highlight w:val="none"/>
              <w14:textFill>
                <w14:solidFill>
                  <w14:schemeClr w14:val="tx1"/>
                </w14:solidFill>
              </w14:textFill>
            </w:rPr>
            <w:t>17</w:t>
          </w:r>
          <w:r>
            <w:rPr>
              <w:rFonts w:hint="default" w:ascii="Times New Roman" w:hAnsi="Times New Roman" w:cs="Times New Roman"/>
              <w:color w:val="000000" w:themeColor="text1"/>
              <w:sz w:val="24"/>
              <w:szCs w:val="20"/>
              <w:highlight w:val="none"/>
              <w14:textFill>
                <w14:solidFill>
                  <w14:schemeClr w14:val="tx1"/>
                </w14:solidFill>
              </w14:textFill>
            </w:rPr>
            <w:fldChar w:fldCharType="end"/>
          </w:r>
          <w:r>
            <w:rPr>
              <w:rFonts w:hint="default" w:ascii="Times New Roman" w:hAnsi="Times New Roman" w:cs="Times New Roman"/>
              <w:color w:val="000000" w:themeColor="text1"/>
              <w:sz w:val="24"/>
              <w:szCs w:val="20"/>
              <w:highlight w:val="none"/>
              <w:u w:val="none" w:color="auto"/>
              <w14:textFill>
                <w14:solidFill>
                  <w14:schemeClr w14:val="tx1"/>
                </w14:solidFill>
              </w14:textFill>
            </w:rPr>
            <w:fldChar w:fldCharType="end"/>
          </w:r>
          <w:r>
            <w:rPr>
              <w:rFonts w:hint="eastAsia" w:cs="Times New Roman"/>
              <w:color w:val="000000" w:themeColor="text1"/>
              <w:sz w:val="24"/>
              <w:szCs w:val="20"/>
              <w:highlight w:val="none"/>
              <w:u w:val="none" w:color="auto"/>
              <w:lang w:val="en-US" w:eastAsia="zh-CN"/>
              <w14:textFill>
                <w14:solidFill>
                  <w14:schemeClr w14:val="tx1"/>
                </w14:solidFill>
              </w14:textFill>
            </w:rPr>
            <w:t>1</w:t>
          </w:r>
        </w:p>
        <w:p w14:paraId="12E33A34">
          <w:pPr>
            <w:spacing w:line="360" w:lineRule="auto"/>
            <w:ind w:left="0" w:leftChars="0" w:firstLine="0" w:firstLineChars="0"/>
            <w:rPr>
              <w:rFonts w:hint="default" w:ascii="Times New Roman" w:hAnsi="Times New Roman" w:cs="Times New Roman" w:eastAsiaTheme="minorEastAsia"/>
              <w:b/>
              <w:color w:val="auto"/>
              <w:highlight w:val="none"/>
              <w:u w:val="none" w:color="auto"/>
            </w:rPr>
          </w:pPr>
        </w:p>
      </w:sdtContent>
    </w:sdt>
    <w:p w14:paraId="732A62D1">
      <w:pPr>
        <w:spacing w:line="360" w:lineRule="auto"/>
        <w:ind w:left="0" w:leftChars="0" w:firstLine="0" w:firstLineChars="0"/>
        <w:rPr>
          <w:rFonts w:hint="default" w:ascii="Times New Roman" w:hAnsi="Times New Roman" w:cs="Times New Roman" w:eastAsiaTheme="minorEastAsia"/>
          <w:b/>
          <w:color w:val="auto"/>
          <w:highlight w:val="none"/>
          <w:u w:val="none" w:color="auto"/>
        </w:rPr>
      </w:pPr>
      <w:r>
        <w:rPr>
          <w:rFonts w:hint="default" w:ascii="Times New Roman" w:hAnsi="Times New Roman" w:cs="Times New Roman" w:eastAsiaTheme="minorEastAsia"/>
          <w:b/>
          <w:color w:val="auto"/>
          <w:highlight w:val="none"/>
          <w:u w:val="none" w:color="auto"/>
        </w:rPr>
        <w:t>附件</w:t>
      </w:r>
      <w:bookmarkStart w:id="0" w:name="_Toc12503"/>
      <w:r>
        <w:rPr>
          <w:rFonts w:hint="default" w:ascii="Times New Roman" w:hAnsi="Times New Roman" w:cs="Times New Roman" w:eastAsiaTheme="minorEastAsia"/>
          <w:b/>
          <w:color w:val="auto"/>
          <w:highlight w:val="none"/>
          <w:u w:val="none" w:color="auto"/>
        </w:rPr>
        <w:t>：</w:t>
      </w:r>
    </w:p>
    <w:p w14:paraId="1FE8C68A">
      <w:pPr>
        <w:ind w:firstLine="0" w:firstLineChars="0"/>
        <w:jc w:val="both"/>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 xml:space="preserve">附件1  </w:t>
      </w:r>
      <w:bookmarkEnd w:id="0"/>
      <w:r>
        <w:rPr>
          <w:rFonts w:hint="default" w:ascii="Times New Roman" w:hAnsi="Times New Roman" w:cs="Times New Roman" w:eastAsiaTheme="minorEastAsia"/>
          <w:color w:val="auto"/>
          <w:highlight w:val="none"/>
          <w:u w:val="none" w:color="auto"/>
          <w:lang w:eastAsia="zh-CN"/>
        </w:rPr>
        <w:t>环评委托书</w:t>
      </w:r>
    </w:p>
    <w:p w14:paraId="1D110E6A">
      <w:pPr>
        <w:ind w:firstLine="0" w:firstLineChars="0"/>
        <w:jc w:val="both"/>
        <w:rPr>
          <w:rFonts w:hint="default" w:ascii="Times New Roman" w:hAnsi="Times New Roman" w:cs="Times New Roman" w:eastAsiaTheme="minorEastAsia"/>
          <w:color w:val="auto"/>
          <w:highlight w:val="none"/>
          <w:u w:val="none" w:color="auto"/>
          <w:lang w:eastAsia="zh-CN"/>
        </w:rPr>
      </w:pPr>
      <w:r>
        <w:rPr>
          <w:rFonts w:hint="default" w:ascii="Times New Roman" w:hAnsi="Times New Roman" w:cs="Times New Roman" w:eastAsiaTheme="minorEastAsia"/>
          <w:color w:val="auto"/>
          <w:highlight w:val="none"/>
          <w:u w:val="none" w:color="auto"/>
        </w:rPr>
        <w:t>附件2</w:t>
      </w:r>
      <w:r>
        <w:rPr>
          <w:rFonts w:hint="default" w:ascii="Times New Roman" w:hAnsi="Times New Roman" w:cs="Times New Roman" w:eastAsiaTheme="minorEastAsia"/>
          <w:color w:val="auto"/>
          <w:highlight w:val="none"/>
          <w:u w:val="none" w:color="auto"/>
          <w:lang w:val="en-US" w:eastAsia="zh-CN"/>
        </w:rPr>
        <w:t xml:space="preserve">  </w:t>
      </w:r>
      <w:r>
        <w:rPr>
          <w:rFonts w:hint="default" w:ascii="Times New Roman" w:hAnsi="Times New Roman" w:cs="Times New Roman" w:eastAsiaTheme="minorEastAsia"/>
          <w:color w:val="auto"/>
          <w:highlight w:val="none"/>
          <w:u w:val="none" w:color="auto"/>
        </w:rPr>
        <w:t>建设单位营业执照</w:t>
      </w:r>
    </w:p>
    <w:p w14:paraId="1691B8BA">
      <w:pPr>
        <w:ind w:firstLine="0" w:firstLineChars="0"/>
        <w:jc w:val="both"/>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eastAsiaTheme="minorEastAsia"/>
          <w:color w:val="auto"/>
          <w:highlight w:val="none"/>
          <w:u w:val="none" w:color="auto"/>
        </w:rPr>
        <w:t xml:space="preserve">附件3  </w:t>
      </w:r>
      <w:r>
        <w:rPr>
          <w:rFonts w:hint="default" w:ascii="Times New Roman" w:hAnsi="Times New Roman" w:cs="Times New Roman" w:eastAsiaTheme="minorEastAsia"/>
          <w:color w:val="auto"/>
          <w:highlight w:val="none"/>
          <w:u w:val="none" w:color="auto"/>
          <w:lang w:val="en-US" w:eastAsia="zh-CN"/>
        </w:rPr>
        <w:t>项目可研批复</w:t>
      </w:r>
    </w:p>
    <w:p w14:paraId="590B7CF2">
      <w:pPr>
        <w:ind w:firstLine="0" w:firstLineChars="0"/>
        <w:jc w:val="both"/>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eastAsiaTheme="minorEastAsia"/>
          <w:color w:val="auto"/>
          <w:highlight w:val="none"/>
          <w:u w:val="none" w:color="auto"/>
        </w:rPr>
        <w:t>附件4</w:t>
      </w:r>
      <w:r>
        <w:rPr>
          <w:rFonts w:hint="default" w:ascii="Times New Roman" w:hAnsi="Times New Roman" w:cs="Times New Roman" w:eastAsiaTheme="minorEastAsia"/>
          <w:color w:val="auto"/>
          <w:highlight w:val="none"/>
          <w:u w:val="none" w:color="auto"/>
          <w:lang w:val="en-US" w:eastAsia="zh-CN"/>
        </w:rPr>
        <w:t xml:space="preserve">  会议纪要</w:t>
      </w:r>
    </w:p>
    <w:p w14:paraId="49C6B3D1">
      <w:pPr>
        <w:ind w:firstLine="0" w:firstLineChars="0"/>
        <w:jc w:val="both"/>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eastAsiaTheme="minorEastAsia"/>
          <w:color w:val="auto"/>
          <w:highlight w:val="none"/>
          <w:u w:val="none" w:color="auto"/>
          <w:lang w:val="en-US" w:eastAsia="zh-CN"/>
        </w:rPr>
        <w:t>附件5  项目用地文件</w:t>
      </w:r>
    </w:p>
    <w:p w14:paraId="57DFEA6B">
      <w:pPr>
        <w:ind w:firstLine="0" w:firstLineChars="0"/>
        <w:jc w:val="both"/>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eastAsiaTheme="minorEastAsia"/>
          <w:color w:val="auto"/>
          <w:highlight w:val="none"/>
          <w:u w:val="none" w:color="auto"/>
        </w:rPr>
        <w:t>附件</w:t>
      </w:r>
      <w:r>
        <w:rPr>
          <w:rFonts w:hint="default" w:ascii="Times New Roman" w:hAnsi="Times New Roman" w:cs="Times New Roman" w:eastAsiaTheme="minorEastAsia"/>
          <w:color w:val="auto"/>
          <w:highlight w:val="none"/>
          <w:u w:val="none" w:color="auto"/>
          <w:lang w:val="en-US" w:eastAsia="zh-CN"/>
        </w:rPr>
        <w:t>6  原有项目环评批复</w:t>
      </w:r>
    </w:p>
    <w:p w14:paraId="266ACF00">
      <w:pPr>
        <w:ind w:firstLine="0" w:firstLineChars="0"/>
        <w:jc w:val="both"/>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eastAsiaTheme="minorEastAsia"/>
          <w:color w:val="auto"/>
          <w:highlight w:val="none"/>
          <w:u w:val="none" w:color="auto"/>
        </w:rPr>
        <w:t>附件</w:t>
      </w:r>
      <w:r>
        <w:rPr>
          <w:rFonts w:hint="default" w:ascii="Times New Roman" w:hAnsi="Times New Roman" w:cs="Times New Roman" w:eastAsiaTheme="minorEastAsia"/>
          <w:color w:val="auto"/>
          <w:highlight w:val="none"/>
          <w:u w:val="none" w:color="auto"/>
          <w:lang w:val="en-US" w:eastAsia="zh-CN"/>
        </w:rPr>
        <w:t>7</w:t>
      </w:r>
      <w:r>
        <w:rPr>
          <w:rFonts w:hint="default" w:ascii="Times New Roman" w:hAnsi="Times New Roman" w:cs="Times New Roman" w:eastAsiaTheme="minorEastAsia"/>
          <w:color w:val="auto"/>
          <w:highlight w:val="none"/>
          <w:u w:val="none" w:color="auto"/>
        </w:rPr>
        <w:t xml:space="preserve">  </w:t>
      </w:r>
      <w:r>
        <w:rPr>
          <w:rFonts w:hint="default" w:ascii="Times New Roman" w:hAnsi="Times New Roman" w:cs="Times New Roman" w:eastAsiaTheme="minorEastAsia"/>
          <w:color w:val="auto"/>
          <w:highlight w:val="none"/>
          <w:u w:val="none" w:color="auto"/>
          <w:lang w:val="en-US" w:eastAsia="zh-CN"/>
        </w:rPr>
        <w:t>原有项目验收文件</w:t>
      </w:r>
    </w:p>
    <w:p w14:paraId="1846ADF4">
      <w:pPr>
        <w:ind w:firstLine="0" w:firstLineChars="0"/>
        <w:jc w:val="both"/>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eastAsiaTheme="minorEastAsia"/>
          <w:color w:val="auto"/>
          <w:highlight w:val="none"/>
          <w:u w:val="none" w:color="auto"/>
        </w:rPr>
        <w:t>附件</w:t>
      </w:r>
      <w:r>
        <w:rPr>
          <w:rFonts w:hint="default" w:ascii="Times New Roman" w:hAnsi="Times New Roman" w:cs="Times New Roman" w:eastAsiaTheme="minorEastAsia"/>
          <w:color w:val="auto"/>
          <w:highlight w:val="none"/>
          <w:u w:val="none" w:color="auto"/>
          <w:lang w:val="en-US" w:eastAsia="zh-CN"/>
        </w:rPr>
        <w:t>8  项目排污许可证</w:t>
      </w:r>
    </w:p>
    <w:p w14:paraId="6FB86A7C">
      <w:pPr>
        <w:ind w:firstLine="0" w:firstLineChars="0"/>
        <w:jc w:val="both"/>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eastAsiaTheme="minorEastAsia"/>
          <w:color w:val="auto"/>
          <w:highlight w:val="none"/>
          <w:u w:val="none" w:color="auto"/>
          <w:lang w:val="en-US" w:eastAsia="zh-CN"/>
        </w:rPr>
        <w:t>附件9  污泥处置协议</w:t>
      </w:r>
    </w:p>
    <w:p w14:paraId="36F2DD06">
      <w:pPr>
        <w:ind w:firstLine="0" w:firstLineChars="0"/>
        <w:jc w:val="both"/>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auto"/>
          <w:highlight w:val="none"/>
          <w:u w:val="none" w:color="auto"/>
          <w:lang w:val="en-US" w:eastAsia="zh-CN"/>
        </w:rPr>
        <w:t>附</w:t>
      </w:r>
      <w:r>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t>件10 项目危废处置协议</w:t>
      </w:r>
    </w:p>
    <w:p w14:paraId="27ACD99C">
      <w:pPr>
        <w:ind w:firstLine="0" w:firstLineChars="0"/>
        <w:jc w:val="both"/>
        <w:outlineLvl w:val="9"/>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highlight w:val="none"/>
          <w:u w:val="none" w:color="auto"/>
          <w14:textFill>
            <w14:solidFill>
              <w14:schemeClr w14:val="tx1"/>
            </w14:solidFill>
          </w14:textFill>
        </w:rPr>
        <w:t>附件</w:t>
      </w:r>
      <w:r>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t xml:space="preserve">11 </w:t>
      </w:r>
      <w:r>
        <w:rPr>
          <w:rFonts w:hint="default" w:ascii="Times New Roman" w:hAnsi="Times New Roman" w:cs="Times New Roman" w:eastAsiaTheme="minorEastAsia"/>
          <w:color w:val="000000" w:themeColor="text1"/>
          <w:highlight w:val="none"/>
          <w:u w:val="none" w:color="auto"/>
          <w:lang w:eastAsia="zh-CN"/>
          <w14:textFill>
            <w14:solidFill>
              <w14:schemeClr w14:val="tx1"/>
            </w14:solidFill>
          </w14:textFill>
        </w:rPr>
        <w:t>质保单及</w:t>
      </w:r>
      <w:r>
        <w:rPr>
          <w:rFonts w:hint="default" w:ascii="Times New Roman" w:hAnsi="Times New Roman" w:cs="Times New Roman" w:eastAsiaTheme="minorEastAsia"/>
          <w:color w:val="000000" w:themeColor="text1"/>
          <w:highlight w:val="none"/>
          <w:u w:val="none" w:color="auto"/>
          <w14:textFill>
            <w14:solidFill>
              <w14:schemeClr w14:val="tx1"/>
            </w14:solidFill>
          </w14:textFill>
        </w:rPr>
        <w:t>环境质量现状监测报告</w:t>
      </w:r>
    </w:p>
    <w:p w14:paraId="25BC66AB">
      <w:pPr>
        <w:ind w:firstLine="0" w:firstLineChars="0"/>
        <w:jc w:val="both"/>
        <w:outlineLvl w:val="9"/>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eastAsia" w:cs="Times New Roman" w:eastAsiaTheme="minorEastAsia"/>
          <w:color w:val="000000" w:themeColor="text1"/>
          <w:highlight w:val="none"/>
          <w:u w:val="none" w:color="auto"/>
          <w:lang w:val="en-US" w:eastAsia="zh-CN"/>
          <w14:textFill>
            <w14:solidFill>
              <w14:schemeClr w14:val="tx1"/>
            </w14:solidFill>
          </w14:textFill>
        </w:rPr>
        <w:t>附件12 农水部门关于机排二十渠水功能定位的意见</w:t>
      </w:r>
    </w:p>
    <w:p w14:paraId="07187425">
      <w:pPr>
        <w:ind w:firstLine="0" w:firstLineChars="0"/>
        <w:jc w:val="left"/>
        <w:rPr>
          <w:rFonts w:hint="default" w:ascii="Times New Roman" w:hAnsi="Times New Roman" w:cs="Times New Roman" w:eastAsiaTheme="minorEastAsia"/>
          <w:b/>
          <w:color w:val="000000" w:themeColor="text1"/>
          <w:highlight w:val="none"/>
          <w:u w:val="none" w:color="auto"/>
          <w14:textFill>
            <w14:solidFill>
              <w14:schemeClr w14:val="tx1"/>
            </w14:solidFill>
          </w14:textFill>
        </w:rPr>
      </w:pPr>
    </w:p>
    <w:p w14:paraId="263341BC">
      <w:pPr>
        <w:ind w:firstLine="0" w:firstLineChars="0"/>
        <w:jc w:val="left"/>
        <w:rPr>
          <w:rFonts w:hint="default" w:ascii="Times New Roman" w:hAnsi="Times New Roman" w:cs="Times New Roman" w:eastAsiaTheme="minorEastAsia"/>
          <w:b/>
          <w:color w:val="000000" w:themeColor="text1"/>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highlight w:val="none"/>
          <w:u w:val="none" w:color="auto"/>
          <w14:textFill>
            <w14:solidFill>
              <w14:schemeClr w14:val="tx1"/>
            </w14:solidFill>
          </w14:textFill>
        </w:rPr>
        <w:t>附图：</w:t>
      </w:r>
    </w:p>
    <w:p w14:paraId="57A0740F">
      <w:pPr>
        <w:ind w:firstLine="0" w:firstLineChars="0"/>
        <w:jc w:val="both"/>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bookmarkStart w:id="1" w:name="_Toc1067"/>
      <w:r>
        <w:rPr>
          <w:rFonts w:hint="default" w:ascii="Times New Roman" w:hAnsi="Times New Roman" w:cs="Times New Roman" w:eastAsiaTheme="minorEastAsia"/>
          <w:color w:val="000000" w:themeColor="text1"/>
          <w:highlight w:val="none"/>
          <w:u w:val="none" w:color="auto"/>
          <w14:textFill>
            <w14:solidFill>
              <w14:schemeClr w14:val="tx1"/>
            </w14:solidFill>
          </w14:textFill>
        </w:rPr>
        <w:t>附图1  项目地理位置图</w:t>
      </w:r>
      <w:bookmarkEnd w:id="1"/>
    </w:p>
    <w:p w14:paraId="3D0DB316">
      <w:pPr>
        <w:ind w:firstLine="0" w:firstLineChars="0"/>
        <w:jc w:val="both"/>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bookmarkStart w:id="2" w:name="_Toc8513"/>
      <w:r>
        <w:rPr>
          <w:rFonts w:hint="default" w:ascii="Times New Roman" w:hAnsi="Times New Roman" w:cs="Times New Roman" w:eastAsiaTheme="minorEastAsia"/>
          <w:color w:val="000000" w:themeColor="text1"/>
          <w:highlight w:val="none"/>
          <w:u w:val="none" w:color="auto"/>
          <w14:textFill>
            <w14:solidFill>
              <w14:schemeClr w14:val="tx1"/>
            </w14:solidFill>
          </w14:textFill>
        </w:rPr>
        <w:t xml:space="preserve">附图2  </w:t>
      </w:r>
      <w:bookmarkEnd w:id="2"/>
      <w:r>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t>项目功能分区图</w:t>
      </w:r>
    </w:p>
    <w:p w14:paraId="1931B403">
      <w:pPr>
        <w:ind w:firstLine="0" w:firstLineChars="0"/>
        <w:jc w:val="both"/>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bookmarkStart w:id="3" w:name="_Toc20781"/>
      <w:r>
        <w:rPr>
          <w:rFonts w:hint="default" w:ascii="Times New Roman" w:hAnsi="Times New Roman" w:cs="Times New Roman" w:eastAsiaTheme="minorEastAsia"/>
          <w:color w:val="000000" w:themeColor="text1"/>
          <w:highlight w:val="none"/>
          <w:u w:val="none" w:color="auto"/>
          <w14:textFill>
            <w14:solidFill>
              <w14:schemeClr w14:val="tx1"/>
            </w14:solidFill>
          </w14:textFill>
        </w:rPr>
        <w:t xml:space="preserve">附图3  </w:t>
      </w:r>
      <w:bookmarkEnd w:id="3"/>
      <w:r>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t>项目平面布置图</w:t>
      </w:r>
    </w:p>
    <w:p w14:paraId="08FC8845">
      <w:pPr>
        <w:ind w:firstLine="0" w:firstLineChars="0"/>
        <w:jc w:val="both"/>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附图4  地表水现状监测布点图</w:t>
      </w:r>
    </w:p>
    <w:p w14:paraId="22EF3B6B">
      <w:pPr>
        <w:ind w:firstLine="0" w:firstLineChars="0"/>
        <w:jc w:val="both"/>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附图5  大气现状监测布点图</w:t>
      </w:r>
    </w:p>
    <w:p w14:paraId="335C5FD8">
      <w:pPr>
        <w:ind w:firstLine="0" w:firstLineChars="0"/>
        <w:jc w:val="both"/>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附图</w:t>
      </w:r>
      <w:r>
        <w:rPr>
          <w:rFonts w:hint="default" w:ascii="Times New Roman" w:hAnsi="Times New Roman" w:cs="Times New Roman" w:eastAsiaTheme="minorEastAsia"/>
          <w:color w:val="auto"/>
          <w:highlight w:val="none"/>
          <w:u w:val="none" w:color="auto"/>
          <w:lang w:val="en-US" w:eastAsia="zh-CN"/>
        </w:rPr>
        <w:t>6</w:t>
      </w:r>
      <w:r>
        <w:rPr>
          <w:rFonts w:hint="default" w:ascii="Times New Roman" w:hAnsi="Times New Roman" w:cs="Times New Roman" w:eastAsiaTheme="minorEastAsia"/>
          <w:color w:val="auto"/>
          <w:highlight w:val="none"/>
          <w:u w:val="none" w:color="auto"/>
        </w:rPr>
        <w:t xml:space="preserve">  声环境现状监测布点图</w:t>
      </w:r>
    </w:p>
    <w:p w14:paraId="5ED7F791">
      <w:pPr>
        <w:ind w:firstLine="0" w:firstLineChars="0"/>
        <w:jc w:val="both"/>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附图7</w:t>
      </w:r>
      <w:r>
        <w:rPr>
          <w:rFonts w:hint="default" w:ascii="Times New Roman" w:hAnsi="Times New Roman" w:cs="Times New Roman" w:eastAsiaTheme="minorEastAsia"/>
          <w:color w:val="auto"/>
          <w:highlight w:val="none"/>
          <w:u w:val="none" w:color="auto"/>
          <w:lang w:val="en-US" w:eastAsia="zh-CN"/>
        </w:rPr>
        <w:t xml:space="preserve">  </w:t>
      </w:r>
      <w:r>
        <w:rPr>
          <w:rFonts w:hint="default" w:ascii="Times New Roman" w:hAnsi="Times New Roman" w:cs="Times New Roman" w:eastAsiaTheme="minorEastAsia"/>
          <w:color w:val="auto"/>
          <w:highlight w:val="none"/>
          <w:u w:val="none" w:color="auto"/>
        </w:rPr>
        <w:t>土壤环境现状监测布点图</w:t>
      </w:r>
    </w:p>
    <w:p w14:paraId="29B13D75">
      <w:pPr>
        <w:ind w:firstLine="0" w:firstLineChars="0"/>
        <w:jc w:val="both"/>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 xml:space="preserve">附图8 </w:t>
      </w:r>
      <w:r>
        <w:rPr>
          <w:rFonts w:hint="default" w:ascii="Times New Roman" w:hAnsi="Times New Roman" w:cs="Times New Roman" w:eastAsiaTheme="minorEastAsia"/>
          <w:color w:val="auto"/>
          <w:highlight w:val="none"/>
          <w:u w:val="none" w:color="auto"/>
          <w:lang w:val="en-US" w:eastAsia="zh-CN"/>
        </w:rPr>
        <w:t xml:space="preserve"> </w:t>
      </w:r>
      <w:r>
        <w:rPr>
          <w:rFonts w:hint="default" w:ascii="Times New Roman" w:hAnsi="Times New Roman" w:cs="Times New Roman" w:eastAsiaTheme="minorEastAsia"/>
          <w:color w:val="auto"/>
          <w:highlight w:val="none"/>
          <w:u w:val="none" w:color="auto"/>
        </w:rPr>
        <w:t>地下水环境现状监测布点图</w:t>
      </w:r>
    </w:p>
    <w:p w14:paraId="67E62214">
      <w:pPr>
        <w:ind w:firstLine="0" w:firstLineChars="0"/>
        <w:jc w:val="both"/>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eastAsiaTheme="minorEastAsia"/>
          <w:color w:val="auto"/>
          <w:highlight w:val="none"/>
          <w:u w:val="none" w:color="auto"/>
        </w:rPr>
        <w:t>附图</w:t>
      </w:r>
      <w:r>
        <w:rPr>
          <w:rFonts w:hint="default" w:ascii="Times New Roman" w:hAnsi="Times New Roman" w:cs="Times New Roman" w:eastAsiaTheme="minorEastAsia"/>
          <w:color w:val="auto"/>
          <w:highlight w:val="none"/>
          <w:u w:val="none" w:color="auto"/>
          <w:lang w:val="en-US" w:eastAsia="zh-CN"/>
        </w:rPr>
        <w:t>9</w:t>
      </w:r>
      <w:r>
        <w:rPr>
          <w:rFonts w:hint="default" w:ascii="Times New Roman" w:hAnsi="Times New Roman" w:cs="Times New Roman" w:eastAsiaTheme="minorEastAsia"/>
          <w:color w:val="auto"/>
          <w:highlight w:val="none"/>
          <w:u w:val="none" w:color="auto"/>
        </w:rPr>
        <w:t xml:space="preserve"> </w:t>
      </w:r>
      <w:r>
        <w:rPr>
          <w:rFonts w:hint="default" w:ascii="Times New Roman" w:hAnsi="Times New Roman" w:cs="Times New Roman" w:eastAsiaTheme="minorEastAsia"/>
          <w:color w:val="auto"/>
          <w:highlight w:val="none"/>
          <w:u w:val="none" w:color="auto"/>
          <w:lang w:val="en-US" w:eastAsia="zh-CN"/>
        </w:rPr>
        <w:t xml:space="preserve"> 项目纳污管网图</w:t>
      </w:r>
    </w:p>
    <w:p w14:paraId="30778757">
      <w:pPr>
        <w:ind w:firstLine="0" w:firstLineChars="0"/>
        <w:jc w:val="both"/>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auto"/>
          <w:highlight w:val="none"/>
          <w:u w:val="none" w:color="auto"/>
          <w:lang w:val="en-US" w:eastAsia="zh-CN"/>
        </w:rPr>
        <w:t>附图</w:t>
      </w:r>
      <w:r>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t>10 内部管网敷设图</w:t>
      </w:r>
    </w:p>
    <w:p w14:paraId="79E0FEE1">
      <w:pPr>
        <w:ind w:firstLine="0" w:firstLineChars="0"/>
        <w:jc w:val="both"/>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t>附图11</w:t>
      </w:r>
      <w:r>
        <w:rPr>
          <w:rFonts w:hint="eastAsia" w:cs="Times New Roman" w:eastAsiaTheme="minorEastAsia"/>
          <w:color w:val="000000" w:themeColor="text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t>项目外排尾水走向及区域河流水系分布图</w:t>
      </w:r>
    </w:p>
    <w:p w14:paraId="0616A5FC">
      <w:pPr>
        <w:ind w:firstLine="0" w:firstLineChars="0"/>
        <w:jc w:val="both"/>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t>附图12 项目环境保护目标示意图</w:t>
      </w:r>
    </w:p>
    <w:p w14:paraId="67543A97">
      <w:pPr>
        <w:ind w:firstLine="0" w:firstLineChars="0"/>
        <w:jc w:val="both"/>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u w:val="none" w:color="auto"/>
          <w:lang w:val="en-US" w:eastAsia="zh-CN"/>
          <w14:textFill>
            <w14:solidFill>
              <w14:schemeClr w14:val="tx1"/>
            </w14:solidFill>
          </w14:textFill>
        </w:rPr>
        <w:t>附图</w:t>
      </w:r>
      <w:r>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t xml:space="preserve">13 </w:t>
      </w:r>
      <w:r>
        <w:rPr>
          <w:rFonts w:hint="eastAsia" w:ascii="Times New Roman" w:hAnsi="Times New Roman" w:cs="Times New Roman" w:eastAsiaTheme="minorEastAsia"/>
          <w:color w:val="000000" w:themeColor="text1"/>
          <w:highlight w:val="none"/>
          <w:u w:val="none" w:color="auto"/>
          <w:lang w:val="en-US" w:eastAsia="zh-CN"/>
          <w14:textFill>
            <w14:solidFill>
              <w14:schemeClr w14:val="tx1"/>
            </w14:solidFill>
          </w14:textFill>
        </w:rPr>
        <w:t>与大通湖国家湿地公园位置关系示意图</w:t>
      </w:r>
    </w:p>
    <w:p w14:paraId="683D5086">
      <w:pPr>
        <w:ind w:firstLine="0" w:firstLineChars="0"/>
        <w:jc w:val="both"/>
        <w:rPr>
          <w:rFonts w:hint="eastAsia" w:cs="Times New Roman" w:eastAsiaTheme="minorEastAsia"/>
          <w:color w:val="000000" w:themeColor="text1"/>
          <w:highlight w:val="none"/>
          <w:u w:val="none" w:color="auto"/>
          <w:lang w:val="en-US" w:eastAsia="zh-CN"/>
          <w14:textFill>
            <w14:solidFill>
              <w14:schemeClr w14:val="tx1"/>
            </w14:solidFill>
          </w14:textFill>
        </w:rPr>
      </w:pPr>
      <w:r>
        <w:rPr>
          <w:rFonts w:hint="eastAsia" w:cs="Times New Roman" w:eastAsiaTheme="minorEastAsia"/>
          <w:color w:val="000000" w:themeColor="text1"/>
          <w:highlight w:val="none"/>
          <w:u w:val="none" w:color="auto"/>
          <w:lang w:val="en-US" w:eastAsia="zh-CN"/>
          <w14:textFill>
            <w14:solidFill>
              <w14:schemeClr w14:val="tx1"/>
            </w14:solidFill>
          </w14:textFill>
        </w:rPr>
        <w:t>附图14 排污口论证范围图</w:t>
      </w:r>
    </w:p>
    <w:p w14:paraId="7B3209A2">
      <w:pPr>
        <w:ind w:firstLine="0" w:firstLineChars="0"/>
        <w:jc w:val="both"/>
        <w:rPr>
          <w:rFonts w:hint="eastAsia" w:cs="Times New Roman" w:eastAsiaTheme="minorEastAsia"/>
          <w:color w:val="000000" w:themeColor="text1"/>
          <w:highlight w:val="none"/>
          <w:u w:val="none" w:color="auto"/>
          <w:lang w:val="en-US" w:eastAsia="zh-CN"/>
          <w14:textFill>
            <w14:solidFill>
              <w14:schemeClr w14:val="tx1"/>
            </w14:solidFill>
          </w14:textFill>
        </w:rPr>
      </w:pPr>
      <w:r>
        <w:rPr>
          <w:rFonts w:hint="eastAsia" w:cs="Times New Roman" w:eastAsiaTheme="minorEastAsia"/>
          <w:color w:val="000000" w:themeColor="text1"/>
          <w:highlight w:val="none"/>
          <w:u w:val="none" w:color="auto"/>
          <w:lang w:val="en-US" w:eastAsia="zh-CN"/>
          <w14:textFill>
            <w14:solidFill>
              <w14:schemeClr w14:val="tx1"/>
            </w14:solidFill>
          </w14:textFill>
        </w:rPr>
        <w:t>附图15 排污口论证范围内建（构）筑物及取排水口分布图</w:t>
      </w:r>
    </w:p>
    <w:p w14:paraId="78430407">
      <w:pPr>
        <w:ind w:firstLine="0" w:firstLineChars="0"/>
        <w:jc w:val="both"/>
        <w:rPr>
          <w:rFonts w:hint="eastAsia" w:cs="Times New Roman" w:eastAsiaTheme="minorEastAsia"/>
          <w:color w:val="000000" w:themeColor="text1"/>
          <w:highlight w:val="none"/>
          <w:u w:val="none" w:color="auto"/>
          <w:lang w:val="en-US" w:eastAsia="zh-CN"/>
          <w14:textFill>
            <w14:solidFill>
              <w14:schemeClr w14:val="tx1"/>
            </w14:solidFill>
          </w14:textFill>
        </w:rPr>
      </w:pPr>
      <w:r>
        <w:rPr>
          <w:rFonts w:hint="eastAsia" w:cs="Times New Roman" w:eastAsiaTheme="minorEastAsia"/>
          <w:color w:val="000000" w:themeColor="text1"/>
          <w:highlight w:val="none"/>
          <w:u w:val="none" w:color="auto"/>
          <w:lang w:val="en-US" w:eastAsia="zh-CN"/>
          <w14:textFill>
            <w14:solidFill>
              <w14:schemeClr w14:val="tx1"/>
            </w14:solidFill>
          </w14:textFill>
        </w:rPr>
        <w:t>附图16 地下水评价范围图</w:t>
      </w:r>
    </w:p>
    <w:p w14:paraId="77074072">
      <w:pPr>
        <w:ind w:firstLine="0" w:firstLineChars="0"/>
        <w:jc w:val="both"/>
        <w:rPr>
          <w:rFonts w:hint="default" w:cs="Times New Roman" w:eastAsiaTheme="minorEastAsia"/>
          <w:color w:val="000000" w:themeColor="text1"/>
          <w:highlight w:val="none"/>
          <w:u w:val="none" w:color="auto"/>
          <w:lang w:val="en-US" w:eastAsia="zh-CN"/>
          <w14:textFill>
            <w14:solidFill>
              <w14:schemeClr w14:val="tx1"/>
            </w14:solidFill>
          </w14:textFill>
        </w:rPr>
      </w:pPr>
      <w:r>
        <w:rPr>
          <w:rFonts w:hint="eastAsia" w:cs="Times New Roman" w:eastAsiaTheme="minorEastAsia"/>
          <w:color w:val="000000" w:themeColor="text1"/>
          <w:highlight w:val="none"/>
          <w:u w:val="none" w:color="auto"/>
          <w:lang w:val="en-US" w:eastAsia="zh-CN"/>
          <w14:textFill>
            <w14:solidFill>
              <w14:schemeClr w14:val="tx1"/>
            </w14:solidFill>
          </w14:textFill>
        </w:rPr>
        <w:t>附图17 地下水分区防渗图</w:t>
      </w:r>
    </w:p>
    <w:p w14:paraId="2E612BEC">
      <w:pPr>
        <w:ind w:firstLine="0" w:firstLineChars="0"/>
        <w:jc w:val="left"/>
        <w:outlineLvl w:val="9"/>
        <w:rPr>
          <w:rFonts w:hint="default" w:ascii="Times New Roman" w:hAnsi="Times New Roman" w:cs="Times New Roman" w:eastAsiaTheme="minorEastAsia"/>
          <w:b/>
          <w:bCs/>
          <w:color w:val="000000" w:themeColor="text1"/>
          <w:highlight w:val="none"/>
          <w:u w:val="none" w:color="auto"/>
          <w14:textFill>
            <w14:solidFill>
              <w14:schemeClr w14:val="tx1"/>
            </w14:solidFill>
          </w14:textFill>
        </w:rPr>
      </w:pPr>
      <w:bookmarkStart w:id="4" w:name="_Toc17823"/>
    </w:p>
    <w:p w14:paraId="48F99BC9">
      <w:pPr>
        <w:ind w:firstLine="0" w:firstLineChars="0"/>
        <w:jc w:val="left"/>
        <w:outlineLvl w:val="9"/>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b/>
          <w:bCs/>
          <w:color w:val="auto"/>
          <w:highlight w:val="none"/>
          <w:u w:val="none" w:color="auto"/>
        </w:rPr>
        <w:t>附表</w:t>
      </w:r>
      <w:r>
        <w:rPr>
          <w:rFonts w:hint="default" w:ascii="Times New Roman" w:hAnsi="Times New Roman" w:cs="Times New Roman" w:eastAsiaTheme="minorEastAsia"/>
          <w:color w:val="auto"/>
          <w:highlight w:val="none"/>
          <w:u w:val="none" w:color="auto"/>
        </w:rPr>
        <w:t xml:space="preserve">  </w:t>
      </w:r>
      <w:r>
        <w:rPr>
          <w:rFonts w:hint="default" w:ascii="Times New Roman" w:hAnsi="Times New Roman" w:cs="Times New Roman" w:eastAsiaTheme="minorEastAsia"/>
          <w:color w:val="auto"/>
          <w:highlight w:val="none"/>
          <w:u w:val="none" w:color="auto"/>
          <w:lang w:eastAsia="zh-CN"/>
        </w:rPr>
        <w:t>环境影响自查表及建设项目</w:t>
      </w:r>
      <w:r>
        <w:rPr>
          <w:rFonts w:hint="default" w:ascii="Times New Roman" w:hAnsi="Times New Roman" w:cs="Times New Roman" w:eastAsiaTheme="minorEastAsia"/>
          <w:color w:val="auto"/>
          <w:highlight w:val="none"/>
          <w:u w:val="none" w:color="auto"/>
        </w:rPr>
        <w:t>审批</w:t>
      </w:r>
      <w:bookmarkEnd w:id="4"/>
      <w:r>
        <w:rPr>
          <w:rFonts w:hint="default" w:ascii="Times New Roman" w:hAnsi="Times New Roman" w:cs="Times New Roman" w:eastAsiaTheme="minorEastAsia"/>
          <w:color w:val="auto"/>
          <w:highlight w:val="none"/>
          <w:u w:val="none" w:color="auto"/>
        </w:rPr>
        <w:t>基础信息表</w:t>
      </w:r>
    </w:p>
    <w:p w14:paraId="673E8B3B">
      <w:pPr>
        <w:ind w:firstLine="0" w:firstLineChars="0"/>
        <w:jc w:val="left"/>
        <w:rPr>
          <w:rFonts w:hint="default" w:ascii="Times New Roman" w:hAnsi="Times New Roman" w:cs="Times New Roman" w:eastAsiaTheme="minorEastAsia"/>
          <w:color w:val="FF0000"/>
          <w:highlight w:val="none"/>
          <w:u w:val="none" w:color="auto"/>
        </w:rPr>
        <w:sectPr>
          <w:pgSz w:w="11906" w:h="16838"/>
          <w:pgMar w:top="1418" w:right="1418" w:bottom="1418" w:left="1418" w:header="851" w:footer="850" w:gutter="0"/>
          <w:pgBorders>
            <w:top w:val="none" w:sz="0" w:space="0"/>
            <w:left w:val="none" w:sz="0" w:space="0"/>
            <w:bottom w:val="none" w:sz="0" w:space="0"/>
            <w:right w:val="none" w:sz="0" w:space="0"/>
          </w:pgBorders>
          <w:cols w:space="425" w:num="1"/>
          <w:docGrid w:linePitch="326" w:charSpace="0"/>
        </w:sectPr>
      </w:pPr>
    </w:p>
    <w:p w14:paraId="0F4CDBAC">
      <w:pPr>
        <w:pStyle w:val="2"/>
        <w:numPr>
          <w:ilvl w:val="0"/>
          <w:numId w:val="0"/>
        </w:numPr>
        <w:ind w:leftChars="0"/>
        <w:rPr>
          <w:rFonts w:hint="default" w:ascii="Times New Roman" w:hAnsi="Times New Roman" w:cs="Times New Roman"/>
          <w:color w:val="auto"/>
          <w:highlight w:val="none"/>
          <w:u w:val="none" w:color="auto"/>
        </w:rPr>
      </w:pPr>
      <w:bookmarkStart w:id="5" w:name="_Toc30379_WPSOffice_Level1"/>
      <w:bookmarkStart w:id="6" w:name="_Toc18516"/>
      <w:bookmarkStart w:id="7" w:name="_Toc31783_WPSOffice_Level1"/>
      <w:bookmarkStart w:id="8" w:name="_Toc19678_WPSOffice_Level1"/>
      <w:r>
        <w:rPr>
          <w:rFonts w:hint="default" w:ascii="Times New Roman" w:hAnsi="Times New Roman" w:cs="Times New Roman"/>
          <w:color w:val="auto"/>
          <w:highlight w:val="none"/>
          <w:u w:val="none" w:color="auto"/>
          <w:lang w:val="en-US" w:eastAsia="zh-CN"/>
        </w:rPr>
        <w:t xml:space="preserve">1 </w:t>
      </w:r>
      <w:r>
        <w:rPr>
          <w:rFonts w:hint="default" w:ascii="Times New Roman" w:hAnsi="Times New Roman" w:cs="Times New Roman"/>
          <w:color w:val="auto"/>
          <w:highlight w:val="none"/>
          <w:u w:val="none" w:color="auto"/>
          <w:lang w:eastAsia="zh-CN"/>
        </w:rPr>
        <w:t>概述</w:t>
      </w:r>
      <w:bookmarkEnd w:id="5"/>
      <w:bookmarkEnd w:id="6"/>
      <w:bookmarkEnd w:id="7"/>
      <w:bookmarkEnd w:id="8"/>
    </w:p>
    <w:p w14:paraId="17BA9FB2">
      <w:pPr>
        <w:pStyle w:val="3"/>
        <w:numPr>
          <w:ilvl w:val="1"/>
          <w:numId w:val="0"/>
        </w:numPr>
        <w:ind w:leftChars="0"/>
        <w:rPr>
          <w:rFonts w:hint="default" w:ascii="Times New Roman" w:hAnsi="Times New Roman" w:cs="Times New Roman"/>
          <w:color w:val="auto"/>
          <w:highlight w:val="none"/>
          <w:u w:val="none" w:color="auto"/>
        </w:rPr>
      </w:pPr>
      <w:bookmarkStart w:id="9" w:name="_Toc4256"/>
      <w:bookmarkStart w:id="10" w:name="_Toc9610_WPSOffice_Level2"/>
      <w:bookmarkStart w:id="11" w:name="_Toc3149_WPSOffice_Level2"/>
      <w:bookmarkStart w:id="12" w:name="_Toc18268_WPSOffice_Level2"/>
      <w:r>
        <w:rPr>
          <w:rFonts w:hint="default" w:ascii="Times New Roman" w:hAnsi="Times New Roman" w:cs="Times New Roman"/>
          <w:color w:val="auto"/>
          <w:highlight w:val="none"/>
          <w:u w:val="none" w:color="auto"/>
          <w:lang w:val="en-US" w:eastAsia="zh-CN"/>
        </w:rPr>
        <w:t xml:space="preserve">1.1 </w:t>
      </w:r>
      <w:r>
        <w:rPr>
          <w:rFonts w:hint="default" w:ascii="Times New Roman" w:hAnsi="Times New Roman" w:cs="Times New Roman"/>
          <w:color w:val="auto"/>
          <w:highlight w:val="none"/>
          <w:u w:val="none" w:color="auto"/>
        </w:rPr>
        <w:t>项目由来</w:t>
      </w:r>
      <w:bookmarkEnd w:id="9"/>
      <w:bookmarkEnd w:id="10"/>
      <w:bookmarkEnd w:id="11"/>
      <w:bookmarkEnd w:id="12"/>
    </w:p>
    <w:p w14:paraId="711DD534">
      <w:pPr>
        <w:pStyle w:val="189"/>
        <w:rPr>
          <w:rFonts w:hint="default" w:ascii="Times New Roman" w:hAnsi="Times New Roman" w:cs="Times New Roman"/>
          <w:color w:val="FF0000"/>
          <w:highlight w:val="none"/>
          <w:u w:val="none" w:color="auto"/>
          <w:lang w:val="en-US" w:eastAsia="zh-CN"/>
        </w:rPr>
      </w:pPr>
      <w:bookmarkStart w:id="403" w:name="_GoBack"/>
      <w:r>
        <w:rPr>
          <w:rFonts w:hint="default" w:ascii="Times New Roman" w:hAnsi="Times New Roman" w:cs="Times New Roman"/>
          <w:color w:val="FF0000"/>
          <w:highlight w:val="none"/>
          <w:u w:val="none" w:color="auto"/>
          <w:lang w:val="en-US" w:eastAsia="zh-CN"/>
        </w:rPr>
        <w:t>大通湖工业集中区（原大通湖区工业园）于2006年4月经益编办发[2006]第19号批准建立。2006 年，根据益发改投[2006]385 号文件，园区晋升为市级工业园。2009年，为了体现园区作为食品工业园的特色，将工业园更名为湖南大通湖区洞庭食品工业园。</w:t>
      </w:r>
      <w:r>
        <w:rPr>
          <w:rFonts w:hint="eastAsia" w:cs="Times New Roman"/>
          <w:color w:val="FF0000"/>
          <w:highlight w:val="none"/>
          <w:u w:val="none" w:color="auto"/>
          <w:lang w:val="en-US" w:eastAsia="zh-CN"/>
        </w:rPr>
        <w:t>2025年2月，原大通湖产业开发区合并至益阳高新技术产业开发区（湘政函【2025】14号）。</w:t>
      </w:r>
    </w:p>
    <w:bookmarkEnd w:id="403"/>
    <w:p w14:paraId="3F3F243A">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大通湖工业集中区于2010年9月委托湘潭市环境保护科学研究所，进行湖南大通湖区洞庭食品工业园的环境影响评价工作，《湖南大通湖区洞庭食品工业园建设项目环境影响报告书》于2011年1月取得湖南省环境保护厅的批复（湘环评[2011]20号），园区位于大通湖区河坝镇西北侧，东临中心城区，南至老三运河，西接省道S202线，北至大通湖大道以北 235m，总占地面积 3.44km</w:t>
      </w:r>
      <w:r>
        <w:rPr>
          <w:rFonts w:hint="default" w:ascii="Times New Roman" w:hAnsi="Times New Roman" w:cs="Times New Roman"/>
          <w:color w:val="auto"/>
          <w:highlight w:val="none"/>
          <w:u w:val="none" w:color="auto"/>
          <w:vertAlign w:val="superscript"/>
          <w:lang w:val="en-US" w:eastAsia="zh-CN"/>
        </w:rPr>
        <w:t>2</w:t>
      </w:r>
      <w:r>
        <w:rPr>
          <w:rFonts w:hint="default" w:ascii="Times New Roman" w:hAnsi="Times New Roman" w:cs="Times New Roman"/>
          <w:color w:val="auto"/>
          <w:highlight w:val="none"/>
          <w:u w:val="none" w:color="auto"/>
          <w:lang w:val="en-US" w:eastAsia="zh-CN"/>
        </w:rPr>
        <w:t>。根据湘发改地区[2012]1378 号文件，园区晋升为省级工业集中区。</w:t>
      </w:r>
    </w:p>
    <w:p w14:paraId="6EF970B4">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大通湖工业污水处理厂</w:t>
      </w:r>
      <w:r>
        <w:rPr>
          <w:rFonts w:hint="eastAsia" w:cs="Times New Roman"/>
          <w:color w:val="auto"/>
          <w:highlight w:val="none"/>
          <w:u w:val="none" w:color="auto"/>
          <w:lang w:val="en-US" w:eastAsia="zh-CN"/>
        </w:rPr>
        <w:t>位</w:t>
      </w:r>
      <w:r>
        <w:rPr>
          <w:rFonts w:hint="default" w:ascii="Times New Roman" w:hAnsi="Times New Roman" w:cs="Times New Roman"/>
          <w:color w:val="auto"/>
          <w:highlight w:val="none"/>
          <w:u w:val="none" w:color="auto"/>
          <w:lang w:val="en-US" w:eastAsia="zh-CN"/>
        </w:rPr>
        <w:t>于大通湖区工业园内机排二十渠旁，紧邻现有生活污水处理厂，位于该生活污水处理厂南侧。该工业污水处理厂服务范围为洞庭食品工业园，并配套园区内企业工业污水收集专管，占地面积约4998.3m</w:t>
      </w:r>
      <w:r>
        <w:rPr>
          <w:rFonts w:hint="default" w:ascii="Times New Roman" w:hAnsi="Times New Roman" w:cs="Times New Roman"/>
          <w:color w:val="auto"/>
          <w:highlight w:val="none"/>
          <w:u w:val="none" w:color="auto"/>
          <w:vertAlign w:val="superscript"/>
          <w:lang w:val="en-US" w:eastAsia="zh-CN"/>
        </w:rPr>
        <w:t>2</w:t>
      </w:r>
      <w:r>
        <w:rPr>
          <w:rFonts w:hint="default" w:ascii="Times New Roman" w:hAnsi="Times New Roman" w:cs="Times New Roman"/>
          <w:color w:val="auto"/>
          <w:highlight w:val="none"/>
          <w:u w:val="none" w:color="auto"/>
          <w:lang w:val="en-US" w:eastAsia="zh-CN"/>
        </w:rPr>
        <w:t>，污水设计处理规模为 1200m</w:t>
      </w:r>
      <w:r>
        <w:rPr>
          <w:rFonts w:hint="default" w:ascii="Times New Roman" w:hAnsi="Times New Roman" w:cs="Times New Roman"/>
          <w:color w:val="auto"/>
          <w:highlight w:val="none"/>
          <w:u w:val="none" w:color="auto"/>
          <w:vertAlign w:val="superscript"/>
          <w:lang w:val="en-US" w:eastAsia="zh-CN"/>
        </w:rPr>
        <w:t>3</w:t>
      </w:r>
      <w:r>
        <w:rPr>
          <w:rFonts w:hint="default" w:ascii="Times New Roman" w:hAnsi="Times New Roman" w:cs="Times New Roman"/>
          <w:color w:val="auto"/>
          <w:highlight w:val="none"/>
          <w:u w:val="none" w:color="auto"/>
          <w:lang w:val="en-US" w:eastAsia="zh-CN"/>
        </w:rPr>
        <w:t>/d，现状污水处理工艺为“预处理+水解酸化+生物接触氧化+混絮凝池+二沉池+砂滤罐+接触消毒”，处理后尾水达到《城镇污水处理厂污染物排放标准》</w:t>
      </w:r>
      <w:r>
        <w:rPr>
          <w:rFonts w:hint="eastAsia" w:cs="Times New Roman"/>
          <w:color w:val="auto"/>
          <w:highlight w:val="none"/>
          <w:u w:val="none" w:color="auto"/>
          <w:lang w:val="en-US" w:eastAsia="zh-CN"/>
        </w:rPr>
        <w:t>（GB18918-2002）修改单</w:t>
      </w:r>
      <w:r>
        <w:rPr>
          <w:rFonts w:hint="default" w:ascii="Times New Roman" w:hAnsi="Times New Roman" w:cs="Times New Roman"/>
          <w:color w:val="auto"/>
          <w:highlight w:val="none"/>
          <w:u w:val="none" w:color="auto"/>
          <w:lang w:val="en-US" w:eastAsia="zh-CN"/>
        </w:rPr>
        <w:t>一级 A 标准后排入机排二十渠再入老三运河，纳污范围为大通湖食品工业园的工业污水，污水收集范围194.19km</w:t>
      </w:r>
      <w:r>
        <w:rPr>
          <w:rFonts w:hint="default" w:ascii="Times New Roman" w:hAnsi="Times New Roman" w:cs="Times New Roman"/>
          <w:color w:val="auto"/>
          <w:highlight w:val="none"/>
          <w:u w:val="none" w:color="auto"/>
          <w:vertAlign w:val="superscript"/>
          <w:lang w:val="en-US" w:eastAsia="zh-CN"/>
        </w:rPr>
        <w:t>2</w:t>
      </w:r>
      <w:r>
        <w:rPr>
          <w:rFonts w:hint="default" w:ascii="Times New Roman" w:hAnsi="Times New Roman" w:cs="Times New Roman"/>
          <w:color w:val="auto"/>
          <w:highlight w:val="none"/>
          <w:u w:val="none" w:color="auto"/>
          <w:lang w:val="en-US" w:eastAsia="zh-CN"/>
        </w:rPr>
        <w:t>。</w:t>
      </w:r>
    </w:p>
    <w:p w14:paraId="7B25FD6F">
      <w:pPr>
        <w:keepNext w:val="0"/>
        <w:keepLines w:val="0"/>
        <w:widowControl/>
        <w:suppressLineNumbers w:val="0"/>
        <w:jc w:val="left"/>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益阳市大通湖区工业园管理委员会于2017年委托湖南省国际工程咨询中心有限公司编制了《湖南大通湖洞庭食品工业园废水处理工程环境影响报告书》，于2017年6月取得了原益阳市环境保护局《关于〈湖南大通湖洞庭食品工业园废水处理工程环境影响报告书〉的批复》（益环审（书）[2017]15号），污水处理工艺拟采用DSTE</w:t>
      </w:r>
      <w:r>
        <w:rPr>
          <w:rFonts w:hint="default" w:ascii="Times New Roman" w:hAnsi="Times New Roman" w:eastAsia="瀹嬩綋"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A</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 xml:space="preserve">/O </w:t>
      </w:r>
      <w:r>
        <w:rPr>
          <w:rFonts w:hint="default" w:ascii="Times New Roman" w:hAnsi="Times New Roman" w:eastAsia="瀹嬩綋" w:cs="Times New Roman"/>
          <w:color w:val="000000"/>
          <w:kern w:val="0"/>
          <w:sz w:val="24"/>
          <w:szCs w:val="24"/>
          <w:highlight w:val="none"/>
          <w:lang w:val="en-US" w:eastAsia="zh-CN" w:bidi="ar"/>
        </w:rPr>
        <w:t>工艺的一种改良型的新型工艺）。后因实际建设工艺发生变动，于</w:t>
      </w:r>
      <w:r>
        <w:rPr>
          <w:rFonts w:hint="default" w:ascii="Times New Roman" w:hAnsi="Times New Roman" w:cs="Times New Roman"/>
          <w:color w:val="auto"/>
          <w:highlight w:val="none"/>
          <w:u w:val="none" w:color="auto"/>
          <w:lang w:val="en-US" w:eastAsia="zh-CN"/>
        </w:rPr>
        <w:t>2020年1月委托湖南省国际工程咨询中心有限公司编制了《湖南大通湖洞庭食品工业园废水处理工程变更环境影响报告书》，于2020年1月16日取得了益阳市生态环境局（ 关于〈湖南大通湖洞庭食品工业园废水处理工程环境影响报告书〉的批复》（益环审（书）[2020]4号），污水处理工艺为“预处理+水解酸化+生物接触氧化+混絮凝池+二沉池+砂滤罐+接触消毒”，项目于2020年2月通过竣工环境保护验收。</w:t>
      </w:r>
    </w:p>
    <w:p w14:paraId="1D336A29">
      <w:pPr>
        <w:pStyle w:val="189"/>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eastAsia" w:cs="Times New Roman"/>
          <w:color w:val="000000" w:themeColor="text1"/>
          <w:highlight w:val="none"/>
          <w:u w:val="wave" w:color="auto"/>
          <w:lang w:val="en-US" w:eastAsia="zh-CN"/>
          <w14:textFill>
            <w14:solidFill>
              <w14:schemeClr w14:val="tx1"/>
            </w14:solidFill>
          </w14:textFill>
        </w:rPr>
        <w:t>根据《大通湖产业开发区产业发展规划》（2023-2025），大通湖工业园定位为以植物提取物产业为主导、光电制造业为特色的“五好”园区。到 2034 年，经过十年的发展达到植物提取物产业园核心园区面积1000亩，入驻企业100家，实现产业链总产值100亿元，原料种植基地10万亩（含水面），年利税10亿元的目标。目前已初步形成以康玖堂生物、才广生物、禹建生物、丁达尔生物等为代表的植物提取物产业园区。因此，大通湖产业发展中心立足湖区资源优势，加快创新步伐，大力扶植生物原辅材料、植物提取生产，不断完善生产基地和配套设施建设，拟建一座规模为2000m</w:t>
      </w:r>
      <w:r>
        <w:rPr>
          <w:rFonts w:hint="eastAsia" w:cs="Times New Roman"/>
          <w:color w:val="000000" w:themeColor="text1"/>
          <w:highlight w:val="none"/>
          <w:u w:val="wave" w:color="auto"/>
          <w:vertAlign w:val="superscript"/>
          <w:lang w:val="en-US" w:eastAsia="zh-CN"/>
          <w14:textFill>
            <w14:solidFill>
              <w14:schemeClr w14:val="tx1"/>
            </w14:solidFill>
          </w14:textFill>
        </w:rPr>
        <w:t>3</w:t>
      </w:r>
      <w:r>
        <w:rPr>
          <w:rFonts w:hint="eastAsia" w:cs="Times New Roman"/>
          <w:color w:val="000000" w:themeColor="text1"/>
          <w:highlight w:val="none"/>
          <w:u w:val="wave" w:color="auto"/>
          <w:lang w:val="en-US" w:eastAsia="zh-CN"/>
          <w14:textFill>
            <w14:solidFill>
              <w14:schemeClr w14:val="tx1"/>
            </w14:solidFill>
          </w14:textFill>
        </w:rPr>
        <w:t>/d的植物提取企业预处理厂，服务于植物提取类及食品加工类企业。</w:t>
      </w:r>
    </w:p>
    <w:p w14:paraId="2EFB99F0">
      <w:pPr>
        <w:pStyle w:val="189"/>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现园区规划发展成为湖南省“植物提取产业园”先进示范和内陆开放高低的重要门户之一，现状污水处理厂的处理量已接近规模，随着园区入驻企业数量的增长，现有污水处理厂处理能力已不能满足园区发展的需要</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加之现状污水处理厂设施设备老旧，排水系统混乱，亟待更新改造。因此大通湖产业发展中心拟投资8000万元在现状厂址</w:t>
      </w:r>
      <w:r>
        <w:rPr>
          <w:rFonts w:hint="eastAsia" w:cs="Times New Roman"/>
          <w:color w:val="000000" w:themeColor="text1"/>
          <w:highlight w:val="none"/>
          <w:u w:val="wave" w:color="auto"/>
          <w:lang w:val="en-US" w:eastAsia="zh-CN"/>
          <w14:textFill>
            <w14:solidFill>
              <w14:schemeClr w14:val="tx1"/>
            </w14:solidFill>
          </w14:textFill>
        </w:rPr>
        <w:t>及相邻地块</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建设大通湖工业园污水处理厂提质改造建设项目。项目占地10955.32m</w:t>
      </w:r>
      <w:r>
        <w:rPr>
          <w:rFonts w:hint="default" w:ascii="Times New Roman" w:hAnsi="Times New Roman" w:cs="Times New Roman"/>
          <w:color w:val="000000" w:themeColor="text1"/>
          <w:highlight w:val="none"/>
          <w:u w:val="wav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，污水设计处理规模为 3000m</w:t>
      </w:r>
      <w:r>
        <w:rPr>
          <w:rFonts w:hint="default" w:ascii="Times New Roman" w:hAnsi="Times New Roman" w:cs="Times New Roman"/>
          <w:color w:val="000000" w:themeColor="text1"/>
          <w:highlight w:val="none"/>
          <w:u w:val="wav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/d。污水处理工艺为“</w:t>
      </w:r>
      <w:r>
        <w:rPr>
          <w:rFonts w:hint="default" w:ascii="Times New Roman" w:hAnsi="Times New Roman" w:cs="Times New Roman"/>
          <w:color w:val="000000" w:themeColor="text1"/>
          <w:sz w:val="24"/>
          <w:szCs w:val="32"/>
          <w:highlight w:val="none"/>
          <w:u w:val="wave" w:color="auto"/>
          <w:lang w:val="en-US" w:eastAsia="zh-CN"/>
          <w14:textFill>
            <w14:solidFill>
              <w14:schemeClr w14:val="tx1"/>
            </w14:solidFill>
          </w14:textFill>
        </w:rPr>
        <w:t>一体化泵站+调节均质+水解酸化+AAO生化+混凝沉淀+精密过滤+接触消毒</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”，处理后尾水达到《城镇污水处理厂污染物排放标准》</w:t>
      </w:r>
      <w:r>
        <w:rPr>
          <w:rFonts w:hint="eastAsia" w:cs="Times New Roman"/>
          <w:color w:val="000000" w:themeColor="text1"/>
          <w:highlight w:val="none"/>
          <w:u w:val="wave" w:color="auto"/>
          <w:lang w:val="en-US" w:eastAsia="zh-CN"/>
          <w14:textFill>
            <w14:solidFill>
              <w14:schemeClr w14:val="tx1"/>
            </w14:solidFill>
          </w14:textFill>
        </w:rPr>
        <w:t>（GB18918-2002）修改单</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一级 A 标准后排入机排二十渠再入老三运河。</w:t>
      </w:r>
    </w:p>
    <w:p w14:paraId="2517F416">
      <w:pPr>
        <w:pStyle w:val="3"/>
        <w:numPr>
          <w:ilvl w:val="1"/>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bookmarkStart w:id="13" w:name="_Toc9494"/>
      <w:bookmarkStart w:id="14" w:name="_Toc21779_WPSOffice_Level2"/>
      <w:bookmarkStart w:id="15" w:name="_Toc24637_WPSOffice_Level2"/>
      <w:bookmarkStart w:id="16" w:name="_Toc27905_WPSOffice_Level2"/>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1.2 </w:t>
      </w:r>
      <w:r>
        <w:rPr>
          <w:rFonts w:hint="default" w:ascii="Times New Roman" w:hAnsi="Times New Roman" w:cs="Times New Roman"/>
          <w:color w:val="000000" w:themeColor="text1"/>
          <w:highlight w:val="none"/>
          <w:u w:val="none" w:color="auto"/>
          <w14:textFill>
            <w14:solidFill>
              <w14:schemeClr w14:val="tx1"/>
            </w14:solidFill>
          </w14:textFill>
        </w:rPr>
        <w:t>项目特点</w:t>
      </w:r>
      <w:bookmarkEnd w:id="13"/>
    </w:p>
    <w:p w14:paraId="6D97C243">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本项目为污水处理工程，属</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园区</w:t>
      </w:r>
      <w:r>
        <w:rPr>
          <w:rFonts w:hint="default" w:ascii="Times New Roman" w:hAnsi="Times New Roman" w:cs="Times New Roman"/>
          <w:color w:val="000000" w:themeColor="text1"/>
          <w:highlight w:val="none"/>
          <w:u w:val="none" w:color="auto"/>
          <w14:textFill>
            <w14:solidFill>
              <w14:schemeClr w14:val="tx1"/>
            </w14:solidFill>
          </w14:textFill>
        </w:rPr>
        <w:t>配套的环保基础设施，</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服务范围为大通湖工业产业园</w:t>
      </w:r>
      <w:r>
        <w:rPr>
          <w:rFonts w:hint="default" w:ascii="Times New Roman" w:hAnsi="Times New Roman" w:cs="Times New Roman"/>
          <w:color w:val="000000" w:themeColor="text1"/>
          <w:highlight w:val="none"/>
          <w:u w:val="none" w:color="auto"/>
          <w:lang w:eastAsia="zh-CN"/>
          <w14:textFill>
            <w14:solidFill>
              <w14:schemeClr w14:val="tx1"/>
            </w14:solidFill>
          </w14:textFill>
        </w:rPr>
        <w:t>企业的</w:t>
      </w:r>
      <w:r>
        <w:rPr>
          <w:rFonts w:hint="default" w:ascii="Times New Roman" w:hAnsi="Times New Roman" w:cs="Times New Roman"/>
          <w:color w:val="000000" w:themeColor="text1"/>
          <w:highlight w:val="none"/>
          <w:u w:val="none" w:color="auto"/>
          <w14:textFill>
            <w14:solidFill>
              <w14:schemeClr w14:val="tx1"/>
            </w14:solidFill>
          </w14:textFill>
        </w:rPr>
        <w:t>生产</w:t>
      </w:r>
      <w:r>
        <w:rPr>
          <w:rFonts w:hint="default" w:ascii="Times New Roman" w:hAnsi="Times New Roman" w:cs="Times New Roman"/>
          <w:color w:val="000000" w:themeColor="text1"/>
          <w:highlight w:val="none"/>
          <w:u w:val="none" w:color="auto"/>
          <w:lang w:eastAsia="zh-CN"/>
          <w14:textFill>
            <w14:solidFill>
              <w14:schemeClr w14:val="tx1"/>
            </w14:solidFill>
          </w14:textFill>
        </w:rPr>
        <w:t>废水</w:t>
      </w:r>
      <w:r>
        <w:rPr>
          <w:rFonts w:hint="default" w:ascii="Times New Roman" w:hAnsi="Times New Roman" w:cs="Times New Roman"/>
          <w:color w:val="000000" w:themeColor="text1"/>
          <w:highlight w:val="none"/>
          <w:u w:val="none" w:color="auto"/>
          <w14:textFill>
            <w14:solidFill>
              <w14:schemeClr w14:val="tx1"/>
            </w14:solidFill>
          </w14:textFill>
        </w:rPr>
        <w:t>。项目特点如下：</w:t>
      </w:r>
    </w:p>
    <w:p w14:paraId="19F7175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（1）项目属于《产业结构调整指导目录（</w:t>
      </w:r>
      <w:r>
        <w:rPr>
          <w:rFonts w:hint="default" w:ascii="Times New Roman" w:hAnsi="Times New Roman" w:cs="Times New Roman"/>
          <w:color w:val="000000" w:themeColor="text1"/>
          <w:highlight w:val="none"/>
          <w:u w:val="none" w:color="auto"/>
          <w:lang w:eastAsia="zh-CN"/>
          <w14:textFill>
            <w14:solidFill>
              <w14:schemeClr w14:val="tx1"/>
            </w14:solidFill>
          </w14:textFill>
        </w:rPr>
        <w:t>2024年本</w:t>
      </w:r>
      <w:r>
        <w:rPr>
          <w:rFonts w:hint="default" w:ascii="Times New Roman" w:hAnsi="Times New Roman" w:cs="Times New Roman"/>
          <w:color w:val="000000" w:themeColor="text1"/>
          <w:highlight w:val="none"/>
          <w:u w:val="none" w:color="auto"/>
          <w14:textFill>
            <w14:solidFill>
              <w14:schemeClr w14:val="tx1"/>
            </w14:solidFill>
          </w14:textFill>
        </w:rPr>
        <w:t>）》中</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鼓励类</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中第</w:t>
      </w:r>
      <w:r>
        <w:rPr>
          <w:rFonts w:hint="default" w:ascii="Times New Roman" w:hAnsi="Times New Roman" w:cs="Times New Roman"/>
          <w:color w:val="auto"/>
          <w:highlight w:val="none"/>
          <w:u w:val="none" w:color="auto"/>
        </w:rPr>
        <w:t>四十三项“环境保护与资源节约综合利用”中第15 条“三废”综合利用与治理技术、装备和工程，因此项目建设符合国家产业政策。</w:t>
      </w:r>
    </w:p>
    <w:p w14:paraId="552F754D">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（2）废水处理工艺路线为 “</w:t>
      </w: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一体化泵站+调节均质+水解酸化+AAO生化+混凝沉淀+精密过滤+消毒</w:t>
      </w:r>
      <w:r>
        <w:rPr>
          <w:rFonts w:hint="default" w:ascii="Times New Roman" w:hAnsi="Times New Roman" w:cs="Times New Roman"/>
          <w:color w:val="auto"/>
          <w:highlight w:val="none"/>
          <w:u w:val="none" w:color="auto"/>
        </w:rPr>
        <w:t>”，设计规模为</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000m</w:t>
      </w:r>
      <w:r>
        <w:rPr>
          <w:rFonts w:hint="default" w:ascii="Times New Roman" w:hAnsi="Times New Roman" w:cs="Times New Roman"/>
          <w:color w:val="auto"/>
          <w:highlight w:val="none"/>
          <w:u w:val="none" w:color="auto"/>
          <w:vertAlign w:val="superscript"/>
        </w:rPr>
        <w:t>3</w:t>
      </w:r>
      <w:r>
        <w:rPr>
          <w:rFonts w:hint="default" w:ascii="Times New Roman" w:hAnsi="Times New Roman" w:cs="Times New Roman"/>
          <w:color w:val="auto"/>
          <w:highlight w:val="none"/>
          <w:u w:val="none" w:color="auto"/>
        </w:rPr>
        <w:t>/d</w:t>
      </w:r>
      <w:r>
        <w:rPr>
          <w:rFonts w:hint="default" w:ascii="Times New Roman" w:hAnsi="Times New Roman" w:cs="Times New Roman"/>
          <w:color w:val="auto"/>
          <w:highlight w:val="none"/>
          <w:u w:val="none" w:color="auto"/>
          <w:lang w:val="en-US" w:eastAsia="zh-CN"/>
        </w:rPr>
        <w:t>。处理后尾水达到《城镇污水处理厂污染物排放标准》</w:t>
      </w:r>
      <w:r>
        <w:rPr>
          <w:rFonts w:hint="eastAsia" w:cs="Times New Roman"/>
          <w:color w:val="auto"/>
          <w:highlight w:val="none"/>
          <w:u w:val="none" w:color="auto"/>
          <w:lang w:val="en-US" w:eastAsia="zh-CN"/>
        </w:rPr>
        <w:t>（GB18918-2002）修改单</w:t>
      </w:r>
      <w:r>
        <w:rPr>
          <w:rFonts w:hint="default" w:ascii="Times New Roman" w:hAnsi="Times New Roman" w:cs="Times New Roman"/>
          <w:color w:val="auto"/>
          <w:highlight w:val="none"/>
          <w:u w:val="none" w:color="auto"/>
          <w:lang w:val="en-US" w:eastAsia="zh-CN"/>
        </w:rPr>
        <w:t>一级A标准后排入机排二十渠再入老三运河。</w:t>
      </w:r>
    </w:p>
    <w:p w14:paraId="28719C6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（3）本项目运营期主要污染源有：</w:t>
      </w:r>
    </w:p>
    <w:p w14:paraId="2203204C">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①</w:t>
      </w:r>
      <w:r>
        <w:rPr>
          <w:rFonts w:hint="default" w:ascii="Times New Roman" w:hAnsi="Times New Roman" w:cs="Times New Roman"/>
          <w:color w:val="auto"/>
          <w:highlight w:val="none"/>
          <w:u w:val="none" w:color="auto"/>
        </w:rPr>
        <w:t>废水类：经过处理后的尾水；</w:t>
      </w:r>
    </w:p>
    <w:p w14:paraId="15232454">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②</w:t>
      </w:r>
      <w:r>
        <w:rPr>
          <w:rFonts w:hint="default" w:ascii="Times New Roman" w:hAnsi="Times New Roman" w:cs="Times New Roman"/>
          <w:color w:val="auto"/>
          <w:highlight w:val="none"/>
          <w:u w:val="none" w:color="auto"/>
        </w:rPr>
        <w:t>废气类：污水处理厂运行过程中产生的恶臭污染物；</w:t>
      </w:r>
    </w:p>
    <w:p w14:paraId="0A4367B9">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③</w:t>
      </w:r>
      <w:r>
        <w:rPr>
          <w:rFonts w:hint="default" w:ascii="Times New Roman" w:hAnsi="Times New Roman" w:cs="Times New Roman"/>
          <w:color w:val="auto"/>
          <w:highlight w:val="none"/>
          <w:u w:val="none" w:color="auto"/>
        </w:rPr>
        <w:t>噪声类：主要来自各种污水泵、风机、空压机等机械设备；</w:t>
      </w:r>
    </w:p>
    <w:p w14:paraId="2F761A71">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④</w:t>
      </w:r>
      <w:r>
        <w:rPr>
          <w:rFonts w:hint="default" w:ascii="Times New Roman" w:hAnsi="Times New Roman" w:cs="Times New Roman"/>
          <w:color w:val="auto"/>
          <w:highlight w:val="none"/>
          <w:u w:val="none" w:color="auto"/>
        </w:rPr>
        <w:t>固体废物类：污水处理过程中产生的格栅渣和沉砂、污泥</w:t>
      </w:r>
      <w:r>
        <w:rPr>
          <w:rFonts w:hint="default" w:ascii="Times New Roman" w:hAnsi="Times New Roman" w:cs="Times New Roman"/>
          <w:color w:val="auto"/>
          <w:highlight w:val="none"/>
          <w:u w:val="none" w:color="auto"/>
          <w:lang w:eastAsia="zh-CN"/>
        </w:rPr>
        <w:t>及</w:t>
      </w:r>
      <w:r>
        <w:rPr>
          <w:rFonts w:hint="default" w:ascii="Times New Roman" w:hAnsi="Times New Roman" w:cs="Times New Roman"/>
          <w:color w:val="auto"/>
          <w:highlight w:val="none"/>
          <w:u w:val="none" w:color="auto"/>
        </w:rPr>
        <w:t>员工生活产生的生活垃圾。</w:t>
      </w:r>
    </w:p>
    <w:p w14:paraId="0F2C08C1">
      <w:pPr>
        <w:pStyle w:val="189"/>
        <w:numPr>
          <w:ilvl w:val="0"/>
          <w:numId w:val="12"/>
        </w:numP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rPr>
        <w:t>项目营运过程中，废气污染物</w:t>
      </w:r>
      <w:r>
        <w:rPr>
          <w:rFonts w:hint="default" w:ascii="Times New Roman" w:hAnsi="Times New Roman" w:eastAsia="宋体" w:cs="Times New Roman"/>
          <w:color w:val="auto"/>
          <w:highlight w:val="none"/>
          <w:u w:val="none" w:color="auto"/>
        </w:rPr>
        <w:t>以NH</w:t>
      </w:r>
      <w:r>
        <w:rPr>
          <w:rFonts w:hint="default" w:ascii="Times New Roman" w:hAnsi="Times New Roman" w:eastAsia="宋体" w:cs="Times New Roman"/>
          <w:color w:val="auto"/>
          <w:highlight w:val="none"/>
          <w:u w:val="none" w:color="auto"/>
          <w:vertAlign w:val="subscript"/>
        </w:rPr>
        <w:t>3</w:t>
      </w:r>
      <w:r>
        <w:rPr>
          <w:rFonts w:hint="default" w:ascii="Times New Roman" w:hAnsi="Times New Roman" w:eastAsia="宋体" w:cs="Times New Roman"/>
          <w:color w:val="auto"/>
          <w:highlight w:val="none"/>
          <w:u w:val="none" w:color="auto"/>
        </w:rPr>
        <w:t>和H</w:t>
      </w:r>
      <w:r>
        <w:rPr>
          <w:rFonts w:hint="default" w:ascii="Times New Roman" w:hAnsi="Times New Roman" w:eastAsia="宋体" w:cs="Times New Roman"/>
          <w:color w:val="auto"/>
          <w:highlight w:val="none"/>
          <w:u w:val="none" w:color="auto"/>
          <w:vertAlign w:val="subscript"/>
        </w:rPr>
        <w:t>2</w:t>
      </w:r>
      <w:r>
        <w:rPr>
          <w:rFonts w:hint="default" w:ascii="Times New Roman" w:hAnsi="Times New Roman" w:eastAsia="宋体" w:cs="Times New Roman"/>
          <w:color w:val="auto"/>
          <w:highlight w:val="none"/>
          <w:u w:val="none" w:color="auto"/>
        </w:rPr>
        <w:t>S为主，</w:t>
      </w:r>
      <w:r>
        <w:rPr>
          <w:rFonts w:hint="default" w:ascii="Times New Roman" w:hAnsi="Times New Roman" w:eastAsia="宋体" w:cs="Times New Roman"/>
          <w:color w:val="auto"/>
          <w:highlight w:val="none"/>
          <w:u w:val="none" w:color="auto"/>
          <w:lang w:val="en-US" w:eastAsia="zh-CN"/>
        </w:rPr>
        <w:t>拟设置1套除臭系统，封闭恶臭污染源产生量较大的水处理单元，臭气收集</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后经生物除臭处</w:t>
      </w:r>
      <w:r>
        <w:rPr>
          <w:rFonts w:hint="default" w:ascii="Times New Roman" w:hAnsi="Times New Roman" w:eastAsia="宋体" w:cs="Times New Roman"/>
          <w:color w:val="auto"/>
          <w:highlight w:val="none"/>
          <w:u w:val="none" w:color="auto"/>
          <w:lang w:val="en-US" w:eastAsia="zh-CN"/>
        </w:rPr>
        <w:t>理后通过15m高排气筒排放，未经收集的恶臭污染物无组织排放；</w:t>
      </w:r>
      <w:r>
        <w:rPr>
          <w:rFonts w:hint="default" w:ascii="Times New Roman" w:hAnsi="Times New Roman" w:cs="Times New Roman"/>
          <w:color w:val="auto"/>
          <w:highlight w:val="none"/>
          <w:u w:val="none" w:color="auto"/>
        </w:rPr>
        <w:t>污泥</w:t>
      </w:r>
      <w:r>
        <w:rPr>
          <w:rFonts w:hint="default" w:ascii="Times New Roman" w:hAnsi="Times New Roman" w:cs="Times New Roman"/>
          <w:color w:val="auto"/>
          <w:highlight w:val="none"/>
          <w:u w:val="none" w:color="auto"/>
          <w:lang w:eastAsia="zh-CN"/>
        </w:rPr>
        <w:t>经脱水（含水率低于</w:t>
      </w:r>
      <w:r>
        <w:rPr>
          <w:rFonts w:hint="default" w:ascii="Times New Roman" w:hAnsi="Times New Roman" w:cs="Times New Roman"/>
          <w:color w:val="auto"/>
          <w:highlight w:val="none"/>
          <w:u w:val="none" w:color="auto"/>
          <w:lang w:val="en-US" w:eastAsia="zh-CN"/>
        </w:rPr>
        <w:t>60%</w:t>
      </w:r>
      <w:r>
        <w:rPr>
          <w:rFonts w:hint="default" w:ascii="Times New Roman" w:hAnsi="Times New Roman" w:cs="Times New Roman"/>
          <w:color w:val="auto"/>
          <w:highlight w:val="none"/>
          <w:u w:val="none" w:color="auto"/>
          <w:lang w:eastAsia="zh-CN"/>
        </w:rPr>
        <w:t>）后交由益阳</w:t>
      </w:r>
      <w:r>
        <w:rPr>
          <w:rFonts w:hint="default" w:ascii="Times New Roman" w:hAnsi="Times New Roman" w:cs="Times New Roman"/>
          <w:color w:val="auto"/>
          <w:highlight w:val="none"/>
          <w:u w:val="none" w:color="auto"/>
          <w:lang w:val="en-US" w:eastAsia="zh-CN"/>
        </w:rPr>
        <w:t>海螺环保科技有限公司处置</w:t>
      </w:r>
      <w:r>
        <w:rPr>
          <w:rFonts w:hint="default" w:ascii="Times New Roman" w:hAnsi="Times New Roman" w:cs="Times New Roman"/>
          <w:color w:val="auto"/>
          <w:highlight w:val="none"/>
          <w:u w:val="none" w:color="auto"/>
          <w:lang w:eastAsia="zh-CN"/>
        </w:rPr>
        <w:t>。项目采取了有效的污染防治措施后，可确保各类污染物达标排放。项目自身产生的废水进入本项目处理后</w:t>
      </w:r>
      <w:r>
        <w:rPr>
          <w:rFonts w:hint="default" w:ascii="Times New Roman" w:hAnsi="Times New Roman" w:cs="Times New Roman"/>
          <w:color w:val="auto"/>
          <w:highlight w:val="none"/>
          <w:u w:val="none" w:color="auto"/>
          <w:lang w:val="en-US" w:eastAsia="zh-CN"/>
        </w:rPr>
        <w:t>达</w:t>
      </w:r>
      <w:r>
        <w:rPr>
          <w:rFonts w:hint="default" w:ascii="Times New Roman" w:hAnsi="Times New Roman" w:cs="Times New Roman"/>
          <w:color w:val="auto"/>
          <w:highlight w:val="none"/>
          <w:u w:val="none" w:color="auto"/>
        </w:rPr>
        <w:t>《城镇污水处理厂污染物排放标准》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cs="Times New Roman"/>
          <w:color w:val="auto"/>
          <w:highlight w:val="none"/>
          <w:u w:val="none" w:color="auto"/>
        </w:rPr>
        <w:t>一级A标准</w:t>
      </w:r>
      <w:r>
        <w:rPr>
          <w:rFonts w:hint="default" w:ascii="Times New Roman" w:hAnsi="Times New Roman" w:cs="Times New Roman"/>
          <w:color w:val="auto"/>
          <w:highlight w:val="none"/>
          <w:u w:val="none" w:color="auto"/>
          <w:lang w:val="en-US" w:eastAsia="zh-CN"/>
        </w:rPr>
        <w:t>排入机排二十渠再入老三运河。</w:t>
      </w:r>
    </w:p>
    <w:p w14:paraId="75BEB535">
      <w:pPr>
        <w:pStyle w:val="3"/>
        <w:numPr>
          <w:ilvl w:val="1"/>
          <w:numId w:val="0"/>
        </w:numPr>
        <w:ind w:leftChars="0"/>
        <w:rPr>
          <w:rFonts w:hint="default" w:ascii="Times New Roman" w:hAnsi="Times New Roman" w:cs="Times New Roman"/>
          <w:color w:val="auto"/>
          <w:highlight w:val="none"/>
          <w:u w:val="none" w:color="auto"/>
        </w:rPr>
      </w:pPr>
      <w:bookmarkStart w:id="17" w:name="_Toc14032"/>
      <w:r>
        <w:rPr>
          <w:rFonts w:hint="default" w:ascii="Times New Roman" w:hAnsi="Times New Roman" w:cs="Times New Roman"/>
          <w:color w:val="auto"/>
          <w:highlight w:val="none"/>
          <w:u w:val="none" w:color="auto"/>
          <w:lang w:val="en-US" w:eastAsia="zh-CN"/>
        </w:rPr>
        <w:t xml:space="preserve">1.3 </w:t>
      </w:r>
      <w:r>
        <w:rPr>
          <w:rFonts w:hint="default" w:ascii="Times New Roman" w:hAnsi="Times New Roman" w:cs="Times New Roman"/>
          <w:color w:val="auto"/>
          <w:highlight w:val="none"/>
          <w:u w:val="none" w:color="auto"/>
        </w:rPr>
        <w:t>环境影响评价过程</w:t>
      </w:r>
      <w:bookmarkEnd w:id="17"/>
    </w:p>
    <w:p w14:paraId="27FB4F25">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根据《中华人民共和国环境影响评价法》和省、市生态环境部门有关文件规定，建设对环境有影响的项目，必须遵守环境影响评价制度；项目开工前，建设单位应当按照《建设项目环境影响评价分类管理名录》要求，编制环境影响报告书、环境影响报告表或者填报环境影响登记表，并向有审批权的环境保护行政主管部门申报。根据《建设项目环境影响评价分类管理名录》</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2021年版</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，本项目属于</w:t>
      </w:r>
      <w:r>
        <w:rPr>
          <w:rFonts w:hint="default" w:ascii="Times New Roman" w:hAnsi="Times New Roman" w:cs="Times New Roman"/>
          <w:color w:val="auto"/>
          <w:highlight w:val="none"/>
          <w:u w:val="none" w:color="auto"/>
          <w:lang w:eastAsia="zh-CN"/>
        </w:rPr>
        <w:t>“四</w:t>
      </w:r>
      <w:r>
        <w:rPr>
          <w:rFonts w:hint="default" w:ascii="Times New Roman" w:hAnsi="Times New Roman" w:cs="Times New Roman"/>
          <w:color w:val="auto"/>
          <w:highlight w:val="none"/>
          <w:u w:val="none" w:color="auto"/>
        </w:rPr>
        <w:t>十三、水的生产和供应业</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中</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95</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eastAsia="zh-CN"/>
        </w:rPr>
        <w:t>污水处理及其再生利用”</w:t>
      </w:r>
      <w:r>
        <w:rPr>
          <w:rFonts w:hint="default" w:ascii="Times New Roman" w:hAnsi="Times New Roman" w:cs="Times New Roman"/>
          <w:color w:val="auto"/>
          <w:highlight w:val="none"/>
          <w:u w:val="none" w:color="auto"/>
        </w:rPr>
        <w:t>中的</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新建、扩建</w:t>
      </w:r>
      <w:r>
        <w:rPr>
          <w:rFonts w:hint="default" w:ascii="Times New Roman" w:hAnsi="Times New Roman" w:cs="Times New Roman"/>
          <w:color w:val="auto"/>
          <w:highlight w:val="none"/>
          <w:u w:val="none" w:color="auto"/>
          <w:lang w:eastAsia="zh-CN"/>
        </w:rPr>
        <w:t>工业废水集中处理的”</w:t>
      </w:r>
      <w:r>
        <w:rPr>
          <w:rFonts w:hint="default" w:ascii="Times New Roman" w:hAnsi="Times New Roman" w:cs="Times New Roman"/>
          <w:color w:val="auto"/>
          <w:highlight w:val="none"/>
          <w:u w:val="none" w:color="auto"/>
        </w:rPr>
        <w:t>类型，需编制环境影响报告书。</w:t>
      </w:r>
    </w:p>
    <w:p w14:paraId="0862A9C9">
      <w:pPr>
        <w:spacing w:line="372" w:lineRule="auto"/>
        <w:ind w:right="29" w:rightChars="12" w:firstLine="48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auto"/>
          <w:highlight w:val="none"/>
          <w:u w:val="none" w:color="auto"/>
        </w:rPr>
        <w:t>为此，依据《中华人民共和国环境保护法》、《中华人民共和国环境影响评价法》和《建设项目环境保护管理条例》，</w:t>
      </w:r>
      <w:r>
        <w:rPr>
          <w:rFonts w:hint="default" w:ascii="Times New Roman" w:hAnsi="Times New Roman" w:cs="Times New Roman"/>
          <w:color w:val="auto"/>
          <w:highlight w:val="none"/>
          <w:u w:val="none" w:color="auto"/>
          <w:lang w:eastAsia="zh-CN"/>
        </w:rPr>
        <w:t>大通湖产业发展中心</w:t>
      </w:r>
      <w:r>
        <w:rPr>
          <w:rFonts w:hint="default" w:ascii="Times New Roman" w:hAnsi="Times New Roman" w:cs="Times New Roman"/>
          <w:color w:val="auto"/>
          <w:highlight w:val="none"/>
          <w:u w:val="none" w:color="auto"/>
        </w:rPr>
        <w:t>特委托</w:t>
      </w:r>
      <w:r>
        <w:rPr>
          <w:rFonts w:hint="default" w:ascii="Times New Roman" w:hAnsi="Times New Roman" w:cs="Times New Roman"/>
          <w:color w:val="auto"/>
          <w:highlight w:val="none"/>
          <w:u w:val="none" w:color="auto"/>
          <w:lang w:eastAsia="zh-CN"/>
        </w:rPr>
        <w:t>湖南沐程生态环境工程有限公司</w:t>
      </w:r>
      <w:r>
        <w:rPr>
          <w:rFonts w:hint="default" w:ascii="Times New Roman" w:hAnsi="Times New Roman" w:cs="Times New Roman"/>
          <w:color w:val="auto"/>
          <w:highlight w:val="none"/>
          <w:u w:val="none" w:color="auto"/>
        </w:rPr>
        <w:t>承担</w:t>
      </w:r>
      <w:r>
        <w:rPr>
          <w:rFonts w:hint="default" w:ascii="Times New Roman" w:hAnsi="Times New Roman" w:cs="Times New Roman"/>
          <w:color w:val="auto"/>
          <w:highlight w:val="none"/>
          <w:u w:val="none" w:color="auto"/>
          <w:lang w:eastAsia="zh-CN"/>
        </w:rPr>
        <w:t>“大通湖工业园污水处理厂提质改造建设项目”</w:t>
      </w:r>
      <w:r>
        <w:rPr>
          <w:rFonts w:hint="default" w:ascii="Times New Roman" w:hAnsi="Times New Roman" w:cs="Times New Roman"/>
          <w:color w:val="auto"/>
          <w:highlight w:val="none"/>
          <w:u w:val="none" w:color="auto"/>
        </w:rPr>
        <w:t>环境影响评价工作，接受委托后，我单位随即组织环评技术人员进行现场踏勘、资料图件收集、环境质量现状调查及工程建设情况调查，随后结合现场踏勘情况，制定了环评工作方案，全面开展环评报告编制工作</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lang w:eastAsia="zh-CN"/>
          <w14:textFill>
            <w14:solidFill>
              <w14:schemeClr w14:val="tx1"/>
            </w14:solidFill>
          </w14:textFill>
        </w:rPr>
        <w:t>并于2025年9月、2025年11月分别进行第一次公示和第二次公示（包括网络公示和现场张贴公示），于2025年12月完成了两次报纸公示，公众对本项目的建设无反对意见。根据益阳市大通湖区发展改革和财政局文件（大发财发[2023]82号）《关于大通湖工业园污水处理厂提质改造建设项目可行性研究报告的批复》中相关内容，当前污水处理规模为1200m</w:t>
      </w:r>
      <w:r>
        <w:rPr>
          <w:rFonts w:hint="default" w:ascii="Times New Roman" w:hAnsi="Times New Roman" w:cs="Times New Roman"/>
          <w:color w:val="000000" w:themeColor="text1"/>
          <w:highlight w:val="none"/>
          <w:u w:val="wave" w:color="auto"/>
          <w:vertAlign w:val="superscript"/>
          <w:lang w:eastAsia="zh-CN"/>
          <w14:textFill>
            <w14:solidFill>
              <w14:schemeClr w14:val="tx1"/>
            </w14:solidFill>
          </w14:textFill>
        </w:rPr>
        <w:t>3</w:t>
      </w:r>
      <w:r>
        <w:rPr>
          <w:rFonts w:hint="default" w:ascii="Times New Roman" w:hAnsi="Times New Roman" w:cs="Times New Roman"/>
          <w:color w:val="000000" w:themeColor="text1"/>
          <w:highlight w:val="none"/>
          <w:u w:val="wave" w:color="auto"/>
          <w:lang w:eastAsia="zh-CN"/>
          <w14:textFill>
            <w14:solidFill>
              <w14:schemeClr w14:val="tx1"/>
            </w14:solidFill>
          </w14:textFill>
        </w:rPr>
        <w:t>/d，扩建至5000m</w:t>
      </w:r>
      <w:r>
        <w:rPr>
          <w:rFonts w:hint="default" w:ascii="Times New Roman" w:hAnsi="Times New Roman" w:cs="Times New Roman"/>
          <w:color w:val="000000" w:themeColor="text1"/>
          <w:highlight w:val="none"/>
          <w:u w:val="wave" w:color="auto"/>
          <w:vertAlign w:val="superscript"/>
          <w:lang w:eastAsia="zh-CN"/>
          <w14:textFill>
            <w14:solidFill>
              <w14:schemeClr w14:val="tx1"/>
            </w14:solidFill>
          </w14:textFill>
        </w:rPr>
        <w:t>3</w:t>
      </w:r>
      <w:r>
        <w:rPr>
          <w:rFonts w:hint="default" w:ascii="Times New Roman" w:hAnsi="Times New Roman" w:cs="Times New Roman"/>
          <w:color w:val="000000" w:themeColor="text1"/>
          <w:highlight w:val="none"/>
          <w:u w:val="wave" w:color="auto"/>
          <w:lang w:eastAsia="zh-CN"/>
          <w14:textFill>
            <w14:solidFill>
              <w14:schemeClr w14:val="tx1"/>
            </w14:solidFill>
          </w14:textFill>
        </w:rPr>
        <w:t>/d，本次仅针对近期扩建至3000m</w:t>
      </w:r>
      <w:r>
        <w:rPr>
          <w:rFonts w:hint="default" w:ascii="Times New Roman" w:hAnsi="Times New Roman" w:cs="Times New Roman"/>
          <w:color w:val="000000" w:themeColor="text1"/>
          <w:highlight w:val="none"/>
          <w:u w:val="wave" w:color="auto"/>
          <w:vertAlign w:val="superscript"/>
          <w:lang w:eastAsia="zh-CN"/>
          <w14:textFill>
            <w14:solidFill>
              <w14:schemeClr w14:val="tx1"/>
            </w14:solidFill>
          </w14:textFill>
        </w:rPr>
        <w:t>3</w:t>
      </w:r>
      <w:r>
        <w:rPr>
          <w:rFonts w:hint="default" w:ascii="Times New Roman" w:hAnsi="Times New Roman" w:cs="Times New Roman"/>
          <w:color w:val="000000" w:themeColor="text1"/>
          <w:highlight w:val="none"/>
          <w:u w:val="wave" w:color="auto"/>
          <w:lang w:eastAsia="zh-CN"/>
          <w14:textFill>
            <w14:solidFill>
              <w14:schemeClr w14:val="tx1"/>
            </w14:solidFill>
          </w14:textFill>
        </w:rPr>
        <w:t>/d的污水处理规模进行评价。为对项目建设内容进行区分，</w:t>
      </w:r>
      <w:r>
        <w:rPr>
          <w:rFonts w:hint="eastAsia" w:cs="Times New Roman"/>
          <w:color w:val="000000" w:themeColor="text1"/>
          <w:highlight w:val="none"/>
          <w:u w:val="wave" w:color="auto"/>
          <w:lang w:val="en-US" w:eastAsia="zh-CN"/>
          <w14:textFill>
            <w14:solidFill>
              <w14:schemeClr w14:val="tx1"/>
            </w14:solidFill>
          </w14:textFill>
        </w:rPr>
        <w:t>2026年1月对</w:t>
      </w:r>
      <w:r>
        <w:rPr>
          <w:rFonts w:hint="default" w:ascii="Times New Roman" w:hAnsi="Times New Roman" w:cs="Times New Roman"/>
          <w:color w:val="000000" w:themeColor="text1"/>
          <w:highlight w:val="none"/>
          <w:u w:val="wave" w:color="auto"/>
          <w:lang w:eastAsia="zh-CN"/>
          <w14:textFill>
            <w14:solidFill>
              <w14:schemeClr w14:val="tx1"/>
            </w14:solidFill>
          </w14:textFill>
        </w:rPr>
        <w:t>原建设项目名称进行调整，本次变更仅涉及项目名称表述，建设单位、项目选址、性质、建设内容、处理规模、处理工艺、服务范围及环境影响等均无任何变更</w:t>
      </w:r>
      <w:r>
        <w:rPr>
          <w:rFonts w:hint="eastAsia" w:cs="Times New Roman"/>
          <w:color w:val="000000" w:themeColor="text1"/>
          <w:highlight w:val="none"/>
          <w:u w:val="wave" w:color="auto"/>
          <w:lang w:eastAsia="zh-CN"/>
          <w14:textFill>
            <w14:solidFill>
              <w14:schemeClr w14:val="tx1"/>
            </w14:solidFill>
          </w14:textFill>
        </w:rPr>
        <w:t>。项目名称调整不影响已公示内容的有效性，原公示文件中的技术结论、污染防治措施及公众参与结果继续适用。</w:t>
      </w:r>
    </w:p>
    <w:p w14:paraId="527F7D5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本次环境影响评价工作按《建设项目环境影响评价导则 总纲》（HJ2.1-2016）中环境影响评价的工作程序要求进行，即调查分析和工作方案制定阶段，分析论证和预测评价阶段，环境影响报告书编制阶段三个阶段。</w:t>
      </w:r>
    </w:p>
    <w:p w14:paraId="38F4E614">
      <w:pPr>
        <w:pStyle w:val="189"/>
        <w:spacing w:line="240" w:lineRule="auto"/>
        <w:ind w:firstLine="0" w:firstLineChars="0"/>
        <w:jc w:val="center"/>
        <w:rPr>
          <w:rFonts w:hint="default" w:ascii="Times New Roman" w:hAnsi="Times New Roman" w:cs="Times New Roman"/>
          <w:color w:val="FF0000"/>
          <w:highlight w:val="none"/>
          <w:u w:val="none" w:color="auto"/>
        </w:rPr>
      </w:pPr>
      <w:r>
        <w:rPr>
          <w:rFonts w:hint="default" w:ascii="Times New Roman" w:hAnsi="Times New Roman" w:cs="Times New Roman"/>
          <w:color w:val="FF0000"/>
          <w:highlight w:val="none"/>
          <w:u w:val="none" w:color="auto"/>
        </w:rPr>
        <w:drawing>
          <wp:inline distT="0" distB="0" distL="114300" distR="114300">
            <wp:extent cx="5851525" cy="6250305"/>
            <wp:effectExtent l="0" t="0" r="635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a:srcRect t="1136" b="1176"/>
                    <a:stretch>
                      <a:fillRect/>
                    </a:stretch>
                  </pic:blipFill>
                  <pic:spPr>
                    <a:xfrm>
                      <a:off x="0" y="0"/>
                      <a:ext cx="5851525" cy="6250305"/>
                    </a:xfrm>
                    <a:prstGeom prst="rect">
                      <a:avLst/>
                    </a:prstGeom>
                    <a:noFill/>
                    <a:ln>
                      <a:noFill/>
                    </a:ln>
                  </pic:spPr>
                </pic:pic>
              </a:graphicData>
            </a:graphic>
          </wp:inline>
        </w:drawing>
      </w:r>
    </w:p>
    <w:p w14:paraId="4075A2D5">
      <w:pPr>
        <w:pStyle w:val="194"/>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图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图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建设项目环境影响评价工作程序图</w:t>
      </w:r>
    </w:p>
    <w:p w14:paraId="4068FD9F">
      <w:pPr>
        <w:pStyle w:val="3"/>
        <w:numPr>
          <w:ilvl w:val="1"/>
          <w:numId w:val="0"/>
        </w:numPr>
        <w:ind w:leftChars="0"/>
        <w:rPr>
          <w:rFonts w:hint="default" w:ascii="Times New Roman" w:hAnsi="Times New Roman" w:cs="Times New Roman"/>
          <w:color w:val="auto"/>
          <w:highlight w:val="none"/>
          <w:u w:val="none" w:color="auto"/>
        </w:rPr>
      </w:pPr>
      <w:bookmarkStart w:id="18" w:name="_Toc3775"/>
      <w:r>
        <w:rPr>
          <w:rFonts w:hint="default" w:ascii="Times New Roman" w:hAnsi="Times New Roman" w:cs="Times New Roman"/>
          <w:color w:val="auto"/>
          <w:highlight w:val="none"/>
          <w:u w:val="none" w:color="auto"/>
          <w:lang w:val="en-US" w:eastAsia="zh-CN"/>
        </w:rPr>
        <w:t xml:space="preserve">1.4 </w:t>
      </w:r>
      <w:r>
        <w:rPr>
          <w:rFonts w:hint="default" w:ascii="Times New Roman" w:hAnsi="Times New Roman" w:cs="Times New Roman"/>
          <w:color w:val="auto"/>
          <w:highlight w:val="none"/>
          <w:u w:val="none" w:color="auto"/>
        </w:rPr>
        <w:t>分析判</w:t>
      </w:r>
      <w:r>
        <w:rPr>
          <w:rFonts w:hint="default" w:ascii="Times New Roman" w:hAnsi="Times New Roman" w:cs="Times New Roman"/>
          <w:color w:val="auto"/>
          <w:highlight w:val="none"/>
          <w:u w:val="none" w:color="auto"/>
          <w:lang w:eastAsia="zh-CN"/>
        </w:rPr>
        <w:t>定</w:t>
      </w:r>
      <w:r>
        <w:rPr>
          <w:rFonts w:hint="default" w:ascii="Times New Roman" w:hAnsi="Times New Roman" w:cs="Times New Roman"/>
          <w:color w:val="auto"/>
          <w:highlight w:val="none"/>
          <w:u w:val="none" w:color="auto"/>
        </w:rPr>
        <w:t>相关情况</w:t>
      </w:r>
      <w:bookmarkEnd w:id="18"/>
    </w:p>
    <w:p w14:paraId="764E5555">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1.4.1 </w:t>
      </w:r>
      <w:r>
        <w:rPr>
          <w:rFonts w:hint="default" w:ascii="Times New Roman" w:hAnsi="Times New Roman" w:cs="Times New Roman"/>
          <w:color w:val="auto"/>
          <w:highlight w:val="none"/>
          <w:u w:val="none" w:color="auto"/>
        </w:rPr>
        <w:t>产业政策相符性</w:t>
      </w:r>
    </w:p>
    <w:p w14:paraId="27EAE10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本项目属于《产业结构调整指导目录（</w:t>
      </w:r>
      <w:r>
        <w:rPr>
          <w:rFonts w:hint="default" w:ascii="Times New Roman" w:hAnsi="Times New Roman" w:cs="Times New Roman"/>
          <w:color w:val="auto"/>
          <w:highlight w:val="none"/>
          <w:u w:val="none" w:color="auto"/>
          <w:lang w:eastAsia="zh-CN"/>
        </w:rPr>
        <w:t>2024年本</w:t>
      </w:r>
      <w:r>
        <w:rPr>
          <w:rFonts w:hint="default" w:ascii="Times New Roman" w:hAnsi="Times New Roman" w:cs="Times New Roman"/>
          <w:color w:val="auto"/>
          <w:highlight w:val="none"/>
          <w:u w:val="none" w:color="auto"/>
        </w:rPr>
        <w:t>）》鼓励类中第四十三项</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环境保护与资源节约综合利用</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中第15 条</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三废’综合利用与治理技术、装备和工程</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，本项目的建设符合国家相关产业政策的规定。</w:t>
      </w:r>
    </w:p>
    <w:p w14:paraId="54DFBB9B">
      <w:pPr>
        <w:pStyle w:val="4"/>
        <w:numPr>
          <w:ilvl w:val="2"/>
          <w:numId w:val="0"/>
        </w:numPr>
        <w:ind w:left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1.4.2  与《益阳市“十四五”生态环境保护规划》的符合性分析</w:t>
      </w:r>
    </w:p>
    <w:p w14:paraId="706C261B">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项目与《益阳市“十四五”生态环境保护规划》的符合性分析，详见下表。</w:t>
      </w:r>
    </w:p>
    <w:p w14:paraId="71E83BC1">
      <w:pPr>
        <w:pStyle w:val="189"/>
        <w:spacing w:line="240" w:lineRule="auto"/>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表1.4-1 项目与</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益阳市“十四五”生态环境保护规划</w:t>
      </w:r>
      <w:r>
        <w:rPr>
          <w:rFonts w:hint="default" w:ascii="Times New Roman" w:hAnsi="Times New Roman" w:cs="Times New Roman"/>
          <w:b/>
          <w:bCs/>
          <w:color w:val="auto"/>
          <w:highlight w:val="none"/>
          <w:u w:val="none" w:color="auto"/>
          <w:lang w:eastAsia="zh-CN"/>
        </w:rPr>
        <w:t>》符合性分析一览表</w:t>
      </w:r>
    </w:p>
    <w:tbl>
      <w:tblPr>
        <w:tblStyle w:val="76"/>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32"/>
        <w:gridCol w:w="3102"/>
        <w:gridCol w:w="1143"/>
      </w:tblGrid>
      <w:tr w14:paraId="16EAA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2" w:type="dxa"/>
            <w:vAlign w:val="center"/>
          </w:tcPr>
          <w:p w14:paraId="631F758F">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所属类别</w:t>
            </w:r>
          </w:p>
        </w:tc>
        <w:tc>
          <w:tcPr>
            <w:tcW w:w="3102" w:type="dxa"/>
            <w:vAlign w:val="center"/>
          </w:tcPr>
          <w:p w14:paraId="4E84903C">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eastAsia="zh-CN"/>
              </w:rPr>
            </w:pPr>
            <w:r>
              <w:rPr>
                <w:rFonts w:hint="default" w:ascii="Times New Roman" w:hAnsi="Times New Roman" w:cs="Times New Roman"/>
                <w:b/>
                <w:color w:val="auto"/>
                <w:highlight w:val="none"/>
                <w:u w:val="none" w:color="auto"/>
                <w:lang w:eastAsia="zh-CN"/>
              </w:rPr>
              <w:t>本项目情况</w:t>
            </w:r>
          </w:p>
        </w:tc>
        <w:tc>
          <w:tcPr>
            <w:tcW w:w="1143" w:type="dxa"/>
            <w:vAlign w:val="center"/>
          </w:tcPr>
          <w:p w14:paraId="030F2BB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eastAsia="zh-CN"/>
              </w:rPr>
              <w:t>符合</w:t>
            </w:r>
            <w:r>
              <w:rPr>
                <w:rFonts w:hint="default" w:ascii="Times New Roman" w:hAnsi="Times New Roman" w:cs="Times New Roman"/>
                <w:b/>
                <w:color w:val="auto"/>
                <w:highlight w:val="none"/>
                <w:u w:val="none" w:color="auto"/>
                <w:lang w:val="en-US" w:eastAsia="zh-CN"/>
              </w:rPr>
              <w:t>性</w:t>
            </w:r>
          </w:p>
        </w:tc>
      </w:tr>
      <w:tr w14:paraId="5C02A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277" w:type="dxa"/>
            <w:gridSpan w:val="3"/>
            <w:vAlign w:val="center"/>
          </w:tcPr>
          <w:p w14:paraId="1AA41C14">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FF0000"/>
                <w:highlight w:val="none"/>
                <w:u w:val="none" w:color="auto"/>
                <w:lang w:val="en-US" w:eastAsia="zh-CN"/>
              </w:rPr>
            </w:pPr>
            <w:r>
              <w:rPr>
                <w:rFonts w:hint="default" w:ascii="Times New Roman" w:hAnsi="Times New Roman" w:cs="Times New Roman"/>
                <w:b/>
                <w:bCs/>
                <w:color w:val="auto"/>
                <w:highlight w:val="none"/>
                <w:u w:val="none" w:color="auto"/>
                <w:lang w:val="en-US" w:eastAsia="zh-CN"/>
              </w:rPr>
              <w:t>专栏4水环境质量改善重点工程</w:t>
            </w:r>
          </w:p>
        </w:tc>
      </w:tr>
      <w:tr w14:paraId="73485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5032" w:type="dxa"/>
            <w:vAlign w:val="center"/>
          </w:tcPr>
          <w:p w14:paraId="33F7EA93">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水污染防治工程。推进大通湖流域片区综合整治工程；统筹推进沅江市“两江七湖”、黄家湖、桃花江、兰溪河、志溪河、三仙湖水库等流域环境综合治理；重点实施重要水功能区入河排污口整治工程；积极推广 PPP和环境污染第三方治理模式，推进城镇雨污分流、污水处理设施建设。</w:t>
            </w:r>
          </w:p>
        </w:tc>
        <w:tc>
          <w:tcPr>
            <w:tcW w:w="3102" w:type="dxa"/>
            <w:vAlign w:val="center"/>
          </w:tcPr>
          <w:p w14:paraId="650973C8">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本项目属于污水处理及其再生利用项目，通过项目的实施，便于园区统一运行管理，可节约投资和运行成本，为当地创造更好</w:t>
            </w:r>
          </w:p>
          <w:p w14:paraId="0972DD8C">
            <w:pPr>
              <w:pStyle w:val="192"/>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的投资环境，同时也便于接受当地环保部门的监督。</w:t>
            </w:r>
          </w:p>
        </w:tc>
        <w:tc>
          <w:tcPr>
            <w:tcW w:w="1143" w:type="dxa"/>
            <w:vAlign w:val="center"/>
          </w:tcPr>
          <w:p w14:paraId="67238B9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符合</w:t>
            </w:r>
          </w:p>
        </w:tc>
      </w:tr>
    </w:tbl>
    <w:p w14:paraId="074217E0">
      <w:pPr>
        <w:pStyle w:val="4"/>
        <w:numPr>
          <w:ilvl w:val="2"/>
          <w:numId w:val="0"/>
        </w:numPr>
        <w:ind w:left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1.4.3 与《土壤污染源头防控污染防治行动计划》的符合性分析</w:t>
      </w:r>
    </w:p>
    <w:p w14:paraId="73621EF6">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项目与《土壤污染源头防控污染防治行动计划》符合性分析详见下表。</w:t>
      </w:r>
    </w:p>
    <w:p w14:paraId="67F1DB69">
      <w:pPr>
        <w:pStyle w:val="189"/>
        <w:spacing w:line="240" w:lineRule="auto"/>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表1.4-2项目与</w:t>
      </w:r>
      <w:r>
        <w:rPr>
          <w:rFonts w:hint="default" w:ascii="Times New Roman" w:hAnsi="Times New Roman" w:cs="Times New Roman"/>
          <w:b/>
          <w:bCs/>
          <w:color w:val="auto"/>
          <w:highlight w:val="none"/>
          <w:u w:val="none" w:color="auto"/>
          <w:lang w:eastAsia="zh-CN"/>
        </w:rPr>
        <w:t>《土壤污染源头防控污染防治行动计划》符合性分析一览表</w:t>
      </w:r>
    </w:p>
    <w:tbl>
      <w:tblPr>
        <w:tblStyle w:val="76"/>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32"/>
        <w:gridCol w:w="3102"/>
        <w:gridCol w:w="1143"/>
      </w:tblGrid>
      <w:tr w14:paraId="32B1A2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2" w:type="dxa"/>
            <w:vAlign w:val="center"/>
          </w:tcPr>
          <w:p w14:paraId="687CC7EF">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所属类别</w:t>
            </w:r>
          </w:p>
        </w:tc>
        <w:tc>
          <w:tcPr>
            <w:tcW w:w="3102" w:type="dxa"/>
            <w:vAlign w:val="center"/>
          </w:tcPr>
          <w:p w14:paraId="28BF9BD3">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eastAsia="zh-CN"/>
              </w:rPr>
            </w:pPr>
            <w:r>
              <w:rPr>
                <w:rFonts w:hint="default" w:ascii="Times New Roman" w:hAnsi="Times New Roman" w:cs="Times New Roman"/>
                <w:b/>
                <w:color w:val="auto"/>
                <w:highlight w:val="none"/>
                <w:u w:val="none" w:color="auto"/>
                <w:lang w:eastAsia="zh-CN"/>
              </w:rPr>
              <w:t>本项目情况</w:t>
            </w:r>
          </w:p>
        </w:tc>
        <w:tc>
          <w:tcPr>
            <w:tcW w:w="1143" w:type="dxa"/>
            <w:vAlign w:val="center"/>
          </w:tcPr>
          <w:p w14:paraId="1A91C9A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eastAsia="zh-CN"/>
              </w:rPr>
              <w:t>符合</w:t>
            </w:r>
            <w:r>
              <w:rPr>
                <w:rFonts w:hint="default" w:ascii="Times New Roman" w:hAnsi="Times New Roman" w:cs="Times New Roman"/>
                <w:b/>
                <w:color w:val="auto"/>
                <w:highlight w:val="none"/>
                <w:u w:val="none" w:color="auto"/>
                <w:lang w:val="en-US" w:eastAsia="zh-CN"/>
              </w:rPr>
              <w:t>性</w:t>
            </w:r>
          </w:p>
        </w:tc>
      </w:tr>
      <w:tr w14:paraId="5DF0E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277" w:type="dxa"/>
            <w:gridSpan w:val="3"/>
            <w:vAlign w:val="center"/>
          </w:tcPr>
          <w:p w14:paraId="1BF8E56F">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FF0000"/>
                <w:highlight w:val="none"/>
                <w:u w:val="none" w:color="auto"/>
                <w:lang w:val="en-US" w:eastAsia="zh-CN"/>
              </w:rPr>
            </w:pPr>
            <w:r>
              <w:rPr>
                <w:rFonts w:hint="default" w:ascii="Times New Roman" w:hAnsi="Times New Roman" w:cs="Times New Roman"/>
                <w:b/>
                <w:bCs/>
                <w:color w:val="auto"/>
                <w:highlight w:val="none"/>
                <w:u w:val="none" w:color="auto"/>
                <w:lang w:val="en-US" w:eastAsia="zh-CN"/>
              </w:rPr>
              <w:t>严格落实污染防治措施</w:t>
            </w:r>
          </w:p>
        </w:tc>
      </w:tr>
      <w:tr w14:paraId="091731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5032" w:type="dxa"/>
            <w:vAlign w:val="center"/>
          </w:tcPr>
          <w:p w14:paraId="07176676">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严防污水废液渗漏。全面推进工业园区污水管网排查整治。鼓励有条件的化工园区开展初期雨水污染控制试点示范，实施化工企业污水“一企一管、明管输送、实时监测”。深入推进化工园区突发水污染事件环境应急三级防控体系建设。持续推进涉重金属行业水污染物排放标准制修订。组织对蒸发塘建设、运行、维护等情况开展排查整治。</w:t>
            </w:r>
          </w:p>
        </w:tc>
        <w:tc>
          <w:tcPr>
            <w:tcW w:w="3102" w:type="dxa"/>
            <w:vAlign w:val="center"/>
          </w:tcPr>
          <w:p w14:paraId="18845507">
            <w:pPr>
              <w:pStyle w:val="192"/>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本项目属于污水处理及其再生利用项目，</w:t>
            </w:r>
            <w:r>
              <w:rPr>
                <w:rFonts w:hint="default" w:ascii="Times New Roman" w:hAnsi="Times New Roman" w:cs="Times New Roman"/>
                <w:color w:val="auto"/>
                <w:highlight w:val="none"/>
                <w:u w:val="none" w:color="auto"/>
                <w:lang w:val="en-US" w:eastAsia="zh-CN"/>
              </w:rPr>
              <w:t>项目尾水达《城镇污水处理厂污染物排放标准》</w:t>
            </w:r>
            <w:r>
              <w:rPr>
                <w:rFonts w:hint="eastAsia" w:cs="Times New Roman"/>
                <w:color w:val="auto"/>
                <w:highlight w:val="none"/>
                <w:u w:val="none" w:color="auto"/>
                <w:lang w:val="en-US" w:eastAsia="zh-CN"/>
              </w:rPr>
              <w:t>（GB18918-2002）修改单</w:t>
            </w:r>
            <w:r>
              <w:rPr>
                <w:rFonts w:hint="default" w:ascii="Times New Roman" w:hAnsi="Times New Roman" w:cs="Times New Roman"/>
                <w:color w:val="auto"/>
                <w:highlight w:val="none"/>
                <w:u w:val="none" w:color="auto"/>
                <w:lang w:val="en-US" w:eastAsia="zh-CN"/>
              </w:rPr>
              <w:t>一级A标准后经机排二十渠再入老三运河</w:t>
            </w:r>
            <w:r>
              <w:rPr>
                <w:rFonts w:hint="default" w:ascii="Times New Roman" w:hAnsi="Times New Roman" w:cs="Times New Roman"/>
                <w:color w:val="auto"/>
                <w:highlight w:val="none"/>
                <w:u w:val="none" w:color="auto"/>
                <w:lang w:eastAsia="zh-CN"/>
              </w:rPr>
              <w:t>。</w:t>
            </w:r>
          </w:p>
        </w:tc>
        <w:tc>
          <w:tcPr>
            <w:tcW w:w="1143" w:type="dxa"/>
            <w:vAlign w:val="center"/>
          </w:tcPr>
          <w:p w14:paraId="71C16BA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符合</w:t>
            </w:r>
          </w:p>
        </w:tc>
      </w:tr>
    </w:tbl>
    <w:p w14:paraId="66BD7FCB">
      <w:pPr>
        <w:pStyle w:val="4"/>
        <w:numPr>
          <w:ilvl w:val="2"/>
          <w:numId w:val="0"/>
        </w:numPr>
        <w:ind w:left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1.4.4 与生态环境分区管控的符合性分析</w:t>
      </w:r>
    </w:p>
    <w:p w14:paraId="0FBDB9E0">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根据</w:t>
      </w:r>
      <w:r>
        <w:rPr>
          <w:rFonts w:hint="default" w:ascii="Times New Roman" w:hAnsi="Times New Roman" w:cs="Times New Roman"/>
          <w:color w:val="auto"/>
          <w:highlight w:val="none"/>
          <w:u w:val="none" w:color="auto"/>
          <w:lang w:val="en-US" w:eastAsia="zh-CN"/>
        </w:rPr>
        <w:t>《湖南省生态环境分区管控更新成果》（2023版）</w:t>
      </w:r>
      <w:r>
        <w:rPr>
          <w:rFonts w:hint="default" w:ascii="Times New Roman" w:hAnsi="Times New Roman" w:cs="Times New Roman"/>
          <w:color w:val="auto"/>
          <w:highlight w:val="none"/>
          <w:u w:val="none" w:color="auto"/>
        </w:rPr>
        <w:t>，生态环境管控单元更新后，共划定875个单元，其中包括优先保护单元为260个，面积占比为37.84%；重点管控单元349个，面积占比为20.44%；一般管控单元266个，面积占比为41.72%。根据项目实施的位置，项目区位于重点管控单元。</w:t>
      </w:r>
    </w:p>
    <w:p w14:paraId="2DDD882E">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项目与湖南省生态环境分区管控总体管控要求的符合性分析详见下表。</w:t>
      </w:r>
    </w:p>
    <w:p w14:paraId="7071C6B3">
      <w:pPr>
        <w:pStyle w:val="189"/>
        <w:spacing w:line="240" w:lineRule="auto"/>
        <w:ind w:left="0" w:leftChars="0" w:firstLine="0" w:firstLineChars="0"/>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表1.4-3项目与湖南省生态环境分区管控总体管控要求中的“重点管控单元生态环</w:t>
      </w:r>
    </w:p>
    <w:p w14:paraId="27E6EE55">
      <w:pPr>
        <w:pStyle w:val="189"/>
        <w:spacing w:line="240" w:lineRule="auto"/>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境总体管控要求”的相符性分析一览表</w:t>
      </w:r>
    </w:p>
    <w:tbl>
      <w:tblPr>
        <w:tblStyle w:val="76"/>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0"/>
        <w:gridCol w:w="510"/>
        <w:gridCol w:w="1163"/>
        <w:gridCol w:w="4035"/>
        <w:gridCol w:w="2340"/>
        <w:gridCol w:w="719"/>
      </w:tblGrid>
      <w:tr w14:paraId="75851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0" w:type="dxa"/>
            <w:gridSpan w:val="2"/>
            <w:vAlign w:val="center"/>
          </w:tcPr>
          <w:p w14:paraId="5F9457E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管控</w:t>
            </w:r>
          </w:p>
          <w:p w14:paraId="0F1D9479">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对象</w:t>
            </w:r>
          </w:p>
        </w:tc>
        <w:tc>
          <w:tcPr>
            <w:tcW w:w="1163" w:type="dxa"/>
            <w:vAlign w:val="center"/>
          </w:tcPr>
          <w:p w14:paraId="242A8EA1">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基本内容</w:t>
            </w:r>
          </w:p>
        </w:tc>
        <w:tc>
          <w:tcPr>
            <w:tcW w:w="4035" w:type="dxa"/>
            <w:vAlign w:val="center"/>
          </w:tcPr>
          <w:p w14:paraId="33AD3C07">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管控要求</w:t>
            </w:r>
          </w:p>
        </w:tc>
        <w:tc>
          <w:tcPr>
            <w:tcW w:w="2340" w:type="dxa"/>
            <w:vAlign w:val="center"/>
          </w:tcPr>
          <w:p w14:paraId="4B68D91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本项目的情况</w:t>
            </w:r>
          </w:p>
        </w:tc>
        <w:tc>
          <w:tcPr>
            <w:tcW w:w="719" w:type="dxa"/>
            <w:vAlign w:val="center"/>
          </w:tcPr>
          <w:p w14:paraId="7C05F15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是否相符</w:t>
            </w:r>
          </w:p>
        </w:tc>
      </w:tr>
      <w:tr w14:paraId="013B9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Align w:val="center"/>
          </w:tcPr>
          <w:p w14:paraId="0E480CC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重点管控单元</w:t>
            </w:r>
          </w:p>
        </w:tc>
        <w:tc>
          <w:tcPr>
            <w:tcW w:w="1163" w:type="dxa"/>
            <w:vAlign w:val="center"/>
          </w:tcPr>
          <w:p w14:paraId="27412756">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涉及水、大气、土壤、自然资源等资源环境要素重点管控的区域</w:t>
            </w:r>
          </w:p>
        </w:tc>
        <w:tc>
          <w:tcPr>
            <w:tcW w:w="4035" w:type="dxa"/>
            <w:vAlign w:val="center"/>
          </w:tcPr>
          <w:p w14:paraId="3C68E0BC">
            <w:pPr>
              <w:pStyle w:val="192"/>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应优化空间布局，加强污染物排放控制和环境风险防控，不断提升资源利用效率，解决生态环境质量不达标、生态环境风险高等问题。</w:t>
            </w:r>
          </w:p>
        </w:tc>
        <w:tc>
          <w:tcPr>
            <w:tcW w:w="2340" w:type="dxa"/>
            <w:vAlign w:val="center"/>
          </w:tcPr>
          <w:p w14:paraId="19A0E708">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本项目属于污水处理及其再生利用项目，通过项目的实施，便于园区统一运行管理，可节约投资和运行成本，为当地创造更好的投资环境，同时也便于接受当地环保部门的监督。</w:t>
            </w:r>
          </w:p>
        </w:tc>
        <w:tc>
          <w:tcPr>
            <w:tcW w:w="719" w:type="dxa"/>
            <w:vAlign w:val="center"/>
          </w:tcPr>
          <w:p w14:paraId="1331091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符合</w:t>
            </w:r>
          </w:p>
        </w:tc>
      </w:tr>
      <w:tr w14:paraId="1BB4FA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510" w:type="dxa"/>
            <w:vMerge w:val="restart"/>
            <w:vAlign w:val="center"/>
          </w:tcPr>
          <w:p w14:paraId="6FE209D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大气环境重点管控区</w:t>
            </w:r>
          </w:p>
        </w:tc>
        <w:tc>
          <w:tcPr>
            <w:tcW w:w="510" w:type="dxa"/>
            <w:vAlign w:val="center"/>
          </w:tcPr>
          <w:p w14:paraId="6BF236D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受体敏感区</w:t>
            </w:r>
          </w:p>
        </w:tc>
        <w:tc>
          <w:tcPr>
            <w:tcW w:w="1163" w:type="dxa"/>
            <w:vAlign w:val="center"/>
          </w:tcPr>
          <w:p w14:paraId="4F343F9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城镇中心及集中居住、医疗、教育等区域</w:t>
            </w:r>
          </w:p>
        </w:tc>
        <w:tc>
          <w:tcPr>
            <w:tcW w:w="4035" w:type="dxa"/>
            <w:vAlign w:val="center"/>
          </w:tcPr>
          <w:p w14:paraId="6F160AC6">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 禁止在人口集中地区和其他依法需要特殊保护的区域内焚烧沥青、油毡、橡胶、塑料、皮革、垃圾以及其他产生有毒有害烟尘和恶臭气体的物质。</w:t>
            </w:r>
          </w:p>
          <w:p w14:paraId="2108CEF4">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 鼓励城市建成区、工业园区等实行集中供热。在集中供热管网覆盖区域内，禁止新建、改建、扩建分散燃煤锅炉，集中供热管网覆盖前已建成使用的分散燃煤</w:t>
            </w:r>
          </w:p>
          <w:p w14:paraId="1E050494">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锅炉应当限期停止使用。。</w:t>
            </w:r>
          </w:p>
          <w:p w14:paraId="03049585">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 在大气污染重点区域城市建成区内禁止新建、扩建钢铁、水泥、有色金属、石油、化工等重污染企业以及新增产能项目。</w:t>
            </w:r>
          </w:p>
        </w:tc>
        <w:tc>
          <w:tcPr>
            <w:tcW w:w="2340" w:type="dxa"/>
            <w:vMerge w:val="restart"/>
            <w:vAlign w:val="center"/>
          </w:tcPr>
          <w:p w14:paraId="4090768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eastAsia="zh-CN"/>
              </w:rPr>
              <w:t>本项目属于污水处理及其再生利用项目</w:t>
            </w:r>
            <w:r>
              <w:rPr>
                <w:rFonts w:hint="default" w:ascii="Times New Roman" w:hAnsi="Times New Roman" w:cs="Times New Roman"/>
                <w:color w:val="auto"/>
                <w:highlight w:val="none"/>
                <w:u w:val="none" w:color="auto"/>
                <w:lang w:val="en-US" w:eastAsia="zh-CN"/>
              </w:rPr>
              <w:t>；本项目涉及的废气主要为氨气、硫化氢，且经除臭系统处理后通过15m高排气筒排放</w:t>
            </w:r>
          </w:p>
        </w:tc>
        <w:tc>
          <w:tcPr>
            <w:tcW w:w="719" w:type="dxa"/>
            <w:vAlign w:val="center"/>
          </w:tcPr>
          <w:p w14:paraId="0099418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r>
      <w:tr w14:paraId="50365E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510" w:type="dxa"/>
            <w:vMerge w:val="continue"/>
            <w:vAlign w:val="center"/>
          </w:tcPr>
          <w:p w14:paraId="3F5EB51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510" w:type="dxa"/>
            <w:vAlign w:val="center"/>
          </w:tcPr>
          <w:p w14:paraId="129D116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布局敏感区</w:t>
            </w:r>
          </w:p>
        </w:tc>
        <w:tc>
          <w:tcPr>
            <w:tcW w:w="1163" w:type="dxa"/>
            <w:vAlign w:val="center"/>
          </w:tcPr>
          <w:p w14:paraId="6212D18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上风向、扩散通道、环流通道等影响空气质量的区域</w:t>
            </w:r>
          </w:p>
        </w:tc>
        <w:tc>
          <w:tcPr>
            <w:tcW w:w="4035" w:type="dxa"/>
            <w:vMerge w:val="restart"/>
            <w:vAlign w:val="center"/>
          </w:tcPr>
          <w:p w14:paraId="64C7F336">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布局敏感区、弱扩散区严格控制涉及大气污染物排放的工业项目准入。</w:t>
            </w:r>
          </w:p>
        </w:tc>
        <w:tc>
          <w:tcPr>
            <w:tcW w:w="2340" w:type="dxa"/>
            <w:vMerge w:val="continue"/>
            <w:vAlign w:val="center"/>
          </w:tcPr>
          <w:p w14:paraId="65CB39D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719" w:type="dxa"/>
            <w:vAlign w:val="center"/>
          </w:tcPr>
          <w:p w14:paraId="1B0DDDF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r>
      <w:tr w14:paraId="266B5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510" w:type="dxa"/>
            <w:vMerge w:val="continue"/>
            <w:vAlign w:val="center"/>
          </w:tcPr>
          <w:p w14:paraId="65C9DF5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510" w:type="dxa"/>
            <w:vAlign w:val="center"/>
          </w:tcPr>
          <w:p w14:paraId="6E10517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弱扩散区</w:t>
            </w:r>
          </w:p>
        </w:tc>
        <w:tc>
          <w:tcPr>
            <w:tcW w:w="1163" w:type="dxa"/>
            <w:vAlign w:val="center"/>
          </w:tcPr>
          <w:p w14:paraId="4B294C7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静风或风速较小的区域</w:t>
            </w:r>
          </w:p>
        </w:tc>
        <w:tc>
          <w:tcPr>
            <w:tcW w:w="4035" w:type="dxa"/>
            <w:vMerge w:val="continue"/>
            <w:vAlign w:val="center"/>
          </w:tcPr>
          <w:p w14:paraId="19DE67B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2340" w:type="dxa"/>
            <w:vMerge w:val="continue"/>
            <w:vAlign w:val="center"/>
          </w:tcPr>
          <w:p w14:paraId="48FC554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719" w:type="dxa"/>
            <w:vAlign w:val="center"/>
          </w:tcPr>
          <w:p w14:paraId="24A845D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r>
      <w:tr w14:paraId="151F73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510" w:type="dxa"/>
            <w:vMerge w:val="continue"/>
            <w:vAlign w:val="center"/>
          </w:tcPr>
          <w:p w14:paraId="02BC7FC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510" w:type="dxa"/>
            <w:vAlign w:val="center"/>
          </w:tcPr>
          <w:p w14:paraId="198C78B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高排放区</w:t>
            </w:r>
          </w:p>
        </w:tc>
        <w:tc>
          <w:tcPr>
            <w:tcW w:w="1163" w:type="dxa"/>
            <w:vAlign w:val="center"/>
          </w:tcPr>
          <w:p w14:paraId="2A690F3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环境空气二类功能区中的工业集聚区域</w:t>
            </w:r>
          </w:p>
        </w:tc>
        <w:tc>
          <w:tcPr>
            <w:tcW w:w="4035" w:type="dxa"/>
            <w:vAlign w:val="center"/>
          </w:tcPr>
          <w:p w14:paraId="365BC5C2">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 严格落实大气污染物达标排放、环境影响评价、总量控制、环保设施“三同时”、在线监测、排污许可等环保制度。</w:t>
            </w:r>
          </w:p>
          <w:p w14:paraId="7DFB0C3E">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 加强重污染天气应急响应，修订完善并持续更新重污染天气应急预案，细化应急减排措施，实施应急减排清单化管理。督促工业企业按照“一厂一案”要求，配套制定具体的应急响应操作方案。</w:t>
            </w:r>
          </w:p>
          <w:p w14:paraId="5AD3F0F2">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 加强新建、扩建钢铁、水泥、平板玻璃、电解铝等高耗能高排放行业项目准入管理，严格落实污染物排放区域削减要求和减量替代办法，依法依规淘汰落后产能和化解过剩产能。以工业涂装、石化、化工、包装印刷、油品储运销等行业为重点，实施企业 VOCs 原料替代、排放全过程控制。按照“分业施策、一行一策”</w:t>
            </w:r>
          </w:p>
          <w:p w14:paraId="70C46F55">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的原则，加大低 VOCs 含量原辅材料的推广使用力度，从源头减少 VOCs 产生。</w:t>
            </w:r>
          </w:p>
          <w:p w14:paraId="3BEAF918">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 在化工、印染、包装印刷、涂装、家具制造等行业逐步推进低挥发性有机物含量原料和产品的使用。钢铁、水泥、有色金属、石油、化工等行业中的大气重污染工业项目应当按照国家和省有关规定开展强制性清洁生产审核，实施清洁生产技术改造。</w:t>
            </w:r>
          </w:p>
        </w:tc>
        <w:tc>
          <w:tcPr>
            <w:tcW w:w="2340" w:type="dxa"/>
            <w:vMerge w:val="continue"/>
            <w:vAlign w:val="center"/>
          </w:tcPr>
          <w:p w14:paraId="5C5F5EA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719" w:type="dxa"/>
            <w:vAlign w:val="center"/>
          </w:tcPr>
          <w:p w14:paraId="1DFB31D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r>
      <w:tr w14:paraId="0EEDC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Merge w:val="restart"/>
            <w:vAlign w:val="center"/>
          </w:tcPr>
          <w:p w14:paraId="4BFD0F8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水环境重点管控区</w:t>
            </w:r>
          </w:p>
        </w:tc>
        <w:tc>
          <w:tcPr>
            <w:tcW w:w="1163" w:type="dxa"/>
            <w:vAlign w:val="center"/>
          </w:tcPr>
          <w:p w14:paraId="7D6AEDF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省级以上产业园区所述水环境控制区域</w:t>
            </w:r>
          </w:p>
        </w:tc>
        <w:tc>
          <w:tcPr>
            <w:tcW w:w="4035" w:type="dxa"/>
            <w:vAlign w:val="center"/>
          </w:tcPr>
          <w:p w14:paraId="0BE56DF6">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 排放工业废水的企业应当采取有效措施，收集和处理产生的全部废水，防止污染环境。含有毒有害水污染物的工业废水应当分类收集和处理，不得稀释排放。向污水集中处理设施排放工业废水的，应当按照国家有关规定进行预处理，达到集中处理设施处理工艺要求后方可排放。</w:t>
            </w:r>
          </w:p>
          <w:p w14:paraId="0912C369">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 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w:t>
            </w:r>
          </w:p>
          <w:p w14:paraId="40AD02D7">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 建立健全湘江流域重点水污染物排放总量控制、排污许可、水污染物排放监测和水环境质量监测等水环境保护制度。</w:t>
            </w:r>
          </w:p>
          <w:p w14:paraId="2E9766F3">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 制定造纸、焦化、氮肥、有色金属、印染、农副食品加工、原料药制造、制革、农药、电镀等行业专项治理方案，实施清洁化改造，新建、改建、扩建上述行业建设项目实行主要污染物排放等量或减量置换。</w:t>
            </w:r>
          </w:p>
        </w:tc>
        <w:tc>
          <w:tcPr>
            <w:tcW w:w="2340" w:type="dxa"/>
            <w:vAlign w:val="center"/>
          </w:tcPr>
          <w:p w14:paraId="0DBB852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719" w:type="dxa"/>
            <w:vAlign w:val="center"/>
          </w:tcPr>
          <w:p w14:paraId="5674CF3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r>
      <w:tr w14:paraId="2BDA97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Merge w:val="continue"/>
            <w:vAlign w:val="center"/>
          </w:tcPr>
          <w:p w14:paraId="3193714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1163" w:type="dxa"/>
            <w:vAlign w:val="center"/>
          </w:tcPr>
          <w:p w14:paraId="5AD61EC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水质超标断面所属水环境控制区域</w:t>
            </w:r>
          </w:p>
        </w:tc>
        <w:tc>
          <w:tcPr>
            <w:tcW w:w="4035" w:type="dxa"/>
            <w:vAlign w:val="center"/>
          </w:tcPr>
          <w:p w14:paraId="57EB210E">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 建成区水体水质达不到地表水Ⅲ类标准的城市，新建城镇污水处理设施要执行一级 A 排放标准。</w:t>
            </w:r>
          </w:p>
          <w:p w14:paraId="087C91A1">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 持续开展入河入海排污口“查、测、溯、治”，到 2025 年，基本完成湘江、资江、沅江及澧水及重要支流排污口整治。</w:t>
            </w:r>
          </w:p>
          <w:p w14:paraId="6647D35E">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 持续打好城市黑臭水体治理攻坚战充分发挥河湖长制作用，巩固提升地级及以上城市黑臭水体治理成效，建立防止返黑返臭的长效机制。到 2025年，地级城市建成区实现黑臭水体长治久清，县级城市建成区基本消除黑臭水体。</w:t>
            </w:r>
          </w:p>
          <w:p w14:paraId="25C565DD">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 推进农村生活污水治理。加强农村改厕与生活污水治理衔接，推动城镇污水处理设施和服务向城镇近郊农村延伸。农村生活污水处理设施水污染物排放执行湖南省地方标准《农村生活污水处理设施水污染物排放标准》（GB43/1665）。</w:t>
            </w:r>
          </w:p>
          <w:p w14:paraId="3FDD909B">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5. 推进畜禽水产养殖污染防治，加强种养结合，整县推进畜禽粪污资源化利用。规范工厂化水产养殖尾水排污口设置，加强水产养殖主产区养殖尾水治理。</w:t>
            </w:r>
          </w:p>
          <w:p w14:paraId="0FE34E53">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6. 改进畜禽饲养管理，加强畜禽养殖业粪污处理利用和秸秆综合利用。</w:t>
            </w:r>
          </w:p>
        </w:tc>
        <w:tc>
          <w:tcPr>
            <w:tcW w:w="2340" w:type="dxa"/>
            <w:vAlign w:val="center"/>
          </w:tcPr>
          <w:p w14:paraId="0A2FA4B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本项目尾水达《城镇污水处理厂污染物排放标准》</w:t>
            </w:r>
            <w:r>
              <w:rPr>
                <w:rFonts w:hint="eastAsia" w:cs="Times New Roman"/>
                <w:color w:val="auto"/>
                <w:highlight w:val="none"/>
                <w:u w:val="none" w:color="auto"/>
                <w:lang w:val="en-US" w:eastAsia="zh-CN"/>
              </w:rPr>
              <w:t>（GB18918-2002）修改单</w:t>
            </w:r>
            <w:r>
              <w:rPr>
                <w:rFonts w:hint="default" w:ascii="Times New Roman" w:hAnsi="Times New Roman" w:cs="Times New Roman"/>
                <w:color w:val="auto"/>
                <w:highlight w:val="none"/>
                <w:u w:val="none" w:color="auto"/>
                <w:lang w:val="en-US" w:eastAsia="zh-CN"/>
              </w:rPr>
              <w:t>一级A标准后经机排二十渠再入老三运河</w:t>
            </w:r>
          </w:p>
        </w:tc>
        <w:tc>
          <w:tcPr>
            <w:tcW w:w="719" w:type="dxa"/>
            <w:vAlign w:val="center"/>
          </w:tcPr>
          <w:p w14:paraId="1EF5EC6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符合</w:t>
            </w:r>
          </w:p>
        </w:tc>
      </w:tr>
      <w:tr w14:paraId="3054D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Merge w:val="continue"/>
            <w:vAlign w:val="center"/>
          </w:tcPr>
          <w:p w14:paraId="402A6BF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1163" w:type="dxa"/>
            <w:vAlign w:val="center"/>
          </w:tcPr>
          <w:p w14:paraId="7CA193E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城镇生活污染源所属水环境控制区域</w:t>
            </w:r>
          </w:p>
        </w:tc>
        <w:tc>
          <w:tcPr>
            <w:tcW w:w="4035" w:type="dxa"/>
            <w:vAlign w:val="center"/>
          </w:tcPr>
          <w:p w14:paraId="47677CE1">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 加快城中村、老旧城区、城乡 结合部和易地扶贫搬迁安置区的生活污水收集管网建设，加快消除收集管网空白区。加快城市污水处理厂提标及扩容改造，提升城市污水处理厂出水水质。</w:t>
            </w:r>
          </w:p>
          <w:p w14:paraId="252D04BB">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 加强乡镇生活污水治理，建立乡镇污水处理设施运营长效机制。加快完善医疗废物收集转运处置体系，加大对基层和偏远农村地区医疗废物管理投入。到2025年，基本消除城市建成区生活污水直排口以及城中村、老旧城区和城乡结合部生活污水收集处理设施空白区，城市生活污水集中收集率达到 70%。</w:t>
            </w:r>
          </w:p>
          <w:p w14:paraId="76170C84">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 推进污泥处理处置。对污水处理设施产生的污泥进行稳定化、无害化和资源化处理处置，禁止处理处置未达标的污泥进入耕地。对非法污泥堆放点一律予以取缔。</w:t>
            </w:r>
          </w:p>
          <w:p w14:paraId="788748EE">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 严格限制含有毒有害污染物和重金属的工业废水进入城镇污水处理厂，对接纳含有毒有害污染物和重金属的工业废水的城镇污水处理厂，每一股工业废水都应满足其行业污染物排放标准后方可与生活污水进行混合处理。</w:t>
            </w:r>
          </w:p>
        </w:tc>
        <w:tc>
          <w:tcPr>
            <w:tcW w:w="2340" w:type="dxa"/>
            <w:vAlign w:val="center"/>
          </w:tcPr>
          <w:p w14:paraId="104F1B5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本项目为工业园区污水处理设施，产生的污泥交由益阳海螺环保科技有限公司处置</w:t>
            </w:r>
          </w:p>
        </w:tc>
        <w:tc>
          <w:tcPr>
            <w:tcW w:w="719" w:type="dxa"/>
            <w:vAlign w:val="center"/>
          </w:tcPr>
          <w:p w14:paraId="139FC81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 xml:space="preserve">符合 </w:t>
            </w:r>
          </w:p>
        </w:tc>
      </w:tr>
      <w:tr w14:paraId="4B36A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Merge w:val="continue"/>
            <w:vAlign w:val="center"/>
          </w:tcPr>
          <w:p w14:paraId="235F95D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1163" w:type="dxa"/>
            <w:vAlign w:val="center"/>
          </w:tcPr>
          <w:p w14:paraId="69F88E3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涉重金属矿区所属水环境控制区域</w:t>
            </w:r>
          </w:p>
        </w:tc>
        <w:tc>
          <w:tcPr>
            <w:tcW w:w="4035" w:type="dxa"/>
            <w:vAlign w:val="center"/>
          </w:tcPr>
          <w:p w14:paraId="76303CF7">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 矿山开采区、尾矿库的运营、管理单位，应当采取防渗漏等措施，并建设地下水水质监测井进行监测，防止地下水污染。</w:t>
            </w:r>
          </w:p>
          <w:p w14:paraId="1D053F34">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 全面整治历史遗留尾矿库，完善覆膜、压土、排洪、堤坝加固等措施。有重点监管尾矿库的企业要开展环境风险评估，完善污染治理设施，储备应急物资。加强对矿产资源开发利用活动的辐射安全监管，有关企业每年要对本矿区土壤进行辐射环境监测。严防矿产资源开发污染土壤，矿产资源开发活动集中的区域执行重点污染物特别排放限值。</w:t>
            </w:r>
          </w:p>
          <w:p w14:paraId="08C60E85">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 强化矿山生态修复，加强尾矿、废石等大宗固废综合利用，按照“一库一策”要求，分级分类推进尾矿库治理，推进矿涌水排查整治。</w:t>
            </w:r>
          </w:p>
          <w:p w14:paraId="6E188E06">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 全面排查尾矿库，分级分类推进尾矿库整治工作，以市州为单元，拉条挂账建立问题清单，明确责任主体、治理措施、时限要求等，按照“一库一策”加快实施治理。</w:t>
            </w:r>
          </w:p>
        </w:tc>
        <w:tc>
          <w:tcPr>
            <w:tcW w:w="2340" w:type="dxa"/>
            <w:vAlign w:val="center"/>
          </w:tcPr>
          <w:p w14:paraId="348EA17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本项目不涉及</w:t>
            </w:r>
          </w:p>
        </w:tc>
        <w:tc>
          <w:tcPr>
            <w:tcW w:w="719" w:type="dxa"/>
            <w:vAlign w:val="center"/>
          </w:tcPr>
          <w:p w14:paraId="65C5261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4E8E8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Merge w:val="restart"/>
            <w:vAlign w:val="center"/>
          </w:tcPr>
          <w:p w14:paraId="0564F9E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土壤环境风险重点管控区</w:t>
            </w:r>
          </w:p>
          <w:p w14:paraId="7442336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1163" w:type="dxa"/>
            <w:vAlign w:val="center"/>
          </w:tcPr>
          <w:p w14:paraId="2AA37DF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农用地污染风险重点管控区</w:t>
            </w:r>
          </w:p>
        </w:tc>
        <w:tc>
          <w:tcPr>
            <w:tcW w:w="4035" w:type="dxa"/>
            <w:vAlign w:val="center"/>
          </w:tcPr>
          <w:p w14:paraId="13F58D79">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 各级人民政府及其有关部门应当鼓励对严格管控类农用地采取调整种植结构、退耕还林还草、退耕还湿、轮作休耕、轮牧休牧等风险管控措施，并给予相应的政策支持。</w:t>
            </w:r>
          </w:p>
          <w:p w14:paraId="00AF491A">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 禁止向农用地排放重金属或者其他有毒有害物质含量超标的污水、污泥，以及可能造成土壤污染的清淤底泥、尾矿、矿渣等。</w:t>
            </w:r>
          </w:p>
          <w:p w14:paraId="6C40D849">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 对中轻度污染农用地，采取严格环境准入、加强污染源监管等措施，加强环境健康风险评估，防止土壤污染加重，相关责任方在土壤环境健康风险评估基础上开展土壤污染管治与修复。对重度污染农用地，严格用途管制，有序开展重度污染耕地种植结构调整，有效控制土壤环境风险。</w:t>
            </w:r>
          </w:p>
          <w:p w14:paraId="49F83C14">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 深入推进农用地土壤污染防治和安全利用。运用好耕地土壤与农产品重金属污染加密调查成果，实施农用地土壤镉等重金属污染源头防治行动，依法依规将涉镉等重金属排放企业纳入重点排污单位名录，严格管控涉重金属行业镉等污染物排放；持续推进耕地周边涉镉等重金属重点行业企业排查整治，识别和排查耕地污</w:t>
            </w:r>
          </w:p>
          <w:p w14:paraId="5EABB745">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染成因。</w:t>
            </w:r>
          </w:p>
        </w:tc>
        <w:tc>
          <w:tcPr>
            <w:tcW w:w="2340" w:type="dxa"/>
            <w:vAlign w:val="center"/>
          </w:tcPr>
          <w:p w14:paraId="0CCDFF5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本项目不位于农用地污染风险重点管控区</w:t>
            </w:r>
          </w:p>
        </w:tc>
        <w:tc>
          <w:tcPr>
            <w:tcW w:w="719" w:type="dxa"/>
            <w:vAlign w:val="center"/>
          </w:tcPr>
          <w:p w14:paraId="73AD737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46607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Merge w:val="continue"/>
            <w:vAlign w:val="center"/>
          </w:tcPr>
          <w:p w14:paraId="71FAF42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1163" w:type="dxa"/>
            <w:vAlign w:val="center"/>
          </w:tcPr>
          <w:p w14:paraId="7A9DEFE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金属污染防治重点区域及污染地块，包括：化学品企业以及工业业集聚区（含化</w:t>
            </w:r>
          </w:p>
          <w:p w14:paraId="37090A8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工园区）、尾矿库、 危险废</w:t>
            </w:r>
          </w:p>
          <w:p w14:paraId="794F26A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物处置场、 垃圾填埋场等</w:t>
            </w:r>
          </w:p>
        </w:tc>
        <w:tc>
          <w:tcPr>
            <w:tcW w:w="4035" w:type="dxa"/>
            <w:vAlign w:val="center"/>
          </w:tcPr>
          <w:p w14:paraId="6955F8F6">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 严格执行相关行业企业布局选址要求，禁止在居民区和学校、医院、疗养院、养老院等单位周边新建、改建、扩建可能造成土壤污染的建设项目。</w:t>
            </w:r>
          </w:p>
          <w:p w14:paraId="033C093D">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 建立建设用地土壤污染风险管控和修复名录，列入名录且未完成治理修复的地块不得作为住宅、公共管理与公共服务用地。</w:t>
            </w:r>
          </w:p>
          <w:p w14:paraId="5D8F8CFD">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 严格建设用地土壤污染风险管控和修复名录内地块的准入管理。未依法完成土壤污染状况调查和风险评估的地块，不得开工建设与风险管控和修复无关的项目。</w:t>
            </w:r>
          </w:p>
          <w:p w14:paraId="0505BA81">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 加强涉重金属行业污染防控。严格执行重金属污染物排放标准并落实相关总量控制指标，加大监督检查力度，对整改后仍不达标的企业，依法责令其停业、关闭，并将企业名单向社会公开。继续淘汰涉重金属重点行业落后产能，完善重金属相关行业准入条件，禁止新建落后产能或产能严重过剩行业的建设项目。</w:t>
            </w:r>
          </w:p>
          <w:p w14:paraId="128BB6C9">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5. 花垣县、常宁市、汨罗市、资兴市、桂阳县、永兴县、冷水江市等7个国家重点区域的新、改、扩建重点行业建设项目应遵循重点重金属（铅、汞、镉、铬、砷）污染物排放“减量替代”原则，减量替代比例不低于 1.2:1。省内其他区域遵循重点重金属污染物排放“等量替换”原则。</w:t>
            </w:r>
          </w:p>
        </w:tc>
        <w:tc>
          <w:tcPr>
            <w:tcW w:w="2340" w:type="dxa"/>
            <w:vAlign w:val="center"/>
          </w:tcPr>
          <w:p w14:paraId="71053F88">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本项目不位于金属污染防治重点区域及污染地块，包括：化学品生产企业 以及工业集聚区（含化工园区）、尾矿库、 危险废物处置场、 垃圾填埋场等</w:t>
            </w:r>
          </w:p>
        </w:tc>
        <w:tc>
          <w:tcPr>
            <w:tcW w:w="719" w:type="dxa"/>
            <w:vAlign w:val="center"/>
          </w:tcPr>
          <w:p w14:paraId="5797ACC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48B47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Merge w:val="continue"/>
            <w:vAlign w:val="center"/>
          </w:tcPr>
          <w:p w14:paraId="69C16AB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1163" w:type="dxa"/>
            <w:vAlign w:val="center"/>
          </w:tcPr>
          <w:p w14:paraId="325F12A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其他土壤环境风险重点管控区，含湖南省矿产资源总体规划中的国家级、省级、市（州）级、县（市、区）级</w:t>
            </w:r>
          </w:p>
          <w:p w14:paraId="56691E0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各类矿山开采 区、探矿区，</w:t>
            </w:r>
          </w:p>
          <w:p w14:paraId="69DCB16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砂石矿区等</w:t>
            </w:r>
          </w:p>
        </w:tc>
        <w:tc>
          <w:tcPr>
            <w:tcW w:w="4035" w:type="dxa"/>
            <w:vAlign w:val="center"/>
          </w:tcPr>
          <w:p w14:paraId="0021BC98">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1.严禁在长江干流岸线3公里、重要支流和洞庭湖岸线1公里等区域范围内新（改、扩）建尾矿库。</w:t>
            </w:r>
          </w:p>
        </w:tc>
        <w:tc>
          <w:tcPr>
            <w:tcW w:w="2340" w:type="dxa"/>
            <w:vAlign w:val="center"/>
          </w:tcPr>
          <w:p w14:paraId="6EFC433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本项目不涉及</w:t>
            </w:r>
          </w:p>
        </w:tc>
        <w:tc>
          <w:tcPr>
            <w:tcW w:w="719" w:type="dxa"/>
            <w:vAlign w:val="center"/>
          </w:tcPr>
          <w:p w14:paraId="4A8E72F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2862E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Align w:val="center"/>
          </w:tcPr>
          <w:p w14:paraId="35265C8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能源利用重点</w:t>
            </w:r>
          </w:p>
          <w:p w14:paraId="1E7494D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管控区</w:t>
            </w:r>
          </w:p>
        </w:tc>
        <w:tc>
          <w:tcPr>
            <w:tcW w:w="1163" w:type="dxa"/>
            <w:vAlign w:val="center"/>
          </w:tcPr>
          <w:p w14:paraId="18CF793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各城市建成区划定的高污染</w:t>
            </w:r>
          </w:p>
          <w:p w14:paraId="1979B5C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燃料禁燃区</w:t>
            </w:r>
          </w:p>
        </w:tc>
        <w:tc>
          <w:tcPr>
            <w:tcW w:w="4035" w:type="dxa"/>
            <w:vAlign w:val="center"/>
          </w:tcPr>
          <w:p w14:paraId="21251831">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 在禁燃区内，禁止销售、燃用高污染燃料；禁止新建、扩建燃用高污染燃料的设施，已建成的，应当在城市人民政府规定的期限内改用天然气、页岩气、液化石油气、电或者其他清洁能源。</w:t>
            </w:r>
          </w:p>
          <w:p w14:paraId="3F404882">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 强化禁燃区管控，推进散煤替代。优化调整高污染禁燃区范围，严厉查处禁燃区内煤炭燃用行为。</w:t>
            </w:r>
          </w:p>
        </w:tc>
        <w:tc>
          <w:tcPr>
            <w:tcW w:w="2340" w:type="dxa"/>
            <w:vAlign w:val="center"/>
          </w:tcPr>
          <w:p w14:paraId="4BDDB7D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本项目不涉及</w:t>
            </w:r>
          </w:p>
        </w:tc>
        <w:tc>
          <w:tcPr>
            <w:tcW w:w="719" w:type="dxa"/>
            <w:vAlign w:val="center"/>
          </w:tcPr>
          <w:p w14:paraId="3A9B8C0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3DF448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Merge w:val="restart"/>
            <w:vAlign w:val="center"/>
          </w:tcPr>
          <w:p w14:paraId="69DBC8B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水资源重点管控区</w:t>
            </w:r>
          </w:p>
        </w:tc>
        <w:tc>
          <w:tcPr>
            <w:tcW w:w="1163" w:type="dxa"/>
            <w:vAlign w:val="center"/>
          </w:tcPr>
          <w:p w14:paraId="572227B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水资源利用重点管控区，含水资源利用效率临界超载（含临界达标）的区域</w:t>
            </w:r>
          </w:p>
        </w:tc>
        <w:tc>
          <w:tcPr>
            <w:tcW w:w="4035" w:type="dxa"/>
            <w:vAlign w:val="center"/>
          </w:tcPr>
          <w:p w14:paraId="04EC68BB">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 加强用水总量和强度控制红线管理，健全省、市、县三级行政区域用水总量、用水强度控制指标体系，实行最严格水资源管理制度考核。强化用水定额管理，深入实施国家节水行动，推进污水资源化利用。加大缺水地区非常规水源利用力度。</w:t>
            </w:r>
          </w:p>
          <w:p w14:paraId="448A9CFE">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 定期组织开展全国水资源承载能力评价，发布超载地区名录，暂停水资源超载地区新增取水许可，组织地方政府限期治理。</w:t>
            </w:r>
          </w:p>
          <w:p w14:paraId="4C31AB9A">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 完善用水定额体系。健全省、市、县三级行政区用水总量和强度控制指标体系。推进跨行政区域江河流域水量分配。</w:t>
            </w:r>
          </w:p>
          <w:p w14:paraId="48C01C6E">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 地下水超采区内严格限制使用地下水发展高耗水工业和服务业，适度压减高耗水农作物，鼓励通过节水改造、水源置换、休耕雨养、种植结构调整等措施压减农业取用地下水</w:t>
            </w:r>
          </w:p>
        </w:tc>
        <w:tc>
          <w:tcPr>
            <w:tcW w:w="2340" w:type="dxa"/>
            <w:vAlign w:val="center"/>
          </w:tcPr>
          <w:p w14:paraId="2943A79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本项目不涉及</w:t>
            </w:r>
          </w:p>
        </w:tc>
        <w:tc>
          <w:tcPr>
            <w:tcW w:w="719" w:type="dxa"/>
            <w:vAlign w:val="center"/>
          </w:tcPr>
          <w:p w14:paraId="420F337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59F64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Merge w:val="continue"/>
            <w:vAlign w:val="center"/>
          </w:tcPr>
          <w:p w14:paraId="5086D84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p>
        </w:tc>
        <w:tc>
          <w:tcPr>
            <w:tcW w:w="1163" w:type="dxa"/>
            <w:vAlign w:val="center"/>
          </w:tcPr>
          <w:p w14:paraId="4C53794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生态用水补给区，含生态用</w:t>
            </w:r>
          </w:p>
          <w:p w14:paraId="26E220A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水保障不足及临界的区域</w:t>
            </w:r>
          </w:p>
        </w:tc>
        <w:tc>
          <w:tcPr>
            <w:tcW w:w="4035" w:type="dxa"/>
            <w:vAlign w:val="center"/>
          </w:tcPr>
          <w:p w14:paraId="03EB0383">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 切实保障生态流量。加强全省江、河、湖、库水量统一调度，切实保障湘、资、沅、澧及主要支流、重点湖、库基本生态用水需求。加大人工影响天气投入，充分挖掘空中云水资源，科学开展人工增雨作业，保障重点生态保护区的用水需求。</w:t>
            </w:r>
          </w:p>
          <w:p w14:paraId="3AAF51C0">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 严格控制小水电开发，全面开展小水电清理整改。除与生态环境保护相协调、且为国务院及其相关部门、省级人民政府认可的脱贫攻坚项目外，严控新建商业开发的小水电项目。坚持规划、规划环评和项目联动，对小水电新建项目严格把关，不符合规划及规划环评、审批手续不全的一律不得开工建设。对已审批但未开工建设的小水电项目，全部进行重新评估。</w:t>
            </w:r>
          </w:p>
          <w:p w14:paraId="257E948C">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 鼓励和引导沿江市（州）再创建一批绿色小水电示范电站。</w:t>
            </w:r>
          </w:p>
        </w:tc>
        <w:tc>
          <w:tcPr>
            <w:tcW w:w="2340" w:type="dxa"/>
            <w:vAlign w:val="center"/>
          </w:tcPr>
          <w:p w14:paraId="39B27EF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本项目不涉及</w:t>
            </w:r>
          </w:p>
        </w:tc>
        <w:tc>
          <w:tcPr>
            <w:tcW w:w="719" w:type="dxa"/>
            <w:vAlign w:val="center"/>
          </w:tcPr>
          <w:p w14:paraId="6786E8E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333AD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gridSpan w:val="2"/>
            <w:vAlign w:val="center"/>
          </w:tcPr>
          <w:p w14:paraId="761E684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土地资源重点</w:t>
            </w:r>
          </w:p>
          <w:p w14:paraId="161F1D4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管控区</w:t>
            </w:r>
          </w:p>
        </w:tc>
        <w:tc>
          <w:tcPr>
            <w:tcW w:w="1163" w:type="dxa"/>
            <w:vAlign w:val="center"/>
          </w:tcPr>
          <w:p w14:paraId="5A537E7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含生态保护红线集中、重度污染农用地或污染地块集中的区域</w:t>
            </w:r>
          </w:p>
        </w:tc>
        <w:tc>
          <w:tcPr>
            <w:tcW w:w="4035" w:type="dxa"/>
            <w:vAlign w:val="center"/>
          </w:tcPr>
          <w:p w14:paraId="29AD1A22">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按本表前述“生态保护红线”及“建设用地污染风险重点管控区”相关管控要求分别执行。</w:t>
            </w:r>
          </w:p>
        </w:tc>
        <w:tc>
          <w:tcPr>
            <w:tcW w:w="2340" w:type="dxa"/>
            <w:vAlign w:val="center"/>
          </w:tcPr>
          <w:p w14:paraId="3A12E43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本项目不涉及</w:t>
            </w:r>
          </w:p>
        </w:tc>
        <w:tc>
          <w:tcPr>
            <w:tcW w:w="719" w:type="dxa"/>
            <w:vAlign w:val="center"/>
          </w:tcPr>
          <w:p w14:paraId="5B393C9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bl>
    <w:p w14:paraId="370B2262">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综上分析，项目与《湖南省生态环境分区管控更新成果》（2023版）相符</w:t>
      </w:r>
      <w:r>
        <w:rPr>
          <w:rFonts w:hint="default" w:ascii="Times New Roman" w:hAnsi="Times New Roman" w:cs="Times New Roman"/>
          <w:color w:val="auto"/>
          <w:highlight w:val="none"/>
          <w:u w:val="none" w:color="auto"/>
        </w:rPr>
        <w:t>。</w:t>
      </w:r>
    </w:p>
    <w:p w14:paraId="27BBE64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根据《湖南省生态环境分区管控总体管控要求暨省级以上产业园区生态环境准入清单》（湘环函〔2024〕26号）</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本项目位于</w:t>
      </w:r>
      <w:r>
        <w:rPr>
          <w:rFonts w:hint="default" w:ascii="Times New Roman" w:hAnsi="Times New Roman" w:cs="Times New Roman"/>
          <w:color w:val="auto"/>
          <w:highlight w:val="none"/>
          <w:u w:val="none" w:color="auto"/>
          <w:lang w:val="en-US" w:eastAsia="zh-CN"/>
        </w:rPr>
        <w:t>大通湖区工业园内机排二十渠旁</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属于大通湖产业开发区管控范围内</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属于重点管控单元</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eastAsia="zh-CN"/>
        </w:rPr>
        <w:t>环境管控单元编码：</w:t>
      </w:r>
      <w:r>
        <w:rPr>
          <w:rFonts w:hint="default" w:ascii="Times New Roman" w:hAnsi="Times New Roman" w:cs="Times New Roman"/>
          <w:color w:val="auto"/>
          <w:highlight w:val="none"/>
          <w:u w:val="none" w:color="auto"/>
          <w:lang w:val="en-US" w:eastAsia="zh-CN"/>
        </w:rPr>
        <w:t>ZH43092120003，根据大通湖产业开发区管控要求，本项目与《湖南省生态环境分区管控总体管控要求暨省级以上产业园区生态环境准入清单符合性分析详见下表</w:t>
      </w:r>
      <w:r>
        <w:rPr>
          <w:rFonts w:hint="default" w:ascii="Times New Roman" w:hAnsi="Times New Roman" w:cs="Times New Roman"/>
          <w:color w:val="auto"/>
          <w:highlight w:val="none"/>
          <w:u w:val="none" w:color="auto"/>
        </w:rPr>
        <w:t>。</w:t>
      </w:r>
    </w:p>
    <w:p w14:paraId="03113658">
      <w:pPr>
        <w:pStyle w:val="189"/>
        <w:spacing w:line="240" w:lineRule="auto"/>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表1.4-4 项目与大通湖产业开发区环境准入清单符合性分析</w:t>
      </w:r>
      <w:r>
        <w:rPr>
          <w:rFonts w:hint="default" w:ascii="Times New Roman" w:hAnsi="Times New Roman" w:cs="Times New Roman"/>
          <w:b/>
          <w:bCs/>
          <w:color w:val="auto"/>
          <w:highlight w:val="none"/>
          <w:u w:val="none" w:color="auto"/>
          <w:lang w:eastAsia="zh-CN"/>
        </w:rPr>
        <w:t>一览表</w:t>
      </w:r>
    </w:p>
    <w:tbl>
      <w:tblPr>
        <w:tblStyle w:val="76"/>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5"/>
        <w:gridCol w:w="3877"/>
        <w:gridCol w:w="3102"/>
        <w:gridCol w:w="1143"/>
      </w:tblGrid>
      <w:tr w14:paraId="3A0F4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5" w:type="dxa"/>
            <w:vAlign w:val="center"/>
          </w:tcPr>
          <w:p w14:paraId="11EECBD3">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管控维度</w:t>
            </w:r>
          </w:p>
        </w:tc>
        <w:tc>
          <w:tcPr>
            <w:tcW w:w="3877" w:type="dxa"/>
            <w:vAlign w:val="center"/>
          </w:tcPr>
          <w:p w14:paraId="706EF02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管控要求</w:t>
            </w:r>
          </w:p>
        </w:tc>
        <w:tc>
          <w:tcPr>
            <w:tcW w:w="3102" w:type="dxa"/>
            <w:vAlign w:val="center"/>
          </w:tcPr>
          <w:p w14:paraId="3542844A">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eastAsia="zh-CN"/>
              </w:rPr>
            </w:pPr>
            <w:r>
              <w:rPr>
                <w:rFonts w:hint="default" w:ascii="Times New Roman" w:hAnsi="Times New Roman" w:cs="Times New Roman"/>
                <w:b/>
                <w:color w:val="auto"/>
                <w:highlight w:val="none"/>
                <w:u w:val="none" w:color="auto"/>
                <w:lang w:eastAsia="zh-CN"/>
              </w:rPr>
              <w:t>本项目情况</w:t>
            </w:r>
          </w:p>
        </w:tc>
        <w:tc>
          <w:tcPr>
            <w:tcW w:w="1143" w:type="dxa"/>
            <w:vAlign w:val="center"/>
          </w:tcPr>
          <w:p w14:paraId="1874342F">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是否符合</w:t>
            </w:r>
          </w:p>
        </w:tc>
      </w:tr>
      <w:tr w14:paraId="390B96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155" w:type="dxa"/>
            <w:vAlign w:val="center"/>
          </w:tcPr>
          <w:p w14:paraId="2063FEB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空间布局约束</w:t>
            </w:r>
          </w:p>
        </w:tc>
        <w:tc>
          <w:tcPr>
            <w:tcW w:w="3877" w:type="dxa"/>
            <w:vAlign w:val="center"/>
          </w:tcPr>
          <w:p w14:paraId="21FDB57B">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（1.1）大通湖湖泊重点保护区域禁止新建、扩建污水集中处理设施排污口以外的排污口。</w:t>
            </w:r>
          </w:p>
          <w:p w14:paraId="57A9C22B">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区块一</w:t>
            </w:r>
          </w:p>
          <w:p w14:paraId="2F621DD9">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（1.2）西北部集中安置区的邻近工业用地禁止引进气型污染项目，居住区周边设置绿化隔离带。</w:t>
            </w:r>
          </w:p>
          <w:p w14:paraId="42199352">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（1.3）不得建设三类工业。</w:t>
            </w:r>
          </w:p>
        </w:tc>
        <w:tc>
          <w:tcPr>
            <w:tcW w:w="3102" w:type="dxa"/>
            <w:vAlign w:val="center"/>
          </w:tcPr>
          <w:p w14:paraId="354838F2">
            <w:pPr>
              <w:pStyle w:val="192"/>
              <w:keepNext w:val="0"/>
              <w:keepLines w:val="0"/>
              <w:suppressLineNumbers w:val="0"/>
              <w:spacing w:before="0" w:beforeAutospacing="0" w:after="0" w:afterAutospacing="0"/>
              <w:ind w:left="0" w:right="0" w:firstLine="210" w:firstLineChars="100"/>
              <w:jc w:val="both"/>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本项目属于污水处理及其再生利用项目，</w:t>
            </w:r>
            <w:r>
              <w:rPr>
                <w:rFonts w:hint="default" w:ascii="Times New Roman" w:hAnsi="Times New Roman" w:cs="Times New Roman"/>
                <w:color w:val="auto"/>
                <w:highlight w:val="none"/>
                <w:u w:val="none" w:color="auto"/>
                <w:lang w:val="en-US" w:eastAsia="zh-CN"/>
              </w:rPr>
              <w:t>项目尾水达《城镇污水处理厂污染物排放标准》</w:t>
            </w:r>
            <w:r>
              <w:rPr>
                <w:rFonts w:hint="eastAsia" w:cs="Times New Roman"/>
                <w:color w:val="auto"/>
                <w:highlight w:val="none"/>
                <w:u w:val="none" w:color="auto"/>
                <w:lang w:val="en-US" w:eastAsia="zh-CN"/>
              </w:rPr>
              <w:t>（GB18918-2002）修改单</w:t>
            </w:r>
            <w:r>
              <w:rPr>
                <w:rFonts w:hint="default" w:ascii="Times New Roman" w:hAnsi="Times New Roman" w:cs="Times New Roman"/>
                <w:color w:val="auto"/>
                <w:highlight w:val="none"/>
                <w:u w:val="none" w:color="auto"/>
                <w:lang w:val="en-US" w:eastAsia="zh-CN"/>
              </w:rPr>
              <w:t>一级A标准后经机排二十渠再入老三运河</w:t>
            </w:r>
            <w:r>
              <w:rPr>
                <w:rFonts w:hint="default" w:ascii="Times New Roman" w:hAnsi="Times New Roman" w:cs="Times New Roman"/>
                <w:color w:val="auto"/>
                <w:highlight w:val="none"/>
                <w:u w:val="none" w:color="auto"/>
                <w:lang w:eastAsia="zh-CN"/>
              </w:rPr>
              <w:t>。</w:t>
            </w:r>
          </w:p>
        </w:tc>
        <w:tc>
          <w:tcPr>
            <w:tcW w:w="1143" w:type="dxa"/>
            <w:vAlign w:val="center"/>
          </w:tcPr>
          <w:p w14:paraId="54E5E0C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符合</w:t>
            </w:r>
          </w:p>
        </w:tc>
      </w:tr>
      <w:tr w14:paraId="60A1A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155" w:type="dxa"/>
            <w:vAlign w:val="center"/>
          </w:tcPr>
          <w:p w14:paraId="12DF470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污染物排放管控</w:t>
            </w:r>
          </w:p>
        </w:tc>
        <w:tc>
          <w:tcPr>
            <w:tcW w:w="3877" w:type="dxa"/>
            <w:vAlign w:val="center"/>
          </w:tcPr>
          <w:p w14:paraId="445C8CAD">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（2.1）废水：加强重点涉水企业监管，推动工业企业全面达标排放；园区排水实施雨污分流。</w:t>
            </w:r>
          </w:p>
          <w:p w14:paraId="5B16A330">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区块一、区块二</w:t>
            </w:r>
          </w:p>
          <w:p w14:paraId="0CBA0D7D">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（2.1.1）园区废污水经预处理送至大通湖区工业园污水处理厂达标处理后经机排二十渠排入老三运河，最终进入漉湖，工业园污水处理厂稳定达标运行，在线监控联网正常。</w:t>
            </w:r>
          </w:p>
          <w:p w14:paraId="6D581E1F">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区块三</w:t>
            </w:r>
          </w:p>
          <w:p w14:paraId="2D298FDB">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（2.1.2）企业污水送至千山红镇污水处理厂处理，达标后排向泗兴河。</w:t>
            </w:r>
          </w:p>
          <w:p w14:paraId="5FE8A6EF">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2.2）废气：落实园区大气污染管控措施，加强入园企业环境监管和清洁生产指导，减少工艺废气产生和无组织排放，入园企业各生产装置排放的废气须经处理达到相应的要求。采取有效的除臭措施，防止恶臭污染。</w:t>
            </w:r>
          </w:p>
          <w:p w14:paraId="41540DE6">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2.3）固体废弃物：园区应建立统一的固废收集、贮存、运输、综合利用和安全处置的运营管理体系，对食品工业产生的可利用废物统筹建立资源化产业链，提高综合利用率；做好工业固体废物和生活垃圾分类收集、转运和无害化处理。</w:t>
            </w:r>
          </w:p>
        </w:tc>
        <w:tc>
          <w:tcPr>
            <w:tcW w:w="3102" w:type="dxa"/>
            <w:vAlign w:val="center"/>
          </w:tcPr>
          <w:p w14:paraId="37758471">
            <w:pPr>
              <w:pStyle w:val="192"/>
              <w:keepNext w:val="0"/>
              <w:keepLines w:val="0"/>
              <w:suppressLineNumbers w:val="0"/>
              <w:spacing w:before="0" w:beforeAutospacing="0" w:after="0" w:afterAutospacing="0"/>
              <w:ind w:left="0" w:right="0" w:firstLine="210" w:firstLineChars="10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项目生活污水经化粪池处理后进入自身污水处理工程，污水达标处理后经机排二十渠排入老三运河，最终进入漉湖；并设置有在线监测。</w:t>
            </w:r>
          </w:p>
          <w:p w14:paraId="42A053F5">
            <w:pPr>
              <w:pStyle w:val="192"/>
              <w:keepNext w:val="0"/>
              <w:keepLines w:val="0"/>
              <w:suppressLineNumbers w:val="0"/>
              <w:spacing w:before="0" w:beforeAutospacing="0" w:after="0" w:afterAutospacing="0"/>
              <w:ind w:left="0" w:right="0" w:firstLine="210" w:firstLineChars="10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项目恶臭经生物除臭处理后通过15m高排气筒排放，通过加强厂区绿化来减少厂区无组织恶臭排放。</w:t>
            </w:r>
          </w:p>
          <w:p w14:paraId="7BE9CF18">
            <w:pPr>
              <w:pStyle w:val="192"/>
              <w:keepNext w:val="0"/>
              <w:keepLines w:val="0"/>
              <w:suppressLineNumbers w:val="0"/>
              <w:spacing w:before="0" w:beforeAutospacing="0" w:after="0" w:afterAutospacing="0"/>
              <w:ind w:left="0" w:right="0" w:firstLine="210" w:firstLineChars="10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园区设置有</w:t>
            </w:r>
            <w:r>
              <w:rPr>
                <w:rFonts w:hint="default" w:ascii="Times New Roman" w:hAnsi="Times New Roman" w:cs="Times New Roman"/>
                <w:color w:val="auto"/>
                <w:highlight w:val="none"/>
                <w:u w:val="none" w:color="auto"/>
              </w:rPr>
              <w:t>统一的固废收集、贮存、运输、综合利用和安全处置的运营管理体系</w:t>
            </w:r>
          </w:p>
          <w:p w14:paraId="54BC3B12">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p>
        </w:tc>
        <w:tc>
          <w:tcPr>
            <w:tcW w:w="1143" w:type="dxa"/>
            <w:vAlign w:val="center"/>
          </w:tcPr>
          <w:p w14:paraId="0957A84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符合</w:t>
            </w:r>
          </w:p>
        </w:tc>
      </w:tr>
      <w:tr w14:paraId="40D33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155" w:type="dxa"/>
            <w:vAlign w:val="center"/>
          </w:tcPr>
          <w:p w14:paraId="4D62980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环境风险防控</w:t>
            </w:r>
          </w:p>
        </w:tc>
        <w:tc>
          <w:tcPr>
            <w:tcW w:w="3877" w:type="dxa"/>
            <w:vAlign w:val="center"/>
          </w:tcPr>
          <w:p w14:paraId="4E6634FA">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3.1）产业开发区应建立健全各区块环境风险防控体系，严格落实《益阳大通湖产业开发区突发环境事件应急预案》的相关要求，严防环境突发事件发生，提高应急处置能力。建立健全环境应急演练制度，每年至少组织一次应急预案演练。</w:t>
            </w:r>
          </w:p>
          <w:p w14:paraId="6F37C24B">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3.2）园区可能发生突发环境事件的污染物排放企业，生产、储存、运输、使用危险化学品的企业，产生、收集、贮存、运输。危险废物的企业应当编制和实施环境应急预案；鼓励其他企业制定单独的环境应急预案，或在突发事件应急预案中制定环境应急预案专章，并备案</w:t>
            </w:r>
          </w:p>
          <w:p w14:paraId="6FADDF0F">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（3.3）建设用地风险防控：严格建设用地土壤污染风险管控，进一步加强搬迁或退出工业企业腾退土地污染风险管控，严格企业拆除活动的环境监管。</w:t>
            </w:r>
          </w:p>
          <w:p w14:paraId="5C7408CC">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（3.4）农用地风险防控：禁止向农用地排放、倾倒未无害化处理达标的固体废物、工业废水，严防灌溉用水污染土壤，从源头切断污染物进入农用地。</w:t>
            </w:r>
          </w:p>
        </w:tc>
        <w:tc>
          <w:tcPr>
            <w:tcW w:w="3102" w:type="dxa"/>
            <w:vAlign w:val="center"/>
          </w:tcPr>
          <w:p w14:paraId="2FC8876E">
            <w:pPr>
              <w:pStyle w:val="192"/>
              <w:keepNext w:val="0"/>
              <w:keepLines w:val="0"/>
              <w:suppressLineNumbers w:val="0"/>
              <w:spacing w:before="0" w:beforeAutospacing="0" w:after="0" w:afterAutospacing="0"/>
              <w:ind w:left="0" w:right="0" w:firstLine="210" w:firstLineChars="10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项目建成后将编制突发环境事件应急预案并进行备案，并与</w:t>
            </w:r>
            <w:r>
              <w:rPr>
                <w:rFonts w:hint="default" w:ascii="Times New Roman" w:hAnsi="Times New Roman" w:cs="Times New Roman"/>
                <w:color w:val="auto"/>
                <w:highlight w:val="none"/>
                <w:u w:val="none" w:color="auto"/>
              </w:rPr>
              <w:t>《益阳大通湖产业开发区突发环境事件应急预案》</w:t>
            </w:r>
            <w:r>
              <w:rPr>
                <w:rFonts w:hint="default" w:ascii="Times New Roman" w:hAnsi="Times New Roman" w:cs="Times New Roman"/>
                <w:color w:val="auto"/>
                <w:highlight w:val="none"/>
                <w:u w:val="none" w:color="auto"/>
                <w:lang w:val="en-US" w:eastAsia="zh-CN"/>
              </w:rPr>
              <w:t>进行衔接，定期演练。</w:t>
            </w:r>
          </w:p>
          <w:p w14:paraId="62123152">
            <w:pPr>
              <w:pStyle w:val="192"/>
              <w:keepNext w:val="0"/>
              <w:keepLines w:val="0"/>
              <w:suppressLineNumbers w:val="0"/>
              <w:spacing w:before="0" w:beforeAutospacing="0" w:after="0" w:afterAutospacing="0"/>
              <w:ind w:left="0" w:right="0" w:firstLine="210" w:firstLineChars="100"/>
              <w:jc w:val="both"/>
              <w:rPr>
                <w:rFonts w:hint="default" w:ascii="Times New Roman" w:hAnsi="Times New Roman" w:cs="Times New Roman"/>
                <w:color w:val="auto"/>
                <w:highlight w:val="none"/>
                <w:u w:val="none" w:color="auto"/>
                <w:lang w:val="en-US" w:eastAsia="zh-CN"/>
              </w:rPr>
            </w:pPr>
          </w:p>
        </w:tc>
        <w:tc>
          <w:tcPr>
            <w:tcW w:w="1143" w:type="dxa"/>
            <w:vAlign w:val="center"/>
          </w:tcPr>
          <w:p w14:paraId="2940DB6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符合</w:t>
            </w:r>
          </w:p>
        </w:tc>
      </w:tr>
      <w:tr w14:paraId="31A99F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155" w:type="dxa"/>
            <w:vAlign w:val="center"/>
          </w:tcPr>
          <w:p w14:paraId="5E2595F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资源开发效率要求</w:t>
            </w:r>
          </w:p>
        </w:tc>
        <w:tc>
          <w:tcPr>
            <w:tcW w:w="3877" w:type="dxa"/>
            <w:vAlign w:val="center"/>
          </w:tcPr>
          <w:p w14:paraId="12A9A63F">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（4.1）能源：优化能源结构，加快构建多元化的清洁能源供应网络，努力提高天然气、电力、可再生能源在能源结构中的比例。2025年，大通湖产业开发区单位 GDP 能耗控制在0.32标煤</w:t>
            </w:r>
            <w:r>
              <w:rPr>
                <w:rFonts w:hint="default" w:ascii="Times New Roman" w:hAnsi="Times New Roman" w:cs="Times New Roman"/>
                <w:color w:val="auto"/>
                <w:highlight w:val="none"/>
                <w:u w:val="none" w:color="auto"/>
                <w:lang w:val="en-US" w:eastAsia="zh-CN"/>
              </w:rPr>
              <w:t>/</w:t>
            </w:r>
            <w:r>
              <w:rPr>
                <w:rFonts w:hint="default" w:ascii="Times New Roman" w:hAnsi="Times New Roman" w:cs="Times New Roman"/>
                <w:color w:val="auto"/>
                <w:highlight w:val="none"/>
                <w:u w:val="none" w:color="auto"/>
              </w:rPr>
              <w:t>万元，能源消费增量控制在6862.6标煤（当量值） 以内。</w:t>
            </w:r>
          </w:p>
          <w:p w14:paraId="7E47779D">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（4.2）水资源：开展节水诊断、水平衡测试、用水效率评估。2025 年，大通湖区用水总量 1.030 亿立方米，万元工业增加值用水量为 30.68 立方米</w:t>
            </w:r>
            <w:r>
              <w:rPr>
                <w:rFonts w:hint="default" w:ascii="Times New Roman" w:hAnsi="Times New Roman" w:cs="Times New Roman"/>
                <w:color w:val="auto"/>
                <w:highlight w:val="none"/>
                <w:u w:val="none" w:color="auto"/>
                <w:lang w:val="en-US" w:eastAsia="zh-CN"/>
              </w:rPr>
              <w:t>/</w:t>
            </w:r>
            <w:r>
              <w:rPr>
                <w:rFonts w:hint="default" w:ascii="Times New Roman" w:hAnsi="Times New Roman" w:cs="Times New Roman"/>
                <w:color w:val="auto"/>
                <w:highlight w:val="none"/>
                <w:u w:val="none" w:color="auto"/>
              </w:rPr>
              <w:t>万元，万元工业增加值用水量比2020年下降 7.00％。</w:t>
            </w:r>
          </w:p>
          <w:p w14:paraId="39A04B8D">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（4.3）土地资源：在详细规划编制、用地预审与选址、用地报批、土地出让、规划许可、竣工验收等环节，全面推行工业项目建设用地引导指标和工业项目供地负面清单管理。工业用地固定资产投资强度达</w:t>
            </w:r>
            <w:r>
              <w:rPr>
                <w:rFonts w:hint="default" w:ascii="Times New Roman" w:hAnsi="Times New Roman" w:cs="Times New Roman"/>
                <w:color w:val="auto"/>
                <w:highlight w:val="none"/>
                <w:u w:val="none" w:color="auto"/>
                <w:lang w:val="en-US" w:eastAsia="zh-CN"/>
              </w:rPr>
              <w:t>260</w:t>
            </w:r>
            <w:r>
              <w:rPr>
                <w:rFonts w:hint="default" w:ascii="Times New Roman" w:hAnsi="Times New Roman" w:cs="Times New Roman"/>
                <w:color w:val="auto"/>
                <w:highlight w:val="none"/>
                <w:u w:val="none" w:color="auto"/>
              </w:rPr>
              <w:t>万元</w:t>
            </w:r>
            <w:r>
              <w:rPr>
                <w:rFonts w:hint="default" w:ascii="Times New Roman" w:hAnsi="Times New Roman" w:cs="Times New Roman"/>
                <w:color w:val="auto"/>
                <w:highlight w:val="none"/>
                <w:u w:val="none" w:color="auto"/>
                <w:lang w:val="en-US" w:eastAsia="zh-CN"/>
              </w:rPr>
              <w:t>/</w:t>
            </w:r>
            <w:r>
              <w:rPr>
                <w:rFonts w:hint="default" w:ascii="Times New Roman" w:hAnsi="Times New Roman" w:cs="Times New Roman"/>
                <w:color w:val="auto"/>
                <w:highlight w:val="none"/>
                <w:u w:val="none" w:color="auto"/>
              </w:rPr>
              <w:t>亩，工业用地地均税收</w:t>
            </w:r>
            <w:r>
              <w:rPr>
                <w:rFonts w:hint="default" w:ascii="Times New Roman" w:hAnsi="Times New Roman" w:cs="Times New Roman"/>
                <w:color w:val="auto"/>
                <w:highlight w:val="none"/>
                <w:u w:val="none" w:color="auto"/>
                <w:lang w:val="en-US" w:eastAsia="zh-CN"/>
              </w:rPr>
              <w:t>13</w:t>
            </w:r>
            <w:r>
              <w:rPr>
                <w:rFonts w:hint="default" w:ascii="Times New Roman" w:hAnsi="Times New Roman" w:cs="Times New Roman"/>
                <w:color w:val="auto"/>
                <w:highlight w:val="none"/>
                <w:u w:val="none" w:color="auto"/>
              </w:rPr>
              <w:t>万元</w:t>
            </w:r>
            <w:r>
              <w:rPr>
                <w:rFonts w:hint="default" w:ascii="Times New Roman" w:hAnsi="Times New Roman" w:cs="Times New Roman"/>
                <w:color w:val="auto"/>
                <w:highlight w:val="none"/>
                <w:u w:val="none" w:color="auto"/>
                <w:lang w:val="en-US" w:eastAsia="zh-CN"/>
              </w:rPr>
              <w:t>/</w:t>
            </w:r>
            <w:r>
              <w:rPr>
                <w:rFonts w:hint="default" w:ascii="Times New Roman" w:hAnsi="Times New Roman" w:cs="Times New Roman"/>
                <w:color w:val="auto"/>
                <w:highlight w:val="none"/>
                <w:u w:val="none" w:color="auto"/>
              </w:rPr>
              <w:t>亩。</w:t>
            </w:r>
          </w:p>
        </w:tc>
        <w:tc>
          <w:tcPr>
            <w:tcW w:w="3102" w:type="dxa"/>
            <w:vAlign w:val="center"/>
          </w:tcPr>
          <w:p w14:paraId="2C2B6CE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不涉及</w:t>
            </w:r>
          </w:p>
        </w:tc>
        <w:tc>
          <w:tcPr>
            <w:tcW w:w="1143" w:type="dxa"/>
            <w:vAlign w:val="center"/>
          </w:tcPr>
          <w:p w14:paraId="1334309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符合</w:t>
            </w:r>
          </w:p>
        </w:tc>
      </w:tr>
    </w:tbl>
    <w:p w14:paraId="3309BEFE">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1.4.5 </w:t>
      </w:r>
      <w:r>
        <w:rPr>
          <w:rFonts w:hint="default" w:ascii="Times New Roman" w:hAnsi="Times New Roman" w:cs="Times New Roman"/>
          <w:color w:val="auto"/>
          <w:highlight w:val="none"/>
          <w:u w:val="none" w:color="auto"/>
        </w:rPr>
        <w:t>与大通湖工业集中区环境准入负面清单符合性分析</w:t>
      </w:r>
    </w:p>
    <w:p w14:paraId="0B6D26CF">
      <w:pPr>
        <w:pStyle w:val="189"/>
        <w:rPr>
          <w:rFonts w:hint="default" w:ascii="Times New Roman" w:hAnsi="Times New Roman" w:cs="Times New Roman"/>
          <w:b/>
          <w:bCs/>
          <w:color w:val="auto"/>
          <w:highlight w:val="none"/>
          <w:u w:val="none" w:color="auto"/>
          <w:lang w:val="en-US" w:eastAsia="zh-CN"/>
        </w:rPr>
      </w:pPr>
      <w:bookmarkStart w:id="19" w:name="_Toc17665"/>
      <w:r>
        <w:rPr>
          <w:rFonts w:hint="default" w:ascii="Times New Roman" w:hAnsi="Times New Roman" w:cs="Times New Roman"/>
          <w:color w:val="auto"/>
          <w:highlight w:val="none"/>
          <w:u w:val="none" w:color="auto"/>
        </w:rPr>
        <w:t>本项目位于</w:t>
      </w:r>
      <w:r>
        <w:rPr>
          <w:rFonts w:hint="default" w:ascii="Times New Roman" w:hAnsi="Times New Roman" w:cs="Times New Roman"/>
          <w:color w:val="auto"/>
          <w:highlight w:val="none"/>
          <w:u w:val="none" w:color="auto"/>
          <w:lang w:eastAsia="zh-CN"/>
        </w:rPr>
        <w:t>大通湖区工业园内机排二十渠旁</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eastAsia="zh-CN"/>
        </w:rPr>
        <w:t>隶</w:t>
      </w:r>
      <w:r>
        <w:rPr>
          <w:rFonts w:hint="default" w:ascii="Times New Roman" w:hAnsi="Times New Roman" w:cs="Times New Roman"/>
          <w:color w:val="auto"/>
          <w:highlight w:val="none"/>
          <w:u w:val="none" w:color="auto"/>
          <w:lang w:val="en-US" w:eastAsia="zh-CN"/>
        </w:rPr>
        <w:t>属大通湖工业集中区</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与园区的负面清单要求符合性分析如下表1.4-5</w:t>
      </w:r>
      <w:r>
        <w:rPr>
          <w:rFonts w:hint="default" w:ascii="Times New Roman" w:hAnsi="Times New Roman" w:cs="Times New Roman"/>
          <w:color w:val="auto"/>
          <w:highlight w:val="none"/>
          <w:u w:val="none" w:color="auto"/>
        </w:rPr>
        <w:t>。</w:t>
      </w:r>
    </w:p>
    <w:p w14:paraId="77E95510">
      <w:pPr>
        <w:pStyle w:val="189"/>
        <w:spacing w:line="240" w:lineRule="auto"/>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表1.4-5 本项目与大通湖工业集中区环境准入负面清单要求对照一览表</w:t>
      </w:r>
    </w:p>
    <w:tbl>
      <w:tblPr>
        <w:tblStyle w:val="76"/>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4515"/>
        <w:gridCol w:w="2719"/>
        <w:gridCol w:w="1143"/>
      </w:tblGrid>
      <w:tr w14:paraId="77817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0" w:type="dxa"/>
            <w:vAlign w:val="center"/>
          </w:tcPr>
          <w:p w14:paraId="17CB07CB">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类别</w:t>
            </w:r>
          </w:p>
        </w:tc>
        <w:tc>
          <w:tcPr>
            <w:tcW w:w="4515" w:type="dxa"/>
            <w:vAlign w:val="center"/>
          </w:tcPr>
          <w:p w14:paraId="203F0E84">
            <w:pPr>
              <w:pStyle w:val="192"/>
              <w:keepNext w:val="0"/>
              <w:keepLines w:val="0"/>
              <w:suppressLineNumbers w:val="0"/>
              <w:spacing w:before="0" w:beforeAutospacing="0" w:after="0" w:afterAutospacing="0"/>
              <w:ind w:left="0" w:right="0"/>
              <w:jc w:val="left"/>
              <w:rPr>
                <w:rFonts w:hint="default" w:ascii="Times New Roman" w:hAnsi="Times New Roman"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行业类别</w:t>
            </w:r>
          </w:p>
        </w:tc>
        <w:tc>
          <w:tcPr>
            <w:tcW w:w="2719" w:type="dxa"/>
            <w:vAlign w:val="center"/>
          </w:tcPr>
          <w:p w14:paraId="759142FE">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eastAsia="zh-CN"/>
              </w:rPr>
            </w:pPr>
            <w:r>
              <w:rPr>
                <w:rFonts w:hint="default" w:ascii="Times New Roman" w:hAnsi="Times New Roman" w:cs="Times New Roman"/>
                <w:b/>
                <w:color w:val="auto"/>
                <w:highlight w:val="none"/>
                <w:u w:val="none" w:color="auto"/>
                <w:lang w:eastAsia="zh-CN"/>
              </w:rPr>
              <w:t>本项目情况</w:t>
            </w:r>
          </w:p>
        </w:tc>
        <w:tc>
          <w:tcPr>
            <w:tcW w:w="1143" w:type="dxa"/>
            <w:vAlign w:val="center"/>
          </w:tcPr>
          <w:p w14:paraId="2F25848C">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lang w:eastAsia="zh-CN"/>
              </w:rPr>
            </w:pPr>
            <w:r>
              <w:rPr>
                <w:rFonts w:hint="default" w:ascii="Times New Roman" w:hAnsi="Times New Roman" w:cs="Times New Roman"/>
                <w:b/>
                <w:color w:val="auto"/>
                <w:highlight w:val="none"/>
                <w:u w:val="none" w:color="auto"/>
                <w:lang w:eastAsia="zh-CN"/>
              </w:rPr>
              <w:t>是否符合</w:t>
            </w:r>
          </w:p>
        </w:tc>
      </w:tr>
      <w:tr w14:paraId="0359C2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900" w:type="dxa"/>
            <w:vAlign w:val="center"/>
          </w:tcPr>
          <w:p w14:paraId="1724714E">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禁止类</w:t>
            </w:r>
          </w:p>
        </w:tc>
        <w:tc>
          <w:tcPr>
            <w:tcW w:w="4515" w:type="dxa"/>
            <w:vAlign w:val="center"/>
          </w:tcPr>
          <w:p w14:paraId="7ABEC3B8">
            <w:pPr>
              <w:pStyle w:val="436"/>
              <w:keepNext w:val="0"/>
              <w:keepLines w:val="0"/>
              <w:suppressLineNumbers w:val="0"/>
              <w:spacing w:before="0" w:beforeAutospacing="0" w:after="0" w:afterAutospacing="0" w:line="240" w:lineRule="exact"/>
              <w:ind w:left="0" w:right="0"/>
              <w:jc w:val="both"/>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val="en-US" w:eastAsia="zh-CN"/>
              </w:rPr>
              <w:t>①</w:t>
            </w:r>
            <w:r>
              <w:rPr>
                <w:rFonts w:hint="default" w:ascii="Times New Roman" w:hAnsi="Times New Roman" w:cs="Times New Roman"/>
                <w:color w:val="auto"/>
                <w:szCs w:val="21"/>
                <w:highlight w:val="none"/>
              </w:rPr>
              <w:t>主导产业以外的《国民经济行业分类》（GB/T 4754-2017）中：</w:t>
            </w:r>
            <w:r>
              <w:rPr>
                <w:rFonts w:hint="default" w:ascii="Times New Roman" w:hAnsi="Times New Roman" w:cs="Times New Roman"/>
                <w:color w:val="auto"/>
                <w:highlight w:val="none"/>
              </w:rPr>
              <w:t>采矿业；黑色金属冶炼；有色金属冶炼；石油、煤炭及其他燃料加工业；化学原料和化学制品制造业；</w:t>
            </w:r>
            <w:r>
              <w:rPr>
                <w:rFonts w:hint="default" w:ascii="Times New Roman" w:hAnsi="Times New Roman" w:cs="Times New Roman"/>
                <w:color w:val="auto"/>
                <w:szCs w:val="21"/>
                <w:highlight w:val="none"/>
              </w:rPr>
              <w:t>化学药品原料药制造业；</w:t>
            </w:r>
            <w:r>
              <w:rPr>
                <w:rFonts w:hint="default" w:ascii="Times New Roman" w:hAnsi="Times New Roman" w:cs="Times New Roman"/>
                <w:color w:val="auto"/>
                <w:highlight w:val="none"/>
              </w:rPr>
              <w:t>皮革鞣制加工；毛皮鞣制加工；</w:t>
            </w:r>
            <w:r>
              <w:rPr>
                <w:rFonts w:hint="default" w:ascii="Times New Roman" w:hAnsi="Times New Roman" w:cs="Times New Roman"/>
                <w:color w:val="auto"/>
                <w:szCs w:val="21"/>
                <w:highlight w:val="none"/>
              </w:rPr>
              <w:t>纸浆制造业；涉及染整工艺的纺织业</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涉及水泥熟料制造的建材产业；化学纤维制造业；金属制品、机械和设备修理业；涉及废旧橡胶再生、废旧金属冶炼、废纸造纸、废旧电子产品回收利用、废旧汽车拆解的废弃资源综合利用业</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含线路板蚀刻、电镀等印刷线路板的电子信息产业；</w:t>
            </w:r>
            <w:r>
              <w:rPr>
                <w:rFonts w:hint="default" w:ascii="Times New Roman" w:hAnsi="Times New Roman" w:cs="Times New Roman"/>
                <w:color w:val="auto"/>
                <w:szCs w:val="21"/>
                <w:highlight w:val="none"/>
                <w:lang w:eastAsia="zh-CN"/>
              </w:rPr>
              <w:t>涉及</w:t>
            </w:r>
            <w:r>
              <w:rPr>
                <w:rFonts w:hint="default" w:ascii="Times New Roman" w:hAnsi="Times New Roman" w:cs="Times New Roman"/>
                <w:color w:val="auto"/>
                <w:szCs w:val="21"/>
                <w:highlight w:val="none"/>
              </w:rPr>
              <w:t>化学药品原料药制造业的医药制造业；涉及铸造、锻造、电镀、电泳和大规模的磷化、酸化等表面处理工艺的装备制造业</w:t>
            </w:r>
            <w:r>
              <w:rPr>
                <w:rFonts w:hint="default" w:ascii="Times New Roman" w:hAnsi="Times New Roman" w:cs="Times New Roman"/>
                <w:color w:val="auto"/>
                <w:szCs w:val="21"/>
                <w:highlight w:val="none"/>
                <w:lang w:eastAsia="zh-CN"/>
              </w:rPr>
              <w:t>。</w:t>
            </w:r>
          </w:p>
          <w:p w14:paraId="6FC8B513">
            <w:pPr>
              <w:pStyle w:val="436"/>
              <w:keepNext w:val="0"/>
              <w:keepLines w:val="0"/>
              <w:suppressLineNumbers w:val="0"/>
              <w:spacing w:before="0" w:beforeAutospacing="0" w:after="0" w:afterAutospacing="0" w:line="240" w:lineRule="exact"/>
              <w:ind w:left="0" w:right="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②</w:t>
            </w:r>
            <w:r>
              <w:rPr>
                <w:rFonts w:hint="default" w:ascii="Times New Roman" w:hAnsi="Times New Roman" w:cs="Times New Roman"/>
                <w:color w:val="auto"/>
                <w:highlight w:val="none"/>
              </w:rPr>
              <w:t>污水经预处理达不到污水处理厂进水水质要求的项目；污染物无法达标排放或</w:t>
            </w:r>
            <w:r>
              <w:rPr>
                <w:rFonts w:hint="default" w:ascii="Times New Roman" w:hAnsi="Times New Roman" w:cs="Times New Roman"/>
                <w:color w:val="auto"/>
                <w:highlight w:val="none"/>
                <w:lang w:eastAsia="zh-CN"/>
              </w:rPr>
              <w:t>集中区</w:t>
            </w:r>
            <w:r>
              <w:rPr>
                <w:rFonts w:hint="default" w:ascii="Times New Roman" w:hAnsi="Times New Roman" w:cs="Times New Roman"/>
                <w:color w:val="auto"/>
                <w:highlight w:val="none"/>
              </w:rPr>
              <w:t>发展过程中环境容量不能接受的项目</w:t>
            </w:r>
            <w:r>
              <w:rPr>
                <w:rFonts w:hint="default" w:ascii="Times New Roman" w:hAnsi="Times New Roman" w:cs="Times New Roman"/>
                <w:color w:val="auto"/>
                <w:highlight w:val="none"/>
                <w:lang w:eastAsia="zh-CN"/>
              </w:rPr>
              <w:t>。</w:t>
            </w:r>
          </w:p>
          <w:p w14:paraId="345332C2">
            <w:pPr>
              <w:pStyle w:val="436"/>
              <w:keepNext w:val="0"/>
              <w:keepLines w:val="0"/>
              <w:suppressLineNumbers w:val="0"/>
              <w:spacing w:before="0" w:beforeAutospacing="0" w:after="0" w:afterAutospacing="0" w:line="240" w:lineRule="exact"/>
              <w:ind w:left="0" w:right="0" w:firstLine="420" w:firstLineChars="20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lang w:eastAsia="zh-CN"/>
              </w:rPr>
              <w:t>③</w:t>
            </w:r>
            <w:r>
              <w:rPr>
                <w:rFonts w:hint="default" w:ascii="Times New Roman" w:hAnsi="Times New Roman" w:cs="Times New Roman"/>
                <w:color w:val="auto"/>
                <w:highlight w:val="none"/>
              </w:rPr>
              <w:t>采用的生产工艺、设备或生产规模不符合国家相关产业政策或行业规范的项目。</w:t>
            </w:r>
          </w:p>
        </w:tc>
        <w:tc>
          <w:tcPr>
            <w:tcW w:w="2719" w:type="dxa"/>
            <w:vMerge w:val="restart"/>
            <w:vAlign w:val="center"/>
          </w:tcPr>
          <w:p w14:paraId="0985CE5E">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本项目属于园区配套污水处理设施，不属于相关禁止类及限制类项目</w:t>
            </w:r>
          </w:p>
        </w:tc>
        <w:tc>
          <w:tcPr>
            <w:tcW w:w="1143" w:type="dxa"/>
            <w:vAlign w:val="center"/>
          </w:tcPr>
          <w:p w14:paraId="361678F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符合</w:t>
            </w:r>
          </w:p>
        </w:tc>
      </w:tr>
      <w:tr w14:paraId="78D97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900" w:type="dxa"/>
            <w:vAlign w:val="center"/>
          </w:tcPr>
          <w:p w14:paraId="62241639">
            <w:pPr>
              <w:pStyle w:val="192"/>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限制类</w:t>
            </w:r>
          </w:p>
        </w:tc>
        <w:tc>
          <w:tcPr>
            <w:tcW w:w="4515" w:type="dxa"/>
            <w:vAlign w:val="center"/>
          </w:tcPr>
          <w:p w14:paraId="44C45799">
            <w:pPr>
              <w:pStyle w:val="436"/>
              <w:keepNext w:val="0"/>
              <w:keepLines w:val="0"/>
              <w:suppressLineNumbers w:val="0"/>
              <w:spacing w:before="0" w:beforeAutospacing="0" w:after="0" w:afterAutospacing="0" w:line="240" w:lineRule="exact"/>
              <w:ind w:left="0" w:right="0" w:firstLine="420" w:firstLineChars="20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szCs w:val="21"/>
                <w:highlight w:val="none"/>
                <w:lang w:eastAsia="zh-CN"/>
              </w:rPr>
              <w:t>人造板</w:t>
            </w:r>
            <w:r>
              <w:rPr>
                <w:rFonts w:hint="default" w:ascii="Times New Roman" w:hAnsi="Times New Roman" w:cs="Times New Roman"/>
                <w:color w:val="auto"/>
                <w:szCs w:val="21"/>
                <w:highlight w:val="none"/>
              </w:rPr>
              <w:t>加工业；橡胶和塑料制品业；屠宰业</w:t>
            </w:r>
            <w:r>
              <w:rPr>
                <w:rFonts w:hint="default" w:ascii="Times New Roman" w:hAnsi="Times New Roman" w:cs="Times New Roman"/>
                <w:color w:val="auto"/>
                <w:szCs w:val="21"/>
                <w:highlight w:val="none"/>
                <w:lang w:eastAsia="zh-CN"/>
              </w:rPr>
              <w:t>；调味品、发酵制品制造；</w:t>
            </w:r>
            <w:r>
              <w:rPr>
                <w:rFonts w:hint="default" w:ascii="Times New Roman" w:hAnsi="Times New Roman" w:cs="Times New Roman"/>
                <w:color w:val="auto"/>
                <w:szCs w:val="21"/>
                <w:highlight w:val="none"/>
              </w:rPr>
              <w:t>采用油性漆喷漆量大的家具及钢结构制造业；</w:t>
            </w:r>
            <w:r>
              <w:rPr>
                <w:rFonts w:hint="default" w:ascii="Times New Roman" w:hAnsi="Times New Roman" w:cs="Times New Roman"/>
                <w:color w:val="auto"/>
                <w:szCs w:val="21"/>
                <w:highlight w:val="none"/>
                <w:lang w:eastAsia="zh-CN"/>
              </w:rPr>
              <w:t>平板玻璃制造业</w:t>
            </w:r>
            <w:r>
              <w:rPr>
                <w:rFonts w:hint="default" w:ascii="Times New Roman" w:hAnsi="Times New Roman" w:cs="Times New Roman"/>
                <w:color w:val="auto"/>
                <w:szCs w:val="21"/>
                <w:highlight w:val="none"/>
              </w:rPr>
              <w:t>；以及其他废气、废水排放量大的行业</w:t>
            </w:r>
          </w:p>
        </w:tc>
        <w:tc>
          <w:tcPr>
            <w:tcW w:w="2719" w:type="dxa"/>
            <w:vMerge w:val="continue"/>
            <w:vAlign w:val="center"/>
          </w:tcPr>
          <w:p w14:paraId="34344103">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p>
        </w:tc>
        <w:tc>
          <w:tcPr>
            <w:tcW w:w="1143" w:type="dxa"/>
            <w:vAlign w:val="center"/>
          </w:tcPr>
          <w:p w14:paraId="537D245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符合</w:t>
            </w:r>
          </w:p>
        </w:tc>
      </w:tr>
    </w:tbl>
    <w:p w14:paraId="7F1453F0">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1.4.6 </w:t>
      </w:r>
      <w:r>
        <w:rPr>
          <w:rFonts w:hint="default" w:ascii="Times New Roman" w:hAnsi="Times New Roman" w:cs="Times New Roman"/>
          <w:color w:val="auto"/>
          <w:highlight w:val="none"/>
          <w:u w:val="none" w:color="auto"/>
        </w:rPr>
        <w:t>项目选址合理性分析</w:t>
      </w:r>
      <w:bookmarkEnd w:id="19"/>
    </w:p>
    <w:p w14:paraId="0446EE8B">
      <w:pPr>
        <w:pStyle w:val="189"/>
        <w:rPr>
          <w:rFonts w:hint="default" w:ascii="Times New Roman" w:hAnsi="Times New Roman" w:cs="Times New Roman" w:eastAsiaTheme="minorEastAsia"/>
          <w:color w:val="auto"/>
          <w:highlight w:val="none"/>
          <w:u w:val="none" w:color="auto"/>
          <w:lang w:eastAsia="zh-CN"/>
        </w:rPr>
      </w:pPr>
      <w:r>
        <w:rPr>
          <w:rFonts w:hint="default" w:ascii="Times New Roman" w:hAnsi="Times New Roman" w:cs="Times New Roman"/>
          <w:color w:val="auto"/>
          <w:highlight w:val="none"/>
          <w:u w:val="none" w:color="auto"/>
        </w:rPr>
        <w:t>项目选址于</w:t>
      </w:r>
      <w:r>
        <w:rPr>
          <w:rFonts w:hint="default" w:ascii="Times New Roman" w:hAnsi="Times New Roman" w:cs="Times New Roman"/>
          <w:color w:val="auto"/>
          <w:highlight w:val="none"/>
          <w:u w:val="none" w:color="auto"/>
          <w:lang w:eastAsia="zh-CN"/>
        </w:rPr>
        <w:t>大通湖区工业园内机排二十渠旁</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eastAsia="zh-CN"/>
        </w:rPr>
        <w:t>隶</w:t>
      </w:r>
      <w:r>
        <w:rPr>
          <w:rFonts w:hint="default" w:ascii="Times New Roman" w:hAnsi="Times New Roman" w:cs="Times New Roman"/>
          <w:color w:val="auto"/>
          <w:highlight w:val="none"/>
          <w:u w:val="none" w:color="auto"/>
          <w:lang w:val="en-US" w:eastAsia="zh-CN"/>
        </w:rPr>
        <w:t>属大通湖工业集中区</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根据《大通湖产业开发区控制性详细规划》（2024年），</w:t>
      </w:r>
      <w:r>
        <w:rPr>
          <w:rFonts w:hint="default" w:ascii="Times New Roman" w:hAnsi="Times New Roman" w:cs="Times New Roman"/>
          <w:color w:val="auto"/>
          <w:highlight w:val="none"/>
          <w:u w:val="none" w:color="auto"/>
        </w:rPr>
        <w:t>项目用地为</w:t>
      </w:r>
      <w:r>
        <w:rPr>
          <w:rFonts w:hint="default" w:ascii="Times New Roman" w:hAnsi="Times New Roman" w:cs="Times New Roman"/>
          <w:color w:val="auto"/>
          <w:highlight w:val="none"/>
          <w:u w:val="none" w:color="auto"/>
          <w:lang w:val="en-US" w:eastAsia="zh-CN"/>
        </w:rPr>
        <w:t>排水</w:t>
      </w:r>
      <w:r>
        <w:rPr>
          <w:rFonts w:hint="default" w:ascii="Times New Roman" w:hAnsi="Times New Roman" w:cs="Times New Roman"/>
          <w:color w:val="auto"/>
          <w:highlight w:val="none"/>
          <w:u w:val="none" w:color="auto"/>
        </w:rPr>
        <w:t>用地，</w:t>
      </w:r>
      <w:r>
        <w:rPr>
          <w:rFonts w:hint="default" w:ascii="Times New Roman" w:hAnsi="Times New Roman" w:cs="Times New Roman"/>
          <w:color w:val="auto"/>
          <w:highlight w:val="none"/>
          <w:u w:val="none" w:color="auto"/>
          <w:lang w:val="en-US" w:eastAsia="zh-CN"/>
        </w:rPr>
        <w:t>规划为污水处理厂建设用地，</w:t>
      </w:r>
      <w:r>
        <w:rPr>
          <w:rFonts w:hint="default" w:ascii="Times New Roman" w:hAnsi="Times New Roman" w:cs="Times New Roman"/>
          <w:color w:val="auto"/>
          <w:highlight w:val="none"/>
          <w:u w:val="none" w:color="auto"/>
        </w:rPr>
        <w:t>项目建设符合用地规划要求。本项目选址于</w:t>
      </w:r>
      <w:r>
        <w:rPr>
          <w:rFonts w:hint="default" w:ascii="Times New Roman" w:hAnsi="Times New Roman" w:cs="Times New Roman"/>
          <w:color w:val="auto"/>
          <w:highlight w:val="none"/>
          <w:u w:val="none" w:color="auto"/>
          <w:lang w:eastAsia="zh-CN"/>
        </w:rPr>
        <w:t>原有污水处理站</w:t>
      </w:r>
      <w:r>
        <w:rPr>
          <w:rFonts w:hint="default" w:ascii="Times New Roman" w:hAnsi="Times New Roman" w:cs="Times New Roman"/>
          <w:color w:val="auto"/>
          <w:highlight w:val="none"/>
          <w:u w:val="none" w:color="auto"/>
          <w:lang w:val="en-US" w:eastAsia="zh-CN"/>
        </w:rPr>
        <w:t>及南侧临近用地</w:t>
      </w:r>
      <w:r>
        <w:rPr>
          <w:rFonts w:hint="default" w:ascii="Times New Roman" w:hAnsi="Times New Roman" w:cs="Times New Roman"/>
          <w:color w:val="auto"/>
          <w:highlight w:val="none"/>
          <w:u w:val="none" w:color="auto"/>
          <w:lang w:eastAsia="zh-CN"/>
        </w:rPr>
        <w:t>进行改造</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eastAsia="zh-CN"/>
        </w:rPr>
        <w:t>能有效降低建设成本，亦</w:t>
      </w:r>
      <w:r>
        <w:rPr>
          <w:rFonts w:hint="default" w:ascii="Times New Roman" w:hAnsi="Times New Roman" w:cs="Times New Roman"/>
          <w:color w:val="auto"/>
          <w:highlight w:val="none"/>
          <w:u w:val="none" w:color="auto"/>
        </w:rPr>
        <w:t>可有效利用园区水、电、气、道路、绿化等配套设施。</w:t>
      </w:r>
    </w:p>
    <w:p w14:paraId="64778925">
      <w:pPr>
        <w:pStyle w:val="189"/>
        <w:ind w:firstLine="720" w:firstLineChars="3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综上，本项目选址合理。</w:t>
      </w:r>
    </w:p>
    <w:p w14:paraId="7710D9F5">
      <w:pPr>
        <w:pStyle w:val="3"/>
        <w:numPr>
          <w:ilvl w:val="1"/>
          <w:numId w:val="0"/>
        </w:numPr>
        <w:ind w:leftChars="0"/>
        <w:rPr>
          <w:rFonts w:hint="default" w:ascii="Times New Roman" w:hAnsi="Times New Roman" w:cs="Times New Roman"/>
          <w:color w:val="auto"/>
          <w:highlight w:val="none"/>
          <w:u w:val="none" w:color="auto"/>
        </w:rPr>
      </w:pPr>
      <w:bookmarkStart w:id="20" w:name="_Toc12365"/>
      <w:r>
        <w:rPr>
          <w:rFonts w:hint="default" w:ascii="Times New Roman" w:hAnsi="Times New Roman" w:cs="Times New Roman"/>
          <w:color w:val="auto"/>
          <w:highlight w:val="none"/>
          <w:u w:val="none" w:color="auto"/>
          <w:lang w:val="en-US" w:eastAsia="zh-CN"/>
        </w:rPr>
        <w:t xml:space="preserve">1.5 </w:t>
      </w:r>
      <w:r>
        <w:rPr>
          <w:rFonts w:hint="default" w:ascii="Times New Roman" w:hAnsi="Times New Roman" w:cs="Times New Roman"/>
          <w:color w:val="auto"/>
          <w:highlight w:val="none"/>
          <w:u w:val="none" w:color="auto"/>
        </w:rPr>
        <w:t>关注的主要环境问题及环境影响</w:t>
      </w:r>
      <w:bookmarkEnd w:id="20"/>
    </w:p>
    <w:p w14:paraId="75FE822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通过本项目产生的污染源进行工程分析，分析结果显示，本项目主要环境影响为废气、废水、设备噪声、工业固体废物等对周边环境的影响。其中主要关注的环境问题为恶臭气体的达标排放情况以及废水达标排放等。</w:t>
      </w:r>
    </w:p>
    <w:p w14:paraId="78A0D40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（1）施工期：主要关注施工扬尘、施工废水、施工人员生活污水、施工机械噪声等对周边环境的影响。</w:t>
      </w:r>
    </w:p>
    <w:p w14:paraId="71BF816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（2）运营期：主要关注生产废气为氨气、硫化氢等臭气；关注尾水排放</w:t>
      </w:r>
      <w:r>
        <w:rPr>
          <w:rFonts w:hint="default" w:ascii="Times New Roman" w:hAnsi="Times New Roman" w:cs="Times New Roman"/>
          <w:color w:val="auto"/>
          <w:highlight w:val="none"/>
          <w:u w:val="none" w:color="auto"/>
          <w:lang w:val="en-US" w:eastAsia="zh-CN"/>
        </w:rPr>
        <w:t>是否</w:t>
      </w:r>
      <w:r>
        <w:rPr>
          <w:rFonts w:hint="default" w:ascii="Times New Roman" w:hAnsi="Times New Roman" w:cs="Times New Roman"/>
          <w:color w:val="auto"/>
          <w:highlight w:val="none"/>
          <w:u w:val="none" w:color="auto"/>
        </w:rPr>
        <w:t>对</w:t>
      </w:r>
      <w:r>
        <w:rPr>
          <w:rFonts w:hint="default" w:ascii="Times New Roman" w:hAnsi="Times New Roman" w:cs="Times New Roman"/>
          <w:color w:val="auto"/>
          <w:highlight w:val="none"/>
          <w:u w:val="none" w:color="auto"/>
          <w:lang w:val="en-US" w:eastAsia="zh-CN"/>
        </w:rPr>
        <w:t>机排二十渠及老三运河产生不利影响；项目排放口设置的合理性</w:t>
      </w:r>
      <w:r>
        <w:rPr>
          <w:rFonts w:hint="default" w:ascii="Times New Roman" w:hAnsi="Times New Roman" w:cs="Times New Roman"/>
          <w:color w:val="auto"/>
          <w:highlight w:val="none"/>
          <w:u w:val="none" w:color="auto"/>
        </w:rPr>
        <w:t>；生产设备、风机、各种泵等设备设施产生的噪声；污泥、生活垃圾</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在线监测废液</w:t>
      </w:r>
      <w:r>
        <w:rPr>
          <w:rFonts w:hint="default" w:ascii="Times New Roman" w:hAnsi="Times New Roman" w:cs="Times New Roman"/>
          <w:color w:val="auto"/>
          <w:highlight w:val="none"/>
          <w:u w:val="none" w:color="auto"/>
        </w:rPr>
        <w:t>等固体废物对区域环境的影响。</w:t>
      </w:r>
    </w:p>
    <w:p w14:paraId="5A8485DF">
      <w:pPr>
        <w:pStyle w:val="3"/>
        <w:numPr>
          <w:ilvl w:val="1"/>
          <w:numId w:val="0"/>
        </w:numPr>
        <w:ind w:leftChars="0"/>
        <w:rPr>
          <w:rFonts w:hint="default" w:ascii="Times New Roman" w:hAnsi="Times New Roman" w:cs="Times New Roman"/>
          <w:color w:val="auto"/>
          <w:highlight w:val="none"/>
          <w:u w:val="none" w:color="auto"/>
        </w:rPr>
      </w:pPr>
      <w:bookmarkStart w:id="21" w:name="_Toc7554"/>
      <w:r>
        <w:rPr>
          <w:rFonts w:hint="default" w:ascii="Times New Roman" w:hAnsi="Times New Roman" w:cs="Times New Roman"/>
          <w:color w:val="auto"/>
          <w:spacing w:val="2"/>
          <w:highlight w:val="none"/>
          <w:u w:val="none" w:color="auto"/>
          <w:lang w:val="en-US" w:eastAsia="zh-CN"/>
        </w:rPr>
        <w:t xml:space="preserve">1.6 </w:t>
      </w:r>
      <w:r>
        <w:rPr>
          <w:rFonts w:hint="default" w:ascii="Times New Roman" w:hAnsi="Times New Roman" w:cs="Times New Roman"/>
          <w:color w:val="auto"/>
          <w:spacing w:val="2"/>
          <w:highlight w:val="none"/>
          <w:u w:val="none" w:color="auto"/>
        </w:rPr>
        <w:t>报</w:t>
      </w:r>
      <w:r>
        <w:rPr>
          <w:rFonts w:hint="default" w:ascii="Times New Roman" w:hAnsi="Times New Roman" w:cs="Times New Roman"/>
          <w:color w:val="auto"/>
          <w:highlight w:val="none"/>
          <w:u w:val="none" w:color="auto"/>
        </w:rPr>
        <w:t>告书</w:t>
      </w:r>
      <w:r>
        <w:rPr>
          <w:rFonts w:hint="default" w:ascii="Times New Roman" w:hAnsi="Times New Roman" w:cs="Times New Roman"/>
          <w:color w:val="auto"/>
          <w:spacing w:val="2"/>
          <w:highlight w:val="none"/>
          <w:u w:val="none" w:color="auto"/>
        </w:rPr>
        <w:t>主</w:t>
      </w:r>
      <w:r>
        <w:rPr>
          <w:rFonts w:hint="default" w:ascii="Times New Roman" w:hAnsi="Times New Roman" w:cs="Times New Roman"/>
          <w:color w:val="auto"/>
          <w:highlight w:val="none"/>
          <w:u w:val="none" w:color="auto"/>
        </w:rPr>
        <w:t>要</w:t>
      </w:r>
      <w:r>
        <w:rPr>
          <w:rFonts w:hint="default" w:ascii="Times New Roman" w:hAnsi="Times New Roman" w:cs="Times New Roman"/>
          <w:color w:val="auto"/>
          <w:spacing w:val="2"/>
          <w:highlight w:val="none"/>
          <w:u w:val="none" w:color="auto"/>
        </w:rPr>
        <w:t>结</w:t>
      </w:r>
      <w:r>
        <w:rPr>
          <w:rFonts w:hint="default" w:ascii="Times New Roman" w:hAnsi="Times New Roman" w:cs="Times New Roman"/>
          <w:color w:val="auto"/>
          <w:highlight w:val="none"/>
          <w:u w:val="none" w:color="auto"/>
        </w:rPr>
        <w:t>论</w:t>
      </w:r>
      <w:bookmarkEnd w:id="21"/>
    </w:p>
    <w:p w14:paraId="406E0B5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eastAsia="zh-CN"/>
        </w:rPr>
        <w:t>大通湖工业园污水处理厂提质改造建设项目</w:t>
      </w:r>
      <w:r>
        <w:rPr>
          <w:rFonts w:hint="default" w:ascii="Times New Roman" w:hAnsi="Times New Roman" w:cs="Times New Roman"/>
          <w:color w:val="auto"/>
          <w:highlight w:val="none"/>
          <w:u w:val="none" w:color="auto"/>
        </w:rPr>
        <w:t>的建设是园区经济发展的需要。项目对完善园区排水设施、改善生态环境、保持经济的可持续性发展是十分必要的。</w:t>
      </w:r>
    </w:p>
    <w:p w14:paraId="2424CFD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项目位于大通湖工业园区内，于湖南大通湖洞庭食品工业园废水处理工程原址及邻近地块建设，</w:t>
      </w:r>
      <w:r>
        <w:rPr>
          <w:rFonts w:hint="default" w:ascii="Times New Roman" w:hAnsi="Times New Roman" w:cs="Times New Roman"/>
          <w:color w:val="auto"/>
          <w:highlight w:val="none"/>
          <w:u w:val="none" w:color="auto"/>
        </w:rPr>
        <w:t>工程建设符合区域规划的要求，选址合理，选用的工艺成熟可靠、安全有效，能够达到预期的处理效果，处理后的尾水达到《城镇污水处理厂污染物排放标准》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cs="Times New Roman"/>
          <w:color w:val="auto"/>
          <w:highlight w:val="none"/>
          <w:u w:val="none" w:color="auto"/>
        </w:rPr>
        <w:t>一级A标准后</w:t>
      </w:r>
      <w:r>
        <w:rPr>
          <w:rFonts w:hint="default" w:ascii="Times New Roman" w:hAnsi="Times New Roman" w:cs="Times New Roman"/>
          <w:color w:val="auto"/>
          <w:highlight w:val="none"/>
          <w:u w:val="none" w:color="auto"/>
          <w:lang w:eastAsia="zh-CN"/>
        </w:rPr>
        <w:t>经</w:t>
      </w:r>
      <w:r>
        <w:rPr>
          <w:rFonts w:hint="default" w:ascii="Times New Roman" w:hAnsi="Times New Roman" w:cs="Times New Roman"/>
          <w:color w:val="auto"/>
          <w:highlight w:val="none"/>
          <w:u w:val="none" w:color="auto"/>
          <w:lang w:val="en-US" w:eastAsia="zh-CN"/>
        </w:rPr>
        <w:t>机排二十</w:t>
      </w:r>
      <w:r>
        <w:rPr>
          <w:rFonts w:hint="default" w:ascii="Times New Roman" w:hAnsi="Times New Roman" w:cs="Times New Roman"/>
          <w:color w:val="auto"/>
          <w:highlight w:val="none"/>
          <w:u w:val="none" w:color="auto"/>
          <w:lang w:eastAsia="zh-CN"/>
        </w:rPr>
        <w:t>渠</w:t>
      </w:r>
      <w:r>
        <w:rPr>
          <w:rFonts w:hint="default" w:ascii="Times New Roman" w:hAnsi="Times New Roman" w:cs="Times New Roman"/>
          <w:color w:val="auto"/>
          <w:highlight w:val="none"/>
          <w:u w:val="none" w:color="auto"/>
        </w:rPr>
        <w:t>排入</w:t>
      </w:r>
      <w:r>
        <w:rPr>
          <w:rFonts w:hint="default" w:ascii="Times New Roman" w:hAnsi="Times New Roman" w:cs="Times New Roman"/>
          <w:color w:val="auto"/>
          <w:highlight w:val="none"/>
          <w:u w:val="none" w:color="auto"/>
          <w:lang w:val="en-US" w:eastAsia="zh-CN"/>
        </w:rPr>
        <w:t>老三运河</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最终进入漉湖</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项目符合国家及地方产业政策，在认真执行环保“三同时”制度，落实本报告提出的各项环保对策措施及环境风险防范措施，加强环境管理的条件下，污水</w:t>
      </w:r>
      <w:r>
        <w:rPr>
          <w:rFonts w:hint="default" w:ascii="Times New Roman" w:hAnsi="Times New Roman" w:cs="Times New Roman"/>
          <w:color w:val="auto"/>
          <w:highlight w:val="none"/>
          <w:u w:val="none" w:color="auto"/>
        </w:rPr>
        <w:t>处理过程中产生的二次污染经采取措施后能得到有效控制，对周边环境造成不利影响可以承受。工程建设具有显著的环境效益和社会效益，得到了公众的支持，从环境</w:t>
      </w:r>
      <w:r>
        <w:rPr>
          <w:rFonts w:hint="default" w:ascii="Times New Roman" w:hAnsi="Times New Roman" w:cs="Times New Roman"/>
          <w:color w:val="auto"/>
          <w:highlight w:val="none"/>
          <w:u w:val="none" w:color="auto"/>
          <w:lang w:val="en-US" w:eastAsia="zh-CN"/>
        </w:rPr>
        <w:t>影响</w:t>
      </w:r>
      <w:r>
        <w:rPr>
          <w:rFonts w:hint="default" w:ascii="Times New Roman" w:hAnsi="Times New Roman" w:cs="Times New Roman"/>
          <w:color w:val="auto"/>
          <w:highlight w:val="none"/>
          <w:u w:val="none" w:color="auto"/>
        </w:rPr>
        <w:t>角度</w:t>
      </w:r>
      <w:r>
        <w:rPr>
          <w:rFonts w:hint="default" w:ascii="Times New Roman" w:hAnsi="Times New Roman" w:cs="Times New Roman"/>
          <w:color w:val="auto"/>
          <w:highlight w:val="none"/>
          <w:u w:val="none" w:color="auto"/>
          <w:lang w:val="en-US" w:eastAsia="zh-CN"/>
        </w:rPr>
        <w:t>分析，项目</w:t>
      </w:r>
      <w:r>
        <w:rPr>
          <w:rFonts w:hint="default" w:ascii="Times New Roman" w:hAnsi="Times New Roman" w:cs="Times New Roman"/>
          <w:color w:val="auto"/>
          <w:highlight w:val="none"/>
          <w:u w:val="none" w:color="auto"/>
        </w:rPr>
        <w:t>建设可行。</w:t>
      </w:r>
    </w:p>
    <w:p w14:paraId="528C1499">
      <w:pPr>
        <w:pStyle w:val="189"/>
        <w:rPr>
          <w:rFonts w:hint="default" w:ascii="Times New Roman" w:hAnsi="Times New Roman" w:cs="Times New Roman"/>
          <w:color w:val="FF0000"/>
          <w:highlight w:val="none"/>
          <w:u w:val="none" w:color="auto"/>
        </w:rPr>
        <w:sectPr>
          <w:footerReference r:id="rId11"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425" w:num="1"/>
          <w:docGrid w:linePitch="312" w:charSpace="0"/>
        </w:sectPr>
      </w:pPr>
    </w:p>
    <w:p w14:paraId="74739763">
      <w:pPr>
        <w:pStyle w:val="2"/>
        <w:numPr>
          <w:ilvl w:val="0"/>
          <w:numId w:val="0"/>
        </w:numPr>
        <w:ind w:leftChars="0"/>
        <w:rPr>
          <w:rFonts w:hint="default" w:ascii="Times New Roman" w:hAnsi="Times New Roman" w:cs="Times New Roman"/>
          <w:color w:val="auto"/>
          <w:highlight w:val="none"/>
          <w:u w:val="none" w:color="auto"/>
        </w:rPr>
      </w:pPr>
      <w:bookmarkStart w:id="22" w:name="_Toc13941"/>
      <w:r>
        <w:rPr>
          <w:rFonts w:hint="default" w:ascii="Times New Roman" w:hAnsi="Times New Roman" w:cs="Times New Roman"/>
          <w:color w:val="auto"/>
          <w:highlight w:val="none"/>
          <w:u w:val="none" w:color="auto"/>
          <w:lang w:val="en-US" w:eastAsia="zh-CN"/>
        </w:rPr>
        <w:t xml:space="preserve">2 </w:t>
      </w:r>
      <w:r>
        <w:rPr>
          <w:rFonts w:hint="default" w:ascii="Times New Roman" w:hAnsi="Times New Roman" w:cs="Times New Roman"/>
          <w:color w:val="auto"/>
          <w:highlight w:val="none"/>
          <w:u w:val="none" w:color="auto"/>
        </w:rPr>
        <w:t>总则</w:t>
      </w:r>
      <w:bookmarkEnd w:id="22"/>
    </w:p>
    <w:p w14:paraId="4ACDBC7C">
      <w:pPr>
        <w:pStyle w:val="3"/>
        <w:numPr>
          <w:ilvl w:val="1"/>
          <w:numId w:val="0"/>
        </w:numPr>
        <w:ind w:leftChars="0"/>
        <w:rPr>
          <w:rFonts w:hint="default" w:ascii="Times New Roman" w:hAnsi="Times New Roman" w:cs="Times New Roman"/>
          <w:color w:val="auto"/>
          <w:highlight w:val="none"/>
          <w:u w:val="none" w:color="auto"/>
        </w:rPr>
      </w:pPr>
      <w:bookmarkStart w:id="23" w:name="bookmark2"/>
      <w:bookmarkEnd w:id="23"/>
      <w:bookmarkStart w:id="24" w:name="_Toc1881"/>
      <w:r>
        <w:rPr>
          <w:rFonts w:hint="default" w:ascii="Times New Roman" w:hAnsi="Times New Roman" w:cs="Times New Roman"/>
          <w:color w:val="auto"/>
          <w:highlight w:val="none"/>
          <w:u w:val="none" w:color="auto"/>
          <w:lang w:val="en-US" w:eastAsia="zh-CN"/>
        </w:rPr>
        <w:t xml:space="preserve">2.1 </w:t>
      </w:r>
      <w:r>
        <w:rPr>
          <w:rFonts w:hint="default" w:ascii="Times New Roman" w:hAnsi="Times New Roman" w:cs="Times New Roman"/>
          <w:color w:val="auto"/>
          <w:highlight w:val="none"/>
          <w:u w:val="none" w:color="auto"/>
        </w:rPr>
        <w:t>编制依据</w:t>
      </w:r>
      <w:bookmarkEnd w:id="24"/>
    </w:p>
    <w:p w14:paraId="703A3ABA">
      <w:pPr>
        <w:pStyle w:val="4"/>
        <w:numPr>
          <w:ilvl w:val="2"/>
          <w:numId w:val="0"/>
        </w:numPr>
        <w:ind w:leftChars="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 xml:space="preserve">2.1.1 </w:t>
      </w:r>
      <w:r>
        <w:rPr>
          <w:rFonts w:hint="default" w:ascii="Times New Roman" w:hAnsi="Times New Roman" w:cs="Times New Roman"/>
          <w:color w:val="auto"/>
          <w:highlight w:val="none"/>
          <w:u w:val="none" w:color="auto"/>
        </w:rPr>
        <w:t>国家法律</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法规</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政策</w:t>
      </w:r>
    </w:p>
    <w:p w14:paraId="0B98B1C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（1）《中华人民共和国环境保护法》（2015.1.1）；</w:t>
      </w:r>
    </w:p>
    <w:p w14:paraId="55A7488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（2）《中华人民共和国环境影响评价法》（2018.12.29）；</w:t>
      </w:r>
    </w:p>
    <w:p w14:paraId="676D399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（3）《中华人民共和国水污染防治法》（2018.1.1）；</w:t>
      </w:r>
    </w:p>
    <w:p w14:paraId="41859EA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（4）《中华人民共和国水法》（2016.7.2）；</w:t>
      </w:r>
    </w:p>
    <w:p w14:paraId="3EE5E83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（5）《中华人民共和国大气污染防治法》（2018.10.26）；</w:t>
      </w:r>
    </w:p>
    <w:p w14:paraId="677F0C7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（6）《中华人民共和国固体废物污染环境防治法》（2020.9.1）；</w:t>
      </w:r>
    </w:p>
    <w:p w14:paraId="6BAB54B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（7）《中华人民共和国清洁生产促进法》（2012.2.29）；</w:t>
      </w:r>
    </w:p>
    <w:p w14:paraId="01A2364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w:t>
      </w:r>
      <w:r>
        <w:rPr>
          <w:rFonts w:hint="default" w:ascii="Times New Roman" w:hAnsi="Times New Roman" w:cs="Times New Roman"/>
          <w:color w:val="auto"/>
          <w:highlight w:val="none"/>
          <w:u w:val="none" w:color="auto"/>
          <w:lang w:eastAsia="zh-CN"/>
        </w:rPr>
        <w:t>中华人民共和国噪声污染防治法</w:t>
      </w:r>
      <w:r>
        <w:rPr>
          <w:rFonts w:hint="default" w:ascii="Times New Roman" w:hAnsi="Times New Roman" w:cs="Times New Roman"/>
          <w:color w:val="auto"/>
          <w:highlight w:val="none"/>
          <w:u w:val="none" w:color="auto"/>
        </w:rPr>
        <w:t>》（20</w:t>
      </w:r>
      <w:r>
        <w:rPr>
          <w:rFonts w:hint="default" w:ascii="Times New Roman" w:hAnsi="Times New Roman" w:cs="Times New Roman"/>
          <w:color w:val="auto"/>
          <w:highlight w:val="none"/>
          <w:u w:val="none" w:color="auto"/>
          <w:lang w:val="en-US" w:eastAsia="zh-CN"/>
        </w:rPr>
        <w:t>22.6.5</w:t>
      </w:r>
      <w:r>
        <w:rPr>
          <w:rFonts w:hint="default" w:ascii="Times New Roman" w:hAnsi="Times New Roman" w:cs="Times New Roman"/>
          <w:color w:val="auto"/>
          <w:highlight w:val="none"/>
          <w:u w:val="none" w:color="auto"/>
        </w:rPr>
        <w:t>）；</w:t>
      </w:r>
    </w:p>
    <w:p w14:paraId="10007ED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（9）《中华人民共和国节约能源法》（2018.10.26）；</w:t>
      </w:r>
    </w:p>
    <w:p w14:paraId="1B3DE70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（10）《中华人民共和国可再生能源法》（2010.4.1）；</w:t>
      </w:r>
    </w:p>
    <w:p w14:paraId="3B8ACA9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（11）《中华人民共和国水土保持法》（2011.3.1）；</w:t>
      </w:r>
    </w:p>
    <w:p w14:paraId="1A3C834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（12）《中华人民共和国土地管理法》（2020.1.1）；</w:t>
      </w:r>
    </w:p>
    <w:p w14:paraId="02124410">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（13）《中华人民共和国循环经济促进法》（2018.10.26）。</w:t>
      </w:r>
    </w:p>
    <w:p w14:paraId="77A1495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lang w:val="en-US" w:eastAsia="zh-CN"/>
        </w:rPr>
        <w:t>4</w:t>
      </w:r>
      <w:r>
        <w:rPr>
          <w:rFonts w:hint="default" w:ascii="Times New Roman" w:hAnsi="Times New Roman" w:cs="Times New Roman"/>
          <w:color w:val="auto"/>
          <w:highlight w:val="none"/>
          <w:u w:val="none" w:color="auto"/>
        </w:rPr>
        <w:t>）《建设项目环境保护管理条例》（国务院第682号令，2017.9.1）；</w:t>
      </w:r>
    </w:p>
    <w:p w14:paraId="79123D5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15</w:t>
      </w:r>
      <w:r>
        <w:rPr>
          <w:rFonts w:hint="default" w:ascii="Times New Roman" w:hAnsi="Times New Roman" w:cs="Times New Roman"/>
          <w:color w:val="auto"/>
          <w:highlight w:val="none"/>
          <w:u w:val="none" w:color="auto"/>
        </w:rPr>
        <w:t>）《建设项目环境影响评价分类管理名录》，（</w:t>
      </w:r>
      <w:r>
        <w:rPr>
          <w:rFonts w:hint="default" w:ascii="Times New Roman" w:hAnsi="Times New Roman" w:cs="Times New Roman"/>
          <w:color w:val="auto"/>
          <w:highlight w:val="none"/>
          <w:u w:val="none" w:color="auto"/>
          <w:lang w:val="en-US" w:eastAsia="zh-CN"/>
        </w:rPr>
        <w:t>2021版</w:t>
      </w:r>
      <w:r>
        <w:rPr>
          <w:rFonts w:hint="default" w:ascii="Times New Roman" w:hAnsi="Times New Roman" w:cs="Times New Roman"/>
          <w:color w:val="auto"/>
          <w:highlight w:val="none"/>
          <w:u w:val="none" w:color="auto"/>
        </w:rPr>
        <w:t>）；</w:t>
      </w:r>
    </w:p>
    <w:p w14:paraId="78AE42C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16</w:t>
      </w:r>
      <w:r>
        <w:rPr>
          <w:rFonts w:hint="default" w:ascii="Times New Roman" w:hAnsi="Times New Roman" w:cs="Times New Roman"/>
          <w:color w:val="auto"/>
          <w:highlight w:val="none"/>
          <w:u w:val="none" w:color="auto"/>
        </w:rPr>
        <w:t>）《产业结构调整指导目录（20</w:t>
      </w:r>
      <w:r>
        <w:rPr>
          <w:rFonts w:hint="default" w:ascii="Times New Roman" w:hAnsi="Times New Roman" w:cs="Times New Roman"/>
          <w:color w:val="auto"/>
          <w:highlight w:val="none"/>
          <w:u w:val="none" w:color="auto"/>
          <w:lang w:val="en-US" w:eastAsia="zh-CN"/>
        </w:rPr>
        <w:t>24</w:t>
      </w:r>
      <w:r>
        <w:rPr>
          <w:rFonts w:hint="default" w:ascii="Times New Roman" w:hAnsi="Times New Roman" w:cs="Times New Roman"/>
          <w:color w:val="auto"/>
          <w:highlight w:val="none"/>
          <w:u w:val="none" w:color="auto"/>
        </w:rPr>
        <w:t>年本）》；</w:t>
      </w:r>
    </w:p>
    <w:p w14:paraId="304FDA5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17</w:t>
      </w:r>
      <w:r>
        <w:rPr>
          <w:rFonts w:hint="default" w:ascii="Times New Roman" w:hAnsi="Times New Roman" w:cs="Times New Roman"/>
          <w:color w:val="auto"/>
          <w:highlight w:val="none"/>
          <w:u w:val="none" w:color="auto"/>
        </w:rPr>
        <w:t>）《危险化学品目录（2015版）》（2015</w:t>
      </w:r>
      <w:r>
        <w:rPr>
          <w:rFonts w:hint="default" w:ascii="Times New Roman" w:hAnsi="Times New Roman" w:cs="Times New Roman"/>
          <w:color w:val="auto"/>
          <w:highlight w:val="none"/>
          <w:u w:val="none" w:color="auto"/>
          <w:lang w:val="en-US" w:eastAsia="zh-CN"/>
        </w:rPr>
        <w:t>版，2022调整</w:t>
      </w:r>
      <w:r>
        <w:rPr>
          <w:rFonts w:hint="default" w:ascii="Times New Roman" w:hAnsi="Times New Roman" w:cs="Times New Roman"/>
          <w:color w:val="auto"/>
          <w:highlight w:val="none"/>
          <w:u w:val="none" w:color="auto"/>
        </w:rPr>
        <w:t>）；</w:t>
      </w:r>
    </w:p>
    <w:p w14:paraId="2619402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18</w:t>
      </w:r>
      <w:r>
        <w:rPr>
          <w:rFonts w:hint="default" w:ascii="Times New Roman" w:hAnsi="Times New Roman" w:cs="Times New Roman"/>
          <w:color w:val="auto"/>
          <w:highlight w:val="none"/>
          <w:u w:val="none" w:color="auto"/>
        </w:rPr>
        <w:t>）《国家危险废物名录》（20</w:t>
      </w:r>
      <w:r>
        <w:rPr>
          <w:rFonts w:hint="default" w:ascii="Times New Roman" w:hAnsi="Times New Roman" w:cs="Times New Roman"/>
          <w:color w:val="auto"/>
          <w:highlight w:val="none"/>
          <w:u w:val="none" w:color="auto"/>
          <w:lang w:val="en-US" w:eastAsia="zh-CN"/>
        </w:rPr>
        <w:t>25</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rPr>
        <w:t>.1）；</w:t>
      </w:r>
    </w:p>
    <w:p w14:paraId="48B3C72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19</w:t>
      </w:r>
      <w:r>
        <w:rPr>
          <w:rFonts w:hint="default" w:ascii="Times New Roman" w:hAnsi="Times New Roman" w:cs="Times New Roman"/>
          <w:color w:val="auto"/>
          <w:highlight w:val="none"/>
          <w:u w:val="none" w:color="auto"/>
        </w:rPr>
        <w:t>）《国务院关于印发水污染防治行动计划的通知》（国发〔2015〕17号，2015.4）；</w:t>
      </w:r>
    </w:p>
    <w:p w14:paraId="5E4B3D6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20</w:t>
      </w:r>
      <w:r>
        <w:rPr>
          <w:rFonts w:hint="default" w:ascii="Times New Roman" w:hAnsi="Times New Roman" w:cs="Times New Roman"/>
          <w:color w:val="auto"/>
          <w:highlight w:val="none"/>
          <w:u w:val="none" w:color="auto"/>
        </w:rPr>
        <w:t>）《国务院关于印发大气污染防治行动计划的通知》（国发〔2013〕37号，2013 .9）；</w:t>
      </w:r>
    </w:p>
    <w:p w14:paraId="31C51E7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21</w:t>
      </w:r>
      <w:r>
        <w:rPr>
          <w:rFonts w:hint="default" w:ascii="Times New Roman" w:hAnsi="Times New Roman" w:cs="Times New Roman"/>
          <w:color w:val="auto"/>
          <w:highlight w:val="none"/>
          <w:u w:val="none" w:color="auto"/>
        </w:rPr>
        <w:t>）《国务院关于印发土壤污染防治行动计划的通知》（国发〔2016〕31号，2016 .5）；</w:t>
      </w:r>
    </w:p>
    <w:p w14:paraId="6C68D5D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22</w:t>
      </w:r>
      <w:r>
        <w:rPr>
          <w:rFonts w:hint="default" w:ascii="Times New Roman" w:hAnsi="Times New Roman" w:cs="Times New Roman"/>
          <w:color w:val="auto"/>
          <w:highlight w:val="none"/>
          <w:u w:val="none" w:color="auto"/>
        </w:rPr>
        <w:t>）《关于进一步加强环境影响评价管理防范环境风险的通知》（国发[2012]77号，2012.7.3）；</w:t>
      </w:r>
    </w:p>
    <w:p w14:paraId="42F6999D">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23</w:t>
      </w:r>
      <w:r>
        <w:rPr>
          <w:rFonts w:hint="default" w:ascii="Times New Roman" w:hAnsi="Times New Roman" w:cs="Times New Roman"/>
          <w:color w:val="auto"/>
          <w:highlight w:val="none"/>
          <w:u w:val="none" w:color="auto"/>
        </w:rPr>
        <w:t>）《环境影响评价公众参与办法》（2019.1.1）；</w:t>
      </w:r>
    </w:p>
    <w:p w14:paraId="4A45FF5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24</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土壤污染源头防控行动计划</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环土壤[2024]80</w:t>
      </w:r>
      <w:r>
        <w:rPr>
          <w:rFonts w:hint="default" w:ascii="Times New Roman" w:hAnsi="Times New Roman" w:cs="Times New Roman"/>
          <w:color w:val="auto"/>
          <w:highlight w:val="none"/>
          <w:u w:val="none" w:color="auto"/>
        </w:rPr>
        <w:t>号）；</w:t>
      </w:r>
    </w:p>
    <w:p w14:paraId="525C2C49">
      <w:pPr>
        <w:pStyle w:val="189"/>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25</w:t>
      </w:r>
      <w:r>
        <w:rPr>
          <w:rFonts w:hint="default" w:ascii="Times New Roman" w:hAnsi="Times New Roman" w:cs="Times New Roman"/>
          <w:color w:val="auto"/>
          <w:highlight w:val="none"/>
          <w:u w:val="none" w:color="auto"/>
          <w:lang w:eastAsia="zh-CN"/>
        </w:rPr>
        <w:t>）《排污许可管理</w:t>
      </w:r>
      <w:r>
        <w:rPr>
          <w:rFonts w:hint="default" w:ascii="Times New Roman" w:hAnsi="Times New Roman" w:cs="Times New Roman"/>
          <w:color w:val="auto"/>
          <w:highlight w:val="none"/>
          <w:u w:val="none" w:color="auto"/>
          <w:lang w:val="en-US" w:eastAsia="zh-CN"/>
        </w:rPr>
        <w:t>办法</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2024年7月1月起施行</w:t>
      </w:r>
      <w:r>
        <w:rPr>
          <w:rFonts w:hint="default" w:ascii="Times New Roman" w:hAnsi="Times New Roman" w:cs="Times New Roman"/>
          <w:color w:val="auto"/>
          <w:highlight w:val="none"/>
          <w:u w:val="none" w:color="auto"/>
          <w:lang w:eastAsia="zh-CN"/>
        </w:rPr>
        <w:t>）；</w:t>
      </w:r>
    </w:p>
    <w:p w14:paraId="5510FDE6">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26</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入河排污口监督管理办法</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生态环境部令第35号，2025年1月1日起实行</w:t>
      </w:r>
      <w:r>
        <w:rPr>
          <w:rFonts w:hint="default" w:ascii="Times New Roman" w:hAnsi="Times New Roman" w:cs="Times New Roman"/>
          <w:color w:val="auto"/>
          <w:highlight w:val="none"/>
          <w:u w:val="none" w:color="auto"/>
          <w:lang w:eastAsia="zh-CN"/>
        </w:rPr>
        <w:t>）</w:t>
      </w:r>
    </w:p>
    <w:p w14:paraId="6C9CA950">
      <w:pPr>
        <w:pStyle w:val="4"/>
        <w:numPr>
          <w:ilvl w:val="2"/>
          <w:numId w:val="0"/>
        </w:numPr>
        <w:ind w:leftChars="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 xml:space="preserve">2.1.2 </w:t>
      </w:r>
      <w:r>
        <w:rPr>
          <w:rFonts w:hint="default" w:ascii="Times New Roman" w:hAnsi="Times New Roman" w:cs="Times New Roman"/>
          <w:color w:val="auto"/>
          <w:highlight w:val="none"/>
          <w:u w:val="none" w:color="auto"/>
        </w:rPr>
        <w:t>地方法规、</w:t>
      </w:r>
      <w:r>
        <w:rPr>
          <w:rFonts w:hint="default" w:ascii="Times New Roman" w:hAnsi="Times New Roman" w:cs="Times New Roman"/>
          <w:color w:val="auto"/>
          <w:highlight w:val="none"/>
          <w:u w:val="none" w:color="auto"/>
          <w:lang w:val="en-US" w:eastAsia="zh-CN"/>
        </w:rPr>
        <w:t>政策</w:t>
      </w:r>
    </w:p>
    <w:p w14:paraId="1AAF0FA0">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（1）《湖南省环境保护条例》（20</w:t>
      </w:r>
      <w:r>
        <w:rPr>
          <w:rFonts w:hint="eastAsia" w:cs="Times New Roman"/>
          <w:color w:val="000000" w:themeColor="text1"/>
          <w:highlight w:val="none"/>
          <w:u w:val="wave" w:color="auto"/>
          <w:lang w:val="en-US" w:eastAsia="zh-CN"/>
          <w14:textFill>
            <w14:solidFill>
              <w14:schemeClr w14:val="tx1"/>
            </w14:solidFill>
          </w14:textFill>
        </w:rPr>
        <w:t>24</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cs="Times New Roman"/>
          <w:color w:val="000000" w:themeColor="text1"/>
          <w:highlight w:val="none"/>
          <w:u w:val="wave" w:color="auto"/>
          <w:lang w:val="en-US" w:eastAsia="zh-CN"/>
          <w14:textFill>
            <w14:solidFill>
              <w14:schemeClr w14:val="tx1"/>
            </w14:solidFill>
          </w14:textFill>
        </w:rPr>
        <w:t>11</w:t>
      </w:r>
      <w:r>
        <w:rPr>
          <w:rFonts w:hint="default" w:ascii="Times New Roman" w:hAnsi="Times New Roman" w:cs="Times New Roman"/>
          <w:color w:val="000000" w:themeColor="text1"/>
          <w:highlight w:val="none"/>
          <w:u w:val="wave" w:color="auto"/>
          <w14:textFill>
            <w14:solidFill>
              <w14:schemeClr w14:val="tx1"/>
            </w14:solidFill>
          </w14:textFill>
        </w:rPr>
        <w:t>.2</w:t>
      </w:r>
      <w:r>
        <w:rPr>
          <w:rFonts w:hint="eastAsia" w:cs="Times New Roman"/>
          <w:color w:val="000000" w:themeColor="text1"/>
          <w:highlight w:val="none"/>
          <w:u w:val="wave" w:color="auto"/>
          <w:lang w:val="en-US" w:eastAsia="zh-CN"/>
          <w14:textFill>
            <w14:solidFill>
              <w14:schemeClr w14:val="tx1"/>
            </w14:solidFill>
          </w14:textFill>
        </w:rPr>
        <w:t>9</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w:t>
      </w:r>
    </w:p>
    <w:p w14:paraId="18BC0670">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（2）《湖南省</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地方标准-用水定额</w:t>
      </w:r>
      <w:r>
        <w:rPr>
          <w:rFonts w:hint="default" w:ascii="Times New Roman" w:hAnsi="Times New Roman" w:cs="Times New Roman"/>
          <w:color w:val="000000" w:themeColor="text1"/>
          <w:highlight w:val="none"/>
          <w:u w:val="none" w:color="auto"/>
          <w14:textFill>
            <w14:solidFill>
              <w14:schemeClr w14:val="tx1"/>
            </w14:solidFill>
          </w14:textFill>
        </w:rPr>
        <w:t>》（DB43/T388</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-2025</w:t>
      </w:r>
      <w:r>
        <w:rPr>
          <w:rFonts w:hint="default" w:ascii="Times New Roman" w:hAnsi="Times New Roman" w:cs="Times New Roman"/>
          <w:color w:val="000000" w:themeColor="text1"/>
          <w:highlight w:val="none"/>
          <w:u w:val="none" w:color="auto"/>
          <w14:textFill>
            <w14:solidFill>
              <w14:schemeClr w14:val="tx1"/>
            </w14:solidFill>
          </w14:textFill>
        </w:rPr>
        <w:t>）；</w:t>
      </w:r>
    </w:p>
    <w:p w14:paraId="12A91876">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）湖南省人民政府办公厅关于印发《贯彻落实〈大气污染防治行动计划〉</w:t>
      </w:r>
    </w:p>
    <w:p w14:paraId="2659E775">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实施细则》（湘政办发[2013]77 号）；</w:t>
      </w:r>
    </w:p>
    <w:p w14:paraId="5EBE900D">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w:t>
      </w:r>
      <w:r>
        <w:rPr>
          <w:rFonts w:hint="default" w:ascii="Times New Roman" w:hAnsi="Times New Roman" w:cs="Times New Roman"/>
          <w:color w:val="000000" w:themeColor="text1"/>
          <w:highlight w:val="none"/>
          <w:u w:val="wave" w:color="auto"/>
          <w14:textFill>
            <w14:solidFill>
              <w14:schemeClr w14:val="tx1"/>
            </w14:solidFill>
          </w14:textFill>
        </w:rPr>
        <w:t>）《湖南省地方标准——用水定额》（DB43/T388-202</w:t>
      </w:r>
      <w:r>
        <w:rPr>
          <w:rFonts w:hint="eastAsia" w:cs="Times New Roman"/>
          <w:color w:val="000000" w:themeColor="text1"/>
          <w:highlight w:val="none"/>
          <w:u w:val="wav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w:t>
      </w:r>
    </w:p>
    <w:p w14:paraId="4C647F6B">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t>）《湖南省主要地表水系水环境功能区划》（DB 43/023-2005）；</w:t>
      </w:r>
    </w:p>
    <w:p w14:paraId="598FD152">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highlight w:val="none"/>
          <w:u w:val="none" w:color="auto"/>
          <w14:textFill>
            <w14:solidFill>
              <w14:schemeClr w14:val="tx1"/>
            </w14:solidFill>
          </w14:textFill>
        </w:rPr>
        <w:t>）《湖南省大气污染防治条例》（2017年</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highlight w:val="none"/>
          <w:u w:val="none" w:color="auto"/>
          <w14:textFill>
            <w14:solidFill>
              <w14:schemeClr w14:val="tx1"/>
            </w14:solidFill>
          </w14:textFill>
        </w:rPr>
        <w:t>月</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none" w:color="auto"/>
          <w14:textFill>
            <w14:solidFill>
              <w14:schemeClr w14:val="tx1"/>
            </w14:solidFill>
          </w14:textFill>
        </w:rPr>
        <w:t>日施行）；</w:t>
      </w:r>
    </w:p>
    <w:p w14:paraId="6E0FBBCD">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w:t>
      </w:r>
      <w:r>
        <w:rPr>
          <w:rFonts w:hint="default" w:ascii="Times New Roman" w:hAnsi="Times New Roman" w:cs="Times New Roman"/>
          <w:color w:val="000000" w:themeColor="text1"/>
          <w:highlight w:val="none"/>
          <w:u w:val="none" w:color="auto"/>
          <w14:textFill>
            <w14:solidFill>
              <w14:schemeClr w14:val="tx1"/>
            </w14:solidFill>
          </w14:textFill>
        </w:rPr>
        <w:t>）《湖南省生态环境分区管控总体管控要求暨省级以上产业园区生态环</w:t>
      </w:r>
    </w:p>
    <w:p w14:paraId="6BDAAFBF">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境准入清单》（湘环函〔2024〕</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26</w:t>
      </w:r>
      <w:r>
        <w:rPr>
          <w:rFonts w:hint="default" w:ascii="Times New Roman" w:hAnsi="Times New Roman" w:cs="Times New Roman"/>
          <w:color w:val="000000" w:themeColor="text1"/>
          <w:highlight w:val="none"/>
          <w:u w:val="none" w:color="auto"/>
          <w14:textFill>
            <w14:solidFill>
              <w14:schemeClr w14:val="tx1"/>
            </w14:solidFill>
          </w14:textFill>
        </w:rPr>
        <w:t>号）；</w:t>
      </w:r>
    </w:p>
    <w:p w14:paraId="5E3F59B2">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w:t>
      </w:r>
      <w:r>
        <w:rPr>
          <w:rFonts w:hint="default" w:ascii="Times New Roman" w:hAnsi="Times New Roman" w:cs="Times New Roman"/>
          <w:color w:val="000000" w:themeColor="text1"/>
          <w:highlight w:val="none"/>
          <w:u w:val="none" w:color="auto"/>
          <w14:textFill>
            <w14:solidFill>
              <w14:schemeClr w14:val="tx1"/>
            </w14:solidFill>
          </w14:textFill>
        </w:rPr>
        <w:t>）《湖南省“十四五”固体废物环境管理规划》（湖南省生态环境厅，</w:t>
      </w:r>
    </w:p>
    <w:p w14:paraId="15939E65">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2022</w:t>
      </w:r>
      <w:r>
        <w:rPr>
          <w:rFonts w:hint="default" w:ascii="Times New Roman" w:hAnsi="Times New Roman" w:cs="Times New Roman"/>
          <w:color w:val="000000" w:themeColor="text1"/>
          <w:highlight w:val="none"/>
          <w:u w:val="none" w:color="auto"/>
          <w14:textFill>
            <w14:solidFill>
              <w14:schemeClr w14:val="tx1"/>
            </w14:solidFill>
          </w14:textFill>
        </w:rPr>
        <w:t>年</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月）；</w:t>
      </w:r>
    </w:p>
    <w:p w14:paraId="25EEE68A">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w:t>
      </w:r>
      <w:r>
        <w:rPr>
          <w:rFonts w:hint="default" w:ascii="Times New Roman" w:hAnsi="Times New Roman" w:cs="Times New Roman"/>
          <w:color w:val="000000" w:themeColor="text1"/>
          <w:highlight w:val="none"/>
          <w:u w:val="none" w:color="auto"/>
          <w14:textFill>
            <w14:solidFill>
              <w14:schemeClr w14:val="tx1"/>
            </w14:solidFill>
          </w14:textFill>
        </w:rPr>
        <w:t>）《排污许可管理条例》（2021年</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月</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none" w:color="auto"/>
          <w14:textFill>
            <w14:solidFill>
              <w14:schemeClr w14:val="tx1"/>
            </w14:solidFill>
          </w14:textFill>
        </w:rPr>
        <w:t>日）；</w:t>
      </w:r>
    </w:p>
    <w:p w14:paraId="4F6BD1D0">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）《湖南省“十四五”生态环境保护规划》（湘政办发[2021]61 号）；</w:t>
      </w:r>
    </w:p>
    <w:p w14:paraId="1AA7DCB6">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（1</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wave" w:color="auto"/>
          <w14:textFill>
            <w14:solidFill>
              <w14:schemeClr w14:val="tx1"/>
            </w14:solidFill>
          </w14:textFill>
        </w:rPr>
        <w:t>）《益阳市人民政府关于实施“三线一单”生态环境分区管控的意见》</w:t>
      </w:r>
    </w:p>
    <w:p w14:paraId="00409AB8">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（益政发〔202</w:t>
      </w:r>
      <w:r>
        <w:rPr>
          <w:rFonts w:hint="eastAsia" w:cs="Times New Roman"/>
          <w:color w:val="000000" w:themeColor="text1"/>
          <w:highlight w:val="none"/>
          <w:u w:val="wave" w:color="auto"/>
          <w:lang w:val="en-US" w:eastAsia="zh-CN"/>
          <w14:textFill>
            <w14:solidFill>
              <w14:schemeClr w14:val="tx1"/>
            </w14:solidFill>
          </w14:textFill>
        </w:rPr>
        <w:t>4</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cs="Times New Roman"/>
          <w:color w:val="000000" w:themeColor="text1"/>
          <w:highlight w:val="none"/>
          <w:u w:val="wave" w:color="auto"/>
          <w:lang w:val="en-US" w:eastAsia="zh-CN"/>
          <w14:textFill>
            <w14:solidFill>
              <w14:schemeClr w14:val="tx1"/>
            </w14:solidFill>
          </w14:textFill>
        </w:rPr>
        <w:t>11</w:t>
      </w:r>
      <w:r>
        <w:rPr>
          <w:rFonts w:hint="default" w:ascii="Times New Roman" w:hAnsi="Times New Roman" w:cs="Times New Roman"/>
          <w:color w:val="000000" w:themeColor="text1"/>
          <w:highlight w:val="none"/>
          <w:u w:val="wave" w:color="auto"/>
          <w14:textFill>
            <w14:solidFill>
              <w14:schemeClr w14:val="tx1"/>
            </w14:solidFill>
          </w14:textFill>
        </w:rPr>
        <w:t>号）</w:t>
      </w:r>
      <w:r>
        <w:rPr>
          <w:rFonts w:hint="default" w:ascii="Times New Roman" w:hAnsi="Times New Roman" w:cs="Times New Roman"/>
          <w:color w:val="000000" w:themeColor="text1"/>
          <w:highlight w:val="none"/>
          <w:u w:val="none" w:color="auto"/>
          <w14:textFill>
            <w14:solidFill>
              <w14:schemeClr w14:val="tx1"/>
            </w14:solidFill>
          </w14:textFill>
        </w:rPr>
        <w:t>；</w:t>
      </w:r>
    </w:p>
    <w:p w14:paraId="748C50A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）《益阳市扬尘污染防治条例》（2020年</w:t>
      </w:r>
      <w:r>
        <w:rPr>
          <w:rFonts w:hint="default" w:ascii="Times New Roman" w:hAnsi="Times New Roman" w:cs="Times New Roman"/>
          <w:color w:val="auto"/>
          <w:highlight w:val="none"/>
          <w:u w:val="none" w:color="auto"/>
          <w:lang w:val="en-US" w:eastAsia="zh-CN"/>
        </w:rPr>
        <w:t>12</w:t>
      </w:r>
      <w:r>
        <w:rPr>
          <w:rFonts w:hint="default" w:ascii="Times New Roman" w:hAnsi="Times New Roman" w:cs="Times New Roman"/>
          <w:color w:val="auto"/>
          <w:highlight w:val="none"/>
          <w:u w:val="none" w:color="auto"/>
        </w:rPr>
        <w:t>月</w:t>
      </w:r>
      <w:r>
        <w:rPr>
          <w:rFonts w:hint="default" w:ascii="Times New Roman" w:hAnsi="Times New Roman" w:cs="Times New Roman"/>
          <w:color w:val="auto"/>
          <w:highlight w:val="none"/>
          <w:u w:val="none" w:color="auto"/>
          <w:lang w:val="en-US" w:eastAsia="zh-CN"/>
        </w:rPr>
        <w:t>11</w:t>
      </w:r>
      <w:r>
        <w:rPr>
          <w:rFonts w:hint="default" w:ascii="Times New Roman" w:hAnsi="Times New Roman" w:cs="Times New Roman"/>
          <w:color w:val="auto"/>
          <w:highlight w:val="none"/>
          <w:u w:val="none" w:color="auto"/>
        </w:rPr>
        <w:t>日）；</w:t>
      </w:r>
    </w:p>
    <w:p w14:paraId="5446AD3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）《湖南省“十四五”生态环境保护规划》（湘政办发〔2021〕61 号）；</w:t>
      </w:r>
    </w:p>
    <w:p w14:paraId="73F5B33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lang w:val="en-US" w:eastAsia="zh-CN"/>
        </w:rPr>
        <w:t>4</w:t>
      </w:r>
      <w:r>
        <w:rPr>
          <w:rFonts w:hint="default" w:ascii="Times New Roman" w:hAnsi="Times New Roman" w:cs="Times New Roman"/>
          <w:color w:val="auto"/>
          <w:highlight w:val="none"/>
          <w:u w:val="none" w:color="auto"/>
        </w:rPr>
        <w:t>）《益阳市“十四五”生态环境保护规划》（2021年</w:t>
      </w:r>
      <w:r>
        <w:rPr>
          <w:rFonts w:hint="default" w:ascii="Times New Roman" w:hAnsi="Times New Roman" w:cs="Times New Roman"/>
          <w:color w:val="auto"/>
          <w:highlight w:val="none"/>
          <w:u w:val="none" w:color="auto"/>
          <w:lang w:val="en-US" w:eastAsia="zh-CN"/>
        </w:rPr>
        <w:t>12</w:t>
      </w:r>
      <w:r>
        <w:rPr>
          <w:rFonts w:hint="default" w:ascii="Times New Roman" w:hAnsi="Times New Roman" w:cs="Times New Roman"/>
          <w:color w:val="auto"/>
          <w:highlight w:val="none"/>
          <w:u w:val="none" w:color="auto"/>
        </w:rPr>
        <w:t>月</w:t>
      </w:r>
      <w:r>
        <w:rPr>
          <w:rFonts w:hint="default" w:ascii="Times New Roman" w:hAnsi="Times New Roman" w:cs="Times New Roman"/>
          <w:color w:val="auto"/>
          <w:highlight w:val="none"/>
          <w:u w:val="none" w:color="auto"/>
          <w:lang w:val="en-US" w:eastAsia="zh-CN"/>
        </w:rPr>
        <w:t>27</w:t>
      </w:r>
      <w:r>
        <w:rPr>
          <w:rFonts w:hint="default" w:ascii="Times New Roman" w:hAnsi="Times New Roman" w:cs="Times New Roman"/>
          <w:color w:val="auto"/>
          <w:highlight w:val="none"/>
          <w:u w:val="none" w:color="auto"/>
        </w:rPr>
        <w:t>日实施）；</w:t>
      </w:r>
    </w:p>
    <w:p w14:paraId="6E63FFB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）《湖南省“十四五”噪声污染防治实施方案》(2024年</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月</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日)</w:t>
      </w:r>
    </w:p>
    <w:p w14:paraId="479FA375">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2.1.3 </w:t>
      </w:r>
      <w:r>
        <w:rPr>
          <w:rFonts w:hint="default" w:ascii="Times New Roman" w:hAnsi="Times New Roman" w:cs="Times New Roman"/>
          <w:color w:val="auto"/>
          <w:highlight w:val="none"/>
          <w:u w:val="none" w:color="auto"/>
        </w:rPr>
        <w:t>技术规范和行业标准</w:t>
      </w:r>
    </w:p>
    <w:p w14:paraId="575320A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（1）《环境影响评价技术导则-总纲》（HJ2.1-2016）；</w:t>
      </w:r>
    </w:p>
    <w:p w14:paraId="16426AE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（2）《环境影响评价技术导则-地表水环境》（HJ 2.3-2018）；</w:t>
      </w:r>
    </w:p>
    <w:p w14:paraId="47794A6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（3）《环境影响评价技术导则-大气环境》（HJ2.2-2018）；</w:t>
      </w:r>
    </w:p>
    <w:p w14:paraId="0B39B1C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（4）《环境影响评价技术导则-声环境》（HJ2.4-20</w:t>
      </w:r>
      <w:r>
        <w:rPr>
          <w:rFonts w:hint="default" w:ascii="Times New Roman" w:hAnsi="Times New Roman" w:cs="Times New Roman"/>
          <w:color w:val="auto"/>
          <w:highlight w:val="none"/>
          <w:u w:val="none" w:color="auto"/>
          <w:lang w:val="en-US" w:eastAsia="zh-CN"/>
        </w:rPr>
        <w:t>21</w:t>
      </w:r>
      <w:r>
        <w:rPr>
          <w:rFonts w:hint="default" w:ascii="Times New Roman" w:hAnsi="Times New Roman" w:cs="Times New Roman"/>
          <w:color w:val="auto"/>
          <w:highlight w:val="none"/>
          <w:u w:val="none" w:color="auto"/>
        </w:rPr>
        <w:t>）；</w:t>
      </w:r>
    </w:p>
    <w:p w14:paraId="6883C74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（5）《环境影响评价技术导则-生态影响》（HJ19-20</w:t>
      </w:r>
      <w:r>
        <w:rPr>
          <w:rFonts w:hint="default" w:ascii="Times New Roman" w:hAnsi="Times New Roman" w:cs="Times New Roman"/>
          <w:color w:val="auto"/>
          <w:highlight w:val="none"/>
          <w:u w:val="none" w:color="auto"/>
          <w:lang w:val="en-US" w:eastAsia="zh-CN"/>
        </w:rPr>
        <w:t>22</w:t>
      </w:r>
      <w:r>
        <w:rPr>
          <w:rFonts w:hint="default" w:ascii="Times New Roman" w:hAnsi="Times New Roman" w:cs="Times New Roman"/>
          <w:color w:val="auto"/>
          <w:highlight w:val="none"/>
          <w:u w:val="none" w:color="auto"/>
        </w:rPr>
        <w:t>）；</w:t>
      </w:r>
    </w:p>
    <w:p w14:paraId="32A9F10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（6）《环境影响评价技术导则-地下水环境》（HJ610-2016）；</w:t>
      </w:r>
    </w:p>
    <w:p w14:paraId="1A1F331B">
      <w:pPr>
        <w:pStyle w:val="189"/>
        <w:rPr>
          <w:rFonts w:hint="default" w:ascii="Times New Roman" w:hAnsi="Times New Roman" w:cs="Times New Roman" w:eastAsiaTheme="minorEastAsia"/>
          <w:color w:val="auto"/>
          <w:highlight w:val="none"/>
          <w:u w:val="none" w:color="auto"/>
          <w:lang w:eastAsia="zh-CN"/>
        </w:rPr>
      </w:pPr>
      <w:r>
        <w:rPr>
          <w:rFonts w:hint="default" w:ascii="Times New Roman" w:hAnsi="Times New Roman" w:cs="Times New Roman"/>
          <w:color w:val="auto"/>
          <w:highlight w:val="none"/>
          <w:u w:val="none" w:color="auto"/>
        </w:rPr>
        <w:t>（7）</w:t>
      </w:r>
      <w:r>
        <w:rPr>
          <w:rFonts w:hint="default" w:ascii="Times New Roman" w:hAnsi="Times New Roman" w:cs="Times New Roman"/>
          <w:color w:val="auto"/>
          <w:highlight w:val="none"/>
          <w:u w:val="none" w:color="auto"/>
          <w:lang w:eastAsia="zh-CN"/>
        </w:rPr>
        <w:t>《环境影响评价技术导则</w:t>
      </w:r>
      <w:r>
        <w:rPr>
          <w:rFonts w:hint="default" w:ascii="Times New Roman" w:hAnsi="Times New Roman" w:cs="Times New Roman"/>
          <w:color w:val="auto"/>
          <w:highlight w:val="none"/>
          <w:u w:val="none" w:color="auto"/>
          <w:lang w:val="en-US" w:eastAsia="zh-CN"/>
        </w:rPr>
        <w:t>-土壤环境（试行）</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（HJ</w:t>
      </w:r>
      <w:r>
        <w:rPr>
          <w:rFonts w:hint="default" w:ascii="Times New Roman" w:hAnsi="Times New Roman" w:cs="Times New Roman"/>
          <w:color w:val="auto"/>
          <w:highlight w:val="none"/>
          <w:u w:val="none" w:color="auto"/>
          <w:lang w:val="en-US" w:eastAsia="zh-CN"/>
        </w:rPr>
        <w:t>964</w:t>
      </w:r>
      <w:r>
        <w:rPr>
          <w:rFonts w:hint="default" w:ascii="Times New Roman" w:hAnsi="Times New Roman" w:cs="Times New Roman"/>
          <w:color w:val="auto"/>
          <w:highlight w:val="none"/>
          <w:u w:val="none" w:color="auto"/>
        </w:rPr>
        <w:t>-201</w:t>
      </w:r>
      <w:r>
        <w:rPr>
          <w:rFonts w:hint="default" w:ascii="Times New Roman" w:hAnsi="Times New Roman" w:cs="Times New Roman"/>
          <w:color w:val="auto"/>
          <w:highlight w:val="none"/>
          <w:u w:val="none" w:color="auto"/>
          <w:lang w:val="en-US" w:eastAsia="zh-CN"/>
        </w:rPr>
        <w:t>8</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eastAsia="zh-CN"/>
        </w:rPr>
        <w:t>；</w:t>
      </w:r>
    </w:p>
    <w:p w14:paraId="78F514D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8</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《建设项目环境风险评价技术导则》（HJ169-2018）；</w:t>
      </w:r>
    </w:p>
    <w:p w14:paraId="62F5A173">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auto"/>
          <w:highlight w:val="none"/>
          <w:u w:val="none" w:color="auto"/>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wave" w:color="auto"/>
          <w14:textFill>
            <w14:solidFill>
              <w14:schemeClr w14:val="tx1"/>
            </w14:solidFill>
          </w14:textFill>
        </w:rPr>
        <w:t>《城市排水工程规划规范》（GB50318-20</w:t>
      </w:r>
      <w:r>
        <w:rPr>
          <w:rFonts w:hint="eastAsia" w:cs="Times New Roman"/>
          <w:color w:val="000000" w:themeColor="text1"/>
          <w:highlight w:val="none"/>
          <w:u w:val="wave" w:color="auto"/>
          <w:lang w:val="en-US" w:eastAsia="zh-CN"/>
          <w14:textFill>
            <w14:solidFill>
              <w14:schemeClr w14:val="tx1"/>
            </w14:solidFill>
          </w14:textFill>
        </w:rPr>
        <w:t>17</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w:t>
      </w:r>
    </w:p>
    <w:p w14:paraId="4848151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10</w:t>
      </w:r>
      <w:r>
        <w:rPr>
          <w:rFonts w:hint="default" w:ascii="Times New Roman" w:hAnsi="Times New Roman" w:cs="Times New Roman"/>
          <w:color w:val="auto"/>
          <w:highlight w:val="none"/>
          <w:u w:val="none" w:color="auto"/>
        </w:rPr>
        <w:t>）《城市污水处理工程项目建设标准》（建标[2001]77号）；</w:t>
      </w:r>
    </w:p>
    <w:p w14:paraId="42792BC4">
      <w:pPr>
        <w:pStyle w:val="189"/>
        <w:rPr>
          <w:rFonts w:hint="default" w:ascii="Times New Roman" w:hAnsi="Times New Roman" w:cs="Times New Roman" w:eastAsiaTheme="minorEastAsia"/>
          <w:color w:val="auto"/>
          <w:highlight w:val="none"/>
          <w:u w:val="none" w:color="auto"/>
          <w:lang w:eastAsia="zh-CN"/>
        </w:rPr>
      </w:pP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rPr>
        <w:t>）《排污许可申请与核发技术规范 水处理（试行）》（HJ978-2018）</w:t>
      </w:r>
      <w:r>
        <w:rPr>
          <w:rFonts w:hint="default" w:ascii="Times New Roman" w:hAnsi="Times New Roman" w:cs="Times New Roman"/>
          <w:color w:val="auto"/>
          <w:highlight w:val="none"/>
          <w:u w:val="none" w:color="auto"/>
          <w:lang w:val="en-US" w:eastAsia="zh-CN"/>
        </w:rPr>
        <w:t>.</w:t>
      </w:r>
    </w:p>
    <w:p w14:paraId="48BEB988">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2.1.4 </w:t>
      </w:r>
      <w:r>
        <w:rPr>
          <w:rFonts w:hint="default" w:ascii="Times New Roman" w:hAnsi="Times New Roman" w:cs="Times New Roman"/>
          <w:color w:val="auto"/>
          <w:highlight w:val="none"/>
          <w:u w:val="none" w:color="auto"/>
        </w:rPr>
        <w:t>其他有关文件和技术资料</w:t>
      </w:r>
    </w:p>
    <w:p w14:paraId="6A39E7D3">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lang w:val="en-US" w:eastAsia="zh-CN"/>
        </w:rPr>
        <w:t>《大通湖工业集中区环境影响跟踪评价》（2020年12月）</w:t>
      </w:r>
    </w:p>
    <w:p w14:paraId="372C075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lang w:eastAsia="zh-CN"/>
        </w:rPr>
        <w:t>《大通湖工业园污水处理厂提质改造建设项目</w:t>
      </w:r>
      <w:r>
        <w:rPr>
          <w:rFonts w:hint="default" w:ascii="Times New Roman" w:hAnsi="Times New Roman" w:cs="Times New Roman"/>
          <w:color w:val="auto"/>
          <w:highlight w:val="none"/>
          <w:u w:val="none" w:color="auto"/>
          <w:lang w:val="en-US" w:eastAsia="zh-CN"/>
        </w:rPr>
        <w:t>可行性研究报告</w:t>
      </w:r>
      <w:r>
        <w:rPr>
          <w:rFonts w:hint="default" w:ascii="Times New Roman" w:hAnsi="Times New Roman" w:cs="Times New Roman"/>
          <w:color w:val="auto"/>
          <w:highlight w:val="none"/>
          <w:u w:val="none" w:color="auto"/>
          <w:lang w:eastAsia="zh-CN"/>
        </w:rPr>
        <w:t>》及批复</w:t>
      </w:r>
    </w:p>
    <w:p w14:paraId="3DC0897B">
      <w:pPr>
        <w:pStyle w:val="189"/>
        <w:rPr>
          <w:rFonts w:hint="default" w:ascii="Times New Roman" w:hAnsi="Times New Roman" w:eastAsia="宋体" w:cs="Times New Roman"/>
          <w:color w:val="auto"/>
          <w:szCs w:val="24"/>
          <w:highlight w:val="none"/>
          <w:u w:val="none" w:color="auto"/>
          <w:lang w:val="en-US" w:eastAsia="zh-CN"/>
        </w:rPr>
      </w:pPr>
      <w:r>
        <w:rPr>
          <w:rFonts w:hint="default" w:ascii="Times New Roman" w:hAnsi="Times New Roman" w:eastAsia="宋体" w:cs="Times New Roman"/>
          <w:color w:val="auto"/>
          <w:szCs w:val="24"/>
          <w:highlight w:val="none"/>
          <w:u w:val="none" w:color="auto"/>
          <w:lang w:eastAsia="zh-CN"/>
        </w:rPr>
        <w:t>（</w:t>
      </w:r>
      <w:r>
        <w:rPr>
          <w:rFonts w:hint="default" w:ascii="Times New Roman" w:hAnsi="Times New Roman" w:eastAsia="宋体" w:cs="Times New Roman"/>
          <w:color w:val="auto"/>
          <w:szCs w:val="24"/>
          <w:highlight w:val="none"/>
          <w:u w:val="none" w:color="auto"/>
          <w:lang w:val="en-US" w:eastAsia="zh-CN"/>
        </w:rPr>
        <w:t>3）《大通湖产业开发区控制性详细规划》（2024年）</w:t>
      </w:r>
    </w:p>
    <w:p w14:paraId="221C0EE7">
      <w:pPr>
        <w:pStyle w:val="189"/>
        <w:rPr>
          <w:rFonts w:hint="default" w:ascii="Times New Roman" w:hAnsi="Times New Roman" w:cs="Times New Roman"/>
          <w:color w:val="auto"/>
          <w:kern w:val="0"/>
          <w:sz w:val="24"/>
          <w:szCs w:val="24"/>
          <w:highlight w:val="none"/>
          <w:u w:val="none" w:color="auto"/>
          <w:lang w:val="en-US" w:eastAsia="zh-CN"/>
        </w:rPr>
      </w:pPr>
      <w:r>
        <w:rPr>
          <w:rFonts w:hint="default" w:ascii="Times New Roman" w:hAnsi="Times New Roman" w:eastAsia="宋体" w:cs="Times New Roman"/>
          <w:color w:val="auto"/>
          <w:szCs w:val="24"/>
          <w:highlight w:val="none"/>
          <w:u w:val="none" w:color="auto"/>
          <w:lang w:val="en-US" w:eastAsia="zh-CN"/>
        </w:rPr>
        <w:t>（4）《大通湖产业开发区产业发展规划》（2023-2035年）</w:t>
      </w:r>
      <w:r>
        <w:rPr>
          <w:rFonts w:hint="default" w:ascii="Times New Roman" w:hAnsi="Times New Roman" w:cs="Times New Roman"/>
          <w:color w:val="auto"/>
          <w:kern w:val="0"/>
          <w:sz w:val="24"/>
          <w:szCs w:val="24"/>
          <w:highlight w:val="none"/>
          <w:u w:val="none" w:color="auto"/>
          <w:lang w:val="en-US" w:eastAsia="zh-CN"/>
        </w:rPr>
        <w:t>；</w:t>
      </w:r>
    </w:p>
    <w:p w14:paraId="5485DF5D">
      <w:pPr>
        <w:pStyle w:val="189"/>
        <w:rPr>
          <w:rFonts w:hint="default" w:ascii="Times New Roman" w:hAnsi="Times New Roman" w:cs="Times New Roman"/>
          <w:color w:val="auto"/>
          <w:kern w:val="0"/>
          <w:sz w:val="24"/>
          <w:szCs w:val="24"/>
          <w:highlight w:val="none"/>
          <w:u w:val="none" w:color="auto"/>
          <w:lang w:val="en-US" w:eastAsia="zh-CN"/>
        </w:rPr>
      </w:pPr>
      <w:r>
        <w:rPr>
          <w:rFonts w:hint="default" w:ascii="Times New Roman" w:hAnsi="Times New Roman" w:cs="Times New Roman"/>
          <w:color w:val="auto"/>
          <w:kern w:val="0"/>
          <w:sz w:val="24"/>
          <w:szCs w:val="24"/>
          <w:highlight w:val="none"/>
          <w:u w:val="none" w:color="auto"/>
          <w:lang w:val="en-US" w:eastAsia="zh-CN"/>
        </w:rPr>
        <w:t>（5）《湖南大通湖洞庭食品工业园废水处理工程变更环境影响报告书》湖南省国际工程咨询中心有限公司，2020年1月</w:t>
      </w:r>
    </w:p>
    <w:p w14:paraId="6CAF8848">
      <w:pPr>
        <w:pStyle w:val="189"/>
        <w:rPr>
          <w:rFonts w:hint="default" w:ascii="Times New Roman" w:hAnsi="Times New Roman" w:cs="Times New Roman"/>
          <w:color w:val="auto"/>
          <w:kern w:val="0"/>
          <w:sz w:val="24"/>
          <w:szCs w:val="24"/>
          <w:highlight w:val="none"/>
          <w:u w:val="none" w:color="auto"/>
          <w:lang w:val="en-US" w:eastAsia="zh-CN"/>
        </w:rPr>
      </w:pPr>
      <w:r>
        <w:rPr>
          <w:rFonts w:hint="default" w:ascii="Times New Roman" w:hAnsi="Times New Roman" w:cs="Times New Roman"/>
          <w:color w:val="auto"/>
          <w:kern w:val="0"/>
          <w:sz w:val="24"/>
          <w:szCs w:val="24"/>
          <w:highlight w:val="none"/>
          <w:u w:val="none" w:color="auto"/>
          <w:lang w:val="en-US" w:eastAsia="zh-CN"/>
        </w:rPr>
        <w:t>（6）益阳市生态环境局关于《湖南大通湖洞庭食品工业园废水处理工程变更环境影响报告书》的批复，益环审（书）[2020]4号</w:t>
      </w:r>
    </w:p>
    <w:p w14:paraId="756E0DB6">
      <w:pPr>
        <w:pStyle w:val="189"/>
        <w:rPr>
          <w:rFonts w:hint="default" w:ascii="Times New Roman" w:hAnsi="Times New Roman" w:cs="Times New Roman"/>
          <w:color w:val="auto"/>
          <w:kern w:val="0"/>
          <w:sz w:val="24"/>
          <w:szCs w:val="24"/>
          <w:highlight w:val="none"/>
          <w:u w:val="none" w:color="auto"/>
          <w:lang w:val="en-US" w:eastAsia="zh-CN"/>
        </w:rPr>
      </w:pPr>
      <w:r>
        <w:rPr>
          <w:rFonts w:hint="default" w:ascii="Times New Roman" w:hAnsi="Times New Roman" w:cs="Times New Roman"/>
          <w:color w:val="auto"/>
          <w:kern w:val="0"/>
          <w:sz w:val="24"/>
          <w:szCs w:val="24"/>
          <w:highlight w:val="none"/>
          <w:u w:val="none" w:color="auto"/>
          <w:lang w:val="en-US" w:eastAsia="zh-CN"/>
        </w:rPr>
        <w:t>（7）《湖南大通湖洞庭食品工业园废水处理工程建设项目竣工验收环境保护监测报告》湖南精科检测有限公司，2020年2月</w:t>
      </w:r>
    </w:p>
    <w:p w14:paraId="4BF54822">
      <w:pPr>
        <w:pStyle w:val="189"/>
        <w:rPr>
          <w:rFonts w:hint="default" w:ascii="Times New Roman" w:hAnsi="Times New Roman" w:cs="Times New Roman"/>
          <w:color w:val="auto"/>
          <w:kern w:val="0"/>
          <w:sz w:val="24"/>
          <w:szCs w:val="24"/>
          <w:highlight w:val="none"/>
          <w:u w:val="none" w:color="auto"/>
          <w:lang w:val="en-US" w:eastAsia="zh-CN"/>
        </w:rPr>
      </w:pPr>
      <w:r>
        <w:rPr>
          <w:rFonts w:hint="default" w:ascii="Times New Roman" w:hAnsi="Times New Roman" w:cs="Times New Roman"/>
          <w:color w:val="auto"/>
          <w:highlight w:val="none"/>
          <w:u w:val="none" w:color="auto"/>
          <w:lang w:val="en-US" w:eastAsia="zh-CN"/>
        </w:rPr>
        <w:t>（8）</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eastAsia="zh-CN"/>
        </w:rPr>
        <w:t>大通湖工业园污水处理厂提质改造</w:t>
      </w:r>
      <w:r>
        <w:rPr>
          <w:rFonts w:hint="default" w:ascii="Times New Roman" w:hAnsi="Times New Roman" w:cs="Times New Roman"/>
          <w:color w:val="auto"/>
          <w:highlight w:val="none"/>
          <w:u w:val="none" w:color="auto"/>
          <w:lang w:val="en-US" w:eastAsia="zh-CN"/>
        </w:rPr>
        <w:t>建设项目初步设计说明</w:t>
      </w:r>
      <w:r>
        <w:rPr>
          <w:rFonts w:hint="default" w:ascii="Times New Roman" w:hAnsi="Times New Roman" w:cs="Times New Roman"/>
          <w:color w:val="auto"/>
          <w:highlight w:val="none"/>
          <w:u w:val="none" w:color="auto"/>
        </w:rPr>
        <w:t>》广东建筑艺术设计院有限公司</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20</w:t>
      </w:r>
      <w:r>
        <w:rPr>
          <w:rFonts w:hint="default" w:ascii="Times New Roman" w:hAnsi="Times New Roman" w:cs="Times New Roman"/>
          <w:color w:val="auto"/>
          <w:highlight w:val="none"/>
          <w:u w:val="none" w:color="auto"/>
          <w:lang w:val="en-US" w:eastAsia="zh-CN"/>
        </w:rPr>
        <w:t>25</w:t>
      </w:r>
      <w:r>
        <w:rPr>
          <w:rFonts w:hint="default" w:ascii="Times New Roman" w:hAnsi="Times New Roman" w:cs="Times New Roman"/>
          <w:color w:val="auto"/>
          <w:highlight w:val="none"/>
          <w:u w:val="none" w:color="auto"/>
        </w:rPr>
        <w:t>年</w:t>
      </w:r>
      <w:r>
        <w:rPr>
          <w:rFonts w:hint="default" w:ascii="Times New Roman" w:hAnsi="Times New Roman" w:cs="Times New Roman"/>
          <w:color w:val="auto"/>
          <w:highlight w:val="none"/>
          <w:u w:val="none" w:color="auto"/>
          <w:lang w:val="en-US" w:eastAsia="zh-CN"/>
        </w:rPr>
        <w:t>4月</w:t>
      </w:r>
      <w:r>
        <w:rPr>
          <w:rFonts w:hint="default" w:ascii="Times New Roman" w:hAnsi="Times New Roman" w:cs="Times New Roman"/>
          <w:color w:val="auto"/>
          <w:highlight w:val="none"/>
          <w:u w:val="none" w:color="auto"/>
        </w:rPr>
        <w:t>；</w:t>
      </w:r>
    </w:p>
    <w:p w14:paraId="456B599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9</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建设方提供的其他资料。</w:t>
      </w:r>
    </w:p>
    <w:p w14:paraId="1C137450">
      <w:pPr>
        <w:pStyle w:val="3"/>
        <w:numPr>
          <w:ilvl w:val="1"/>
          <w:numId w:val="0"/>
        </w:numPr>
        <w:ind w:leftChars="0"/>
        <w:rPr>
          <w:rFonts w:hint="default" w:ascii="Times New Roman" w:hAnsi="Times New Roman" w:cs="Times New Roman"/>
          <w:color w:val="auto"/>
          <w:highlight w:val="none"/>
          <w:u w:val="none" w:color="auto"/>
        </w:rPr>
      </w:pPr>
      <w:bookmarkStart w:id="25" w:name="_Toc18724"/>
      <w:r>
        <w:rPr>
          <w:rFonts w:hint="default" w:ascii="Times New Roman" w:hAnsi="Times New Roman" w:cs="Times New Roman"/>
          <w:color w:val="auto"/>
          <w:highlight w:val="none"/>
          <w:u w:val="none" w:color="auto"/>
          <w:lang w:val="en-US" w:eastAsia="zh-CN"/>
        </w:rPr>
        <w:t xml:space="preserve">2.2 </w:t>
      </w:r>
      <w:r>
        <w:rPr>
          <w:rFonts w:hint="default" w:ascii="Times New Roman" w:hAnsi="Times New Roman" w:cs="Times New Roman"/>
          <w:color w:val="auto"/>
          <w:highlight w:val="none"/>
          <w:u w:val="none" w:color="auto"/>
        </w:rPr>
        <w:t>环境影响因素识别及评价因子筛选</w:t>
      </w:r>
      <w:bookmarkEnd w:id="25"/>
    </w:p>
    <w:p w14:paraId="7094D8C3">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2.2.1 </w:t>
      </w:r>
      <w:r>
        <w:rPr>
          <w:rFonts w:hint="default" w:ascii="Times New Roman" w:hAnsi="Times New Roman" w:cs="Times New Roman"/>
          <w:color w:val="auto"/>
          <w:highlight w:val="none"/>
          <w:u w:val="none" w:color="auto"/>
        </w:rPr>
        <w:t>评价时段</w:t>
      </w:r>
    </w:p>
    <w:p w14:paraId="64098DC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评价时段为项目施工期和运营期。</w:t>
      </w:r>
    </w:p>
    <w:p w14:paraId="2CBA0A7C">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2.2.2 </w:t>
      </w:r>
      <w:r>
        <w:rPr>
          <w:rFonts w:hint="default" w:ascii="Times New Roman" w:hAnsi="Times New Roman" w:cs="Times New Roman"/>
          <w:color w:val="auto"/>
          <w:highlight w:val="none"/>
          <w:u w:val="none" w:color="auto"/>
        </w:rPr>
        <w:t>环境影响因</w:t>
      </w:r>
      <w:r>
        <w:rPr>
          <w:rFonts w:hint="default" w:ascii="Times New Roman" w:hAnsi="Times New Roman" w:cs="Times New Roman"/>
          <w:color w:val="auto"/>
          <w:highlight w:val="none"/>
          <w:u w:val="none" w:color="auto"/>
          <w:lang w:val="en-US" w:eastAsia="zh-CN"/>
        </w:rPr>
        <w:t>素</w:t>
      </w:r>
      <w:r>
        <w:rPr>
          <w:rFonts w:hint="default" w:ascii="Times New Roman" w:hAnsi="Times New Roman" w:cs="Times New Roman"/>
          <w:color w:val="auto"/>
          <w:highlight w:val="none"/>
          <w:u w:val="none" w:color="auto"/>
        </w:rPr>
        <w:t>识别</w:t>
      </w:r>
    </w:p>
    <w:p w14:paraId="2DFEAC1F">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施工期</w:t>
      </w:r>
    </w:p>
    <w:p w14:paraId="1291F6E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项目施工内容主要包括土建施工及设备安装等。施工环境影响因素主要包括施工扬</w:t>
      </w:r>
    </w:p>
    <w:p w14:paraId="1FBDED6C">
      <w:pPr>
        <w:pStyle w:val="189"/>
        <w:ind w:left="0" w:lef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尘、运输车辆道路扬尘等；施工废水及施工人员生活污水；施工现场机械噪声及运输车</w:t>
      </w:r>
    </w:p>
    <w:p w14:paraId="0788F364">
      <w:pPr>
        <w:pStyle w:val="189"/>
        <w:ind w:left="0" w:lef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辆噪声；施工过程产生的施工垃圾、施工人员生活垃圾；以及场地开挖对土地的扰动作</w:t>
      </w:r>
    </w:p>
    <w:p w14:paraId="538F2BC0">
      <w:pPr>
        <w:pStyle w:val="189"/>
        <w:ind w:left="0" w:lef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用等。施工期的影响因素主要是施工扬尘、施工废水、施工噪声和施工垃圾，施工期影</w:t>
      </w:r>
    </w:p>
    <w:p w14:paraId="7FC00E50">
      <w:pPr>
        <w:pStyle w:val="189"/>
        <w:ind w:left="0" w:lef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响具有局部性和阶段性特征。</w:t>
      </w:r>
    </w:p>
    <w:p w14:paraId="028A4D40">
      <w:pPr>
        <w:pStyle w:val="189"/>
        <w:numPr>
          <w:ilvl w:val="0"/>
          <w:numId w:val="0"/>
        </w:numPr>
        <w:ind w:left="0" w:leftChars="0" w:firstLine="480" w:firstLineChars="20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eastAsiaTheme="minorEastAsia"/>
          <w:color w:val="auto"/>
          <w:sz w:val="24"/>
          <w:szCs w:val="24"/>
          <w:highlight w:val="none"/>
          <w:u w:color="auto"/>
          <w:lang w:val="en-US" w:eastAsia="zh-CN" w:bidi="ar-SA"/>
        </w:rPr>
        <w:t>（2）</w:t>
      </w:r>
      <w:r>
        <w:rPr>
          <w:rFonts w:hint="default" w:ascii="Times New Roman" w:hAnsi="Times New Roman" w:cs="Times New Roman"/>
          <w:color w:val="auto"/>
          <w:highlight w:val="none"/>
          <w:u w:val="none" w:color="auto"/>
          <w:lang w:val="en-US" w:eastAsia="zh-CN"/>
        </w:rPr>
        <w:t>运营期</w:t>
      </w:r>
    </w:p>
    <w:p w14:paraId="2A3CC93F">
      <w:pPr>
        <w:pStyle w:val="189"/>
        <w:numPr>
          <w:ilvl w:val="0"/>
          <w:numId w:val="0"/>
        </w:numPr>
        <w:ind w:firstLine="480" w:firstLineChars="20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次评价根据设计方案设计范围，仅对厂区范围内污水处理产生的环境影响进行分析评价，不包含厂区外配套管道工程的环境影响评价。因此，本项目运营期的环境影响因素主要为：污水处理过程产生恶臭气体排放对大气环境的影响；厂内各类水泵、风机等机械设备噪声对周边声环境的影响；污水下渗对区域地下水及土壤环境的污染影响；污水处理污泥对周边环境的影响。</w:t>
      </w:r>
    </w:p>
    <w:p w14:paraId="0CF010A7">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项目污染物特征</w:t>
      </w:r>
    </w:p>
    <w:tbl>
      <w:tblPr>
        <w:tblStyle w:val="76"/>
        <w:tblW w:w="92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4"/>
        <w:gridCol w:w="1164"/>
        <w:gridCol w:w="2519"/>
        <w:gridCol w:w="2837"/>
        <w:gridCol w:w="710"/>
        <w:gridCol w:w="908"/>
      </w:tblGrid>
      <w:tr w14:paraId="4D5AC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Align w:val="center"/>
          </w:tcPr>
          <w:p w14:paraId="2A5E3D00">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阶段</w:t>
            </w:r>
          </w:p>
        </w:tc>
        <w:tc>
          <w:tcPr>
            <w:tcW w:w="1164" w:type="dxa"/>
            <w:vAlign w:val="center"/>
          </w:tcPr>
          <w:p w14:paraId="095728AF">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环境要素</w:t>
            </w:r>
          </w:p>
        </w:tc>
        <w:tc>
          <w:tcPr>
            <w:tcW w:w="2519" w:type="dxa"/>
            <w:vAlign w:val="center"/>
          </w:tcPr>
          <w:p w14:paraId="2FA2386C">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来源</w:t>
            </w:r>
          </w:p>
        </w:tc>
        <w:tc>
          <w:tcPr>
            <w:tcW w:w="2837" w:type="dxa"/>
            <w:vAlign w:val="center"/>
          </w:tcPr>
          <w:p w14:paraId="066C8011">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影响因子</w:t>
            </w:r>
          </w:p>
        </w:tc>
        <w:tc>
          <w:tcPr>
            <w:tcW w:w="710" w:type="dxa"/>
            <w:vAlign w:val="center"/>
          </w:tcPr>
          <w:p w14:paraId="3309841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影响程度</w:t>
            </w:r>
          </w:p>
        </w:tc>
        <w:tc>
          <w:tcPr>
            <w:tcW w:w="908" w:type="dxa"/>
            <w:vAlign w:val="center"/>
          </w:tcPr>
          <w:p w14:paraId="59D2C6A6">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污染特点</w:t>
            </w:r>
          </w:p>
        </w:tc>
      </w:tr>
      <w:tr w14:paraId="5A016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restart"/>
            <w:vAlign w:val="center"/>
          </w:tcPr>
          <w:p w14:paraId="60E67A1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本项目施工期</w:t>
            </w:r>
          </w:p>
        </w:tc>
        <w:tc>
          <w:tcPr>
            <w:tcW w:w="1164" w:type="dxa"/>
            <w:vMerge w:val="restart"/>
            <w:vAlign w:val="center"/>
          </w:tcPr>
          <w:p w14:paraId="43556D1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空气环境</w:t>
            </w:r>
          </w:p>
        </w:tc>
        <w:tc>
          <w:tcPr>
            <w:tcW w:w="2519" w:type="dxa"/>
            <w:vAlign w:val="center"/>
          </w:tcPr>
          <w:p w14:paraId="25B3C2F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运输车辆、施工机械</w:t>
            </w:r>
          </w:p>
        </w:tc>
        <w:tc>
          <w:tcPr>
            <w:tcW w:w="2837" w:type="dxa"/>
            <w:vAlign w:val="center"/>
          </w:tcPr>
          <w:p w14:paraId="49B892A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TSP、NO</w:t>
            </w:r>
            <w:r>
              <w:rPr>
                <w:rFonts w:hint="default" w:ascii="Times New Roman" w:hAnsi="Times New Roman" w:cs="Times New Roman"/>
                <w:color w:val="auto"/>
                <w:sz w:val="16"/>
                <w:szCs w:val="16"/>
                <w:highlight w:val="none"/>
                <w:u w:val="none" w:color="auto"/>
              </w:rPr>
              <w:t>2</w:t>
            </w:r>
            <w:r>
              <w:rPr>
                <w:rFonts w:hint="default" w:ascii="Times New Roman" w:hAnsi="Times New Roman" w:cs="Times New Roman"/>
                <w:color w:val="auto"/>
                <w:highlight w:val="none"/>
                <w:u w:val="none" w:color="auto"/>
              </w:rPr>
              <w:t>、THC</w:t>
            </w:r>
          </w:p>
        </w:tc>
        <w:tc>
          <w:tcPr>
            <w:tcW w:w="710" w:type="dxa"/>
            <w:vAlign w:val="center"/>
          </w:tcPr>
          <w:p w14:paraId="7492D62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Merge w:val="restart"/>
            <w:vAlign w:val="center"/>
          </w:tcPr>
          <w:p w14:paraId="179C86B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间歇性</w:t>
            </w:r>
          </w:p>
          <w:p w14:paraId="4B6B469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暂时性</w:t>
            </w:r>
          </w:p>
        </w:tc>
      </w:tr>
      <w:tr w14:paraId="6A2064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3021F72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Merge w:val="continue"/>
            <w:vAlign w:val="center"/>
          </w:tcPr>
          <w:p w14:paraId="2F29943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2519" w:type="dxa"/>
            <w:vAlign w:val="center"/>
          </w:tcPr>
          <w:p w14:paraId="76E7D33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施工机械作业</w:t>
            </w:r>
          </w:p>
        </w:tc>
        <w:tc>
          <w:tcPr>
            <w:tcW w:w="2837" w:type="dxa"/>
            <w:vAlign w:val="center"/>
          </w:tcPr>
          <w:p w14:paraId="418ABB9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扬尘（</w:t>
            </w:r>
            <w:r>
              <w:rPr>
                <w:rFonts w:hint="default" w:ascii="Times New Roman" w:hAnsi="Times New Roman" w:eastAsia="TimesNewRomanPSMT" w:cs="Times New Roman"/>
                <w:color w:val="auto"/>
                <w:highlight w:val="none"/>
                <w:u w:val="none" w:color="auto"/>
              </w:rPr>
              <w:t>TSP</w:t>
            </w:r>
            <w:r>
              <w:rPr>
                <w:rFonts w:hint="default" w:ascii="Times New Roman" w:hAnsi="Times New Roman" w:cs="Times New Roman"/>
                <w:color w:val="auto"/>
                <w:highlight w:val="none"/>
                <w:u w:val="none" w:color="auto"/>
              </w:rPr>
              <w:t>）</w:t>
            </w:r>
          </w:p>
        </w:tc>
        <w:tc>
          <w:tcPr>
            <w:tcW w:w="710" w:type="dxa"/>
            <w:vAlign w:val="center"/>
          </w:tcPr>
          <w:p w14:paraId="2997E17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Merge w:val="continue"/>
            <w:vAlign w:val="center"/>
          </w:tcPr>
          <w:p w14:paraId="3E4EE82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r w14:paraId="393FE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5A9C8FE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Merge w:val="continue"/>
            <w:vAlign w:val="center"/>
          </w:tcPr>
          <w:p w14:paraId="271EBE0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2519" w:type="dxa"/>
            <w:vAlign w:val="center"/>
          </w:tcPr>
          <w:p w14:paraId="08B4EF1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建筑、装修材料</w:t>
            </w:r>
          </w:p>
        </w:tc>
        <w:tc>
          <w:tcPr>
            <w:tcW w:w="2837" w:type="dxa"/>
            <w:vAlign w:val="center"/>
          </w:tcPr>
          <w:p w14:paraId="084353F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苯、二甲苯等</w:t>
            </w:r>
          </w:p>
        </w:tc>
        <w:tc>
          <w:tcPr>
            <w:tcW w:w="710" w:type="dxa"/>
            <w:vAlign w:val="center"/>
          </w:tcPr>
          <w:p w14:paraId="2330797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Merge w:val="continue"/>
            <w:vAlign w:val="center"/>
          </w:tcPr>
          <w:p w14:paraId="2152922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r w14:paraId="3D65A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5722183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Merge w:val="restart"/>
            <w:vAlign w:val="center"/>
          </w:tcPr>
          <w:p w14:paraId="6EA6258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水环境</w:t>
            </w:r>
          </w:p>
        </w:tc>
        <w:tc>
          <w:tcPr>
            <w:tcW w:w="2519" w:type="dxa"/>
            <w:vAlign w:val="center"/>
          </w:tcPr>
          <w:p w14:paraId="5E96F72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施工生活污水</w:t>
            </w:r>
          </w:p>
        </w:tc>
        <w:tc>
          <w:tcPr>
            <w:tcW w:w="2837" w:type="dxa"/>
            <w:vAlign w:val="center"/>
          </w:tcPr>
          <w:p w14:paraId="44D88FA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COD</w:t>
            </w:r>
            <w:r>
              <w:rPr>
                <w:rFonts w:hint="default" w:ascii="Times New Roman" w:hAnsi="Times New Roman" w:eastAsia="TimesNewRomanPSMT" w:cs="Times New Roman"/>
                <w:color w:val="auto"/>
                <w:sz w:val="16"/>
                <w:szCs w:val="16"/>
                <w:highlight w:val="none"/>
                <w:u w:val="none" w:color="auto"/>
              </w:rPr>
              <w:t>Cr</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BOD</w:t>
            </w:r>
            <w:r>
              <w:rPr>
                <w:rFonts w:hint="default" w:ascii="Times New Roman" w:hAnsi="Times New Roman" w:eastAsia="TimesNewRomanPSMT" w:cs="Times New Roman"/>
                <w:color w:val="auto"/>
                <w:sz w:val="16"/>
                <w:szCs w:val="16"/>
                <w:highlight w:val="none"/>
                <w:u w:val="none" w:color="auto"/>
              </w:rPr>
              <w:t>5</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SS</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NH</w:t>
            </w:r>
            <w:r>
              <w:rPr>
                <w:rFonts w:hint="default" w:ascii="Times New Roman" w:hAnsi="Times New Roman" w:eastAsia="TimesNewRomanPSMT" w:cs="Times New Roman"/>
                <w:color w:val="auto"/>
                <w:sz w:val="16"/>
                <w:szCs w:val="16"/>
                <w:highlight w:val="none"/>
                <w:u w:val="none" w:color="auto"/>
              </w:rPr>
              <w:t>3</w:t>
            </w:r>
            <w:r>
              <w:rPr>
                <w:rFonts w:hint="default" w:ascii="Times New Roman" w:hAnsi="Times New Roman" w:eastAsia="TimesNewRomanPSMT" w:cs="Times New Roman"/>
                <w:color w:val="auto"/>
                <w:highlight w:val="none"/>
                <w:u w:val="none" w:color="auto"/>
              </w:rPr>
              <w:t>-N</w:t>
            </w:r>
          </w:p>
        </w:tc>
        <w:tc>
          <w:tcPr>
            <w:tcW w:w="710" w:type="dxa"/>
            <w:vAlign w:val="center"/>
          </w:tcPr>
          <w:p w14:paraId="75B8FD7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Merge w:val="continue"/>
            <w:vAlign w:val="center"/>
          </w:tcPr>
          <w:p w14:paraId="74B04F5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r w14:paraId="49BDE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7BB8020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Merge w:val="continue"/>
            <w:vAlign w:val="center"/>
          </w:tcPr>
          <w:p w14:paraId="0D430AF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2519" w:type="dxa"/>
            <w:vAlign w:val="center"/>
          </w:tcPr>
          <w:p w14:paraId="28BB792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机械设备、车辆冲洗</w:t>
            </w:r>
          </w:p>
        </w:tc>
        <w:tc>
          <w:tcPr>
            <w:tcW w:w="2837" w:type="dxa"/>
            <w:vAlign w:val="center"/>
          </w:tcPr>
          <w:p w14:paraId="04580A2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SS</w:t>
            </w:r>
            <w:r>
              <w:rPr>
                <w:rFonts w:hint="default" w:ascii="Times New Roman" w:hAnsi="Times New Roman" w:cs="Times New Roman"/>
                <w:color w:val="auto"/>
                <w:highlight w:val="none"/>
                <w:u w:val="none" w:color="auto"/>
              </w:rPr>
              <w:t>、石油类</w:t>
            </w:r>
          </w:p>
        </w:tc>
        <w:tc>
          <w:tcPr>
            <w:tcW w:w="710" w:type="dxa"/>
            <w:vAlign w:val="center"/>
          </w:tcPr>
          <w:p w14:paraId="7BD7FFB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Merge w:val="continue"/>
            <w:vAlign w:val="center"/>
          </w:tcPr>
          <w:p w14:paraId="6C05336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r w14:paraId="69BA7D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3C785E0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Merge w:val="restart"/>
            <w:vAlign w:val="center"/>
          </w:tcPr>
          <w:p w14:paraId="246F52B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声环境</w:t>
            </w:r>
          </w:p>
        </w:tc>
        <w:tc>
          <w:tcPr>
            <w:tcW w:w="2519" w:type="dxa"/>
            <w:vAlign w:val="center"/>
          </w:tcPr>
          <w:p w14:paraId="01A557F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运输车辆、施工机械</w:t>
            </w:r>
          </w:p>
        </w:tc>
        <w:tc>
          <w:tcPr>
            <w:tcW w:w="2837" w:type="dxa"/>
            <w:vAlign w:val="center"/>
          </w:tcPr>
          <w:p w14:paraId="3B58E89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噪声</w:t>
            </w:r>
          </w:p>
        </w:tc>
        <w:tc>
          <w:tcPr>
            <w:tcW w:w="710" w:type="dxa"/>
            <w:vAlign w:val="center"/>
          </w:tcPr>
          <w:p w14:paraId="4B395CC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Merge w:val="continue"/>
            <w:vAlign w:val="center"/>
          </w:tcPr>
          <w:p w14:paraId="46FBA33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r w14:paraId="07947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28B5F73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Merge w:val="continue"/>
            <w:vAlign w:val="center"/>
          </w:tcPr>
          <w:p w14:paraId="307206F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2519" w:type="dxa"/>
            <w:vAlign w:val="center"/>
          </w:tcPr>
          <w:p w14:paraId="3D21EEB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施工作业</w:t>
            </w:r>
          </w:p>
        </w:tc>
        <w:tc>
          <w:tcPr>
            <w:tcW w:w="2837" w:type="dxa"/>
            <w:vAlign w:val="center"/>
          </w:tcPr>
          <w:p w14:paraId="128477B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噪声</w:t>
            </w:r>
          </w:p>
        </w:tc>
        <w:tc>
          <w:tcPr>
            <w:tcW w:w="710" w:type="dxa"/>
            <w:vAlign w:val="center"/>
          </w:tcPr>
          <w:p w14:paraId="57A89F5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Merge w:val="continue"/>
            <w:vAlign w:val="center"/>
          </w:tcPr>
          <w:p w14:paraId="298A051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r w14:paraId="3AB82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2C0C318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Merge w:val="restart"/>
            <w:vAlign w:val="center"/>
          </w:tcPr>
          <w:p w14:paraId="76BB4A2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固体废物</w:t>
            </w:r>
          </w:p>
        </w:tc>
        <w:tc>
          <w:tcPr>
            <w:tcW w:w="2519" w:type="dxa"/>
            <w:vAlign w:val="center"/>
          </w:tcPr>
          <w:p w14:paraId="1F20F3E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生活垃圾</w:t>
            </w:r>
          </w:p>
        </w:tc>
        <w:tc>
          <w:tcPr>
            <w:tcW w:w="2837" w:type="dxa"/>
            <w:vAlign w:val="center"/>
          </w:tcPr>
          <w:p w14:paraId="594D289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纸张</w:t>
            </w:r>
            <w:r>
              <w:rPr>
                <w:rFonts w:hint="eastAsia" w:cs="Times New Roman"/>
                <w:color w:val="000000" w:themeColor="text1"/>
                <w:highlight w:val="none"/>
                <w:u w:val="wave" w:color="auto"/>
                <w:lang w:eastAsia="zh-CN"/>
                <w14:textFill>
                  <w14:solidFill>
                    <w14:schemeClr w14:val="tx1"/>
                  </w14:solidFill>
                </w14:textFill>
              </w:rPr>
              <w:t>、</w:t>
            </w:r>
            <w:r>
              <w:rPr>
                <w:rFonts w:hint="eastAsia" w:cs="Times New Roman"/>
                <w:color w:val="000000" w:themeColor="text1"/>
                <w:highlight w:val="none"/>
                <w:u w:val="wave" w:color="auto"/>
                <w:lang w:val="en-US" w:eastAsia="zh-CN"/>
                <w14:textFill>
                  <w14:solidFill>
                    <w14:schemeClr w14:val="tx1"/>
                  </w14:solidFill>
                </w14:textFill>
              </w:rPr>
              <w:t>包装袋</w:t>
            </w:r>
            <w:r>
              <w:rPr>
                <w:rFonts w:hint="default" w:ascii="Times New Roman" w:hAnsi="Times New Roman" w:cs="Times New Roman"/>
                <w:color w:val="000000" w:themeColor="text1"/>
                <w:highlight w:val="none"/>
                <w:u w:val="wave" w:color="auto"/>
                <w14:textFill>
                  <w14:solidFill>
                    <w14:schemeClr w14:val="tx1"/>
                  </w14:solidFill>
                </w14:textFill>
              </w:rPr>
              <w:t>等</w:t>
            </w:r>
          </w:p>
        </w:tc>
        <w:tc>
          <w:tcPr>
            <w:tcW w:w="710" w:type="dxa"/>
            <w:vAlign w:val="center"/>
          </w:tcPr>
          <w:p w14:paraId="4B1FADA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Merge w:val="continue"/>
            <w:vAlign w:val="center"/>
          </w:tcPr>
          <w:p w14:paraId="57AFC51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r w14:paraId="5FEDC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1727073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Merge w:val="continue"/>
            <w:vAlign w:val="center"/>
          </w:tcPr>
          <w:p w14:paraId="4BB43F6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2519" w:type="dxa"/>
            <w:vAlign w:val="center"/>
          </w:tcPr>
          <w:p w14:paraId="6BA0874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建筑垃圾</w:t>
            </w:r>
          </w:p>
        </w:tc>
        <w:tc>
          <w:tcPr>
            <w:tcW w:w="2837" w:type="dxa"/>
            <w:vAlign w:val="center"/>
          </w:tcPr>
          <w:p w14:paraId="0A07F1D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eastAsia" w:cs="Times New Roman"/>
                <w:color w:val="000000" w:themeColor="text1"/>
                <w:highlight w:val="none"/>
                <w:u w:val="wave" w:color="auto"/>
                <w:lang w:val="en-US" w:eastAsia="zh-CN"/>
                <w14:textFill>
                  <w14:solidFill>
                    <w14:schemeClr w14:val="tx1"/>
                  </w14:solidFill>
                </w14:textFill>
              </w:rPr>
              <w:t>废弃砖块</w:t>
            </w:r>
            <w:r>
              <w:rPr>
                <w:rFonts w:hint="default" w:ascii="Times New Roman" w:hAnsi="Times New Roman" w:cs="Times New Roman"/>
                <w:color w:val="000000" w:themeColor="text1"/>
                <w:highlight w:val="none"/>
                <w:u w:val="wave" w:color="auto"/>
                <w14:textFill>
                  <w14:solidFill>
                    <w14:schemeClr w14:val="tx1"/>
                  </w14:solidFill>
                </w14:textFill>
              </w:rPr>
              <w:t>等</w:t>
            </w:r>
          </w:p>
        </w:tc>
        <w:tc>
          <w:tcPr>
            <w:tcW w:w="710" w:type="dxa"/>
            <w:vAlign w:val="center"/>
          </w:tcPr>
          <w:p w14:paraId="12D1B6A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Merge w:val="continue"/>
            <w:vAlign w:val="center"/>
          </w:tcPr>
          <w:p w14:paraId="46AAFB5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r w14:paraId="79B2D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6215EC6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Align w:val="center"/>
          </w:tcPr>
          <w:p w14:paraId="0566465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生态</w:t>
            </w:r>
          </w:p>
        </w:tc>
        <w:tc>
          <w:tcPr>
            <w:tcW w:w="2519" w:type="dxa"/>
            <w:vAlign w:val="center"/>
          </w:tcPr>
          <w:p w14:paraId="54A94BB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施工作业</w:t>
            </w:r>
          </w:p>
        </w:tc>
        <w:tc>
          <w:tcPr>
            <w:tcW w:w="2837" w:type="dxa"/>
            <w:vAlign w:val="center"/>
          </w:tcPr>
          <w:p w14:paraId="073DF5E1">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水土流失</w:t>
            </w:r>
          </w:p>
        </w:tc>
        <w:tc>
          <w:tcPr>
            <w:tcW w:w="710" w:type="dxa"/>
            <w:vAlign w:val="center"/>
          </w:tcPr>
          <w:p w14:paraId="318E2B7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Merge w:val="continue"/>
            <w:vAlign w:val="center"/>
          </w:tcPr>
          <w:p w14:paraId="51AE7F4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r w14:paraId="0C4CC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restart"/>
            <w:vAlign w:val="center"/>
          </w:tcPr>
          <w:p w14:paraId="1E3B7C7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本项目营运期</w:t>
            </w:r>
          </w:p>
        </w:tc>
        <w:tc>
          <w:tcPr>
            <w:tcW w:w="1164" w:type="dxa"/>
            <w:vAlign w:val="center"/>
          </w:tcPr>
          <w:p w14:paraId="332FE7C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空气环境</w:t>
            </w:r>
          </w:p>
        </w:tc>
        <w:tc>
          <w:tcPr>
            <w:tcW w:w="2519" w:type="dxa"/>
            <w:vAlign w:val="center"/>
          </w:tcPr>
          <w:p w14:paraId="50972A2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格栅、生</w:t>
            </w:r>
            <w:r>
              <w:rPr>
                <w:rFonts w:hint="default" w:ascii="Times New Roman" w:hAnsi="Times New Roman" w:cs="Times New Roman"/>
                <w:color w:val="auto"/>
                <w:highlight w:val="none"/>
                <w:u w:val="none" w:color="auto"/>
                <w:lang w:val="en-US" w:eastAsia="zh-CN"/>
              </w:rPr>
              <w:t>化处理池</w:t>
            </w:r>
            <w:r>
              <w:rPr>
                <w:rFonts w:hint="default" w:ascii="Times New Roman" w:hAnsi="Times New Roman" w:cs="Times New Roman"/>
                <w:color w:val="auto"/>
                <w:highlight w:val="none"/>
                <w:u w:val="none" w:color="auto"/>
              </w:rPr>
              <w:t>、污泥处理</w:t>
            </w:r>
          </w:p>
        </w:tc>
        <w:tc>
          <w:tcPr>
            <w:tcW w:w="2837" w:type="dxa"/>
            <w:vAlign w:val="center"/>
          </w:tcPr>
          <w:p w14:paraId="4F7B50E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H</w:t>
            </w:r>
            <w:r>
              <w:rPr>
                <w:rFonts w:hint="default" w:ascii="Times New Roman" w:hAnsi="Times New Roman" w:eastAsia="TimesNewRomanPSMT" w:cs="Times New Roman"/>
                <w:color w:val="auto"/>
                <w:sz w:val="16"/>
                <w:szCs w:val="16"/>
                <w:highlight w:val="none"/>
                <w:u w:val="none" w:color="auto"/>
              </w:rPr>
              <w:t>2</w:t>
            </w:r>
            <w:r>
              <w:rPr>
                <w:rFonts w:hint="default" w:ascii="Times New Roman" w:hAnsi="Times New Roman" w:eastAsia="TimesNewRomanPSMT" w:cs="Times New Roman"/>
                <w:color w:val="auto"/>
                <w:highlight w:val="none"/>
                <w:u w:val="none" w:color="auto"/>
              </w:rPr>
              <w:t>S</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NH</w:t>
            </w:r>
            <w:r>
              <w:rPr>
                <w:rFonts w:hint="default" w:ascii="Times New Roman" w:hAnsi="Times New Roman" w:eastAsia="TimesNewRomanPSMT" w:cs="Times New Roman"/>
                <w:color w:val="auto"/>
                <w:sz w:val="16"/>
                <w:szCs w:val="16"/>
                <w:highlight w:val="none"/>
                <w:u w:val="none" w:color="auto"/>
              </w:rPr>
              <w:t>3</w:t>
            </w:r>
            <w:r>
              <w:rPr>
                <w:rFonts w:hint="default" w:ascii="Times New Roman" w:hAnsi="Times New Roman" w:cs="Times New Roman"/>
                <w:color w:val="auto"/>
                <w:highlight w:val="none"/>
                <w:u w:val="none" w:color="auto"/>
              </w:rPr>
              <w:t>、臭气浓度</w:t>
            </w:r>
            <w:r>
              <w:rPr>
                <w:rFonts w:hint="default" w:ascii="Times New Roman" w:hAnsi="Times New Roman" w:eastAsia="TimesNewRomanPSMT" w:cs="Times New Roman"/>
                <w:color w:val="auto"/>
                <w:highlight w:val="none"/>
                <w:u w:val="none" w:color="auto"/>
              </w:rPr>
              <w:t xml:space="preserve"> </w:t>
            </w:r>
          </w:p>
        </w:tc>
        <w:tc>
          <w:tcPr>
            <w:tcW w:w="710" w:type="dxa"/>
            <w:vAlign w:val="center"/>
          </w:tcPr>
          <w:p w14:paraId="5F2C7CB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w:t>
            </w:r>
          </w:p>
        </w:tc>
        <w:tc>
          <w:tcPr>
            <w:tcW w:w="908" w:type="dxa"/>
            <w:vAlign w:val="center"/>
          </w:tcPr>
          <w:p w14:paraId="2948A3B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连续性</w:t>
            </w:r>
          </w:p>
        </w:tc>
      </w:tr>
      <w:tr w14:paraId="37F84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7E61C68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Align w:val="center"/>
          </w:tcPr>
          <w:p w14:paraId="0315BF5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水环境</w:t>
            </w:r>
          </w:p>
        </w:tc>
        <w:tc>
          <w:tcPr>
            <w:tcW w:w="2519" w:type="dxa"/>
            <w:vAlign w:val="center"/>
          </w:tcPr>
          <w:p w14:paraId="7B8B033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污水处理厂排口</w:t>
            </w:r>
          </w:p>
        </w:tc>
        <w:tc>
          <w:tcPr>
            <w:tcW w:w="2837" w:type="dxa"/>
            <w:vAlign w:val="center"/>
          </w:tcPr>
          <w:p w14:paraId="2AACDB1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COD</w:t>
            </w:r>
            <w:r>
              <w:rPr>
                <w:rFonts w:hint="default" w:ascii="Times New Roman" w:hAnsi="Times New Roman" w:eastAsia="TimesNewRomanPSMT" w:cs="Times New Roman"/>
                <w:color w:val="auto"/>
                <w:sz w:val="16"/>
                <w:szCs w:val="16"/>
                <w:highlight w:val="none"/>
                <w:u w:val="none" w:color="auto"/>
              </w:rPr>
              <w:t>Cr</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BOD</w:t>
            </w:r>
            <w:r>
              <w:rPr>
                <w:rFonts w:hint="default" w:ascii="Times New Roman" w:hAnsi="Times New Roman" w:eastAsia="TimesNewRomanPSMT" w:cs="Times New Roman"/>
                <w:color w:val="auto"/>
                <w:sz w:val="16"/>
                <w:szCs w:val="16"/>
                <w:highlight w:val="none"/>
                <w:u w:val="none" w:color="auto"/>
              </w:rPr>
              <w:t>5</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SS</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NH</w:t>
            </w:r>
            <w:r>
              <w:rPr>
                <w:rFonts w:hint="default" w:ascii="Times New Roman" w:hAnsi="Times New Roman" w:eastAsia="TimesNewRomanPSMT" w:cs="Times New Roman"/>
                <w:color w:val="auto"/>
                <w:sz w:val="16"/>
                <w:szCs w:val="16"/>
                <w:highlight w:val="none"/>
                <w:u w:val="none" w:color="auto"/>
              </w:rPr>
              <w:t>3</w:t>
            </w:r>
            <w:r>
              <w:rPr>
                <w:rFonts w:hint="default" w:ascii="Times New Roman" w:hAnsi="Times New Roman" w:eastAsia="TimesNewRomanPSMT" w:cs="Times New Roman"/>
                <w:color w:val="auto"/>
                <w:highlight w:val="none"/>
                <w:u w:val="none" w:color="auto"/>
              </w:rPr>
              <w:t>-N</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TP</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TN</w:t>
            </w:r>
          </w:p>
        </w:tc>
        <w:tc>
          <w:tcPr>
            <w:tcW w:w="710" w:type="dxa"/>
            <w:vAlign w:val="center"/>
          </w:tcPr>
          <w:p w14:paraId="4175481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w:t>
            </w:r>
          </w:p>
        </w:tc>
        <w:tc>
          <w:tcPr>
            <w:tcW w:w="908" w:type="dxa"/>
            <w:vAlign w:val="center"/>
          </w:tcPr>
          <w:p w14:paraId="5321BF0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连续性</w:t>
            </w:r>
          </w:p>
        </w:tc>
      </w:tr>
      <w:tr w14:paraId="14373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7896524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Align w:val="center"/>
          </w:tcPr>
          <w:p w14:paraId="0006D4D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声环境</w:t>
            </w:r>
          </w:p>
        </w:tc>
        <w:tc>
          <w:tcPr>
            <w:tcW w:w="2519" w:type="dxa"/>
            <w:vAlign w:val="center"/>
          </w:tcPr>
          <w:p w14:paraId="121B083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运行设备</w:t>
            </w:r>
          </w:p>
        </w:tc>
        <w:tc>
          <w:tcPr>
            <w:tcW w:w="2837" w:type="dxa"/>
            <w:vAlign w:val="center"/>
          </w:tcPr>
          <w:p w14:paraId="1788D9C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噪声</w:t>
            </w:r>
          </w:p>
        </w:tc>
        <w:tc>
          <w:tcPr>
            <w:tcW w:w="710" w:type="dxa"/>
            <w:vAlign w:val="center"/>
          </w:tcPr>
          <w:p w14:paraId="49D4376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Align w:val="center"/>
          </w:tcPr>
          <w:p w14:paraId="4D46557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连续性</w:t>
            </w:r>
          </w:p>
        </w:tc>
      </w:tr>
      <w:tr w14:paraId="04B791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01DD1D9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Align w:val="center"/>
          </w:tcPr>
          <w:p w14:paraId="0D1C130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固体废物</w:t>
            </w:r>
          </w:p>
        </w:tc>
        <w:tc>
          <w:tcPr>
            <w:tcW w:w="2519" w:type="dxa"/>
            <w:vAlign w:val="center"/>
          </w:tcPr>
          <w:p w14:paraId="7A05F2A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员工生活、</w:t>
            </w:r>
            <w:r>
              <w:rPr>
                <w:rFonts w:hint="default" w:ascii="Times New Roman" w:hAnsi="Times New Roman" w:cs="Times New Roman"/>
                <w:color w:val="auto"/>
                <w:highlight w:val="none"/>
                <w:u w:val="none" w:color="auto"/>
              </w:rPr>
              <w:t>格栅、</w:t>
            </w:r>
            <w:r>
              <w:rPr>
                <w:rFonts w:hint="default" w:ascii="Times New Roman" w:hAnsi="Times New Roman" w:cs="Times New Roman"/>
                <w:color w:val="auto"/>
                <w:highlight w:val="none"/>
                <w:u w:val="none" w:color="auto"/>
                <w:lang w:val="en-US" w:eastAsia="zh-CN"/>
              </w:rPr>
              <w:t>污泥池、危废暂存间</w:t>
            </w:r>
          </w:p>
        </w:tc>
        <w:tc>
          <w:tcPr>
            <w:tcW w:w="2837" w:type="dxa"/>
            <w:vAlign w:val="center"/>
          </w:tcPr>
          <w:p w14:paraId="2D0BF0D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生活垃圾、栅渣沉砂</w:t>
            </w:r>
            <w:r>
              <w:rPr>
                <w:rFonts w:hint="default" w:ascii="Times New Roman" w:hAnsi="Times New Roman" w:cs="Times New Roman"/>
                <w:color w:val="auto"/>
                <w:highlight w:val="none"/>
                <w:u w:val="none" w:color="auto"/>
              </w:rPr>
              <w:t>、污泥</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危险废物</w:t>
            </w:r>
          </w:p>
        </w:tc>
        <w:tc>
          <w:tcPr>
            <w:tcW w:w="710" w:type="dxa"/>
            <w:vAlign w:val="center"/>
          </w:tcPr>
          <w:p w14:paraId="0A11B95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w:t>
            </w:r>
          </w:p>
        </w:tc>
        <w:tc>
          <w:tcPr>
            <w:tcW w:w="908" w:type="dxa"/>
            <w:vAlign w:val="center"/>
          </w:tcPr>
          <w:p w14:paraId="3D84C2E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连续性</w:t>
            </w:r>
          </w:p>
        </w:tc>
      </w:tr>
      <w:tr w14:paraId="08CE27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50BF06F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Align w:val="center"/>
          </w:tcPr>
          <w:p w14:paraId="70E3A2B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土壤环境</w:t>
            </w:r>
          </w:p>
        </w:tc>
        <w:tc>
          <w:tcPr>
            <w:tcW w:w="2519" w:type="dxa"/>
            <w:vAlign w:val="center"/>
          </w:tcPr>
          <w:p w14:paraId="67B2B1D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各污水处理池</w:t>
            </w:r>
          </w:p>
        </w:tc>
        <w:tc>
          <w:tcPr>
            <w:tcW w:w="2837" w:type="dxa"/>
            <w:vAlign w:val="center"/>
          </w:tcPr>
          <w:p w14:paraId="27AA29C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710" w:type="dxa"/>
            <w:vAlign w:val="center"/>
          </w:tcPr>
          <w:p w14:paraId="14B9D5A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w:t>
            </w:r>
          </w:p>
        </w:tc>
        <w:tc>
          <w:tcPr>
            <w:tcW w:w="908" w:type="dxa"/>
            <w:vAlign w:val="center"/>
          </w:tcPr>
          <w:p w14:paraId="1A7C8A2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连续性</w:t>
            </w:r>
          </w:p>
        </w:tc>
      </w:tr>
      <w:tr w14:paraId="3A8AB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470C9B9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Align w:val="center"/>
          </w:tcPr>
          <w:p w14:paraId="63B2970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生态环境</w:t>
            </w:r>
          </w:p>
        </w:tc>
        <w:tc>
          <w:tcPr>
            <w:tcW w:w="2519" w:type="dxa"/>
            <w:vAlign w:val="center"/>
          </w:tcPr>
          <w:p w14:paraId="094F1EC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绿化</w:t>
            </w:r>
          </w:p>
        </w:tc>
        <w:tc>
          <w:tcPr>
            <w:tcW w:w="2837" w:type="dxa"/>
            <w:vAlign w:val="center"/>
          </w:tcPr>
          <w:p w14:paraId="107E776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绿化</w:t>
            </w:r>
          </w:p>
        </w:tc>
        <w:tc>
          <w:tcPr>
            <w:tcW w:w="710" w:type="dxa"/>
            <w:vAlign w:val="center"/>
          </w:tcPr>
          <w:p w14:paraId="215C96B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Align w:val="center"/>
          </w:tcPr>
          <w:p w14:paraId="150CFE01">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26B1AA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Merge w:val="continue"/>
            <w:vAlign w:val="center"/>
          </w:tcPr>
          <w:p w14:paraId="1BD1852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64" w:type="dxa"/>
            <w:vAlign w:val="center"/>
          </w:tcPr>
          <w:p w14:paraId="344B185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社会环境</w:t>
            </w:r>
          </w:p>
        </w:tc>
        <w:tc>
          <w:tcPr>
            <w:tcW w:w="2519" w:type="dxa"/>
            <w:vAlign w:val="center"/>
          </w:tcPr>
          <w:p w14:paraId="75AA500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污水收集处理</w:t>
            </w:r>
          </w:p>
        </w:tc>
        <w:tc>
          <w:tcPr>
            <w:tcW w:w="2837" w:type="dxa"/>
            <w:vAlign w:val="center"/>
          </w:tcPr>
          <w:p w14:paraId="765F47B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改善市政基础设施</w:t>
            </w:r>
          </w:p>
        </w:tc>
        <w:tc>
          <w:tcPr>
            <w:tcW w:w="710" w:type="dxa"/>
            <w:vAlign w:val="center"/>
          </w:tcPr>
          <w:p w14:paraId="630060C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908" w:type="dxa"/>
            <w:vAlign w:val="center"/>
          </w:tcPr>
          <w:p w14:paraId="673DA2B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6887A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dxa"/>
            <w:vAlign w:val="center"/>
          </w:tcPr>
          <w:p w14:paraId="2B40608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营运期风险事故</w:t>
            </w:r>
          </w:p>
        </w:tc>
        <w:tc>
          <w:tcPr>
            <w:tcW w:w="1164" w:type="dxa"/>
            <w:vAlign w:val="center"/>
          </w:tcPr>
          <w:p w14:paraId="7374535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水环境</w:t>
            </w:r>
          </w:p>
        </w:tc>
        <w:tc>
          <w:tcPr>
            <w:tcW w:w="2519" w:type="dxa"/>
            <w:vAlign w:val="center"/>
          </w:tcPr>
          <w:p w14:paraId="5FE0A47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污水未经处理直接排放</w:t>
            </w:r>
          </w:p>
        </w:tc>
        <w:tc>
          <w:tcPr>
            <w:tcW w:w="2837" w:type="dxa"/>
            <w:vAlign w:val="center"/>
          </w:tcPr>
          <w:p w14:paraId="329D50E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废水、</w:t>
            </w:r>
            <w:r>
              <w:rPr>
                <w:rFonts w:hint="default" w:ascii="Times New Roman" w:hAnsi="Times New Roman" w:eastAsia="TimesNewRomanPSMT" w:cs="Times New Roman"/>
                <w:color w:val="auto"/>
                <w:highlight w:val="none"/>
                <w:u w:val="none" w:color="auto"/>
              </w:rPr>
              <w:t>COD</w:t>
            </w:r>
            <w:r>
              <w:rPr>
                <w:rFonts w:hint="default" w:ascii="Times New Roman" w:hAnsi="Times New Roman" w:eastAsia="TimesNewRomanPSMT" w:cs="Times New Roman"/>
                <w:color w:val="auto"/>
                <w:sz w:val="16"/>
                <w:szCs w:val="16"/>
                <w:highlight w:val="none"/>
                <w:u w:val="none" w:color="auto"/>
              </w:rPr>
              <w:t>Cr</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BOD</w:t>
            </w:r>
            <w:r>
              <w:rPr>
                <w:rFonts w:hint="default" w:ascii="Times New Roman" w:hAnsi="Times New Roman" w:eastAsia="TimesNewRomanPSMT" w:cs="Times New Roman"/>
                <w:color w:val="auto"/>
                <w:sz w:val="16"/>
                <w:szCs w:val="16"/>
                <w:highlight w:val="none"/>
                <w:u w:val="none" w:color="auto"/>
              </w:rPr>
              <w:t>5</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SS</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NH</w:t>
            </w:r>
            <w:r>
              <w:rPr>
                <w:rFonts w:hint="default" w:ascii="Times New Roman" w:hAnsi="Times New Roman" w:eastAsia="TimesNewRomanPSMT" w:cs="Times New Roman"/>
                <w:color w:val="auto"/>
                <w:sz w:val="16"/>
                <w:szCs w:val="16"/>
                <w:highlight w:val="none"/>
                <w:u w:val="none" w:color="auto"/>
              </w:rPr>
              <w:t>3</w:t>
            </w:r>
            <w:r>
              <w:rPr>
                <w:rFonts w:hint="default" w:ascii="Times New Roman" w:hAnsi="Times New Roman" w:eastAsia="TimesNewRomanPSMT" w:cs="Times New Roman"/>
                <w:color w:val="auto"/>
                <w:highlight w:val="none"/>
                <w:u w:val="none" w:color="auto"/>
              </w:rPr>
              <w:t>-N</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TP</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TN</w:t>
            </w:r>
          </w:p>
        </w:tc>
        <w:tc>
          <w:tcPr>
            <w:tcW w:w="710" w:type="dxa"/>
            <w:vAlign w:val="center"/>
          </w:tcPr>
          <w:p w14:paraId="775A0B3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w:t>
            </w:r>
          </w:p>
        </w:tc>
        <w:tc>
          <w:tcPr>
            <w:tcW w:w="908" w:type="dxa"/>
            <w:vAlign w:val="center"/>
          </w:tcPr>
          <w:p w14:paraId="4582D75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暂时性</w:t>
            </w:r>
          </w:p>
        </w:tc>
      </w:tr>
      <w:tr w14:paraId="10736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42" w:type="dxa"/>
            <w:gridSpan w:val="6"/>
            <w:vAlign w:val="center"/>
          </w:tcPr>
          <w:p w14:paraId="24EAC8C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注：-表示负效应，+表示正效应；符号随数量的递增，表示影响的程度由小到大。</w:t>
            </w:r>
          </w:p>
        </w:tc>
      </w:tr>
    </w:tbl>
    <w:p w14:paraId="4F8C2265">
      <w:pPr>
        <w:rPr>
          <w:rFonts w:hint="default" w:ascii="Times New Roman" w:hAnsi="Times New Roman" w:cs="Times New Roman"/>
          <w:color w:val="FF0000"/>
          <w:highlight w:val="none"/>
          <w:u w:val="none" w:color="auto"/>
        </w:rPr>
      </w:pPr>
      <w:r>
        <w:rPr>
          <w:rFonts w:hint="default" w:ascii="Times New Roman" w:hAnsi="Times New Roman" w:cs="Times New Roman"/>
          <w:color w:val="FF0000"/>
          <w:highlight w:val="none"/>
          <w:u w:val="none" w:color="auto"/>
        </w:rPr>
        <w:br w:type="page"/>
      </w:r>
    </w:p>
    <w:p w14:paraId="17BD35EC">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环境影响因素的筛选表</w:t>
      </w:r>
    </w:p>
    <w:tbl>
      <w:tblPr>
        <w:tblStyle w:val="76"/>
        <w:tblW w:w="85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135"/>
        <w:gridCol w:w="1135"/>
        <w:gridCol w:w="1135"/>
        <w:gridCol w:w="1133"/>
        <w:gridCol w:w="1135"/>
        <w:gridCol w:w="1490"/>
        <w:gridCol w:w="697"/>
      </w:tblGrid>
      <w:tr w14:paraId="3D273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gridSpan w:val="2"/>
            <w:vMerge w:val="restart"/>
            <w:vAlign w:val="center"/>
          </w:tcPr>
          <w:p w14:paraId="1D88417F">
            <w:pPr>
              <w:pStyle w:val="192"/>
              <w:keepNext w:val="0"/>
              <w:keepLines w:val="0"/>
              <w:suppressLineNumbers w:val="0"/>
              <w:spacing w:before="0" w:beforeAutospacing="0" w:after="0" w:afterAutospacing="0"/>
              <w:ind w:left="0" w:right="0"/>
              <w:jc w:val="right"/>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工程内容</w:t>
            </w:r>
          </w:p>
          <w:p w14:paraId="44E9AEB5">
            <w:pPr>
              <w:pStyle w:val="192"/>
              <w:keepNext w:val="0"/>
              <w:keepLines w:val="0"/>
              <w:suppressLineNumbers w:val="0"/>
              <w:spacing w:before="0" w:beforeAutospacing="0" w:after="0" w:afterAutospacing="0"/>
              <w:ind w:left="0" w:right="0"/>
              <w:jc w:val="left"/>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环境资源</w:t>
            </w:r>
          </w:p>
        </w:tc>
        <w:tc>
          <w:tcPr>
            <w:tcW w:w="4538" w:type="dxa"/>
            <w:gridSpan w:val="4"/>
            <w:vAlign w:val="center"/>
          </w:tcPr>
          <w:p w14:paraId="5E8ECC5C">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施工期</w:t>
            </w:r>
          </w:p>
        </w:tc>
        <w:tc>
          <w:tcPr>
            <w:tcW w:w="2187" w:type="dxa"/>
            <w:gridSpan w:val="2"/>
            <w:vAlign w:val="center"/>
          </w:tcPr>
          <w:p w14:paraId="27C40E8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营运期</w:t>
            </w:r>
          </w:p>
        </w:tc>
      </w:tr>
      <w:tr w14:paraId="15822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9" w:type="dxa"/>
            <w:gridSpan w:val="2"/>
            <w:vMerge w:val="continue"/>
            <w:vAlign w:val="center"/>
          </w:tcPr>
          <w:p w14:paraId="3D1CFCD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35" w:type="dxa"/>
            <w:vAlign w:val="center"/>
          </w:tcPr>
          <w:p w14:paraId="5C78C76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基础工程</w:t>
            </w:r>
          </w:p>
        </w:tc>
        <w:tc>
          <w:tcPr>
            <w:tcW w:w="1135" w:type="dxa"/>
            <w:vAlign w:val="center"/>
          </w:tcPr>
          <w:p w14:paraId="3D400326">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主体工程</w:t>
            </w:r>
          </w:p>
        </w:tc>
        <w:tc>
          <w:tcPr>
            <w:tcW w:w="1133" w:type="dxa"/>
          </w:tcPr>
          <w:p w14:paraId="1D486AB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材料运输</w:t>
            </w:r>
          </w:p>
        </w:tc>
        <w:tc>
          <w:tcPr>
            <w:tcW w:w="1135" w:type="dxa"/>
          </w:tcPr>
          <w:p w14:paraId="3BB2F86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机械作业</w:t>
            </w:r>
          </w:p>
        </w:tc>
        <w:tc>
          <w:tcPr>
            <w:tcW w:w="1490" w:type="dxa"/>
          </w:tcPr>
          <w:p w14:paraId="0F73FA2F">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废水收集</w:t>
            </w:r>
          </w:p>
        </w:tc>
        <w:tc>
          <w:tcPr>
            <w:tcW w:w="697" w:type="dxa"/>
          </w:tcPr>
          <w:p w14:paraId="21519D19">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绿化</w:t>
            </w:r>
          </w:p>
        </w:tc>
      </w:tr>
      <w:tr w14:paraId="01718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restart"/>
            <w:vAlign w:val="center"/>
          </w:tcPr>
          <w:p w14:paraId="19539CB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社会发展</w:t>
            </w:r>
          </w:p>
        </w:tc>
        <w:tc>
          <w:tcPr>
            <w:tcW w:w="1135" w:type="dxa"/>
            <w:vAlign w:val="center"/>
          </w:tcPr>
          <w:p w14:paraId="655AD40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就业劳务</w:t>
            </w:r>
          </w:p>
        </w:tc>
        <w:tc>
          <w:tcPr>
            <w:tcW w:w="1135" w:type="dxa"/>
            <w:vAlign w:val="center"/>
          </w:tcPr>
          <w:p w14:paraId="5AD6503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5" w:type="dxa"/>
          </w:tcPr>
          <w:p w14:paraId="4D71329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3" w:type="dxa"/>
          </w:tcPr>
          <w:p w14:paraId="530CAB1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5" w:type="dxa"/>
          </w:tcPr>
          <w:p w14:paraId="2DED173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490" w:type="dxa"/>
          </w:tcPr>
          <w:p w14:paraId="724E3B2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697" w:type="dxa"/>
          </w:tcPr>
          <w:p w14:paraId="1E9CA3A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0CAB1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continue"/>
            <w:vAlign w:val="center"/>
          </w:tcPr>
          <w:p w14:paraId="402D935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35" w:type="dxa"/>
            <w:vAlign w:val="center"/>
          </w:tcPr>
          <w:p w14:paraId="253B57F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经济</w:t>
            </w:r>
          </w:p>
        </w:tc>
        <w:tc>
          <w:tcPr>
            <w:tcW w:w="1135" w:type="dxa"/>
            <w:vAlign w:val="center"/>
          </w:tcPr>
          <w:p w14:paraId="3566EAB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32DF9F7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3" w:type="dxa"/>
          </w:tcPr>
          <w:p w14:paraId="5341567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230E55EB">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490" w:type="dxa"/>
          </w:tcPr>
          <w:p w14:paraId="1ABAE9B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697" w:type="dxa"/>
          </w:tcPr>
          <w:p w14:paraId="7AD7042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419FC1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continue"/>
            <w:vAlign w:val="center"/>
          </w:tcPr>
          <w:p w14:paraId="26C84CD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35" w:type="dxa"/>
            <w:vAlign w:val="center"/>
          </w:tcPr>
          <w:p w14:paraId="2125A0C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农业</w:t>
            </w:r>
          </w:p>
        </w:tc>
        <w:tc>
          <w:tcPr>
            <w:tcW w:w="1135" w:type="dxa"/>
            <w:vAlign w:val="center"/>
          </w:tcPr>
          <w:p w14:paraId="5B98226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5" w:type="dxa"/>
          </w:tcPr>
          <w:p w14:paraId="1A4770FE">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3" w:type="dxa"/>
          </w:tcPr>
          <w:p w14:paraId="695D4C9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562F4623">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490" w:type="dxa"/>
          </w:tcPr>
          <w:p w14:paraId="7B05A7E1">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697" w:type="dxa"/>
          </w:tcPr>
          <w:p w14:paraId="4B5B7D0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0A114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continue"/>
            <w:vAlign w:val="center"/>
          </w:tcPr>
          <w:p w14:paraId="6FD4C6B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35" w:type="dxa"/>
            <w:vAlign w:val="center"/>
          </w:tcPr>
          <w:p w14:paraId="5DFC940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土地利用</w:t>
            </w:r>
          </w:p>
        </w:tc>
        <w:tc>
          <w:tcPr>
            <w:tcW w:w="1135" w:type="dxa"/>
            <w:vAlign w:val="center"/>
          </w:tcPr>
          <w:p w14:paraId="139204A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5" w:type="dxa"/>
          </w:tcPr>
          <w:p w14:paraId="5C790E20">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3" w:type="dxa"/>
          </w:tcPr>
          <w:p w14:paraId="4E7A680C">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5AC7366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490" w:type="dxa"/>
          </w:tcPr>
          <w:p w14:paraId="5527CD46">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697" w:type="dxa"/>
          </w:tcPr>
          <w:p w14:paraId="4F9DD0F2">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1B7914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restart"/>
            <w:vAlign w:val="center"/>
          </w:tcPr>
          <w:p w14:paraId="1366066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物质资源</w:t>
            </w:r>
          </w:p>
        </w:tc>
        <w:tc>
          <w:tcPr>
            <w:tcW w:w="1135" w:type="dxa"/>
            <w:vAlign w:val="center"/>
          </w:tcPr>
          <w:p w14:paraId="545C8BF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土质</w:t>
            </w:r>
          </w:p>
        </w:tc>
        <w:tc>
          <w:tcPr>
            <w:tcW w:w="1135" w:type="dxa"/>
            <w:vAlign w:val="center"/>
          </w:tcPr>
          <w:p w14:paraId="0992679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5" w:type="dxa"/>
          </w:tcPr>
          <w:p w14:paraId="1AB38D5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3" w:type="dxa"/>
          </w:tcPr>
          <w:p w14:paraId="6FFCCB9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78EBD65C">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490" w:type="dxa"/>
          </w:tcPr>
          <w:p w14:paraId="3E377CA3">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697" w:type="dxa"/>
          </w:tcPr>
          <w:p w14:paraId="1245176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37872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continue"/>
            <w:vAlign w:val="center"/>
          </w:tcPr>
          <w:p w14:paraId="4B1CF02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35" w:type="dxa"/>
            <w:vAlign w:val="center"/>
          </w:tcPr>
          <w:p w14:paraId="4A5937E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地面水文</w:t>
            </w:r>
          </w:p>
        </w:tc>
        <w:tc>
          <w:tcPr>
            <w:tcW w:w="1135" w:type="dxa"/>
            <w:vAlign w:val="center"/>
          </w:tcPr>
          <w:p w14:paraId="657B8F2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604CB3C4">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3" w:type="dxa"/>
          </w:tcPr>
          <w:p w14:paraId="298C508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0FB3029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490" w:type="dxa"/>
          </w:tcPr>
          <w:p w14:paraId="21F3F0BB">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697" w:type="dxa"/>
          </w:tcPr>
          <w:p w14:paraId="401A87B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57109B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continue"/>
            <w:vAlign w:val="center"/>
          </w:tcPr>
          <w:p w14:paraId="4482A80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35" w:type="dxa"/>
            <w:vAlign w:val="center"/>
          </w:tcPr>
          <w:p w14:paraId="775FFEC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地面水质</w:t>
            </w:r>
          </w:p>
        </w:tc>
        <w:tc>
          <w:tcPr>
            <w:tcW w:w="1135" w:type="dxa"/>
            <w:vAlign w:val="center"/>
          </w:tcPr>
          <w:p w14:paraId="6D35993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5" w:type="dxa"/>
          </w:tcPr>
          <w:p w14:paraId="040B37C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3" w:type="dxa"/>
          </w:tcPr>
          <w:p w14:paraId="1231FED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18B9083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490" w:type="dxa"/>
          </w:tcPr>
          <w:p w14:paraId="6A78DC0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697" w:type="dxa"/>
          </w:tcPr>
          <w:p w14:paraId="7F356B5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2A7446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continue"/>
            <w:vAlign w:val="center"/>
          </w:tcPr>
          <w:p w14:paraId="43BF407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35" w:type="dxa"/>
            <w:vAlign w:val="center"/>
          </w:tcPr>
          <w:p w14:paraId="74E0909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水土保持</w:t>
            </w:r>
          </w:p>
        </w:tc>
        <w:tc>
          <w:tcPr>
            <w:tcW w:w="1135" w:type="dxa"/>
            <w:vAlign w:val="center"/>
          </w:tcPr>
          <w:p w14:paraId="486AD17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5" w:type="dxa"/>
          </w:tcPr>
          <w:p w14:paraId="7DD8998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3" w:type="dxa"/>
          </w:tcPr>
          <w:p w14:paraId="61D3B3C3">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5929F120">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490" w:type="dxa"/>
          </w:tcPr>
          <w:p w14:paraId="43ABFCE0">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697" w:type="dxa"/>
          </w:tcPr>
          <w:p w14:paraId="4363BF8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6E69E1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restart"/>
            <w:vAlign w:val="center"/>
          </w:tcPr>
          <w:p w14:paraId="47003D4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生态环境</w:t>
            </w:r>
          </w:p>
        </w:tc>
        <w:tc>
          <w:tcPr>
            <w:tcW w:w="1135" w:type="dxa"/>
            <w:vAlign w:val="center"/>
          </w:tcPr>
          <w:p w14:paraId="2F2F34E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陆地植被</w:t>
            </w:r>
          </w:p>
        </w:tc>
        <w:tc>
          <w:tcPr>
            <w:tcW w:w="1135" w:type="dxa"/>
            <w:vAlign w:val="center"/>
          </w:tcPr>
          <w:p w14:paraId="2E3E0B4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5" w:type="dxa"/>
          </w:tcPr>
          <w:p w14:paraId="2E3AE16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3" w:type="dxa"/>
          </w:tcPr>
          <w:p w14:paraId="3328B02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0E70303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490" w:type="dxa"/>
          </w:tcPr>
          <w:p w14:paraId="48CBA07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697" w:type="dxa"/>
          </w:tcPr>
          <w:p w14:paraId="672738D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26853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continue"/>
            <w:vAlign w:val="center"/>
          </w:tcPr>
          <w:p w14:paraId="432464C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35" w:type="dxa"/>
            <w:vAlign w:val="center"/>
          </w:tcPr>
          <w:p w14:paraId="00569E5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陆栖动物</w:t>
            </w:r>
          </w:p>
        </w:tc>
        <w:tc>
          <w:tcPr>
            <w:tcW w:w="1135" w:type="dxa"/>
            <w:vAlign w:val="center"/>
          </w:tcPr>
          <w:p w14:paraId="0F851D82">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30761C8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3" w:type="dxa"/>
          </w:tcPr>
          <w:p w14:paraId="6D3D471B">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7383425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490" w:type="dxa"/>
          </w:tcPr>
          <w:p w14:paraId="6251EF16">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697" w:type="dxa"/>
          </w:tcPr>
          <w:p w14:paraId="576138B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7EACA5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restart"/>
            <w:vAlign w:val="center"/>
          </w:tcPr>
          <w:p w14:paraId="03575D2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生活质量</w:t>
            </w:r>
          </w:p>
        </w:tc>
        <w:tc>
          <w:tcPr>
            <w:tcW w:w="1135" w:type="dxa"/>
            <w:vAlign w:val="center"/>
          </w:tcPr>
          <w:p w14:paraId="457B455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声学环境</w:t>
            </w:r>
          </w:p>
        </w:tc>
        <w:tc>
          <w:tcPr>
            <w:tcW w:w="1135" w:type="dxa"/>
            <w:vAlign w:val="center"/>
          </w:tcPr>
          <w:p w14:paraId="2FBF236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3BB9D9E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3" w:type="dxa"/>
          </w:tcPr>
          <w:p w14:paraId="2A9D530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5" w:type="dxa"/>
          </w:tcPr>
          <w:p w14:paraId="5A075E7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490" w:type="dxa"/>
          </w:tcPr>
          <w:p w14:paraId="75435AC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697" w:type="dxa"/>
          </w:tcPr>
          <w:p w14:paraId="6882EA0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0D10E6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continue"/>
            <w:vAlign w:val="center"/>
          </w:tcPr>
          <w:p w14:paraId="7CF7C1E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35" w:type="dxa"/>
            <w:vAlign w:val="center"/>
          </w:tcPr>
          <w:p w14:paraId="1317110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空气质量</w:t>
            </w:r>
          </w:p>
        </w:tc>
        <w:tc>
          <w:tcPr>
            <w:tcW w:w="1135" w:type="dxa"/>
            <w:vAlign w:val="center"/>
          </w:tcPr>
          <w:p w14:paraId="0894E80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583E8DE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3" w:type="dxa"/>
          </w:tcPr>
          <w:p w14:paraId="5D62917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35" w:type="dxa"/>
          </w:tcPr>
          <w:p w14:paraId="6FC2469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490" w:type="dxa"/>
          </w:tcPr>
          <w:p w14:paraId="496FA7B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697" w:type="dxa"/>
          </w:tcPr>
          <w:p w14:paraId="1EA6E45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14980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continue"/>
            <w:vAlign w:val="center"/>
          </w:tcPr>
          <w:p w14:paraId="2114CDC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35" w:type="dxa"/>
            <w:vAlign w:val="center"/>
          </w:tcPr>
          <w:p w14:paraId="3948DCD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居住</w:t>
            </w:r>
          </w:p>
        </w:tc>
        <w:tc>
          <w:tcPr>
            <w:tcW w:w="1135" w:type="dxa"/>
            <w:vAlign w:val="center"/>
          </w:tcPr>
          <w:p w14:paraId="68507A2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6E31866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3" w:type="dxa"/>
          </w:tcPr>
          <w:p w14:paraId="1E6D3574">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5ACF4E20">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490" w:type="dxa"/>
          </w:tcPr>
          <w:p w14:paraId="021BD04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697" w:type="dxa"/>
          </w:tcPr>
          <w:p w14:paraId="3F98ED3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53941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vMerge w:val="continue"/>
            <w:vAlign w:val="center"/>
          </w:tcPr>
          <w:p w14:paraId="34599E4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135" w:type="dxa"/>
            <w:vAlign w:val="center"/>
          </w:tcPr>
          <w:p w14:paraId="1C23256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美学</w:t>
            </w:r>
          </w:p>
        </w:tc>
        <w:tc>
          <w:tcPr>
            <w:tcW w:w="1135" w:type="dxa"/>
            <w:vAlign w:val="center"/>
          </w:tcPr>
          <w:p w14:paraId="6B309D8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5F9A266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3" w:type="dxa"/>
          </w:tcPr>
          <w:p w14:paraId="217B7A26">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135" w:type="dxa"/>
          </w:tcPr>
          <w:p w14:paraId="1EAC6290">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490" w:type="dxa"/>
          </w:tcPr>
          <w:p w14:paraId="6B93996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697" w:type="dxa"/>
          </w:tcPr>
          <w:p w14:paraId="2C55F38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2E2F77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534" w:type="dxa"/>
            <w:gridSpan w:val="8"/>
            <w:vAlign w:val="center"/>
          </w:tcPr>
          <w:p w14:paraId="756D2E7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注：□／○：长期／短期影响；涂黑／白：不利／有利影响；</w:t>
            </w:r>
            <w:r>
              <w:rPr>
                <w:rFonts w:hint="default" w:ascii="Times New Roman" w:hAnsi="Times New Roman" w:cs="Times New Roman"/>
                <w:color w:val="auto"/>
                <w:highlight w:val="none"/>
                <w:u w:val="none" w:color="auto"/>
                <w:lang w:val="en-US" w:eastAsia="zh-CN"/>
              </w:rPr>
              <w:t xml:space="preserve"> /</w:t>
            </w:r>
            <w:r>
              <w:rPr>
                <w:rFonts w:hint="default" w:ascii="Times New Roman" w:hAnsi="Times New Roman" w:cs="Times New Roman"/>
                <w:color w:val="auto"/>
                <w:highlight w:val="none"/>
                <w:u w:val="none" w:color="auto"/>
              </w:rPr>
              <w:t>：无相互作用。</w:t>
            </w:r>
          </w:p>
        </w:tc>
      </w:tr>
    </w:tbl>
    <w:p w14:paraId="249E5A3F">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从上两表中可知，项目对环境可能造成的主要影响是：项目产生的臭气、尾水，噪声，污泥等对环境的影响。项目投入营运后，对社会环境产生长期、有利的影响，但在营运期内产生的臭气、废水、噪声对环境的影响则是长期性的，也是不利的，通过采取有效的控制措施后，这些不利的影响因素是可得到有效控制。</w:t>
      </w:r>
    </w:p>
    <w:p w14:paraId="018A8210">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2.2.3 </w:t>
      </w:r>
      <w:r>
        <w:rPr>
          <w:rFonts w:hint="default" w:ascii="Times New Roman" w:hAnsi="Times New Roman" w:cs="Times New Roman"/>
          <w:color w:val="auto"/>
          <w:highlight w:val="none"/>
          <w:u w:val="none" w:color="auto"/>
        </w:rPr>
        <w:t>评价因子的筛选</w:t>
      </w:r>
    </w:p>
    <w:p w14:paraId="52BDF09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项目建设在施工期给大气环境、声环境、地表水水质、交通运输带来一定影响；运营期给大气环境、声环境和地表水水体带来一定的影响，各环境要素的评价因子见下表。</w:t>
      </w:r>
    </w:p>
    <w:p w14:paraId="749540D8">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拟建项目评价因子与影响评价因子一览表</w:t>
      </w:r>
    </w:p>
    <w:p w14:paraId="5D9772A8">
      <w:pPr>
        <w:kinsoku w:val="0"/>
        <w:overflowPunct w:val="0"/>
        <w:spacing w:before="5" w:line="40" w:lineRule="exact"/>
        <w:ind w:firstLine="80"/>
        <w:rPr>
          <w:rFonts w:hint="default" w:ascii="Times New Roman" w:hAnsi="Times New Roman" w:cs="Times New Roman" w:eastAsiaTheme="minorEastAsia"/>
          <w:color w:val="auto"/>
          <w:sz w:val="4"/>
          <w:szCs w:val="4"/>
          <w:highlight w:val="none"/>
          <w:u w:val="none" w:color="auto"/>
        </w:rPr>
      </w:pPr>
    </w:p>
    <w:tbl>
      <w:tblPr>
        <w:tblStyle w:val="76"/>
        <w:tblW w:w="9098" w:type="dxa"/>
        <w:jc w:val="center"/>
        <w:tblLayout w:type="fixed"/>
        <w:tblCellMar>
          <w:top w:w="0" w:type="dxa"/>
          <w:left w:w="0" w:type="dxa"/>
          <w:bottom w:w="0" w:type="dxa"/>
          <w:right w:w="0" w:type="dxa"/>
        </w:tblCellMar>
      </w:tblPr>
      <w:tblGrid>
        <w:gridCol w:w="584"/>
        <w:gridCol w:w="1424"/>
        <w:gridCol w:w="7090"/>
      </w:tblGrid>
      <w:tr w14:paraId="27B6F00B">
        <w:tblPrEx>
          <w:tblCellMar>
            <w:top w:w="0" w:type="dxa"/>
            <w:left w:w="0" w:type="dxa"/>
            <w:bottom w:w="0" w:type="dxa"/>
            <w:right w:w="0" w:type="dxa"/>
          </w:tblCellMar>
        </w:tblPrEx>
        <w:trPr>
          <w:trHeight w:val="655" w:hRule="atLeast"/>
          <w:jc w:val="center"/>
        </w:trPr>
        <w:tc>
          <w:tcPr>
            <w:tcW w:w="584" w:type="dxa"/>
            <w:tcBorders>
              <w:top w:val="single" w:color="000000" w:sz="12" w:space="0"/>
              <w:left w:val="single" w:color="000000" w:sz="12" w:space="0"/>
              <w:bottom w:val="single" w:color="000000" w:sz="6" w:space="0"/>
              <w:right w:val="single" w:color="000000" w:sz="6" w:space="0"/>
            </w:tcBorders>
            <w:vAlign w:val="center"/>
          </w:tcPr>
          <w:p w14:paraId="33128FFD">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评价要素</w:t>
            </w:r>
          </w:p>
        </w:tc>
        <w:tc>
          <w:tcPr>
            <w:tcW w:w="1424" w:type="dxa"/>
            <w:tcBorders>
              <w:top w:val="single" w:color="000000" w:sz="12" w:space="0"/>
              <w:left w:val="single" w:color="000000" w:sz="6" w:space="0"/>
              <w:bottom w:val="single" w:color="000000" w:sz="6" w:space="0"/>
              <w:right w:val="single" w:color="000000" w:sz="6" w:space="0"/>
            </w:tcBorders>
            <w:vAlign w:val="center"/>
          </w:tcPr>
          <w:p w14:paraId="61D1452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评价类型</w:t>
            </w:r>
          </w:p>
        </w:tc>
        <w:tc>
          <w:tcPr>
            <w:tcW w:w="7090" w:type="dxa"/>
            <w:tcBorders>
              <w:top w:val="single" w:color="000000" w:sz="12" w:space="0"/>
              <w:left w:val="single" w:color="000000" w:sz="6" w:space="0"/>
              <w:bottom w:val="single" w:color="000000" w:sz="6" w:space="0"/>
              <w:right w:val="single" w:color="000000" w:sz="12" w:space="0"/>
            </w:tcBorders>
            <w:vAlign w:val="center"/>
          </w:tcPr>
          <w:p w14:paraId="23EFDCA9">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评价因子</w:t>
            </w:r>
          </w:p>
        </w:tc>
      </w:tr>
      <w:tr w14:paraId="302278C6">
        <w:tblPrEx>
          <w:tblCellMar>
            <w:top w:w="0" w:type="dxa"/>
            <w:left w:w="0" w:type="dxa"/>
            <w:bottom w:w="0" w:type="dxa"/>
            <w:right w:w="0" w:type="dxa"/>
          </w:tblCellMar>
        </w:tblPrEx>
        <w:trPr>
          <w:trHeight w:val="400" w:hRule="atLeast"/>
          <w:jc w:val="center"/>
        </w:trPr>
        <w:tc>
          <w:tcPr>
            <w:tcW w:w="584" w:type="dxa"/>
            <w:vMerge w:val="restart"/>
            <w:tcBorders>
              <w:top w:val="single" w:color="000000" w:sz="6" w:space="0"/>
              <w:left w:val="single" w:color="000000" w:sz="12" w:space="0"/>
              <w:right w:val="single" w:color="000000" w:sz="6" w:space="0"/>
            </w:tcBorders>
            <w:vAlign w:val="center"/>
          </w:tcPr>
          <w:p w14:paraId="02E0F14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大气</w:t>
            </w:r>
          </w:p>
        </w:tc>
        <w:tc>
          <w:tcPr>
            <w:tcW w:w="1424" w:type="dxa"/>
            <w:tcBorders>
              <w:top w:val="single" w:color="000000" w:sz="6" w:space="0"/>
              <w:left w:val="single" w:color="000000" w:sz="6" w:space="0"/>
              <w:bottom w:val="single" w:color="000000" w:sz="6" w:space="0"/>
              <w:right w:val="single" w:color="000000" w:sz="6" w:space="0"/>
            </w:tcBorders>
            <w:vAlign w:val="center"/>
          </w:tcPr>
          <w:p w14:paraId="1F92D4E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现状评价因子</w:t>
            </w:r>
          </w:p>
        </w:tc>
        <w:tc>
          <w:tcPr>
            <w:tcW w:w="7090" w:type="dxa"/>
            <w:tcBorders>
              <w:top w:val="single" w:color="000000" w:sz="6" w:space="0"/>
              <w:left w:val="single" w:color="000000" w:sz="6" w:space="0"/>
              <w:bottom w:val="single" w:color="000000" w:sz="6" w:space="0"/>
              <w:right w:val="single" w:color="000000" w:sz="12" w:space="0"/>
            </w:tcBorders>
            <w:vAlign w:val="center"/>
          </w:tcPr>
          <w:p w14:paraId="4C984A36">
            <w:pPr>
              <w:pStyle w:val="163"/>
              <w:keepNext w:val="0"/>
              <w:keepLines w:val="0"/>
              <w:suppressLineNumbers w:val="0"/>
              <w:spacing w:before="48" w:beforeAutospacing="0" w:after="48"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CO、O</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、PM</w:t>
            </w:r>
            <w:r>
              <w:rPr>
                <w:rFonts w:hint="default" w:ascii="Times New Roman" w:hAnsi="Times New Roman" w:cs="Times New Roman"/>
                <w:color w:val="auto"/>
                <w:highlight w:val="none"/>
                <w:u w:val="none" w:color="auto"/>
                <w:vertAlign w:val="subscript"/>
              </w:rPr>
              <w:t>2.5、</w:t>
            </w:r>
            <w:r>
              <w:rPr>
                <w:rFonts w:hint="default" w:ascii="Times New Roman" w:hAnsi="Times New Roman" w:cs="Times New Roman"/>
                <w:color w:val="auto"/>
                <w:highlight w:val="none"/>
                <w:u w:val="none" w:color="auto"/>
              </w:rPr>
              <w:t>SO</w:t>
            </w:r>
            <w:r>
              <w:rPr>
                <w:rFonts w:hint="default" w:ascii="Times New Roman" w:hAnsi="Times New Roman" w:cs="Times New Roman"/>
                <w:color w:val="auto"/>
                <w:sz w:val="16"/>
                <w:szCs w:val="16"/>
                <w:highlight w:val="none"/>
                <w:u w:val="none" w:color="auto"/>
              </w:rPr>
              <w:t>2</w:t>
            </w:r>
            <w:r>
              <w:rPr>
                <w:rFonts w:hint="default" w:ascii="Times New Roman" w:hAnsi="Times New Roman" w:cs="Times New Roman"/>
                <w:color w:val="auto"/>
                <w:highlight w:val="none"/>
                <w:u w:val="none" w:color="auto"/>
              </w:rPr>
              <w:t>、NO</w:t>
            </w:r>
            <w:r>
              <w:rPr>
                <w:rFonts w:hint="default" w:ascii="Times New Roman" w:hAnsi="Times New Roman" w:cs="Times New Roman"/>
                <w:color w:val="auto"/>
                <w:sz w:val="16"/>
                <w:szCs w:val="16"/>
                <w:highlight w:val="none"/>
                <w:u w:val="none" w:color="auto"/>
              </w:rPr>
              <w:t>2</w:t>
            </w:r>
            <w:r>
              <w:rPr>
                <w:rFonts w:hint="default" w:ascii="Times New Roman" w:hAnsi="Times New Roman" w:cs="Times New Roman"/>
                <w:color w:val="auto"/>
                <w:highlight w:val="none"/>
                <w:u w:val="none" w:color="auto"/>
              </w:rPr>
              <w:t>、PM</w:t>
            </w:r>
            <w:r>
              <w:rPr>
                <w:rFonts w:hint="default" w:ascii="Times New Roman" w:hAnsi="Times New Roman" w:cs="Times New Roman"/>
                <w:color w:val="auto"/>
                <w:sz w:val="16"/>
                <w:szCs w:val="16"/>
                <w:highlight w:val="none"/>
                <w:u w:val="none" w:color="auto"/>
              </w:rPr>
              <w:t>10</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臭气浓度、</w:t>
            </w:r>
            <w:r>
              <w:rPr>
                <w:rFonts w:hint="default" w:ascii="Times New Roman" w:hAnsi="Times New Roman" w:cs="Times New Roman"/>
                <w:color w:val="auto"/>
                <w:highlight w:val="none"/>
                <w:u w:val="none" w:color="auto"/>
              </w:rPr>
              <w:t>H</w:t>
            </w:r>
            <w:r>
              <w:rPr>
                <w:rFonts w:hint="default" w:ascii="Times New Roman" w:hAnsi="Times New Roman" w:cs="Times New Roman"/>
                <w:color w:val="auto"/>
                <w:sz w:val="16"/>
                <w:szCs w:val="16"/>
                <w:highlight w:val="none"/>
                <w:u w:val="none" w:color="auto"/>
              </w:rPr>
              <w:t>2</w:t>
            </w:r>
            <w:r>
              <w:rPr>
                <w:rFonts w:hint="default" w:ascii="Times New Roman" w:hAnsi="Times New Roman" w:cs="Times New Roman"/>
                <w:color w:val="auto"/>
                <w:highlight w:val="none"/>
                <w:u w:val="none" w:color="auto"/>
              </w:rPr>
              <w:t>S、NH</w:t>
            </w:r>
            <w:r>
              <w:rPr>
                <w:rFonts w:hint="default" w:ascii="Times New Roman" w:hAnsi="Times New Roman" w:cs="Times New Roman"/>
                <w:color w:val="auto"/>
                <w:sz w:val="16"/>
                <w:szCs w:val="16"/>
                <w:highlight w:val="none"/>
                <w:u w:val="none" w:color="auto"/>
              </w:rPr>
              <w:t>3</w:t>
            </w:r>
          </w:p>
        </w:tc>
      </w:tr>
      <w:tr w14:paraId="4707AA10">
        <w:tblPrEx>
          <w:tblCellMar>
            <w:top w:w="0" w:type="dxa"/>
            <w:left w:w="0" w:type="dxa"/>
            <w:bottom w:w="0" w:type="dxa"/>
            <w:right w:w="0" w:type="dxa"/>
          </w:tblCellMar>
        </w:tblPrEx>
        <w:trPr>
          <w:trHeight w:val="327" w:hRule="atLeast"/>
          <w:jc w:val="center"/>
        </w:trPr>
        <w:tc>
          <w:tcPr>
            <w:tcW w:w="584" w:type="dxa"/>
            <w:vMerge w:val="continue"/>
            <w:tcBorders>
              <w:left w:val="single" w:color="000000" w:sz="12" w:space="0"/>
              <w:right w:val="single" w:color="000000" w:sz="6" w:space="0"/>
            </w:tcBorders>
            <w:vAlign w:val="center"/>
          </w:tcPr>
          <w:p w14:paraId="0F291DB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424" w:type="dxa"/>
            <w:tcBorders>
              <w:top w:val="single" w:color="000000" w:sz="6" w:space="0"/>
              <w:left w:val="single" w:color="000000" w:sz="6" w:space="0"/>
              <w:bottom w:val="single" w:color="000000" w:sz="6" w:space="0"/>
              <w:right w:val="single" w:color="000000" w:sz="6" w:space="0"/>
            </w:tcBorders>
            <w:vAlign w:val="center"/>
          </w:tcPr>
          <w:p w14:paraId="649D843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影响</w:t>
            </w:r>
            <w:r>
              <w:rPr>
                <w:rFonts w:hint="default" w:ascii="Times New Roman" w:hAnsi="Times New Roman" w:cs="Times New Roman"/>
                <w:color w:val="auto"/>
                <w:highlight w:val="none"/>
                <w:u w:val="none" w:color="auto"/>
              </w:rPr>
              <w:t>评价因子</w:t>
            </w:r>
          </w:p>
        </w:tc>
        <w:tc>
          <w:tcPr>
            <w:tcW w:w="7090" w:type="dxa"/>
            <w:tcBorders>
              <w:top w:val="single" w:color="000000" w:sz="6" w:space="0"/>
              <w:left w:val="single" w:color="000000" w:sz="6" w:space="0"/>
              <w:bottom w:val="single" w:color="000000" w:sz="6" w:space="0"/>
              <w:right w:val="single" w:color="000000" w:sz="12" w:space="0"/>
            </w:tcBorders>
            <w:vAlign w:val="center"/>
          </w:tcPr>
          <w:p w14:paraId="55D05F9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H</w:t>
            </w:r>
            <w:r>
              <w:rPr>
                <w:rFonts w:hint="default" w:ascii="Times New Roman" w:hAnsi="Times New Roman" w:cs="Times New Roman"/>
                <w:color w:val="auto"/>
                <w:sz w:val="16"/>
                <w:szCs w:val="16"/>
                <w:highlight w:val="none"/>
                <w:u w:val="none" w:color="auto"/>
              </w:rPr>
              <w:t>2</w:t>
            </w:r>
            <w:r>
              <w:rPr>
                <w:rFonts w:hint="default" w:ascii="Times New Roman" w:hAnsi="Times New Roman" w:cs="Times New Roman"/>
                <w:color w:val="auto"/>
                <w:highlight w:val="none"/>
                <w:u w:val="none" w:color="auto"/>
              </w:rPr>
              <w:t>S、NH</w:t>
            </w:r>
            <w:r>
              <w:rPr>
                <w:rFonts w:hint="default" w:ascii="Times New Roman" w:hAnsi="Times New Roman" w:cs="Times New Roman"/>
                <w:color w:val="auto"/>
                <w:sz w:val="16"/>
                <w:szCs w:val="16"/>
                <w:highlight w:val="none"/>
                <w:u w:val="none" w:color="auto"/>
              </w:rPr>
              <w:t>3</w:t>
            </w:r>
          </w:p>
        </w:tc>
      </w:tr>
      <w:tr w14:paraId="637D0EA0">
        <w:tblPrEx>
          <w:tblCellMar>
            <w:top w:w="0" w:type="dxa"/>
            <w:left w:w="0" w:type="dxa"/>
            <w:bottom w:w="0" w:type="dxa"/>
            <w:right w:w="0" w:type="dxa"/>
          </w:tblCellMar>
        </w:tblPrEx>
        <w:trPr>
          <w:trHeight w:val="327" w:hRule="atLeast"/>
          <w:jc w:val="center"/>
        </w:trPr>
        <w:tc>
          <w:tcPr>
            <w:tcW w:w="584" w:type="dxa"/>
            <w:vMerge w:val="continue"/>
            <w:tcBorders>
              <w:left w:val="single" w:color="000000" w:sz="12" w:space="0"/>
              <w:bottom w:val="single" w:color="000000" w:sz="6" w:space="0"/>
              <w:right w:val="single" w:color="000000" w:sz="6" w:space="0"/>
            </w:tcBorders>
            <w:vAlign w:val="center"/>
          </w:tcPr>
          <w:p w14:paraId="0F507D5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424" w:type="dxa"/>
            <w:tcBorders>
              <w:top w:val="single" w:color="000000" w:sz="6" w:space="0"/>
              <w:left w:val="single" w:color="000000" w:sz="6" w:space="0"/>
              <w:bottom w:val="single" w:color="000000" w:sz="6" w:space="0"/>
              <w:right w:val="single" w:color="000000" w:sz="6" w:space="0"/>
            </w:tcBorders>
            <w:vAlign w:val="center"/>
          </w:tcPr>
          <w:p w14:paraId="7160673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总量控制因子</w:t>
            </w:r>
          </w:p>
        </w:tc>
        <w:tc>
          <w:tcPr>
            <w:tcW w:w="7090" w:type="dxa"/>
            <w:tcBorders>
              <w:top w:val="single" w:color="000000" w:sz="6" w:space="0"/>
              <w:left w:val="single" w:color="000000" w:sz="6" w:space="0"/>
              <w:bottom w:val="single" w:color="000000" w:sz="6" w:space="0"/>
              <w:right w:val="single" w:color="000000" w:sz="12" w:space="0"/>
            </w:tcBorders>
            <w:vAlign w:val="center"/>
          </w:tcPr>
          <w:p w14:paraId="61D18DF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541601A4">
        <w:tblPrEx>
          <w:tblCellMar>
            <w:top w:w="0" w:type="dxa"/>
            <w:left w:w="0" w:type="dxa"/>
            <w:bottom w:w="0" w:type="dxa"/>
            <w:right w:w="0" w:type="dxa"/>
          </w:tblCellMar>
        </w:tblPrEx>
        <w:trPr>
          <w:trHeight w:val="638" w:hRule="atLeast"/>
          <w:jc w:val="center"/>
        </w:trPr>
        <w:tc>
          <w:tcPr>
            <w:tcW w:w="584" w:type="dxa"/>
            <w:vMerge w:val="restart"/>
            <w:tcBorders>
              <w:top w:val="single" w:color="000000" w:sz="6" w:space="0"/>
              <w:left w:val="single" w:color="000000" w:sz="12" w:space="0"/>
              <w:right w:val="single" w:color="000000" w:sz="6" w:space="0"/>
            </w:tcBorders>
            <w:vAlign w:val="center"/>
          </w:tcPr>
          <w:p w14:paraId="19551B0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地表水</w:t>
            </w:r>
          </w:p>
        </w:tc>
        <w:tc>
          <w:tcPr>
            <w:tcW w:w="1424" w:type="dxa"/>
            <w:tcBorders>
              <w:top w:val="single" w:color="000000" w:sz="6" w:space="0"/>
              <w:left w:val="single" w:color="000000" w:sz="6" w:space="0"/>
              <w:bottom w:val="single" w:color="000000" w:sz="6" w:space="0"/>
              <w:right w:val="single" w:color="000000" w:sz="6" w:space="0"/>
            </w:tcBorders>
            <w:vAlign w:val="center"/>
          </w:tcPr>
          <w:p w14:paraId="66F0037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现状评价因子</w:t>
            </w:r>
          </w:p>
        </w:tc>
        <w:tc>
          <w:tcPr>
            <w:tcW w:w="7090" w:type="dxa"/>
            <w:tcBorders>
              <w:top w:val="single" w:color="000000" w:sz="6" w:space="0"/>
              <w:left w:val="single" w:color="000000" w:sz="6" w:space="0"/>
              <w:bottom w:val="single" w:color="000000" w:sz="6" w:space="0"/>
              <w:right w:val="single" w:color="000000" w:sz="12" w:space="0"/>
            </w:tcBorders>
            <w:vAlign w:val="center"/>
          </w:tcPr>
          <w:p w14:paraId="6892FBB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pH、流量、水温、化学需氧量、五日生化需氧量、氨氮、总磷、总氮、悬浮物、石油类、高锰酸盐指数、溶解氧、铜、锌、氟化物、砷、硒、汞、镉、六价铬、铅、氰化物、挥发酚、硫化物、阴离子表面活性剂、粪大肠菌群</w:t>
            </w:r>
          </w:p>
        </w:tc>
      </w:tr>
      <w:tr w14:paraId="271266B0">
        <w:tblPrEx>
          <w:tblCellMar>
            <w:top w:w="0" w:type="dxa"/>
            <w:left w:w="0" w:type="dxa"/>
            <w:bottom w:w="0" w:type="dxa"/>
            <w:right w:w="0" w:type="dxa"/>
          </w:tblCellMar>
        </w:tblPrEx>
        <w:trPr>
          <w:trHeight w:val="327" w:hRule="atLeast"/>
          <w:jc w:val="center"/>
        </w:trPr>
        <w:tc>
          <w:tcPr>
            <w:tcW w:w="584" w:type="dxa"/>
            <w:vMerge w:val="continue"/>
            <w:tcBorders>
              <w:left w:val="single" w:color="000000" w:sz="12" w:space="0"/>
              <w:right w:val="single" w:color="000000" w:sz="6" w:space="0"/>
            </w:tcBorders>
            <w:vAlign w:val="center"/>
          </w:tcPr>
          <w:p w14:paraId="2E8A403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424" w:type="dxa"/>
            <w:tcBorders>
              <w:top w:val="single" w:color="000000" w:sz="6" w:space="0"/>
              <w:left w:val="single" w:color="000000" w:sz="6" w:space="0"/>
              <w:bottom w:val="single" w:color="000000" w:sz="6" w:space="0"/>
              <w:right w:val="single" w:color="000000" w:sz="6" w:space="0"/>
            </w:tcBorders>
            <w:vAlign w:val="center"/>
          </w:tcPr>
          <w:p w14:paraId="7B0EECB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预测评价因子</w:t>
            </w:r>
          </w:p>
        </w:tc>
        <w:tc>
          <w:tcPr>
            <w:tcW w:w="7090" w:type="dxa"/>
            <w:tcBorders>
              <w:top w:val="single" w:color="000000" w:sz="6" w:space="0"/>
              <w:left w:val="single" w:color="000000" w:sz="6" w:space="0"/>
              <w:bottom w:val="single" w:color="000000" w:sz="6" w:space="0"/>
              <w:right w:val="single" w:color="000000" w:sz="12" w:space="0"/>
            </w:tcBorders>
            <w:vAlign w:val="center"/>
          </w:tcPr>
          <w:p w14:paraId="506825A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COD、NH</w:t>
            </w:r>
            <w:r>
              <w:rPr>
                <w:rFonts w:hint="default" w:ascii="Times New Roman" w:hAnsi="Times New Roman" w:cs="Times New Roman"/>
                <w:color w:val="auto"/>
                <w:sz w:val="16"/>
                <w:szCs w:val="16"/>
                <w:highlight w:val="none"/>
                <w:u w:val="none" w:color="auto"/>
              </w:rPr>
              <w:t>3</w:t>
            </w:r>
            <w:r>
              <w:rPr>
                <w:rFonts w:hint="default" w:ascii="Times New Roman" w:hAnsi="Times New Roman" w:cs="Times New Roman"/>
                <w:color w:val="auto"/>
                <w:highlight w:val="none"/>
                <w:u w:val="none" w:color="auto"/>
              </w:rPr>
              <w:t>-N</w:t>
            </w:r>
          </w:p>
        </w:tc>
      </w:tr>
      <w:tr w14:paraId="32E6DB66">
        <w:tblPrEx>
          <w:tblCellMar>
            <w:top w:w="0" w:type="dxa"/>
            <w:left w:w="0" w:type="dxa"/>
            <w:bottom w:w="0" w:type="dxa"/>
            <w:right w:w="0" w:type="dxa"/>
          </w:tblCellMar>
        </w:tblPrEx>
        <w:trPr>
          <w:trHeight w:val="327" w:hRule="atLeast"/>
          <w:jc w:val="center"/>
        </w:trPr>
        <w:tc>
          <w:tcPr>
            <w:tcW w:w="584" w:type="dxa"/>
            <w:vMerge w:val="continue"/>
            <w:tcBorders>
              <w:left w:val="single" w:color="000000" w:sz="12" w:space="0"/>
              <w:bottom w:val="single" w:color="000000" w:sz="6" w:space="0"/>
              <w:right w:val="single" w:color="000000" w:sz="6" w:space="0"/>
            </w:tcBorders>
            <w:vAlign w:val="center"/>
          </w:tcPr>
          <w:p w14:paraId="7928147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424" w:type="dxa"/>
            <w:tcBorders>
              <w:top w:val="single" w:color="000000" w:sz="6" w:space="0"/>
              <w:left w:val="single" w:color="000000" w:sz="6" w:space="0"/>
              <w:bottom w:val="single" w:color="000000" w:sz="6" w:space="0"/>
              <w:right w:val="single" w:color="000000" w:sz="6" w:space="0"/>
            </w:tcBorders>
            <w:vAlign w:val="center"/>
          </w:tcPr>
          <w:p w14:paraId="63BB2F3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总量控制因子</w:t>
            </w:r>
          </w:p>
        </w:tc>
        <w:tc>
          <w:tcPr>
            <w:tcW w:w="7090" w:type="dxa"/>
            <w:tcBorders>
              <w:top w:val="single" w:color="000000" w:sz="6" w:space="0"/>
              <w:left w:val="single" w:color="000000" w:sz="6" w:space="0"/>
              <w:bottom w:val="single" w:color="000000" w:sz="6" w:space="0"/>
              <w:right w:val="single" w:color="000000" w:sz="12" w:space="0"/>
            </w:tcBorders>
            <w:vAlign w:val="center"/>
          </w:tcPr>
          <w:p w14:paraId="257EE71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COD、NH</w:t>
            </w:r>
            <w:r>
              <w:rPr>
                <w:rFonts w:hint="default" w:ascii="Times New Roman" w:hAnsi="Times New Roman" w:cs="Times New Roman"/>
                <w:color w:val="auto"/>
                <w:sz w:val="16"/>
                <w:szCs w:val="16"/>
                <w:highlight w:val="none"/>
                <w:u w:val="none" w:color="auto"/>
              </w:rPr>
              <w:t>3</w:t>
            </w:r>
            <w:r>
              <w:rPr>
                <w:rFonts w:hint="default" w:ascii="Times New Roman" w:hAnsi="Times New Roman" w:cs="Times New Roman"/>
                <w:color w:val="auto"/>
                <w:highlight w:val="none"/>
                <w:u w:val="none" w:color="auto"/>
              </w:rPr>
              <w:t>-N</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TP、TN</w:t>
            </w:r>
          </w:p>
        </w:tc>
      </w:tr>
      <w:tr w14:paraId="2D109DF6">
        <w:tblPrEx>
          <w:tblCellMar>
            <w:top w:w="0" w:type="dxa"/>
            <w:left w:w="0" w:type="dxa"/>
            <w:bottom w:w="0" w:type="dxa"/>
            <w:right w:w="0" w:type="dxa"/>
          </w:tblCellMar>
        </w:tblPrEx>
        <w:trPr>
          <w:trHeight w:val="949" w:hRule="atLeast"/>
          <w:jc w:val="center"/>
        </w:trPr>
        <w:tc>
          <w:tcPr>
            <w:tcW w:w="584" w:type="dxa"/>
            <w:vMerge w:val="restart"/>
            <w:tcBorders>
              <w:top w:val="single" w:color="000000" w:sz="6" w:space="0"/>
              <w:left w:val="single" w:color="000000" w:sz="12" w:space="0"/>
              <w:right w:val="single" w:color="000000" w:sz="6" w:space="0"/>
            </w:tcBorders>
            <w:vAlign w:val="center"/>
          </w:tcPr>
          <w:p w14:paraId="6B3A4A6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地下水</w:t>
            </w:r>
          </w:p>
        </w:tc>
        <w:tc>
          <w:tcPr>
            <w:tcW w:w="1424" w:type="dxa"/>
            <w:tcBorders>
              <w:top w:val="single" w:color="000000" w:sz="6" w:space="0"/>
              <w:left w:val="single" w:color="000000" w:sz="6" w:space="0"/>
              <w:bottom w:val="single" w:color="000000" w:sz="6" w:space="0"/>
              <w:right w:val="single" w:color="000000" w:sz="6" w:space="0"/>
            </w:tcBorders>
            <w:vAlign w:val="center"/>
          </w:tcPr>
          <w:p w14:paraId="05E4CE5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现状评价因子</w:t>
            </w:r>
          </w:p>
        </w:tc>
        <w:tc>
          <w:tcPr>
            <w:tcW w:w="7090" w:type="dxa"/>
            <w:tcBorders>
              <w:top w:val="single" w:color="000000" w:sz="6" w:space="0"/>
              <w:left w:val="single" w:color="000000" w:sz="6" w:space="0"/>
              <w:bottom w:val="single" w:color="000000" w:sz="6" w:space="0"/>
              <w:right w:val="single" w:color="000000" w:sz="12" w:space="0"/>
            </w:tcBorders>
            <w:vAlign w:val="center"/>
          </w:tcPr>
          <w:p w14:paraId="7420B16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pH、总硬度、溶解性总固体</w:t>
            </w:r>
            <w:r>
              <w:rPr>
                <w:rFonts w:hint="default" w:ascii="Times New Roman" w:hAnsi="Times New Roman" w:cs="Times New Roman"/>
                <w:color w:val="0000FF"/>
                <w:highlight w:val="none"/>
                <w:u w:val="none" w:color="auto"/>
              </w:rPr>
              <w:t>、</w:t>
            </w:r>
            <w:r>
              <w:rPr>
                <w:rFonts w:hint="default" w:ascii="Times New Roman" w:hAnsi="Times New Roman" w:cs="Times New Roman"/>
                <w:color w:val="auto"/>
                <w:highlight w:val="none"/>
                <w:u w:val="none" w:color="auto"/>
              </w:rPr>
              <w:t>铁、锰、挥发酚</w:t>
            </w:r>
            <w:r>
              <w:rPr>
                <w:rFonts w:hint="default" w:ascii="Times New Roman" w:hAnsi="Times New Roman" w:cs="Times New Roman"/>
                <w:color w:val="0000FF"/>
                <w:highlight w:val="none"/>
                <w:u w:val="none" w:color="auto"/>
              </w:rPr>
              <w:t>、</w:t>
            </w:r>
            <w:r>
              <w:rPr>
                <w:rFonts w:hint="default" w:ascii="Times New Roman" w:hAnsi="Times New Roman" w:cs="Times New Roman"/>
                <w:color w:val="auto"/>
                <w:highlight w:val="none"/>
                <w:u w:val="none" w:color="auto"/>
              </w:rPr>
              <w:t>耗氧量、氨氮</w:t>
            </w:r>
            <w:r>
              <w:rPr>
                <w:rFonts w:hint="default" w:ascii="Times New Roman" w:hAnsi="Times New Roman" w:cs="Times New Roman"/>
                <w:color w:val="0000FF"/>
                <w:highlight w:val="none"/>
                <w:u w:val="none" w:color="auto"/>
              </w:rPr>
              <w:t>、</w:t>
            </w:r>
            <w:r>
              <w:rPr>
                <w:rFonts w:hint="default" w:ascii="Times New Roman" w:hAnsi="Times New Roman" w:cs="Times New Roman"/>
                <w:color w:val="auto"/>
                <w:highlight w:val="none"/>
                <w:u w:val="none" w:color="auto"/>
              </w:rPr>
              <w:t>亚硝酸盐、硝酸盐、氰化物、氟化物、汞、砷、镉、铬（六价）、铅、</w:t>
            </w:r>
            <w:r>
              <w:rPr>
                <w:rFonts w:hint="default" w:ascii="Times New Roman" w:hAnsi="Times New Roman" w:eastAsia="宋体" w:cs="Times New Roman"/>
                <w:color w:val="auto"/>
                <w:sz w:val="21"/>
                <w:szCs w:val="21"/>
                <w:highlight w:val="none"/>
                <w:lang w:val="en-US" w:eastAsia="zh-CN" w:bidi="ar-SA"/>
              </w:rPr>
              <w:t>硒、</w:t>
            </w:r>
            <w:r>
              <w:rPr>
                <w:rFonts w:hint="default" w:ascii="Times New Roman" w:hAnsi="Times New Roman" w:cs="Times New Roman"/>
                <w:color w:val="auto"/>
                <w:highlight w:val="none"/>
                <w:u w:val="none" w:color="auto"/>
              </w:rPr>
              <w:t>总大肠菌群、菌落总数</w:t>
            </w:r>
            <w:r>
              <w:rPr>
                <w:rFonts w:hint="default" w:ascii="Times New Roman" w:hAnsi="Times New Roman" w:cs="Times New Roman"/>
                <w:color w:val="auto"/>
                <w:highlight w:val="none"/>
                <w:u w:val="none" w:color="auto"/>
                <w:lang w:eastAsia="zh-CN"/>
              </w:rPr>
              <w:t>、</w:t>
            </w:r>
            <w:r>
              <w:rPr>
                <w:rFonts w:hint="default" w:ascii="Times New Roman" w:hAnsi="Times New Roman" w:eastAsia="TimesNewRomanPSMT" w:cs="Times New Roman"/>
                <w:color w:val="auto"/>
                <w:highlight w:val="none"/>
                <w:u w:val="none" w:color="auto"/>
              </w:rPr>
              <w:t>K</w:t>
            </w:r>
            <w:r>
              <w:rPr>
                <w:rFonts w:hint="default" w:ascii="Times New Roman" w:hAnsi="Times New Roman" w:cs="Times New Roman"/>
                <w:color w:val="auto"/>
                <w:highlight w:val="none"/>
                <w:u w:val="none" w:color="auto"/>
                <w:vertAlign w:val="superscript"/>
              </w:rPr>
              <w:t>+</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Na</w:t>
            </w:r>
            <w:r>
              <w:rPr>
                <w:rFonts w:hint="default" w:ascii="Times New Roman" w:hAnsi="Times New Roman" w:cs="Times New Roman"/>
                <w:color w:val="auto"/>
                <w:highlight w:val="none"/>
                <w:u w:val="none" w:color="auto"/>
                <w:vertAlign w:val="superscript"/>
              </w:rPr>
              <w:t>+</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Ca</w:t>
            </w:r>
            <w:r>
              <w:rPr>
                <w:rFonts w:hint="default" w:ascii="Times New Roman" w:hAnsi="Times New Roman" w:cs="Times New Roman"/>
                <w:color w:val="auto"/>
                <w:highlight w:val="none"/>
                <w:u w:val="none" w:color="auto"/>
                <w:vertAlign w:val="superscript"/>
              </w:rPr>
              <w:t>2+</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Mg</w:t>
            </w:r>
            <w:r>
              <w:rPr>
                <w:rFonts w:hint="default" w:ascii="Times New Roman" w:hAnsi="Times New Roman" w:cs="Times New Roman"/>
                <w:color w:val="auto"/>
                <w:highlight w:val="none"/>
                <w:u w:val="none" w:color="auto"/>
                <w:vertAlign w:val="superscript"/>
              </w:rPr>
              <w:t>2+</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CO</w:t>
            </w:r>
            <w:r>
              <w:rPr>
                <w:rFonts w:hint="default" w:ascii="Times New Roman" w:hAnsi="Times New Roman" w:eastAsia="TimesNewRomanPSMT" w:cs="Times New Roman"/>
                <w:color w:val="auto"/>
                <w:sz w:val="16"/>
                <w:szCs w:val="16"/>
                <w:highlight w:val="none"/>
                <w:u w:val="none" w:color="auto"/>
              </w:rPr>
              <w:t>3</w:t>
            </w:r>
            <w:r>
              <w:rPr>
                <w:rFonts w:hint="default" w:ascii="Times New Roman" w:hAnsi="Times New Roman" w:cs="Times New Roman"/>
                <w:color w:val="auto"/>
                <w:highlight w:val="none"/>
                <w:u w:val="none" w:color="auto"/>
                <w:vertAlign w:val="superscript"/>
              </w:rPr>
              <w:t>2-</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HCO</w:t>
            </w:r>
            <w:r>
              <w:rPr>
                <w:rFonts w:hint="default" w:ascii="Times New Roman" w:hAnsi="Times New Roman" w:eastAsia="TimesNewRomanPSMT" w:cs="Times New Roman"/>
                <w:color w:val="auto"/>
                <w:sz w:val="16"/>
                <w:szCs w:val="16"/>
                <w:highlight w:val="none"/>
                <w:u w:val="none" w:color="auto"/>
              </w:rPr>
              <w:t>3</w:t>
            </w:r>
            <w:r>
              <w:rPr>
                <w:rFonts w:hint="default" w:ascii="Times New Roman" w:hAnsi="Times New Roman" w:cs="Times New Roman"/>
                <w:color w:val="auto"/>
                <w:highlight w:val="none"/>
                <w:u w:val="none" w:color="auto"/>
                <w:vertAlign w:val="superscript"/>
              </w:rPr>
              <w:t>-</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Cl</w:t>
            </w:r>
            <w:r>
              <w:rPr>
                <w:rFonts w:hint="default" w:ascii="Times New Roman" w:hAnsi="Times New Roman" w:cs="Times New Roman"/>
                <w:color w:val="auto"/>
                <w:highlight w:val="none"/>
                <w:u w:val="none" w:color="auto"/>
                <w:vertAlign w:val="superscript"/>
              </w:rPr>
              <w:t>-</w:t>
            </w:r>
            <w:r>
              <w:rPr>
                <w:rFonts w:hint="default" w:ascii="Times New Roman" w:hAnsi="Times New Roman" w:cs="Times New Roman"/>
                <w:color w:val="auto"/>
                <w:highlight w:val="none"/>
                <w:u w:val="none" w:color="auto"/>
              </w:rPr>
              <w:t>、</w:t>
            </w:r>
            <w:r>
              <w:rPr>
                <w:rFonts w:hint="default" w:ascii="Times New Roman" w:hAnsi="Times New Roman" w:eastAsia="TimesNewRomanPSMT" w:cs="Times New Roman"/>
                <w:color w:val="auto"/>
                <w:highlight w:val="none"/>
                <w:u w:val="none" w:color="auto"/>
              </w:rPr>
              <w:t>SO</w:t>
            </w:r>
            <w:r>
              <w:rPr>
                <w:rFonts w:hint="default" w:ascii="Times New Roman" w:hAnsi="Times New Roman" w:eastAsia="TimesNewRomanPSMT" w:cs="Times New Roman"/>
                <w:color w:val="auto"/>
                <w:sz w:val="16"/>
                <w:szCs w:val="16"/>
                <w:highlight w:val="none"/>
                <w:u w:val="none" w:color="auto"/>
              </w:rPr>
              <w:t>4</w:t>
            </w:r>
            <w:r>
              <w:rPr>
                <w:rFonts w:hint="default" w:ascii="Times New Roman" w:hAnsi="Times New Roman" w:cs="Times New Roman"/>
                <w:color w:val="auto"/>
                <w:highlight w:val="none"/>
                <w:u w:val="none" w:color="auto"/>
                <w:vertAlign w:val="superscript"/>
              </w:rPr>
              <w:t>2-</w:t>
            </w:r>
          </w:p>
        </w:tc>
      </w:tr>
      <w:tr w14:paraId="307E0F35">
        <w:tblPrEx>
          <w:tblCellMar>
            <w:top w:w="0" w:type="dxa"/>
            <w:left w:w="0" w:type="dxa"/>
            <w:bottom w:w="0" w:type="dxa"/>
            <w:right w:w="0" w:type="dxa"/>
          </w:tblCellMar>
        </w:tblPrEx>
        <w:trPr>
          <w:trHeight w:val="327" w:hRule="atLeast"/>
          <w:jc w:val="center"/>
        </w:trPr>
        <w:tc>
          <w:tcPr>
            <w:tcW w:w="584" w:type="dxa"/>
            <w:vMerge w:val="continue"/>
            <w:tcBorders>
              <w:left w:val="single" w:color="000000" w:sz="12" w:space="0"/>
              <w:right w:val="single" w:color="000000" w:sz="6" w:space="0"/>
            </w:tcBorders>
            <w:vAlign w:val="center"/>
          </w:tcPr>
          <w:p w14:paraId="5198154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424" w:type="dxa"/>
            <w:tcBorders>
              <w:top w:val="single" w:color="000000" w:sz="6" w:space="0"/>
              <w:left w:val="single" w:color="000000" w:sz="6" w:space="0"/>
              <w:bottom w:val="single" w:color="000000" w:sz="6" w:space="0"/>
              <w:right w:val="single" w:color="000000" w:sz="6" w:space="0"/>
            </w:tcBorders>
            <w:vAlign w:val="center"/>
          </w:tcPr>
          <w:p w14:paraId="5213E24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预测评价因子</w:t>
            </w:r>
          </w:p>
        </w:tc>
        <w:tc>
          <w:tcPr>
            <w:tcW w:w="7090" w:type="dxa"/>
            <w:tcBorders>
              <w:top w:val="single" w:color="000000" w:sz="6" w:space="0"/>
              <w:left w:val="single" w:color="000000" w:sz="6" w:space="0"/>
              <w:bottom w:val="single" w:color="000000" w:sz="6" w:space="0"/>
              <w:right w:val="single" w:color="000000" w:sz="12" w:space="0"/>
            </w:tcBorders>
            <w:vAlign w:val="center"/>
          </w:tcPr>
          <w:p w14:paraId="45CD4523">
            <w:pPr>
              <w:pStyle w:val="96"/>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z w:val="21"/>
                <w:szCs w:val="21"/>
                <w:highlight w:val="none"/>
                <w:u w:val="none" w:color="auto"/>
              </w:rPr>
              <w:t>NH</w:t>
            </w:r>
            <w:r>
              <w:rPr>
                <w:rFonts w:hint="default" w:ascii="Times New Roman" w:hAnsi="Times New Roman" w:eastAsia="宋体" w:cs="Times New Roman"/>
                <w:color w:val="auto"/>
                <w:sz w:val="13"/>
                <w:szCs w:val="13"/>
                <w:highlight w:val="none"/>
                <w:u w:val="none" w:color="auto"/>
              </w:rPr>
              <w:t>3</w:t>
            </w:r>
            <w:r>
              <w:rPr>
                <w:rFonts w:hint="default" w:ascii="Times New Roman" w:hAnsi="Times New Roman" w:eastAsia="宋体" w:cs="Times New Roman"/>
                <w:color w:val="auto"/>
                <w:sz w:val="21"/>
                <w:szCs w:val="21"/>
                <w:highlight w:val="none"/>
                <w:u w:val="none" w:color="auto"/>
              </w:rPr>
              <w:t>-N</w:t>
            </w:r>
          </w:p>
        </w:tc>
      </w:tr>
      <w:tr w14:paraId="4C51615B">
        <w:tblPrEx>
          <w:tblCellMar>
            <w:top w:w="0" w:type="dxa"/>
            <w:left w:w="0" w:type="dxa"/>
            <w:bottom w:w="0" w:type="dxa"/>
            <w:right w:w="0" w:type="dxa"/>
          </w:tblCellMar>
        </w:tblPrEx>
        <w:trPr>
          <w:trHeight w:val="638" w:hRule="atLeast"/>
          <w:jc w:val="center"/>
        </w:trPr>
        <w:tc>
          <w:tcPr>
            <w:tcW w:w="584" w:type="dxa"/>
            <w:tcBorders>
              <w:top w:val="single" w:color="000000" w:sz="6" w:space="0"/>
              <w:left w:val="single" w:color="000000" w:sz="12" w:space="0"/>
              <w:bottom w:val="single" w:color="000000" w:sz="6" w:space="0"/>
              <w:right w:val="single" w:color="000000" w:sz="6" w:space="0"/>
            </w:tcBorders>
            <w:vAlign w:val="center"/>
          </w:tcPr>
          <w:p w14:paraId="216F883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声环境</w:t>
            </w:r>
          </w:p>
        </w:tc>
        <w:tc>
          <w:tcPr>
            <w:tcW w:w="1424" w:type="dxa"/>
            <w:tcBorders>
              <w:top w:val="single" w:color="000000" w:sz="6" w:space="0"/>
              <w:left w:val="single" w:color="000000" w:sz="6" w:space="0"/>
              <w:bottom w:val="single" w:color="000000" w:sz="6" w:space="0"/>
              <w:right w:val="single" w:color="000000" w:sz="6" w:space="0"/>
            </w:tcBorders>
            <w:vAlign w:val="center"/>
          </w:tcPr>
          <w:p w14:paraId="039DBEC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现状评价及厂界预测因子</w:t>
            </w:r>
          </w:p>
        </w:tc>
        <w:tc>
          <w:tcPr>
            <w:tcW w:w="7090" w:type="dxa"/>
            <w:tcBorders>
              <w:top w:val="single" w:color="000000" w:sz="6" w:space="0"/>
              <w:left w:val="single" w:color="000000" w:sz="6" w:space="0"/>
              <w:bottom w:val="single" w:color="000000" w:sz="6" w:space="0"/>
              <w:right w:val="single" w:color="000000" w:sz="12" w:space="0"/>
            </w:tcBorders>
            <w:vAlign w:val="center"/>
          </w:tcPr>
          <w:p w14:paraId="1EBFA5C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等效声级LeqdB(A) </w:t>
            </w:r>
          </w:p>
        </w:tc>
      </w:tr>
      <w:tr w14:paraId="395AC4E1">
        <w:tblPrEx>
          <w:tblCellMar>
            <w:top w:w="0" w:type="dxa"/>
            <w:left w:w="0" w:type="dxa"/>
            <w:bottom w:w="0" w:type="dxa"/>
            <w:right w:w="0" w:type="dxa"/>
          </w:tblCellMar>
        </w:tblPrEx>
        <w:trPr>
          <w:trHeight w:val="638" w:hRule="atLeast"/>
          <w:jc w:val="center"/>
        </w:trPr>
        <w:tc>
          <w:tcPr>
            <w:tcW w:w="584" w:type="dxa"/>
            <w:vMerge w:val="restart"/>
            <w:tcBorders>
              <w:top w:val="single" w:color="000000" w:sz="6" w:space="0"/>
              <w:left w:val="single" w:color="000000" w:sz="12" w:space="0"/>
              <w:right w:val="single" w:color="000000" w:sz="6" w:space="0"/>
            </w:tcBorders>
            <w:vAlign w:val="center"/>
          </w:tcPr>
          <w:p w14:paraId="57F5237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土壤</w:t>
            </w:r>
          </w:p>
        </w:tc>
        <w:tc>
          <w:tcPr>
            <w:tcW w:w="1424" w:type="dxa"/>
            <w:tcBorders>
              <w:top w:val="single" w:color="000000" w:sz="6" w:space="0"/>
              <w:left w:val="single" w:color="000000" w:sz="6" w:space="0"/>
              <w:bottom w:val="single" w:color="000000" w:sz="6" w:space="0"/>
              <w:right w:val="single" w:color="000000" w:sz="6" w:space="0"/>
            </w:tcBorders>
            <w:vAlign w:val="center"/>
          </w:tcPr>
          <w:p w14:paraId="0E3DC0D9">
            <w:pPr>
              <w:pStyle w:val="192"/>
              <w:keepNext w:val="0"/>
              <w:keepLines w:val="0"/>
              <w:suppressLineNumbers w:val="0"/>
              <w:spacing w:before="0" w:beforeAutospacing="0" w:after="0" w:afterAutospacing="0" w:line="240" w:lineRule="auto"/>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现状评价因子</w:t>
            </w:r>
          </w:p>
        </w:tc>
        <w:tc>
          <w:tcPr>
            <w:tcW w:w="7090" w:type="dxa"/>
            <w:tcBorders>
              <w:top w:val="single" w:color="000000" w:sz="6" w:space="0"/>
              <w:left w:val="single" w:color="000000" w:sz="6" w:space="0"/>
              <w:bottom w:val="single" w:color="000000" w:sz="6" w:space="0"/>
              <w:right w:val="single" w:color="000000" w:sz="12" w:space="0"/>
            </w:tcBorders>
            <w:vAlign w:val="center"/>
          </w:tcPr>
          <w:p w14:paraId="3F6FC56E">
            <w:pPr>
              <w:pStyle w:val="9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z w:val="21"/>
                <w:szCs w:val="21"/>
                <w:highlight w:val="none"/>
                <w:u w:val="none" w:color="auto"/>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r>
      <w:tr w14:paraId="4F7E016A">
        <w:tblPrEx>
          <w:tblCellMar>
            <w:top w:w="0" w:type="dxa"/>
            <w:left w:w="0" w:type="dxa"/>
            <w:bottom w:w="0" w:type="dxa"/>
            <w:right w:w="0" w:type="dxa"/>
          </w:tblCellMar>
        </w:tblPrEx>
        <w:trPr>
          <w:trHeight w:val="327" w:hRule="atLeast"/>
          <w:jc w:val="center"/>
        </w:trPr>
        <w:tc>
          <w:tcPr>
            <w:tcW w:w="584" w:type="dxa"/>
            <w:vMerge w:val="continue"/>
            <w:tcBorders>
              <w:left w:val="single" w:color="000000" w:sz="12" w:space="0"/>
              <w:right w:val="single" w:color="000000" w:sz="6" w:space="0"/>
            </w:tcBorders>
            <w:vAlign w:val="center"/>
          </w:tcPr>
          <w:p w14:paraId="76D44F6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424" w:type="dxa"/>
            <w:tcBorders>
              <w:top w:val="single" w:color="000000" w:sz="6" w:space="0"/>
              <w:left w:val="single" w:color="000000" w:sz="6" w:space="0"/>
              <w:bottom w:val="single" w:color="000000" w:sz="6" w:space="0"/>
              <w:right w:val="single" w:color="000000" w:sz="6" w:space="0"/>
            </w:tcBorders>
            <w:vAlign w:val="center"/>
          </w:tcPr>
          <w:p w14:paraId="1CE4C58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预测评价因子</w:t>
            </w:r>
          </w:p>
        </w:tc>
        <w:tc>
          <w:tcPr>
            <w:tcW w:w="7090" w:type="dxa"/>
            <w:tcBorders>
              <w:top w:val="single" w:color="000000" w:sz="6" w:space="0"/>
              <w:left w:val="single" w:color="000000" w:sz="6" w:space="0"/>
              <w:bottom w:val="single" w:color="000000" w:sz="6" w:space="0"/>
              <w:right w:val="single" w:color="000000" w:sz="12" w:space="0"/>
            </w:tcBorders>
            <w:vAlign w:val="center"/>
          </w:tcPr>
          <w:p w14:paraId="7A154C7A">
            <w:pPr>
              <w:pStyle w:val="9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CDFCF3C">
        <w:tblPrEx>
          <w:tblCellMar>
            <w:top w:w="0" w:type="dxa"/>
            <w:left w:w="0" w:type="dxa"/>
            <w:bottom w:w="0" w:type="dxa"/>
            <w:right w:w="0" w:type="dxa"/>
          </w:tblCellMar>
        </w:tblPrEx>
        <w:trPr>
          <w:trHeight w:val="638" w:hRule="atLeast"/>
          <w:jc w:val="center"/>
        </w:trPr>
        <w:tc>
          <w:tcPr>
            <w:tcW w:w="584" w:type="dxa"/>
            <w:tcBorders>
              <w:top w:val="single" w:color="000000" w:sz="6" w:space="0"/>
              <w:left w:val="single" w:color="000000" w:sz="12" w:space="0"/>
              <w:bottom w:val="single" w:color="000000" w:sz="6" w:space="0"/>
              <w:right w:val="single" w:color="000000" w:sz="6" w:space="0"/>
            </w:tcBorders>
            <w:vAlign w:val="center"/>
          </w:tcPr>
          <w:p w14:paraId="2F6FEBF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固体废物</w:t>
            </w:r>
          </w:p>
        </w:tc>
        <w:tc>
          <w:tcPr>
            <w:tcW w:w="1424" w:type="dxa"/>
            <w:tcBorders>
              <w:top w:val="single" w:color="000000" w:sz="6" w:space="0"/>
              <w:left w:val="single" w:color="000000" w:sz="6" w:space="0"/>
              <w:bottom w:val="single" w:color="000000" w:sz="6" w:space="0"/>
              <w:right w:val="single" w:color="000000" w:sz="6" w:space="0"/>
            </w:tcBorders>
            <w:vAlign w:val="center"/>
          </w:tcPr>
          <w:p w14:paraId="30428FF2">
            <w:pPr>
              <w:pStyle w:val="9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7090" w:type="dxa"/>
            <w:tcBorders>
              <w:top w:val="single" w:color="000000" w:sz="6" w:space="0"/>
              <w:left w:val="single" w:color="000000" w:sz="6" w:space="0"/>
              <w:bottom w:val="single" w:color="000000" w:sz="6" w:space="0"/>
              <w:right w:val="single" w:color="000000" w:sz="12" w:space="0"/>
            </w:tcBorders>
            <w:vAlign w:val="center"/>
          </w:tcPr>
          <w:p w14:paraId="7FB3AC99">
            <w:pPr>
              <w:pStyle w:val="9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格栅渣、沉砂、污泥、废矿物油、废含油抹布及手套、在线监测废液</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化验室废液、沾染性废物</w:t>
            </w:r>
          </w:p>
        </w:tc>
      </w:tr>
      <w:tr w14:paraId="1328003A">
        <w:tblPrEx>
          <w:tblCellMar>
            <w:top w:w="0" w:type="dxa"/>
            <w:left w:w="0" w:type="dxa"/>
            <w:bottom w:w="0" w:type="dxa"/>
            <w:right w:w="0" w:type="dxa"/>
          </w:tblCellMar>
        </w:tblPrEx>
        <w:trPr>
          <w:trHeight w:val="672" w:hRule="atLeast"/>
          <w:jc w:val="center"/>
        </w:trPr>
        <w:tc>
          <w:tcPr>
            <w:tcW w:w="584" w:type="dxa"/>
            <w:tcBorders>
              <w:top w:val="single" w:color="000000" w:sz="6" w:space="0"/>
              <w:left w:val="single" w:color="000000" w:sz="12" w:space="0"/>
              <w:bottom w:val="single" w:color="000000" w:sz="12" w:space="0"/>
              <w:right w:val="single" w:color="000000" w:sz="6" w:space="0"/>
            </w:tcBorders>
            <w:vAlign w:val="center"/>
          </w:tcPr>
          <w:p w14:paraId="0956893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生态环境</w:t>
            </w:r>
          </w:p>
        </w:tc>
        <w:tc>
          <w:tcPr>
            <w:tcW w:w="1424" w:type="dxa"/>
            <w:tcBorders>
              <w:top w:val="single" w:color="000000" w:sz="6" w:space="0"/>
              <w:left w:val="single" w:color="000000" w:sz="6" w:space="0"/>
              <w:bottom w:val="single" w:color="000000" w:sz="12" w:space="0"/>
              <w:right w:val="single" w:color="000000" w:sz="6" w:space="0"/>
            </w:tcBorders>
            <w:vAlign w:val="center"/>
          </w:tcPr>
          <w:p w14:paraId="741B98E2">
            <w:pPr>
              <w:pStyle w:val="9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7090" w:type="dxa"/>
            <w:tcBorders>
              <w:top w:val="single" w:color="000000" w:sz="6" w:space="0"/>
              <w:left w:val="single" w:color="000000" w:sz="6" w:space="0"/>
              <w:bottom w:val="single" w:color="000000" w:sz="12" w:space="0"/>
              <w:right w:val="single" w:color="000000" w:sz="12" w:space="0"/>
            </w:tcBorders>
            <w:vAlign w:val="center"/>
          </w:tcPr>
          <w:p w14:paraId="4E98AB7F">
            <w:pPr>
              <w:pStyle w:val="9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水土流失、土地占用、土壤及局部地貌、植被、动物、景观等</w:t>
            </w:r>
          </w:p>
        </w:tc>
      </w:tr>
    </w:tbl>
    <w:p w14:paraId="7B584989">
      <w:pPr>
        <w:pStyle w:val="3"/>
        <w:numPr>
          <w:ilvl w:val="1"/>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bookmarkStart w:id="26" w:name="_Toc3921"/>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2.3 </w:t>
      </w:r>
      <w:r>
        <w:rPr>
          <w:rFonts w:hint="default" w:ascii="Times New Roman" w:hAnsi="Times New Roman" w:cs="Times New Roman"/>
          <w:color w:val="000000" w:themeColor="text1"/>
          <w:highlight w:val="none"/>
          <w:u w:val="none" w:color="auto"/>
          <w14:textFill>
            <w14:solidFill>
              <w14:schemeClr w14:val="tx1"/>
            </w14:solidFill>
          </w14:textFill>
        </w:rPr>
        <w:t>评价标准</w:t>
      </w:r>
      <w:bookmarkEnd w:id="26"/>
    </w:p>
    <w:p w14:paraId="1E5450BA">
      <w:pPr>
        <w:pStyle w:val="4"/>
        <w:numPr>
          <w:ilvl w:val="2"/>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pacing w:val="2"/>
          <w:highlight w:val="none"/>
          <w:u w:val="none" w:color="auto"/>
          <w:lang w:val="en-US" w:eastAsia="zh-CN"/>
          <w14:textFill>
            <w14:solidFill>
              <w14:schemeClr w14:val="tx1"/>
            </w14:solidFill>
          </w14:textFill>
        </w:rPr>
        <w:t xml:space="preserve">2.3.1 </w:t>
      </w:r>
      <w:r>
        <w:rPr>
          <w:rFonts w:hint="default" w:ascii="Times New Roman" w:hAnsi="Times New Roman" w:cs="Times New Roman"/>
          <w:color w:val="000000" w:themeColor="text1"/>
          <w:spacing w:val="2"/>
          <w:highlight w:val="none"/>
          <w:u w:val="none" w:color="auto"/>
          <w14:textFill>
            <w14:solidFill>
              <w14:schemeClr w14:val="tx1"/>
            </w14:solidFill>
          </w14:textFill>
        </w:rPr>
        <w:t>环</w:t>
      </w:r>
      <w:r>
        <w:rPr>
          <w:rFonts w:hint="default" w:ascii="Times New Roman" w:hAnsi="Times New Roman" w:cs="Times New Roman"/>
          <w:color w:val="000000" w:themeColor="text1"/>
          <w:highlight w:val="none"/>
          <w:u w:val="none" w:color="auto"/>
          <w14:textFill>
            <w14:solidFill>
              <w14:schemeClr w14:val="tx1"/>
            </w14:solidFill>
          </w14:textFill>
        </w:rPr>
        <w:t>境</w:t>
      </w:r>
      <w:r>
        <w:rPr>
          <w:rFonts w:hint="default" w:ascii="Times New Roman" w:hAnsi="Times New Roman" w:cs="Times New Roman"/>
          <w:color w:val="000000" w:themeColor="text1"/>
          <w:spacing w:val="2"/>
          <w:highlight w:val="none"/>
          <w:u w:val="none" w:color="auto"/>
          <w14:textFill>
            <w14:solidFill>
              <w14:schemeClr w14:val="tx1"/>
            </w14:solidFill>
          </w14:textFill>
        </w:rPr>
        <w:t>质</w:t>
      </w:r>
      <w:r>
        <w:rPr>
          <w:rFonts w:hint="default" w:ascii="Times New Roman" w:hAnsi="Times New Roman" w:cs="Times New Roman"/>
          <w:color w:val="000000" w:themeColor="text1"/>
          <w:highlight w:val="none"/>
          <w:u w:val="none" w:color="auto"/>
          <w14:textFill>
            <w14:solidFill>
              <w14:schemeClr w14:val="tx1"/>
            </w14:solidFill>
          </w14:textFill>
        </w:rPr>
        <w:t>量</w:t>
      </w:r>
      <w:r>
        <w:rPr>
          <w:rFonts w:hint="default" w:ascii="Times New Roman" w:hAnsi="Times New Roman" w:cs="Times New Roman"/>
          <w:color w:val="000000" w:themeColor="text1"/>
          <w:spacing w:val="2"/>
          <w:highlight w:val="none"/>
          <w:u w:val="none" w:color="auto"/>
          <w14:textFill>
            <w14:solidFill>
              <w14:schemeClr w14:val="tx1"/>
            </w14:solidFill>
          </w14:textFill>
        </w:rPr>
        <w:t>标</w:t>
      </w:r>
      <w:r>
        <w:rPr>
          <w:rFonts w:hint="default" w:ascii="Times New Roman" w:hAnsi="Times New Roman" w:cs="Times New Roman"/>
          <w:color w:val="000000" w:themeColor="text1"/>
          <w:highlight w:val="none"/>
          <w:u w:val="none" w:color="auto"/>
          <w14:textFill>
            <w14:solidFill>
              <w14:schemeClr w14:val="tx1"/>
            </w14:solidFill>
          </w14:textFill>
        </w:rPr>
        <w:t>准</w:t>
      </w:r>
    </w:p>
    <w:p w14:paraId="38424260">
      <w:pPr>
        <w:pStyle w:val="381"/>
        <w:numPr>
          <w:ilvl w:val="3"/>
          <w:numId w:val="0"/>
        </w:numPr>
        <w:ind w:leftChars="0" w:firstLine="482" w:firstLineChars="20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 xml:space="preserve">2.3.1.1 </w:t>
      </w:r>
      <w:r>
        <w:rPr>
          <w:rFonts w:hint="default" w:ascii="Times New Roman" w:hAnsi="Times New Roman" w:cs="Times New Roman"/>
          <w:b/>
          <w:bCs/>
          <w:color w:val="000000" w:themeColor="text1"/>
          <w:highlight w:val="none"/>
          <w:u w:val="none" w:color="auto"/>
          <w14:textFill>
            <w14:solidFill>
              <w14:schemeClr w14:val="tx1"/>
            </w14:solidFill>
          </w14:textFill>
        </w:rPr>
        <w:t>大气环境</w:t>
      </w:r>
    </w:p>
    <w:p w14:paraId="001DA813">
      <w:pPr>
        <w:pStyle w:val="189"/>
        <w:rPr>
          <w:rFonts w:hint="default" w:ascii="Times New Roman" w:hAnsi="Times New Roman" w:cs="Times New Roman" w:eastAsiaTheme="minorEastAsia"/>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SO</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、NO</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、PM</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、PM</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2.5</w:t>
      </w:r>
      <w:r>
        <w:rPr>
          <w:rFonts w:hint="default" w:ascii="Times New Roman" w:hAnsi="Times New Roman" w:cs="Times New Roman"/>
          <w:color w:val="000000" w:themeColor="text1"/>
          <w:highlight w:val="none"/>
          <w:u w:val="none" w:color="auto"/>
          <w14:textFill>
            <w14:solidFill>
              <w14:schemeClr w14:val="tx1"/>
            </w14:solidFill>
          </w14:textFill>
        </w:rPr>
        <w:t>、CO、O</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执行《环境空气质量标准》（GB3095-2012）二级标准，NH</w:t>
      </w:r>
      <w:r>
        <w:rPr>
          <w:rFonts w:hint="default" w:ascii="Times New Roman" w:hAnsi="Times New Roman" w:cs="Times New Roman"/>
          <w:color w:val="000000" w:themeColor="text1"/>
          <w:sz w:val="16"/>
          <w:szCs w:val="16"/>
          <w:highlight w:val="none"/>
          <w:u w:val="none" w:color="auto"/>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 H</w:t>
      </w:r>
      <w:r>
        <w:rPr>
          <w:rFonts w:hint="default" w:ascii="Times New Roman" w:hAnsi="Times New Roman" w:cs="Times New Roman"/>
          <w:color w:val="000000" w:themeColor="text1"/>
          <w:sz w:val="16"/>
          <w:szCs w:val="16"/>
          <w:highlight w:val="none"/>
          <w:u w:val="none" w:color="auto"/>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S等特征污染物因子执行《环境影响评价导则 大气环境》（HJ2.2-2018）附录D推荐的标准值</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p>
    <w:p w14:paraId="79605973">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14:textFill>
            <w14:solidFill>
              <w14:schemeClr w14:val="tx1"/>
            </w14:solidFill>
          </w14:textFill>
        </w:rPr>
        <w:t>2.3</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14:textFill>
            <w14:solidFill>
              <w14:schemeClr w14:val="tx1"/>
            </w14:solidFill>
          </w14:textFill>
        </w:rPr>
        <w:t>1</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tab/>
      </w:r>
      <w:r>
        <w:rPr>
          <w:rFonts w:hint="default" w:ascii="Times New Roman" w:hAnsi="Times New Roman" w:cs="Times New Roman"/>
          <w:color w:val="000000" w:themeColor="text1"/>
          <w:highlight w:val="none"/>
          <w:u w:val="none" w:color="auto"/>
          <w14:textFill>
            <w14:solidFill>
              <w14:schemeClr w14:val="tx1"/>
            </w14:solidFill>
          </w14:textFill>
        </w:rPr>
        <w:t>环境空气质量标准值</w:t>
      </w:r>
    </w:p>
    <w:p w14:paraId="3C240078">
      <w:pPr>
        <w:kinsoku w:val="0"/>
        <w:overflowPunct w:val="0"/>
        <w:spacing w:before="5" w:line="40" w:lineRule="exact"/>
        <w:ind w:firstLine="80"/>
        <w:rPr>
          <w:rFonts w:hint="default" w:ascii="Times New Roman" w:hAnsi="Times New Roman" w:cs="Times New Roman" w:eastAsiaTheme="minorEastAsia"/>
          <w:color w:val="000000" w:themeColor="text1"/>
          <w:sz w:val="4"/>
          <w:szCs w:val="4"/>
          <w:highlight w:val="none"/>
          <w:u w:val="none" w:color="auto"/>
          <w14:textFill>
            <w14:solidFill>
              <w14:schemeClr w14:val="tx1"/>
            </w14:solidFill>
          </w14:textFill>
        </w:rPr>
      </w:pPr>
    </w:p>
    <w:tbl>
      <w:tblPr>
        <w:tblStyle w:val="76"/>
        <w:tblW w:w="9098" w:type="dxa"/>
        <w:jc w:val="center"/>
        <w:tblLayout w:type="fixed"/>
        <w:tblCellMar>
          <w:top w:w="0" w:type="dxa"/>
          <w:left w:w="0" w:type="dxa"/>
          <w:bottom w:w="0" w:type="dxa"/>
          <w:right w:w="0" w:type="dxa"/>
        </w:tblCellMar>
      </w:tblPr>
      <w:tblGrid>
        <w:gridCol w:w="998"/>
        <w:gridCol w:w="1719"/>
        <w:gridCol w:w="2852"/>
        <w:gridCol w:w="3529"/>
      </w:tblGrid>
      <w:tr w14:paraId="2A714193">
        <w:tblPrEx>
          <w:tblCellMar>
            <w:top w:w="0" w:type="dxa"/>
            <w:left w:w="0" w:type="dxa"/>
            <w:bottom w:w="0" w:type="dxa"/>
            <w:right w:w="0" w:type="dxa"/>
          </w:tblCellMar>
        </w:tblPrEx>
        <w:trPr>
          <w:trHeight w:val="377" w:hRule="atLeast"/>
          <w:jc w:val="center"/>
        </w:trPr>
        <w:tc>
          <w:tcPr>
            <w:tcW w:w="998" w:type="dxa"/>
            <w:tcBorders>
              <w:top w:val="single" w:color="000000" w:sz="12" w:space="0"/>
              <w:left w:val="single" w:color="000000" w:sz="12" w:space="0"/>
              <w:bottom w:val="single" w:color="000000" w:sz="6" w:space="0"/>
              <w:right w:val="single" w:color="000000" w:sz="6" w:space="0"/>
            </w:tcBorders>
            <w:vAlign w:val="center"/>
          </w:tcPr>
          <w:p w14:paraId="31AF3E13">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污染物</w:t>
            </w:r>
          </w:p>
        </w:tc>
        <w:tc>
          <w:tcPr>
            <w:tcW w:w="1719" w:type="dxa"/>
            <w:tcBorders>
              <w:top w:val="single" w:color="000000" w:sz="12" w:space="0"/>
              <w:left w:val="single" w:color="000000" w:sz="6" w:space="0"/>
              <w:bottom w:val="single" w:color="000000" w:sz="6" w:space="0"/>
              <w:right w:val="single" w:color="000000" w:sz="6" w:space="0"/>
            </w:tcBorders>
            <w:vAlign w:val="center"/>
          </w:tcPr>
          <w:p w14:paraId="28010C10">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取值</w:t>
            </w:r>
            <w:r>
              <w:rPr>
                <w:rFonts w:hint="default" w:ascii="Times New Roman" w:hAnsi="Times New Roman" w:cs="Times New Roman"/>
                <w:b/>
                <w:color w:val="000000" w:themeColor="text1"/>
                <w:spacing w:val="-3"/>
                <w:highlight w:val="none"/>
                <w:u w:val="none" w:color="auto"/>
                <w14:textFill>
                  <w14:solidFill>
                    <w14:schemeClr w14:val="tx1"/>
                  </w14:solidFill>
                </w14:textFill>
              </w:rPr>
              <w:t>时</w:t>
            </w:r>
            <w:r>
              <w:rPr>
                <w:rFonts w:hint="default" w:ascii="Times New Roman" w:hAnsi="Times New Roman" w:cs="Times New Roman"/>
                <w:b/>
                <w:color w:val="000000" w:themeColor="text1"/>
                <w:highlight w:val="none"/>
                <w:u w:val="none" w:color="auto"/>
                <w14:textFill>
                  <w14:solidFill>
                    <w14:schemeClr w14:val="tx1"/>
                  </w14:solidFill>
                </w14:textFill>
              </w:rPr>
              <w:t>间</w:t>
            </w:r>
          </w:p>
        </w:tc>
        <w:tc>
          <w:tcPr>
            <w:tcW w:w="2852" w:type="dxa"/>
            <w:tcBorders>
              <w:top w:val="single" w:color="000000" w:sz="12" w:space="0"/>
              <w:left w:val="single" w:color="000000" w:sz="6" w:space="0"/>
              <w:bottom w:val="single" w:color="000000" w:sz="6" w:space="0"/>
              <w:right w:val="single" w:color="000000" w:sz="6" w:space="0"/>
            </w:tcBorders>
            <w:vAlign w:val="center"/>
          </w:tcPr>
          <w:p w14:paraId="3BB64703">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二级</w:t>
            </w:r>
            <w:r>
              <w:rPr>
                <w:rFonts w:hint="default" w:ascii="Times New Roman" w:hAnsi="Times New Roman" w:cs="Times New Roman"/>
                <w:b/>
                <w:color w:val="000000" w:themeColor="text1"/>
                <w:spacing w:val="-3"/>
                <w:highlight w:val="none"/>
                <w:u w:val="none" w:color="auto"/>
                <w14:textFill>
                  <w14:solidFill>
                    <w14:schemeClr w14:val="tx1"/>
                  </w14:solidFill>
                </w14:textFill>
              </w:rPr>
              <w:t>标</w:t>
            </w:r>
            <w:r>
              <w:rPr>
                <w:rFonts w:hint="default" w:ascii="Times New Roman" w:hAnsi="Times New Roman" w:cs="Times New Roman"/>
                <w:b/>
                <w:color w:val="000000" w:themeColor="text1"/>
                <w:highlight w:val="none"/>
                <w:u w:val="none" w:color="auto"/>
                <w14:textFill>
                  <w14:solidFill>
                    <w14:schemeClr w14:val="tx1"/>
                  </w14:solidFill>
                </w14:textFill>
              </w:rPr>
              <w:t>准</w:t>
            </w:r>
            <w:r>
              <w:rPr>
                <w:rFonts w:hint="default" w:ascii="Times New Roman" w:hAnsi="Times New Roman" w:cs="Times New Roman"/>
                <w:b/>
                <w:color w:val="000000" w:themeColor="text1"/>
                <w:spacing w:val="-3"/>
                <w:highlight w:val="none"/>
                <w:u w:val="none" w:color="auto"/>
                <w14:textFill>
                  <w14:solidFill>
                    <w14:schemeClr w14:val="tx1"/>
                  </w14:solidFill>
                </w14:textFill>
              </w:rPr>
              <w:t>浓</w:t>
            </w:r>
            <w:r>
              <w:rPr>
                <w:rFonts w:hint="default" w:ascii="Times New Roman" w:hAnsi="Times New Roman" w:cs="Times New Roman"/>
                <w:b/>
                <w:color w:val="000000" w:themeColor="text1"/>
                <w:highlight w:val="none"/>
                <w:u w:val="none" w:color="auto"/>
                <w14:textFill>
                  <w14:solidFill>
                    <w14:schemeClr w14:val="tx1"/>
                  </w14:solidFill>
                </w14:textFill>
              </w:rPr>
              <w:t>度</w:t>
            </w:r>
            <w:r>
              <w:rPr>
                <w:rFonts w:hint="default" w:ascii="Times New Roman" w:hAnsi="Times New Roman" w:cs="Times New Roman"/>
                <w:b/>
                <w:color w:val="000000" w:themeColor="text1"/>
                <w:spacing w:val="-3"/>
                <w:highlight w:val="none"/>
                <w:u w:val="none" w:color="auto"/>
                <w14:textFill>
                  <w14:solidFill>
                    <w14:schemeClr w14:val="tx1"/>
                  </w14:solidFill>
                </w14:textFill>
              </w:rPr>
              <w:t>限</w:t>
            </w:r>
            <w:r>
              <w:rPr>
                <w:rFonts w:hint="default" w:ascii="Times New Roman" w:hAnsi="Times New Roman" w:cs="Times New Roman"/>
                <w:b/>
                <w:color w:val="000000" w:themeColor="text1"/>
                <w:highlight w:val="none"/>
                <w:u w:val="none" w:color="auto"/>
                <w14:textFill>
                  <w14:solidFill>
                    <w14:schemeClr w14:val="tx1"/>
                  </w14:solidFill>
                </w14:textFill>
              </w:rPr>
              <w:t>值</w:t>
            </w:r>
            <w:r>
              <w:rPr>
                <w:rFonts w:hint="default" w:ascii="Times New Roman" w:hAnsi="Times New Roman" w:cs="Times New Roman"/>
                <w:b/>
                <w:color w:val="000000" w:themeColor="text1"/>
                <w:spacing w:val="-1"/>
                <w:highlight w:val="none"/>
                <w:u w:val="none" w:color="auto"/>
                <w14:textFill>
                  <w14:solidFill>
                    <w14:schemeClr w14:val="tx1"/>
                  </w14:solidFill>
                </w14:textFill>
              </w:rPr>
              <w:t xml:space="preserve"> (</w:t>
            </w:r>
            <w:r>
              <w:rPr>
                <w:rFonts w:hint="default" w:ascii="Times New Roman" w:hAnsi="Times New Roman" w:cs="Times New Roman"/>
                <w:b/>
                <w:color w:val="000000" w:themeColor="text1"/>
                <w:highlight w:val="none"/>
                <w:u w:val="none" w:color="auto"/>
                <w14:textFill>
                  <w14:solidFill>
                    <w14:schemeClr w14:val="tx1"/>
                  </w14:solidFill>
                </w14:textFill>
              </w:rPr>
              <w:t>μg</w:t>
            </w:r>
            <w:r>
              <w:rPr>
                <w:rFonts w:hint="default" w:ascii="Times New Roman" w:hAnsi="Times New Roman" w:cs="Times New Roman"/>
                <w:b/>
                <w:color w:val="000000" w:themeColor="text1"/>
                <w:spacing w:val="-2"/>
                <w:highlight w:val="none"/>
                <w:u w:val="none" w:color="auto"/>
                <w14:textFill>
                  <w14:solidFill>
                    <w14:schemeClr w14:val="tx1"/>
                  </w14:solidFill>
                </w14:textFill>
              </w:rPr>
              <w:t>/</w:t>
            </w:r>
            <w:r>
              <w:rPr>
                <w:rFonts w:hint="default" w:ascii="Times New Roman" w:hAnsi="Times New Roman" w:cs="Times New Roman"/>
                <w:b/>
                <w:color w:val="000000" w:themeColor="text1"/>
                <w:spacing w:val="-4"/>
                <w:highlight w:val="none"/>
                <w:u w:val="none" w:color="auto"/>
                <w14:textFill>
                  <w14:solidFill>
                    <w14:schemeClr w14:val="tx1"/>
                  </w14:solidFill>
                </w14:textFill>
              </w:rPr>
              <w:t>m</w:t>
            </w:r>
            <w:r>
              <w:rPr>
                <w:rFonts w:hint="default" w:ascii="Times New Roman" w:hAnsi="Times New Roman" w:cs="Times New Roman"/>
                <w:b/>
                <w:color w:val="000000" w:themeColor="text1"/>
                <w:position w:val="10"/>
                <w:sz w:val="14"/>
                <w:szCs w:val="14"/>
                <w:highlight w:val="none"/>
                <w:u w:val="none" w:color="auto"/>
                <w14:textFill>
                  <w14:solidFill>
                    <w14:schemeClr w14:val="tx1"/>
                  </w14:solidFill>
                </w14:textFill>
              </w:rPr>
              <w:t>3</w:t>
            </w:r>
            <w:r>
              <w:rPr>
                <w:rFonts w:hint="default" w:ascii="Times New Roman" w:hAnsi="Times New Roman" w:cs="Times New Roman"/>
                <w:b/>
                <w:color w:val="000000" w:themeColor="text1"/>
                <w:highlight w:val="none"/>
                <w:u w:val="none" w:color="auto"/>
                <w14:textFill>
                  <w14:solidFill>
                    <w14:schemeClr w14:val="tx1"/>
                  </w14:solidFill>
                </w14:textFill>
              </w:rPr>
              <w:t>)</w:t>
            </w:r>
          </w:p>
        </w:tc>
        <w:tc>
          <w:tcPr>
            <w:tcW w:w="3529" w:type="dxa"/>
            <w:tcBorders>
              <w:top w:val="single" w:color="000000" w:sz="12" w:space="0"/>
              <w:left w:val="single" w:color="000000" w:sz="6" w:space="0"/>
              <w:bottom w:val="single" w:color="000000" w:sz="6" w:space="0"/>
              <w:right w:val="single" w:color="000000" w:sz="12" w:space="0"/>
            </w:tcBorders>
            <w:vAlign w:val="center"/>
          </w:tcPr>
          <w:p w14:paraId="5EC2B627">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依</w:t>
            </w:r>
            <w:r>
              <w:rPr>
                <w:rFonts w:hint="default" w:ascii="Times New Roman" w:hAnsi="Times New Roman" w:cs="Times New Roman"/>
                <w:b/>
                <w:color w:val="000000" w:themeColor="text1"/>
                <w:highlight w:val="none"/>
                <w:u w:val="none" w:color="auto"/>
                <w14:textFill>
                  <w14:solidFill>
                    <w14:schemeClr w14:val="tx1"/>
                  </w14:solidFill>
                </w14:textFill>
              </w:rPr>
              <w:tab/>
            </w:r>
            <w:r>
              <w:rPr>
                <w:rFonts w:hint="default" w:ascii="Times New Roman" w:hAnsi="Times New Roman" w:cs="Times New Roman"/>
                <w:b/>
                <w:color w:val="000000" w:themeColor="text1"/>
                <w:highlight w:val="none"/>
                <w:u w:val="none" w:color="auto"/>
                <w14:textFill>
                  <w14:solidFill>
                    <w14:schemeClr w14:val="tx1"/>
                  </w14:solidFill>
                </w14:textFill>
              </w:rPr>
              <w:t>据</w:t>
            </w:r>
          </w:p>
        </w:tc>
      </w:tr>
      <w:tr w14:paraId="4FAC4FFA">
        <w:tblPrEx>
          <w:tblCellMar>
            <w:top w:w="0" w:type="dxa"/>
            <w:left w:w="0" w:type="dxa"/>
            <w:bottom w:w="0" w:type="dxa"/>
            <w:right w:w="0" w:type="dxa"/>
          </w:tblCellMar>
        </w:tblPrEx>
        <w:trPr>
          <w:trHeight w:val="337" w:hRule="atLeast"/>
          <w:jc w:val="center"/>
        </w:trPr>
        <w:tc>
          <w:tcPr>
            <w:tcW w:w="998" w:type="dxa"/>
            <w:vMerge w:val="restart"/>
            <w:tcBorders>
              <w:top w:val="single" w:color="000000" w:sz="6" w:space="0"/>
              <w:left w:val="single" w:color="000000" w:sz="12" w:space="0"/>
              <w:bottom w:val="single" w:color="000000" w:sz="6" w:space="0"/>
              <w:right w:val="single" w:color="000000" w:sz="6" w:space="0"/>
            </w:tcBorders>
            <w:vAlign w:val="center"/>
          </w:tcPr>
          <w:p w14:paraId="1776101F">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S</w:t>
            </w:r>
            <w:r>
              <w:rPr>
                <w:rFonts w:hint="default" w:ascii="Times New Roman" w:hAnsi="Times New Roman" w:cs="Times New Roman"/>
                <w:color w:val="000000" w:themeColor="text1"/>
                <w:spacing w:val="1"/>
                <w:highlight w:val="none"/>
                <w:u w:val="none" w:color="auto"/>
                <w14:textFill>
                  <w14:solidFill>
                    <w14:schemeClr w14:val="tx1"/>
                  </w14:solidFill>
                </w14:textFill>
              </w:rPr>
              <w:t>O</w:t>
            </w:r>
            <w:r>
              <w:rPr>
                <w:rFonts w:hint="default" w:ascii="Times New Roman" w:hAnsi="Times New Roman" w:cs="Times New Roman"/>
                <w:color w:val="000000" w:themeColor="text1"/>
                <w:position w:val="-3"/>
                <w:sz w:val="16"/>
                <w:szCs w:val="16"/>
                <w:highlight w:val="none"/>
                <w:u w:val="none" w:color="auto"/>
                <w14:textFill>
                  <w14:solidFill>
                    <w14:schemeClr w14:val="tx1"/>
                  </w14:solidFill>
                </w14:textFill>
              </w:rPr>
              <w:t>2</w:t>
            </w:r>
          </w:p>
        </w:tc>
        <w:tc>
          <w:tcPr>
            <w:tcW w:w="1719" w:type="dxa"/>
            <w:tcBorders>
              <w:top w:val="single" w:color="000000" w:sz="6" w:space="0"/>
              <w:left w:val="single" w:color="000000" w:sz="6" w:space="0"/>
              <w:bottom w:val="single" w:color="000000" w:sz="6" w:space="0"/>
              <w:right w:val="single" w:color="000000" w:sz="6" w:space="0"/>
            </w:tcBorders>
            <w:vAlign w:val="center"/>
          </w:tcPr>
          <w:p w14:paraId="35287EC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年平均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4D13F4B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60</w:t>
            </w:r>
          </w:p>
        </w:tc>
        <w:tc>
          <w:tcPr>
            <w:tcW w:w="3529" w:type="dxa"/>
            <w:vMerge w:val="restart"/>
            <w:tcBorders>
              <w:top w:val="single" w:color="000000" w:sz="6" w:space="0"/>
              <w:left w:val="single" w:color="000000" w:sz="6" w:space="0"/>
              <w:right w:val="single" w:color="000000" w:sz="12" w:space="0"/>
            </w:tcBorders>
            <w:vAlign w:val="center"/>
          </w:tcPr>
          <w:p w14:paraId="520A3C03">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《环</w:t>
            </w:r>
            <w:r>
              <w:rPr>
                <w:rFonts w:hint="default" w:ascii="Times New Roman" w:hAnsi="Times New Roman" w:cs="Times New Roman"/>
                <w:color w:val="000000" w:themeColor="text1"/>
                <w:spacing w:val="-3"/>
                <w:highlight w:val="none"/>
                <w:u w:val="none" w:color="auto"/>
                <w14:textFill>
                  <w14:solidFill>
                    <w14:schemeClr w14:val="tx1"/>
                  </w14:solidFill>
                </w14:textFill>
              </w:rPr>
              <w:t>境</w:t>
            </w:r>
            <w:r>
              <w:rPr>
                <w:rFonts w:hint="default" w:ascii="Times New Roman" w:hAnsi="Times New Roman" w:cs="Times New Roman"/>
                <w:color w:val="000000" w:themeColor="text1"/>
                <w:highlight w:val="none"/>
                <w:u w:val="none" w:color="auto"/>
                <w14:textFill>
                  <w14:solidFill>
                    <w14:schemeClr w14:val="tx1"/>
                  </w14:solidFill>
                </w14:textFill>
              </w:rPr>
              <w:t>空</w:t>
            </w:r>
            <w:r>
              <w:rPr>
                <w:rFonts w:hint="default" w:ascii="Times New Roman" w:hAnsi="Times New Roman" w:cs="Times New Roman"/>
                <w:color w:val="000000" w:themeColor="text1"/>
                <w:spacing w:val="-3"/>
                <w:highlight w:val="none"/>
                <w:u w:val="none" w:color="auto"/>
                <w14:textFill>
                  <w14:solidFill>
                    <w14:schemeClr w14:val="tx1"/>
                  </w14:solidFill>
                </w14:textFill>
              </w:rPr>
              <w:t>气</w:t>
            </w:r>
            <w:r>
              <w:rPr>
                <w:rFonts w:hint="default" w:ascii="Times New Roman" w:hAnsi="Times New Roman" w:cs="Times New Roman"/>
                <w:color w:val="000000" w:themeColor="text1"/>
                <w:highlight w:val="none"/>
                <w:u w:val="none" w:color="auto"/>
                <w14:textFill>
                  <w14:solidFill>
                    <w14:schemeClr w14:val="tx1"/>
                  </w14:solidFill>
                </w14:textFill>
              </w:rPr>
              <w:t>质</w:t>
            </w:r>
            <w:r>
              <w:rPr>
                <w:rFonts w:hint="default" w:ascii="Times New Roman" w:hAnsi="Times New Roman" w:cs="Times New Roman"/>
                <w:color w:val="000000" w:themeColor="text1"/>
                <w:spacing w:val="-3"/>
                <w:highlight w:val="none"/>
                <w:u w:val="none" w:color="auto"/>
                <w14:textFill>
                  <w14:solidFill>
                    <w14:schemeClr w14:val="tx1"/>
                  </w14:solidFill>
                </w14:textFill>
              </w:rPr>
              <w:t>量</w:t>
            </w:r>
            <w:r>
              <w:rPr>
                <w:rFonts w:hint="default" w:ascii="Times New Roman" w:hAnsi="Times New Roman" w:cs="Times New Roman"/>
                <w:color w:val="000000" w:themeColor="text1"/>
                <w:highlight w:val="none"/>
                <w:u w:val="none" w:color="auto"/>
                <w14:textFill>
                  <w14:solidFill>
                    <w14:schemeClr w14:val="tx1"/>
                  </w14:solidFill>
                </w14:textFill>
              </w:rPr>
              <w:t>标</w:t>
            </w:r>
            <w:r>
              <w:rPr>
                <w:rFonts w:hint="default" w:ascii="Times New Roman" w:hAnsi="Times New Roman" w:cs="Times New Roman"/>
                <w:color w:val="000000" w:themeColor="text1"/>
                <w:spacing w:val="-3"/>
                <w:highlight w:val="none"/>
                <w:u w:val="none" w:color="auto"/>
                <w14:textFill>
                  <w14:solidFill>
                    <w14:schemeClr w14:val="tx1"/>
                  </w14:solidFill>
                </w14:textFill>
              </w:rPr>
              <w:t>准</w:t>
            </w:r>
            <w:r>
              <w:rPr>
                <w:rFonts w:hint="default" w:ascii="Times New Roman" w:hAnsi="Times New Roman" w:cs="Times New Roman"/>
                <w:color w:val="000000" w:themeColor="text1"/>
                <w:highlight w:val="none"/>
                <w:u w:val="none" w:color="auto"/>
                <w14:textFill>
                  <w14:solidFill>
                    <w14:schemeClr w14:val="tx1"/>
                  </w14:solidFill>
                </w14:textFill>
              </w:rPr>
              <w:t>》</w:t>
            </w:r>
          </w:p>
          <w:p w14:paraId="1B04ACF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spacing w:val="-2"/>
                <w:highlight w:val="none"/>
                <w:u w:val="none" w:color="auto"/>
                <w14:textFill>
                  <w14:solidFill>
                    <w14:schemeClr w14:val="tx1"/>
                  </w14:solidFill>
                </w14:textFill>
              </w:rPr>
              <w:t>G</w:t>
            </w:r>
            <w:r>
              <w:rPr>
                <w:rFonts w:hint="default" w:ascii="Times New Roman" w:hAnsi="Times New Roman" w:cs="Times New Roman"/>
                <w:color w:val="000000" w:themeColor="text1"/>
                <w:highlight w:val="none"/>
                <w:u w:val="none" w:color="auto"/>
                <w14:textFill>
                  <w14:solidFill>
                    <w14:schemeClr w14:val="tx1"/>
                  </w14:solidFill>
                </w14:textFill>
              </w:rPr>
              <w:t>B</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3095</w:t>
            </w:r>
            <w:r>
              <w:rPr>
                <w:rFonts w:hint="default" w:ascii="Times New Roman" w:hAnsi="Times New Roman" w:cs="Times New Roman"/>
                <w:color w:val="000000" w:themeColor="text1"/>
                <w:spacing w:val="-4"/>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2012）</w:t>
            </w:r>
          </w:p>
        </w:tc>
      </w:tr>
      <w:tr w14:paraId="1C0A17B5">
        <w:tblPrEx>
          <w:tblCellMar>
            <w:top w:w="0" w:type="dxa"/>
            <w:left w:w="0" w:type="dxa"/>
            <w:bottom w:w="0" w:type="dxa"/>
            <w:right w:w="0" w:type="dxa"/>
          </w:tblCellMar>
        </w:tblPrEx>
        <w:trPr>
          <w:trHeight w:val="337" w:hRule="atLeast"/>
          <w:jc w:val="center"/>
        </w:trPr>
        <w:tc>
          <w:tcPr>
            <w:tcW w:w="998" w:type="dxa"/>
            <w:vMerge w:val="continue"/>
            <w:tcBorders>
              <w:top w:val="single" w:color="000000" w:sz="6" w:space="0"/>
              <w:left w:val="single" w:color="000000" w:sz="12" w:space="0"/>
              <w:bottom w:val="single" w:color="000000" w:sz="6" w:space="0"/>
              <w:right w:val="single" w:color="000000" w:sz="6" w:space="0"/>
            </w:tcBorders>
            <w:vAlign w:val="center"/>
          </w:tcPr>
          <w:p w14:paraId="22791D05">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c>
          <w:tcPr>
            <w:tcW w:w="1719" w:type="dxa"/>
            <w:tcBorders>
              <w:top w:val="single" w:color="000000" w:sz="6" w:space="0"/>
              <w:left w:val="single" w:color="000000" w:sz="6" w:space="0"/>
              <w:bottom w:val="single" w:color="000000" w:sz="6" w:space="0"/>
              <w:right w:val="single" w:color="000000" w:sz="6" w:space="0"/>
            </w:tcBorders>
            <w:vAlign w:val="center"/>
          </w:tcPr>
          <w:p w14:paraId="02CFCE97">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日平均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01929FE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150</w:t>
            </w:r>
          </w:p>
        </w:tc>
        <w:tc>
          <w:tcPr>
            <w:tcW w:w="3529" w:type="dxa"/>
            <w:vMerge w:val="continue"/>
            <w:tcBorders>
              <w:left w:val="single" w:color="000000" w:sz="6" w:space="0"/>
              <w:right w:val="single" w:color="000000" w:sz="12" w:space="0"/>
            </w:tcBorders>
            <w:vAlign w:val="center"/>
          </w:tcPr>
          <w:p w14:paraId="52C796AC">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785B6B52">
        <w:tblPrEx>
          <w:tblCellMar>
            <w:top w:w="0" w:type="dxa"/>
            <w:left w:w="0" w:type="dxa"/>
            <w:bottom w:w="0" w:type="dxa"/>
            <w:right w:w="0" w:type="dxa"/>
          </w:tblCellMar>
        </w:tblPrEx>
        <w:trPr>
          <w:trHeight w:val="337" w:hRule="atLeast"/>
          <w:jc w:val="center"/>
        </w:trPr>
        <w:tc>
          <w:tcPr>
            <w:tcW w:w="998" w:type="dxa"/>
            <w:vMerge w:val="continue"/>
            <w:tcBorders>
              <w:top w:val="single" w:color="000000" w:sz="6" w:space="0"/>
              <w:left w:val="single" w:color="000000" w:sz="12" w:space="0"/>
              <w:bottom w:val="single" w:color="000000" w:sz="6" w:space="0"/>
              <w:right w:val="single" w:color="000000" w:sz="6" w:space="0"/>
            </w:tcBorders>
            <w:vAlign w:val="center"/>
          </w:tcPr>
          <w:p w14:paraId="6162D342">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c>
          <w:tcPr>
            <w:tcW w:w="1719" w:type="dxa"/>
            <w:tcBorders>
              <w:top w:val="single" w:color="000000" w:sz="6" w:space="0"/>
              <w:left w:val="single" w:color="000000" w:sz="6" w:space="0"/>
              <w:bottom w:val="single" w:color="000000" w:sz="6" w:space="0"/>
              <w:right w:val="single" w:color="000000" w:sz="6" w:space="0"/>
            </w:tcBorders>
            <w:vAlign w:val="center"/>
          </w:tcPr>
          <w:p w14:paraId="095D7A1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 小</w:t>
            </w:r>
            <w:r>
              <w:rPr>
                <w:rFonts w:hint="default" w:ascii="Times New Roman" w:hAnsi="Times New Roman" w:cs="Times New Roman"/>
                <w:color w:val="000000" w:themeColor="text1"/>
                <w:spacing w:val="-3"/>
                <w:highlight w:val="none"/>
                <w:u w:val="none" w:color="auto"/>
                <w14:textFill>
                  <w14:solidFill>
                    <w14:schemeClr w14:val="tx1"/>
                  </w14:solidFill>
                </w14:textFill>
              </w:rPr>
              <w:t>时</w:t>
            </w:r>
            <w:r>
              <w:rPr>
                <w:rFonts w:hint="default" w:ascii="Times New Roman" w:hAnsi="Times New Roman" w:cs="Times New Roman"/>
                <w:color w:val="000000" w:themeColor="text1"/>
                <w:highlight w:val="none"/>
                <w:u w:val="none" w:color="auto"/>
                <w14:textFill>
                  <w14:solidFill>
                    <w14:schemeClr w14:val="tx1"/>
                  </w14:solidFill>
                </w14:textFill>
              </w:rPr>
              <w:t>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211DFAA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500</w:t>
            </w:r>
          </w:p>
        </w:tc>
        <w:tc>
          <w:tcPr>
            <w:tcW w:w="3529" w:type="dxa"/>
            <w:vMerge w:val="continue"/>
            <w:tcBorders>
              <w:left w:val="single" w:color="000000" w:sz="6" w:space="0"/>
              <w:right w:val="single" w:color="000000" w:sz="12" w:space="0"/>
            </w:tcBorders>
            <w:vAlign w:val="center"/>
          </w:tcPr>
          <w:p w14:paraId="4C95C3FF">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6C973719">
        <w:tblPrEx>
          <w:tblCellMar>
            <w:top w:w="0" w:type="dxa"/>
            <w:left w:w="0" w:type="dxa"/>
            <w:bottom w:w="0" w:type="dxa"/>
            <w:right w:w="0" w:type="dxa"/>
          </w:tblCellMar>
        </w:tblPrEx>
        <w:trPr>
          <w:trHeight w:val="337" w:hRule="atLeast"/>
          <w:jc w:val="center"/>
        </w:trPr>
        <w:tc>
          <w:tcPr>
            <w:tcW w:w="998" w:type="dxa"/>
            <w:vMerge w:val="restart"/>
            <w:tcBorders>
              <w:top w:val="single" w:color="000000" w:sz="6" w:space="0"/>
              <w:left w:val="single" w:color="000000" w:sz="12" w:space="0"/>
              <w:bottom w:val="single" w:color="000000" w:sz="6" w:space="0"/>
              <w:right w:val="single" w:color="000000" w:sz="6" w:space="0"/>
            </w:tcBorders>
            <w:vAlign w:val="center"/>
          </w:tcPr>
          <w:p w14:paraId="5ED73A1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pacing w:val="-2"/>
                <w:highlight w:val="none"/>
                <w:u w:val="none" w:color="auto"/>
                <w14:textFill>
                  <w14:solidFill>
                    <w14:schemeClr w14:val="tx1"/>
                  </w14:solidFill>
                </w14:textFill>
              </w:rPr>
              <w:t>N</w:t>
            </w:r>
            <w:r>
              <w:rPr>
                <w:rFonts w:hint="default" w:ascii="Times New Roman" w:hAnsi="Times New Roman" w:cs="Times New Roman"/>
                <w:color w:val="000000" w:themeColor="text1"/>
                <w:spacing w:val="1"/>
                <w:highlight w:val="none"/>
                <w:u w:val="none" w:color="auto"/>
                <w14:textFill>
                  <w14:solidFill>
                    <w14:schemeClr w14:val="tx1"/>
                  </w14:solidFill>
                </w14:textFill>
              </w:rPr>
              <w:t>O</w:t>
            </w:r>
            <w:r>
              <w:rPr>
                <w:rFonts w:hint="default" w:ascii="Times New Roman" w:hAnsi="Times New Roman" w:cs="Times New Roman"/>
                <w:color w:val="000000" w:themeColor="text1"/>
                <w:position w:val="-3"/>
                <w:sz w:val="16"/>
                <w:szCs w:val="16"/>
                <w:highlight w:val="none"/>
                <w:u w:val="none" w:color="auto"/>
                <w14:textFill>
                  <w14:solidFill>
                    <w14:schemeClr w14:val="tx1"/>
                  </w14:solidFill>
                </w14:textFill>
              </w:rPr>
              <w:t>2</w:t>
            </w:r>
          </w:p>
        </w:tc>
        <w:tc>
          <w:tcPr>
            <w:tcW w:w="1719" w:type="dxa"/>
            <w:tcBorders>
              <w:top w:val="single" w:color="000000" w:sz="6" w:space="0"/>
              <w:left w:val="single" w:color="000000" w:sz="6" w:space="0"/>
              <w:bottom w:val="single" w:color="000000" w:sz="6" w:space="0"/>
              <w:right w:val="single" w:color="000000" w:sz="6" w:space="0"/>
            </w:tcBorders>
            <w:vAlign w:val="center"/>
          </w:tcPr>
          <w:p w14:paraId="17DFF4B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年平均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5B407353">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40</w:t>
            </w:r>
          </w:p>
        </w:tc>
        <w:tc>
          <w:tcPr>
            <w:tcW w:w="3529" w:type="dxa"/>
            <w:vMerge w:val="continue"/>
            <w:tcBorders>
              <w:left w:val="single" w:color="000000" w:sz="6" w:space="0"/>
              <w:right w:val="single" w:color="000000" w:sz="12" w:space="0"/>
            </w:tcBorders>
            <w:vAlign w:val="center"/>
          </w:tcPr>
          <w:p w14:paraId="6BA1DAB4">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74704584">
        <w:tblPrEx>
          <w:tblCellMar>
            <w:top w:w="0" w:type="dxa"/>
            <w:left w:w="0" w:type="dxa"/>
            <w:bottom w:w="0" w:type="dxa"/>
            <w:right w:w="0" w:type="dxa"/>
          </w:tblCellMar>
        </w:tblPrEx>
        <w:trPr>
          <w:trHeight w:val="337" w:hRule="atLeast"/>
          <w:jc w:val="center"/>
        </w:trPr>
        <w:tc>
          <w:tcPr>
            <w:tcW w:w="998" w:type="dxa"/>
            <w:vMerge w:val="continue"/>
            <w:tcBorders>
              <w:top w:val="single" w:color="000000" w:sz="6" w:space="0"/>
              <w:left w:val="single" w:color="000000" w:sz="12" w:space="0"/>
              <w:bottom w:val="single" w:color="000000" w:sz="6" w:space="0"/>
              <w:right w:val="single" w:color="000000" w:sz="6" w:space="0"/>
            </w:tcBorders>
            <w:vAlign w:val="center"/>
          </w:tcPr>
          <w:p w14:paraId="454CF54A">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c>
          <w:tcPr>
            <w:tcW w:w="1719" w:type="dxa"/>
            <w:tcBorders>
              <w:top w:val="single" w:color="000000" w:sz="6" w:space="0"/>
              <w:left w:val="single" w:color="000000" w:sz="6" w:space="0"/>
              <w:bottom w:val="single" w:color="000000" w:sz="6" w:space="0"/>
              <w:right w:val="single" w:color="000000" w:sz="6" w:space="0"/>
            </w:tcBorders>
            <w:vAlign w:val="center"/>
          </w:tcPr>
          <w:p w14:paraId="19F02D6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日平均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23F8BEB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80</w:t>
            </w:r>
          </w:p>
        </w:tc>
        <w:tc>
          <w:tcPr>
            <w:tcW w:w="3529" w:type="dxa"/>
            <w:vMerge w:val="continue"/>
            <w:tcBorders>
              <w:left w:val="single" w:color="000000" w:sz="6" w:space="0"/>
              <w:right w:val="single" w:color="000000" w:sz="12" w:space="0"/>
            </w:tcBorders>
            <w:vAlign w:val="center"/>
          </w:tcPr>
          <w:p w14:paraId="735166E4">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5CDDA152">
        <w:tblPrEx>
          <w:tblCellMar>
            <w:top w:w="0" w:type="dxa"/>
            <w:left w:w="0" w:type="dxa"/>
            <w:bottom w:w="0" w:type="dxa"/>
            <w:right w:w="0" w:type="dxa"/>
          </w:tblCellMar>
        </w:tblPrEx>
        <w:trPr>
          <w:trHeight w:val="337" w:hRule="atLeast"/>
          <w:jc w:val="center"/>
        </w:trPr>
        <w:tc>
          <w:tcPr>
            <w:tcW w:w="998" w:type="dxa"/>
            <w:vMerge w:val="continue"/>
            <w:tcBorders>
              <w:top w:val="single" w:color="000000" w:sz="6" w:space="0"/>
              <w:left w:val="single" w:color="000000" w:sz="12" w:space="0"/>
              <w:bottom w:val="single" w:color="000000" w:sz="6" w:space="0"/>
              <w:right w:val="single" w:color="000000" w:sz="6" w:space="0"/>
            </w:tcBorders>
            <w:vAlign w:val="center"/>
          </w:tcPr>
          <w:p w14:paraId="0370E3D7">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c>
          <w:tcPr>
            <w:tcW w:w="1719" w:type="dxa"/>
            <w:tcBorders>
              <w:top w:val="single" w:color="000000" w:sz="6" w:space="0"/>
              <w:left w:val="single" w:color="000000" w:sz="6" w:space="0"/>
              <w:bottom w:val="single" w:color="000000" w:sz="6" w:space="0"/>
              <w:right w:val="single" w:color="000000" w:sz="6" w:space="0"/>
            </w:tcBorders>
            <w:vAlign w:val="center"/>
          </w:tcPr>
          <w:p w14:paraId="24D8970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 小</w:t>
            </w:r>
            <w:r>
              <w:rPr>
                <w:rFonts w:hint="default" w:ascii="Times New Roman" w:hAnsi="Times New Roman" w:cs="Times New Roman"/>
                <w:color w:val="000000" w:themeColor="text1"/>
                <w:spacing w:val="-3"/>
                <w:highlight w:val="none"/>
                <w:u w:val="none" w:color="auto"/>
                <w14:textFill>
                  <w14:solidFill>
                    <w14:schemeClr w14:val="tx1"/>
                  </w14:solidFill>
                </w14:textFill>
              </w:rPr>
              <w:t>时</w:t>
            </w:r>
            <w:r>
              <w:rPr>
                <w:rFonts w:hint="default" w:ascii="Times New Roman" w:hAnsi="Times New Roman" w:cs="Times New Roman"/>
                <w:color w:val="000000" w:themeColor="text1"/>
                <w:highlight w:val="none"/>
                <w:u w:val="none" w:color="auto"/>
                <w14:textFill>
                  <w14:solidFill>
                    <w14:schemeClr w14:val="tx1"/>
                  </w14:solidFill>
                </w14:textFill>
              </w:rPr>
              <w:t>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45EED41F">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200</w:t>
            </w:r>
          </w:p>
        </w:tc>
        <w:tc>
          <w:tcPr>
            <w:tcW w:w="3529" w:type="dxa"/>
            <w:vMerge w:val="continue"/>
            <w:tcBorders>
              <w:left w:val="single" w:color="000000" w:sz="6" w:space="0"/>
              <w:right w:val="single" w:color="000000" w:sz="12" w:space="0"/>
            </w:tcBorders>
            <w:vAlign w:val="center"/>
          </w:tcPr>
          <w:p w14:paraId="5B4B7A70">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5F2A8310">
        <w:tblPrEx>
          <w:tblCellMar>
            <w:top w:w="0" w:type="dxa"/>
            <w:left w:w="0" w:type="dxa"/>
            <w:bottom w:w="0" w:type="dxa"/>
            <w:right w:w="0" w:type="dxa"/>
          </w:tblCellMar>
        </w:tblPrEx>
        <w:trPr>
          <w:trHeight w:val="337" w:hRule="atLeast"/>
          <w:jc w:val="center"/>
        </w:trPr>
        <w:tc>
          <w:tcPr>
            <w:tcW w:w="998" w:type="dxa"/>
            <w:vMerge w:val="restart"/>
            <w:tcBorders>
              <w:top w:val="single" w:color="000000" w:sz="6" w:space="0"/>
              <w:left w:val="single" w:color="000000" w:sz="12" w:space="0"/>
              <w:bottom w:val="single" w:color="000000" w:sz="6" w:space="0"/>
              <w:right w:val="single" w:color="000000" w:sz="6" w:space="0"/>
            </w:tcBorders>
            <w:vAlign w:val="center"/>
          </w:tcPr>
          <w:p w14:paraId="3DF91803">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P</w:t>
            </w:r>
            <w:r>
              <w:rPr>
                <w:rFonts w:hint="default" w:ascii="Times New Roman" w:hAnsi="Times New Roman" w:cs="Times New Roman"/>
                <w:color w:val="000000" w:themeColor="text1"/>
                <w:spacing w:val="-1"/>
                <w:highlight w:val="none"/>
                <w:u w:val="none" w:color="auto"/>
                <w14:textFill>
                  <w14:solidFill>
                    <w14:schemeClr w14:val="tx1"/>
                  </w14:solidFill>
                </w14:textFill>
              </w:rPr>
              <w:t>M</w:t>
            </w:r>
            <w:r>
              <w:rPr>
                <w:rFonts w:hint="default" w:ascii="Times New Roman" w:hAnsi="Times New Roman" w:cs="Times New Roman"/>
                <w:color w:val="000000" w:themeColor="text1"/>
                <w:position w:val="-3"/>
                <w:sz w:val="16"/>
                <w:szCs w:val="16"/>
                <w:highlight w:val="none"/>
                <w:u w:val="none" w:color="auto"/>
                <w14:textFill>
                  <w14:solidFill>
                    <w14:schemeClr w14:val="tx1"/>
                  </w14:solidFill>
                </w14:textFill>
              </w:rPr>
              <w:t>10</w:t>
            </w:r>
          </w:p>
        </w:tc>
        <w:tc>
          <w:tcPr>
            <w:tcW w:w="1719" w:type="dxa"/>
            <w:tcBorders>
              <w:top w:val="single" w:color="000000" w:sz="6" w:space="0"/>
              <w:left w:val="single" w:color="000000" w:sz="6" w:space="0"/>
              <w:bottom w:val="single" w:color="000000" w:sz="6" w:space="0"/>
              <w:right w:val="single" w:color="000000" w:sz="6" w:space="0"/>
            </w:tcBorders>
            <w:vAlign w:val="center"/>
          </w:tcPr>
          <w:p w14:paraId="20DB2B9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年平均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45410A2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70</w:t>
            </w:r>
          </w:p>
        </w:tc>
        <w:tc>
          <w:tcPr>
            <w:tcW w:w="3529" w:type="dxa"/>
            <w:vMerge w:val="continue"/>
            <w:tcBorders>
              <w:left w:val="single" w:color="000000" w:sz="6" w:space="0"/>
              <w:right w:val="single" w:color="000000" w:sz="12" w:space="0"/>
            </w:tcBorders>
            <w:vAlign w:val="center"/>
          </w:tcPr>
          <w:p w14:paraId="1C4F360B">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0A565775">
        <w:tblPrEx>
          <w:tblCellMar>
            <w:top w:w="0" w:type="dxa"/>
            <w:left w:w="0" w:type="dxa"/>
            <w:bottom w:w="0" w:type="dxa"/>
            <w:right w:w="0" w:type="dxa"/>
          </w:tblCellMar>
        </w:tblPrEx>
        <w:trPr>
          <w:trHeight w:val="337" w:hRule="atLeast"/>
          <w:jc w:val="center"/>
        </w:trPr>
        <w:tc>
          <w:tcPr>
            <w:tcW w:w="998" w:type="dxa"/>
            <w:vMerge w:val="continue"/>
            <w:tcBorders>
              <w:top w:val="single" w:color="000000" w:sz="6" w:space="0"/>
              <w:left w:val="single" w:color="000000" w:sz="12" w:space="0"/>
              <w:bottom w:val="single" w:color="000000" w:sz="6" w:space="0"/>
              <w:right w:val="single" w:color="000000" w:sz="6" w:space="0"/>
            </w:tcBorders>
            <w:vAlign w:val="center"/>
          </w:tcPr>
          <w:p w14:paraId="16B0AB3C">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c>
          <w:tcPr>
            <w:tcW w:w="1719" w:type="dxa"/>
            <w:tcBorders>
              <w:top w:val="single" w:color="000000" w:sz="6" w:space="0"/>
              <w:left w:val="single" w:color="000000" w:sz="6" w:space="0"/>
              <w:bottom w:val="single" w:color="000000" w:sz="6" w:space="0"/>
              <w:right w:val="single" w:color="000000" w:sz="6" w:space="0"/>
            </w:tcBorders>
            <w:vAlign w:val="center"/>
          </w:tcPr>
          <w:p w14:paraId="5CEFE34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日平均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35E24F5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150</w:t>
            </w:r>
          </w:p>
        </w:tc>
        <w:tc>
          <w:tcPr>
            <w:tcW w:w="3529" w:type="dxa"/>
            <w:vMerge w:val="continue"/>
            <w:tcBorders>
              <w:left w:val="single" w:color="000000" w:sz="6" w:space="0"/>
              <w:right w:val="single" w:color="000000" w:sz="12" w:space="0"/>
            </w:tcBorders>
            <w:vAlign w:val="center"/>
          </w:tcPr>
          <w:p w14:paraId="35B44DEB">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257F8836">
        <w:tblPrEx>
          <w:tblCellMar>
            <w:top w:w="0" w:type="dxa"/>
            <w:left w:w="0" w:type="dxa"/>
            <w:bottom w:w="0" w:type="dxa"/>
            <w:right w:w="0" w:type="dxa"/>
          </w:tblCellMar>
        </w:tblPrEx>
        <w:trPr>
          <w:trHeight w:val="337" w:hRule="atLeast"/>
          <w:jc w:val="center"/>
        </w:trPr>
        <w:tc>
          <w:tcPr>
            <w:tcW w:w="998" w:type="dxa"/>
            <w:vMerge w:val="restart"/>
            <w:tcBorders>
              <w:top w:val="single" w:color="000000" w:sz="6" w:space="0"/>
              <w:left w:val="single" w:color="000000" w:sz="12" w:space="0"/>
              <w:right w:val="single" w:color="000000" w:sz="6" w:space="0"/>
            </w:tcBorders>
            <w:vAlign w:val="center"/>
          </w:tcPr>
          <w:p w14:paraId="6C217B52">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P</w:t>
            </w:r>
            <w:r>
              <w:rPr>
                <w:rFonts w:hint="default" w:ascii="Times New Roman" w:hAnsi="Times New Roman" w:cs="Times New Roman"/>
                <w:color w:val="000000" w:themeColor="text1"/>
                <w:spacing w:val="-1"/>
                <w:highlight w:val="none"/>
                <w:u w:val="none" w:color="auto"/>
                <w14:textFill>
                  <w14:solidFill>
                    <w14:schemeClr w14:val="tx1"/>
                  </w14:solidFill>
                </w14:textFill>
              </w:rPr>
              <w:t>M</w:t>
            </w:r>
            <w:r>
              <w:rPr>
                <w:rFonts w:hint="default" w:ascii="Times New Roman" w:hAnsi="Times New Roman" w:cs="Times New Roman"/>
                <w:color w:val="000000" w:themeColor="text1"/>
                <w:position w:val="-3"/>
                <w:sz w:val="16"/>
                <w:szCs w:val="16"/>
                <w:highlight w:val="none"/>
                <w:u w:val="none" w:color="auto"/>
                <w14:textFill>
                  <w14:solidFill>
                    <w14:schemeClr w14:val="tx1"/>
                  </w14:solidFill>
                </w14:textFill>
              </w:rPr>
              <w:t>2.5</w:t>
            </w:r>
          </w:p>
        </w:tc>
        <w:tc>
          <w:tcPr>
            <w:tcW w:w="1719" w:type="dxa"/>
            <w:tcBorders>
              <w:top w:val="single" w:color="000000" w:sz="6" w:space="0"/>
              <w:left w:val="single" w:color="000000" w:sz="6" w:space="0"/>
              <w:bottom w:val="single" w:color="000000" w:sz="6" w:space="0"/>
              <w:right w:val="single" w:color="000000" w:sz="6" w:space="0"/>
            </w:tcBorders>
            <w:vAlign w:val="center"/>
          </w:tcPr>
          <w:p w14:paraId="72A9B27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年平均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52A41A7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35</w:t>
            </w:r>
          </w:p>
        </w:tc>
        <w:tc>
          <w:tcPr>
            <w:tcW w:w="3529" w:type="dxa"/>
            <w:vMerge w:val="continue"/>
            <w:tcBorders>
              <w:left w:val="single" w:color="000000" w:sz="6" w:space="0"/>
              <w:right w:val="single" w:color="000000" w:sz="12" w:space="0"/>
            </w:tcBorders>
            <w:vAlign w:val="center"/>
          </w:tcPr>
          <w:p w14:paraId="45622B81">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4E075D14">
        <w:tblPrEx>
          <w:tblCellMar>
            <w:top w:w="0" w:type="dxa"/>
            <w:left w:w="0" w:type="dxa"/>
            <w:bottom w:w="0" w:type="dxa"/>
            <w:right w:w="0" w:type="dxa"/>
          </w:tblCellMar>
        </w:tblPrEx>
        <w:trPr>
          <w:trHeight w:val="337" w:hRule="atLeast"/>
          <w:jc w:val="center"/>
        </w:trPr>
        <w:tc>
          <w:tcPr>
            <w:tcW w:w="998" w:type="dxa"/>
            <w:vMerge w:val="continue"/>
            <w:tcBorders>
              <w:left w:val="single" w:color="000000" w:sz="12" w:space="0"/>
              <w:bottom w:val="single" w:color="000000" w:sz="6" w:space="0"/>
              <w:right w:val="single" w:color="000000" w:sz="6" w:space="0"/>
            </w:tcBorders>
            <w:vAlign w:val="center"/>
          </w:tcPr>
          <w:p w14:paraId="34E7331D">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c>
          <w:tcPr>
            <w:tcW w:w="1719" w:type="dxa"/>
            <w:tcBorders>
              <w:top w:val="single" w:color="000000" w:sz="6" w:space="0"/>
              <w:left w:val="single" w:color="000000" w:sz="6" w:space="0"/>
              <w:bottom w:val="single" w:color="000000" w:sz="6" w:space="0"/>
              <w:right w:val="single" w:color="000000" w:sz="6" w:space="0"/>
            </w:tcBorders>
            <w:vAlign w:val="center"/>
          </w:tcPr>
          <w:p w14:paraId="19167960">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日平均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6EE5EF0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75</w:t>
            </w:r>
          </w:p>
        </w:tc>
        <w:tc>
          <w:tcPr>
            <w:tcW w:w="3529" w:type="dxa"/>
            <w:vMerge w:val="continue"/>
            <w:tcBorders>
              <w:left w:val="single" w:color="000000" w:sz="6" w:space="0"/>
              <w:right w:val="single" w:color="000000" w:sz="12" w:space="0"/>
            </w:tcBorders>
            <w:vAlign w:val="center"/>
          </w:tcPr>
          <w:p w14:paraId="1571DC5F">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2BA26503">
        <w:tblPrEx>
          <w:tblCellMar>
            <w:top w:w="0" w:type="dxa"/>
            <w:left w:w="0" w:type="dxa"/>
            <w:bottom w:w="0" w:type="dxa"/>
            <w:right w:w="0" w:type="dxa"/>
          </w:tblCellMar>
        </w:tblPrEx>
        <w:trPr>
          <w:trHeight w:val="337" w:hRule="atLeast"/>
          <w:jc w:val="center"/>
        </w:trPr>
        <w:tc>
          <w:tcPr>
            <w:tcW w:w="998" w:type="dxa"/>
            <w:vMerge w:val="restart"/>
            <w:tcBorders>
              <w:top w:val="single" w:color="000000" w:sz="6" w:space="0"/>
              <w:left w:val="single" w:color="000000" w:sz="12" w:space="0"/>
              <w:right w:val="single" w:color="000000" w:sz="6" w:space="0"/>
            </w:tcBorders>
            <w:vAlign w:val="center"/>
          </w:tcPr>
          <w:p w14:paraId="6249902C">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CO</w:t>
            </w:r>
          </w:p>
        </w:tc>
        <w:tc>
          <w:tcPr>
            <w:tcW w:w="1719" w:type="dxa"/>
            <w:tcBorders>
              <w:top w:val="single" w:color="000000" w:sz="6" w:space="0"/>
              <w:left w:val="single" w:color="000000" w:sz="6" w:space="0"/>
              <w:bottom w:val="single" w:color="000000" w:sz="6" w:space="0"/>
              <w:right w:val="single" w:color="000000" w:sz="6" w:space="0"/>
            </w:tcBorders>
            <w:vAlign w:val="center"/>
          </w:tcPr>
          <w:p w14:paraId="0FFC173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日平均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0BAF274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4 mg/m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p>
        </w:tc>
        <w:tc>
          <w:tcPr>
            <w:tcW w:w="3529" w:type="dxa"/>
            <w:vMerge w:val="continue"/>
            <w:tcBorders>
              <w:left w:val="single" w:color="000000" w:sz="6" w:space="0"/>
              <w:right w:val="single" w:color="000000" w:sz="12" w:space="0"/>
            </w:tcBorders>
            <w:vAlign w:val="center"/>
          </w:tcPr>
          <w:p w14:paraId="6E9F9193">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0B808CCC">
        <w:tblPrEx>
          <w:tblCellMar>
            <w:top w:w="0" w:type="dxa"/>
            <w:left w:w="0" w:type="dxa"/>
            <w:bottom w:w="0" w:type="dxa"/>
            <w:right w:w="0" w:type="dxa"/>
          </w:tblCellMar>
        </w:tblPrEx>
        <w:trPr>
          <w:trHeight w:val="337" w:hRule="atLeast"/>
          <w:jc w:val="center"/>
        </w:trPr>
        <w:tc>
          <w:tcPr>
            <w:tcW w:w="998" w:type="dxa"/>
            <w:vMerge w:val="continue"/>
            <w:tcBorders>
              <w:left w:val="single" w:color="000000" w:sz="12" w:space="0"/>
              <w:bottom w:val="single" w:color="000000" w:sz="6" w:space="0"/>
              <w:right w:val="single" w:color="000000" w:sz="6" w:space="0"/>
            </w:tcBorders>
            <w:vAlign w:val="center"/>
          </w:tcPr>
          <w:p w14:paraId="6958D732">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c>
          <w:tcPr>
            <w:tcW w:w="1719" w:type="dxa"/>
            <w:tcBorders>
              <w:top w:val="single" w:color="000000" w:sz="6" w:space="0"/>
              <w:left w:val="single" w:color="000000" w:sz="6" w:space="0"/>
              <w:bottom w:val="single" w:color="000000" w:sz="6" w:space="0"/>
              <w:right w:val="single" w:color="000000" w:sz="6" w:space="0"/>
            </w:tcBorders>
            <w:vAlign w:val="center"/>
          </w:tcPr>
          <w:p w14:paraId="2EF4B54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 小</w:t>
            </w:r>
            <w:r>
              <w:rPr>
                <w:rFonts w:hint="default" w:ascii="Times New Roman" w:hAnsi="Times New Roman" w:cs="Times New Roman"/>
                <w:color w:val="000000" w:themeColor="text1"/>
                <w:spacing w:val="-3"/>
                <w:highlight w:val="none"/>
                <w:u w:val="none" w:color="auto"/>
                <w14:textFill>
                  <w14:solidFill>
                    <w14:schemeClr w14:val="tx1"/>
                  </w14:solidFill>
                </w14:textFill>
              </w:rPr>
              <w:t>时</w:t>
            </w:r>
            <w:r>
              <w:rPr>
                <w:rFonts w:hint="default" w:ascii="Times New Roman" w:hAnsi="Times New Roman" w:cs="Times New Roman"/>
                <w:color w:val="000000" w:themeColor="text1"/>
                <w:highlight w:val="none"/>
                <w:u w:val="none" w:color="auto"/>
                <w14:textFill>
                  <w14:solidFill>
                    <w14:schemeClr w14:val="tx1"/>
                  </w14:solidFill>
                </w14:textFill>
              </w:rPr>
              <w:t>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0EFCF6E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10 mg/m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p>
        </w:tc>
        <w:tc>
          <w:tcPr>
            <w:tcW w:w="3529" w:type="dxa"/>
            <w:vMerge w:val="continue"/>
            <w:tcBorders>
              <w:left w:val="single" w:color="000000" w:sz="6" w:space="0"/>
              <w:right w:val="single" w:color="000000" w:sz="12" w:space="0"/>
            </w:tcBorders>
            <w:vAlign w:val="center"/>
          </w:tcPr>
          <w:p w14:paraId="71C068FB">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66AB9EDE">
        <w:tblPrEx>
          <w:tblCellMar>
            <w:top w:w="0" w:type="dxa"/>
            <w:left w:w="0" w:type="dxa"/>
            <w:bottom w:w="0" w:type="dxa"/>
            <w:right w:w="0" w:type="dxa"/>
          </w:tblCellMar>
        </w:tblPrEx>
        <w:trPr>
          <w:trHeight w:val="337" w:hRule="atLeast"/>
          <w:jc w:val="center"/>
        </w:trPr>
        <w:tc>
          <w:tcPr>
            <w:tcW w:w="998" w:type="dxa"/>
            <w:vMerge w:val="restart"/>
            <w:tcBorders>
              <w:top w:val="single" w:color="000000" w:sz="6" w:space="0"/>
              <w:left w:val="single" w:color="000000" w:sz="12" w:space="0"/>
              <w:right w:val="single" w:color="000000" w:sz="6" w:space="0"/>
            </w:tcBorders>
            <w:vAlign w:val="center"/>
          </w:tcPr>
          <w:p w14:paraId="0E5D23CC">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z w:val="24"/>
                <w:szCs w:val="24"/>
                <w:highlight w:val="none"/>
                <w:u w:val="none" w:color="auto"/>
                <w14:textFill>
                  <w14:solidFill>
                    <w14:schemeClr w14:val="tx1"/>
                  </w14:solidFill>
                </w14:textFill>
              </w:rPr>
              <w:t>O</w:t>
            </w:r>
            <w:r>
              <w:rPr>
                <w:rFonts w:hint="default" w:ascii="Times New Roman" w:hAnsi="Times New Roman" w:cs="Times New Roman"/>
                <w:color w:val="000000" w:themeColor="text1"/>
                <w:sz w:val="16"/>
                <w:szCs w:val="16"/>
                <w:highlight w:val="none"/>
                <w:u w:val="none" w:color="auto"/>
                <w14:textFill>
                  <w14:solidFill>
                    <w14:schemeClr w14:val="tx1"/>
                  </w14:solidFill>
                </w14:textFill>
              </w:rPr>
              <w:t>3</w:t>
            </w:r>
          </w:p>
        </w:tc>
        <w:tc>
          <w:tcPr>
            <w:tcW w:w="1719" w:type="dxa"/>
            <w:tcBorders>
              <w:top w:val="single" w:color="000000" w:sz="6" w:space="0"/>
              <w:left w:val="single" w:color="000000" w:sz="6" w:space="0"/>
              <w:bottom w:val="single" w:color="000000" w:sz="6" w:space="0"/>
              <w:right w:val="single" w:color="000000" w:sz="6" w:space="0"/>
            </w:tcBorders>
            <w:vAlign w:val="center"/>
          </w:tcPr>
          <w:p w14:paraId="7DCAF9C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 小</w:t>
            </w:r>
            <w:r>
              <w:rPr>
                <w:rFonts w:hint="default" w:ascii="Times New Roman" w:hAnsi="Times New Roman" w:cs="Times New Roman"/>
                <w:color w:val="000000" w:themeColor="text1"/>
                <w:spacing w:val="-3"/>
                <w:highlight w:val="none"/>
                <w:u w:val="none" w:color="auto"/>
                <w14:textFill>
                  <w14:solidFill>
                    <w14:schemeClr w14:val="tx1"/>
                  </w14:solidFill>
                </w14:textFill>
              </w:rPr>
              <w:t>时</w:t>
            </w:r>
            <w:r>
              <w:rPr>
                <w:rFonts w:hint="default" w:ascii="Times New Roman" w:hAnsi="Times New Roman" w:cs="Times New Roman"/>
                <w:color w:val="000000" w:themeColor="text1"/>
                <w:highlight w:val="none"/>
                <w:u w:val="none" w:color="auto"/>
                <w14:textFill>
                  <w14:solidFill>
                    <w14:schemeClr w14:val="tx1"/>
                  </w14:solidFill>
                </w14:textFill>
              </w:rPr>
              <w:t>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1CBB593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160</w:t>
            </w:r>
          </w:p>
        </w:tc>
        <w:tc>
          <w:tcPr>
            <w:tcW w:w="3529" w:type="dxa"/>
            <w:vMerge w:val="continue"/>
            <w:tcBorders>
              <w:left w:val="single" w:color="000000" w:sz="6" w:space="0"/>
              <w:right w:val="single" w:color="000000" w:sz="12" w:space="0"/>
            </w:tcBorders>
            <w:vAlign w:val="center"/>
          </w:tcPr>
          <w:p w14:paraId="50FAAB36">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54E0ADA7">
        <w:tblPrEx>
          <w:tblCellMar>
            <w:top w:w="0" w:type="dxa"/>
            <w:left w:w="0" w:type="dxa"/>
            <w:bottom w:w="0" w:type="dxa"/>
            <w:right w:w="0" w:type="dxa"/>
          </w:tblCellMar>
        </w:tblPrEx>
        <w:trPr>
          <w:trHeight w:val="337" w:hRule="atLeast"/>
          <w:jc w:val="center"/>
        </w:trPr>
        <w:tc>
          <w:tcPr>
            <w:tcW w:w="998" w:type="dxa"/>
            <w:vMerge w:val="continue"/>
            <w:tcBorders>
              <w:left w:val="single" w:color="000000" w:sz="12" w:space="0"/>
              <w:bottom w:val="single" w:color="000000" w:sz="6" w:space="0"/>
              <w:right w:val="single" w:color="000000" w:sz="6" w:space="0"/>
            </w:tcBorders>
            <w:vAlign w:val="center"/>
          </w:tcPr>
          <w:p w14:paraId="1323F1B0">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c>
          <w:tcPr>
            <w:tcW w:w="1719" w:type="dxa"/>
            <w:tcBorders>
              <w:top w:val="single" w:color="000000" w:sz="6" w:space="0"/>
              <w:left w:val="single" w:color="000000" w:sz="6" w:space="0"/>
              <w:bottom w:val="single" w:color="000000" w:sz="6" w:space="0"/>
              <w:right w:val="single" w:color="000000" w:sz="6" w:space="0"/>
            </w:tcBorders>
            <w:vAlign w:val="center"/>
          </w:tcPr>
          <w:p w14:paraId="2A49720F">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 小</w:t>
            </w:r>
            <w:r>
              <w:rPr>
                <w:rFonts w:hint="default" w:ascii="Times New Roman" w:hAnsi="Times New Roman" w:cs="Times New Roman"/>
                <w:color w:val="000000" w:themeColor="text1"/>
                <w:spacing w:val="-3"/>
                <w:highlight w:val="none"/>
                <w:u w:val="none" w:color="auto"/>
                <w14:textFill>
                  <w14:solidFill>
                    <w14:schemeClr w14:val="tx1"/>
                  </w14:solidFill>
                </w14:textFill>
              </w:rPr>
              <w:t>时</w:t>
            </w:r>
            <w:r>
              <w:rPr>
                <w:rFonts w:hint="default" w:ascii="Times New Roman" w:hAnsi="Times New Roman" w:cs="Times New Roman"/>
                <w:color w:val="000000" w:themeColor="text1"/>
                <w:highlight w:val="none"/>
                <w:u w:val="none" w:color="auto"/>
                <w14:textFill>
                  <w14:solidFill>
                    <w14:schemeClr w14:val="tx1"/>
                  </w14:solidFill>
                </w14:textFill>
              </w:rPr>
              <w:t>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35278CF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200</w:t>
            </w:r>
          </w:p>
        </w:tc>
        <w:tc>
          <w:tcPr>
            <w:tcW w:w="3529" w:type="dxa"/>
            <w:vMerge w:val="continue"/>
            <w:tcBorders>
              <w:left w:val="single" w:color="000000" w:sz="6" w:space="0"/>
              <w:bottom w:val="single" w:color="000000" w:sz="6" w:space="0"/>
              <w:right w:val="single" w:color="000000" w:sz="12" w:space="0"/>
            </w:tcBorders>
            <w:vAlign w:val="center"/>
          </w:tcPr>
          <w:p w14:paraId="291BF6C2">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r w14:paraId="230DEB58">
        <w:tblPrEx>
          <w:tblCellMar>
            <w:top w:w="0" w:type="dxa"/>
            <w:left w:w="0" w:type="dxa"/>
            <w:bottom w:w="0" w:type="dxa"/>
            <w:right w:w="0" w:type="dxa"/>
          </w:tblCellMar>
        </w:tblPrEx>
        <w:trPr>
          <w:trHeight w:val="341" w:hRule="atLeast"/>
          <w:jc w:val="center"/>
        </w:trPr>
        <w:tc>
          <w:tcPr>
            <w:tcW w:w="998" w:type="dxa"/>
            <w:tcBorders>
              <w:top w:val="single" w:color="000000" w:sz="6" w:space="0"/>
              <w:left w:val="single" w:color="000000" w:sz="12" w:space="0"/>
              <w:bottom w:val="single" w:color="000000" w:sz="6" w:space="0"/>
              <w:right w:val="single" w:color="000000" w:sz="6" w:space="0"/>
            </w:tcBorders>
            <w:vAlign w:val="center"/>
          </w:tcPr>
          <w:p w14:paraId="49A3DB8F">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pacing w:val="-2"/>
                <w:highlight w:val="none"/>
                <w:u w:val="none" w:color="auto"/>
                <w14:textFill>
                  <w14:solidFill>
                    <w14:schemeClr w14:val="tx1"/>
                  </w14:solidFill>
                </w14:textFill>
              </w:rPr>
              <w:t>N</w:t>
            </w:r>
            <w:r>
              <w:rPr>
                <w:rFonts w:hint="default" w:ascii="Times New Roman" w:hAnsi="Times New Roman" w:cs="Times New Roman"/>
                <w:color w:val="000000" w:themeColor="text1"/>
                <w:spacing w:val="1"/>
                <w:highlight w:val="none"/>
                <w:u w:val="none" w:color="auto"/>
                <w14:textFill>
                  <w14:solidFill>
                    <w14:schemeClr w14:val="tx1"/>
                  </w14:solidFill>
                </w14:textFill>
              </w:rPr>
              <w:t>H</w:t>
            </w:r>
            <w:r>
              <w:rPr>
                <w:rFonts w:hint="default" w:ascii="Times New Roman" w:hAnsi="Times New Roman" w:cs="Times New Roman"/>
                <w:color w:val="000000" w:themeColor="text1"/>
                <w:position w:val="-3"/>
                <w:sz w:val="16"/>
                <w:szCs w:val="16"/>
                <w:highlight w:val="none"/>
                <w:u w:val="none" w:color="auto"/>
                <w14:textFill>
                  <w14:solidFill>
                    <w14:schemeClr w14:val="tx1"/>
                  </w14:solidFill>
                </w14:textFill>
              </w:rPr>
              <w:t>3</w:t>
            </w:r>
          </w:p>
        </w:tc>
        <w:tc>
          <w:tcPr>
            <w:tcW w:w="1719" w:type="dxa"/>
            <w:tcBorders>
              <w:top w:val="single" w:color="000000" w:sz="6" w:space="0"/>
              <w:left w:val="single" w:color="000000" w:sz="6" w:space="0"/>
              <w:bottom w:val="single" w:color="000000" w:sz="6" w:space="0"/>
              <w:right w:val="single" w:color="000000" w:sz="6" w:space="0"/>
            </w:tcBorders>
            <w:vAlign w:val="center"/>
          </w:tcPr>
          <w:p w14:paraId="35F2D27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1h </w:t>
            </w:r>
            <w:r>
              <w:rPr>
                <w:rFonts w:hint="default" w:ascii="Times New Roman" w:hAnsi="Times New Roman" w:cs="Times New Roman"/>
                <w:color w:val="000000" w:themeColor="text1"/>
                <w:spacing w:val="-3"/>
                <w:highlight w:val="none"/>
                <w:u w:val="none" w:color="auto"/>
                <w14:textFill>
                  <w14:solidFill>
                    <w14:schemeClr w14:val="tx1"/>
                  </w14:solidFill>
                </w14:textFill>
              </w:rPr>
              <w:t>平均</w:t>
            </w:r>
          </w:p>
        </w:tc>
        <w:tc>
          <w:tcPr>
            <w:tcW w:w="2852" w:type="dxa"/>
            <w:tcBorders>
              <w:top w:val="single" w:color="000000" w:sz="6" w:space="0"/>
              <w:left w:val="single" w:color="000000" w:sz="6" w:space="0"/>
              <w:bottom w:val="single" w:color="000000" w:sz="6" w:space="0"/>
              <w:right w:val="single" w:color="000000" w:sz="6" w:space="0"/>
            </w:tcBorders>
            <w:vAlign w:val="center"/>
          </w:tcPr>
          <w:p w14:paraId="670CA69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0.20</w:t>
            </w:r>
            <w:r>
              <w:rPr>
                <w:rFonts w:hint="default" w:ascii="Times New Roman" w:hAnsi="Times New Roman" w:cs="Times New Roman"/>
                <w:color w:val="000000" w:themeColor="text1"/>
                <w:spacing w:val="-4"/>
                <w:highlight w:val="none"/>
                <w:u w:val="none" w:color="auto"/>
                <w14:textFill>
                  <w14:solidFill>
                    <w14:schemeClr w14:val="tx1"/>
                  </w14:solidFill>
                </w14:textFill>
              </w:rPr>
              <w:t>m</w:t>
            </w:r>
            <w:r>
              <w:rPr>
                <w:rFonts w:hint="default" w:ascii="Times New Roman" w:hAnsi="Times New Roman" w:cs="Times New Roman"/>
                <w:color w:val="000000" w:themeColor="text1"/>
                <w:highlight w:val="none"/>
                <w:u w:val="none" w:color="auto"/>
                <w14:textFill>
                  <w14:solidFill>
                    <w14:schemeClr w14:val="tx1"/>
                  </w14:solidFill>
                </w14:textFill>
              </w:rPr>
              <w:t>g</w:t>
            </w:r>
            <w:r>
              <w:rPr>
                <w:rFonts w:hint="default" w:ascii="Times New Roman" w:hAnsi="Times New Roman" w:cs="Times New Roman"/>
                <w:color w:val="000000" w:themeColor="text1"/>
                <w:spacing w:val="-2"/>
                <w:highlight w:val="none"/>
                <w:u w:val="none" w:color="auto"/>
                <w14:textFill>
                  <w14:solidFill>
                    <w14:schemeClr w14:val="tx1"/>
                  </w14:solidFill>
                </w14:textFill>
              </w:rPr>
              <w:t>/</w:t>
            </w:r>
            <w:r>
              <w:rPr>
                <w:rFonts w:hint="default" w:ascii="Times New Roman" w:hAnsi="Times New Roman" w:cs="Times New Roman"/>
                <w:color w:val="000000" w:themeColor="text1"/>
                <w:spacing w:val="-1"/>
                <w:highlight w:val="none"/>
                <w:u w:val="none" w:color="auto"/>
                <w14:textFill>
                  <w14:solidFill>
                    <w14:schemeClr w14:val="tx1"/>
                  </w14:solidFill>
                </w14:textFill>
              </w:rPr>
              <w:t>m</w:t>
            </w:r>
            <w:r>
              <w:rPr>
                <w:rFonts w:hint="default" w:ascii="Times New Roman" w:hAnsi="Times New Roman" w:cs="Times New Roman"/>
                <w:color w:val="000000" w:themeColor="text1"/>
                <w:position w:val="10"/>
                <w:sz w:val="14"/>
                <w:szCs w:val="14"/>
                <w:highlight w:val="none"/>
                <w:u w:val="none" w:color="auto"/>
                <w14:textFill>
                  <w14:solidFill>
                    <w14:schemeClr w14:val="tx1"/>
                  </w14:solidFill>
                </w14:textFill>
              </w:rPr>
              <w:t>3</w:t>
            </w:r>
          </w:p>
        </w:tc>
        <w:tc>
          <w:tcPr>
            <w:tcW w:w="3529" w:type="dxa"/>
            <w:vMerge w:val="restart"/>
            <w:tcBorders>
              <w:top w:val="single" w:color="000000" w:sz="6" w:space="0"/>
              <w:left w:val="single" w:color="000000" w:sz="6" w:space="0"/>
              <w:bottom w:val="single" w:color="000000" w:sz="12" w:space="0"/>
              <w:right w:val="single" w:color="000000" w:sz="12" w:space="0"/>
            </w:tcBorders>
            <w:vAlign w:val="center"/>
          </w:tcPr>
          <w:p w14:paraId="59A598D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《环境影响评价导则 大气环境》（HJ2.2-2018）附录D推荐标准值</w:t>
            </w:r>
          </w:p>
        </w:tc>
      </w:tr>
      <w:tr w14:paraId="2DB79B8D">
        <w:tblPrEx>
          <w:tblCellMar>
            <w:top w:w="0" w:type="dxa"/>
            <w:left w:w="0" w:type="dxa"/>
            <w:bottom w:w="0" w:type="dxa"/>
            <w:right w:w="0" w:type="dxa"/>
          </w:tblCellMar>
        </w:tblPrEx>
        <w:trPr>
          <w:trHeight w:val="394" w:hRule="atLeast"/>
          <w:jc w:val="center"/>
        </w:trPr>
        <w:tc>
          <w:tcPr>
            <w:tcW w:w="998" w:type="dxa"/>
            <w:tcBorders>
              <w:top w:val="single" w:color="000000" w:sz="6" w:space="0"/>
              <w:left w:val="single" w:color="000000" w:sz="12" w:space="0"/>
              <w:bottom w:val="single" w:color="000000" w:sz="12" w:space="0"/>
              <w:right w:val="single" w:color="000000" w:sz="6" w:space="0"/>
            </w:tcBorders>
            <w:vAlign w:val="center"/>
          </w:tcPr>
          <w:p w14:paraId="54F2380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pacing w:val="1"/>
                <w:highlight w:val="none"/>
                <w:u w:val="none" w:color="auto"/>
                <w14:textFill>
                  <w14:solidFill>
                    <w14:schemeClr w14:val="tx1"/>
                  </w14:solidFill>
                </w14:textFill>
              </w:rPr>
              <w:t>H</w:t>
            </w:r>
            <w:r>
              <w:rPr>
                <w:rFonts w:hint="default" w:ascii="Times New Roman" w:hAnsi="Times New Roman" w:cs="Times New Roman"/>
                <w:color w:val="000000" w:themeColor="text1"/>
                <w:position w:val="-3"/>
                <w:sz w:val="16"/>
                <w:szCs w:val="16"/>
                <w:highlight w:val="none"/>
                <w:u w:val="none" w:color="auto"/>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S</w:t>
            </w:r>
          </w:p>
        </w:tc>
        <w:tc>
          <w:tcPr>
            <w:tcW w:w="1719" w:type="dxa"/>
            <w:tcBorders>
              <w:top w:val="single" w:color="000000" w:sz="6" w:space="0"/>
              <w:left w:val="single" w:color="000000" w:sz="6" w:space="0"/>
              <w:bottom w:val="single" w:color="000000" w:sz="12" w:space="0"/>
              <w:right w:val="single" w:color="000000" w:sz="6" w:space="0"/>
            </w:tcBorders>
            <w:vAlign w:val="center"/>
          </w:tcPr>
          <w:p w14:paraId="21B2C553">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1h </w:t>
            </w:r>
            <w:r>
              <w:rPr>
                <w:rFonts w:hint="default" w:ascii="Times New Roman" w:hAnsi="Times New Roman" w:cs="Times New Roman"/>
                <w:color w:val="000000" w:themeColor="text1"/>
                <w:spacing w:val="-3"/>
                <w:highlight w:val="none"/>
                <w:u w:val="none" w:color="auto"/>
                <w14:textFill>
                  <w14:solidFill>
                    <w14:schemeClr w14:val="tx1"/>
                  </w14:solidFill>
                </w14:textFill>
              </w:rPr>
              <w:t>平均</w:t>
            </w:r>
          </w:p>
        </w:tc>
        <w:tc>
          <w:tcPr>
            <w:tcW w:w="2852" w:type="dxa"/>
            <w:tcBorders>
              <w:top w:val="single" w:color="000000" w:sz="6" w:space="0"/>
              <w:left w:val="single" w:color="000000" w:sz="6" w:space="0"/>
              <w:bottom w:val="single" w:color="000000" w:sz="12" w:space="0"/>
              <w:right w:val="single" w:color="000000" w:sz="6" w:space="0"/>
            </w:tcBorders>
            <w:vAlign w:val="center"/>
          </w:tcPr>
          <w:p w14:paraId="0181EAF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0.01</w:t>
            </w:r>
            <w:r>
              <w:rPr>
                <w:rFonts w:hint="default" w:ascii="Times New Roman" w:hAnsi="Times New Roman" w:cs="Times New Roman"/>
                <w:color w:val="000000" w:themeColor="text1"/>
                <w:spacing w:val="-4"/>
                <w:highlight w:val="none"/>
                <w:u w:val="none" w:color="auto"/>
                <w14:textFill>
                  <w14:solidFill>
                    <w14:schemeClr w14:val="tx1"/>
                  </w14:solidFill>
                </w14:textFill>
              </w:rPr>
              <w:t>m</w:t>
            </w:r>
            <w:r>
              <w:rPr>
                <w:rFonts w:hint="default" w:ascii="Times New Roman" w:hAnsi="Times New Roman" w:cs="Times New Roman"/>
                <w:color w:val="000000" w:themeColor="text1"/>
                <w:highlight w:val="none"/>
                <w:u w:val="none" w:color="auto"/>
                <w14:textFill>
                  <w14:solidFill>
                    <w14:schemeClr w14:val="tx1"/>
                  </w14:solidFill>
                </w14:textFill>
              </w:rPr>
              <w:t>g</w:t>
            </w:r>
            <w:r>
              <w:rPr>
                <w:rFonts w:hint="default" w:ascii="Times New Roman" w:hAnsi="Times New Roman" w:cs="Times New Roman"/>
                <w:color w:val="000000" w:themeColor="text1"/>
                <w:spacing w:val="-2"/>
                <w:highlight w:val="none"/>
                <w:u w:val="none" w:color="auto"/>
                <w14:textFill>
                  <w14:solidFill>
                    <w14:schemeClr w14:val="tx1"/>
                  </w14:solidFill>
                </w14:textFill>
              </w:rPr>
              <w:t>/</w:t>
            </w:r>
            <w:r>
              <w:rPr>
                <w:rFonts w:hint="default" w:ascii="Times New Roman" w:hAnsi="Times New Roman" w:cs="Times New Roman"/>
                <w:color w:val="000000" w:themeColor="text1"/>
                <w:spacing w:val="-1"/>
                <w:highlight w:val="none"/>
                <w:u w:val="none" w:color="auto"/>
                <w14:textFill>
                  <w14:solidFill>
                    <w14:schemeClr w14:val="tx1"/>
                  </w14:solidFill>
                </w14:textFill>
              </w:rPr>
              <w:t>m</w:t>
            </w:r>
            <w:r>
              <w:rPr>
                <w:rFonts w:hint="default" w:ascii="Times New Roman" w:hAnsi="Times New Roman" w:cs="Times New Roman"/>
                <w:color w:val="000000" w:themeColor="text1"/>
                <w:position w:val="10"/>
                <w:sz w:val="14"/>
                <w:szCs w:val="14"/>
                <w:highlight w:val="none"/>
                <w:u w:val="none" w:color="auto"/>
                <w14:textFill>
                  <w14:solidFill>
                    <w14:schemeClr w14:val="tx1"/>
                  </w14:solidFill>
                </w14:textFill>
              </w:rPr>
              <w:t>3</w:t>
            </w:r>
          </w:p>
        </w:tc>
        <w:tc>
          <w:tcPr>
            <w:tcW w:w="3529" w:type="dxa"/>
            <w:vMerge w:val="continue"/>
            <w:tcBorders>
              <w:top w:val="single" w:color="000000" w:sz="6" w:space="0"/>
              <w:left w:val="single" w:color="000000" w:sz="6" w:space="0"/>
              <w:bottom w:val="single" w:color="000000" w:sz="12" w:space="0"/>
              <w:right w:val="single" w:color="000000" w:sz="12" w:space="0"/>
            </w:tcBorders>
            <w:vAlign w:val="center"/>
          </w:tcPr>
          <w:p w14:paraId="5A95285F">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none" w:color="auto"/>
                <w14:textFill>
                  <w14:solidFill>
                    <w14:schemeClr w14:val="tx1"/>
                  </w14:solidFill>
                </w14:textFill>
              </w:rPr>
            </w:pPr>
          </w:p>
        </w:tc>
      </w:tr>
    </w:tbl>
    <w:p w14:paraId="2C9F4EFE">
      <w:pPr>
        <w:pStyle w:val="381"/>
        <w:numPr>
          <w:ilvl w:val="3"/>
          <w:numId w:val="0"/>
        </w:numPr>
        <w:ind w:leftChars="0" w:firstLine="490" w:firstLineChars="20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pacing w:val="2"/>
          <w:highlight w:val="none"/>
          <w:u w:val="none" w:color="auto"/>
          <w:lang w:val="en-US" w:eastAsia="zh-CN"/>
          <w14:textFill>
            <w14:solidFill>
              <w14:schemeClr w14:val="tx1"/>
            </w14:solidFill>
          </w14:textFill>
        </w:rPr>
        <w:t xml:space="preserve">2.3.1.2 </w:t>
      </w:r>
      <w:r>
        <w:rPr>
          <w:rFonts w:hint="default" w:ascii="Times New Roman" w:hAnsi="Times New Roman" w:cs="Times New Roman"/>
          <w:color w:val="000000" w:themeColor="text1"/>
          <w:spacing w:val="2"/>
          <w:highlight w:val="none"/>
          <w:u w:val="none" w:color="auto"/>
          <w14:textFill>
            <w14:solidFill>
              <w14:schemeClr w14:val="tx1"/>
            </w14:solidFill>
          </w14:textFill>
        </w:rPr>
        <w:t>地</w:t>
      </w:r>
      <w:r>
        <w:rPr>
          <w:rFonts w:hint="default" w:ascii="Times New Roman" w:hAnsi="Times New Roman" w:cs="Times New Roman"/>
          <w:color w:val="000000" w:themeColor="text1"/>
          <w:highlight w:val="none"/>
          <w:u w:val="none" w:color="auto"/>
          <w14:textFill>
            <w14:solidFill>
              <w14:schemeClr w14:val="tx1"/>
            </w14:solidFill>
          </w14:textFill>
        </w:rPr>
        <w:t>表</w:t>
      </w:r>
      <w:r>
        <w:rPr>
          <w:rFonts w:hint="default" w:ascii="Times New Roman" w:hAnsi="Times New Roman" w:cs="Times New Roman"/>
          <w:color w:val="000000" w:themeColor="text1"/>
          <w:spacing w:val="2"/>
          <w:highlight w:val="none"/>
          <w:u w:val="none" w:color="auto"/>
          <w14:textFill>
            <w14:solidFill>
              <w14:schemeClr w14:val="tx1"/>
            </w14:solidFill>
          </w14:textFill>
        </w:rPr>
        <w:t>水</w:t>
      </w:r>
      <w:r>
        <w:rPr>
          <w:rFonts w:hint="default" w:ascii="Times New Roman" w:hAnsi="Times New Roman" w:cs="Times New Roman"/>
          <w:color w:val="000000" w:themeColor="text1"/>
          <w:highlight w:val="none"/>
          <w:u w:val="none" w:color="auto"/>
          <w14:textFill>
            <w14:solidFill>
              <w14:schemeClr w14:val="tx1"/>
            </w14:solidFill>
          </w14:textFill>
        </w:rPr>
        <w:t>环境</w:t>
      </w:r>
    </w:p>
    <w:p w14:paraId="11340BF2">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评价范围内机排二十渠执行《地表水环境质量标准》（GB3838-2002）中</w:t>
      </w:r>
      <w:r>
        <w:rPr>
          <w:rFonts w:hint="eastAsia" w:ascii="Times New Roman" w:hAnsi="Times New Roman" w:cs="Times New Roman"/>
          <w:color w:val="000000" w:themeColor="text1"/>
          <w:highlight w:val="none"/>
          <w:u w:val="wave" w:color="auto"/>
          <w14:textFill>
            <w14:solidFill>
              <w14:schemeClr w14:val="tx1"/>
            </w14:solidFill>
          </w14:textFill>
        </w:rPr>
        <w:t>Ⅳ</w:t>
      </w:r>
      <w:r>
        <w:rPr>
          <w:rFonts w:hint="default" w:ascii="Times New Roman" w:hAnsi="Times New Roman" w:cs="Times New Roman"/>
          <w:color w:val="000000" w:themeColor="text1"/>
          <w:highlight w:val="none"/>
          <w:u w:val="wave" w:color="auto"/>
          <w14:textFill>
            <w14:solidFill>
              <w14:schemeClr w14:val="tx1"/>
            </w14:solidFill>
          </w14:textFill>
        </w:rPr>
        <w:t>类标准</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老三运河</w:t>
      </w:r>
      <w:r>
        <w:rPr>
          <w:rFonts w:hint="default" w:ascii="Times New Roman" w:hAnsi="Times New Roman" w:cs="Times New Roman"/>
          <w:color w:val="000000" w:themeColor="text1"/>
          <w:highlight w:val="none"/>
          <w:u w:val="none" w:color="auto"/>
          <w:lang w:eastAsia="zh-CN"/>
          <w14:textFill>
            <w14:solidFill>
              <w14:schemeClr w14:val="tx1"/>
            </w14:solidFill>
          </w14:textFill>
        </w:rPr>
        <w:t>水质</w:t>
      </w:r>
      <w:r>
        <w:rPr>
          <w:rFonts w:hint="default" w:ascii="Times New Roman" w:hAnsi="Times New Roman" w:cs="Times New Roman"/>
          <w:color w:val="000000" w:themeColor="text1"/>
          <w:highlight w:val="none"/>
          <w:u w:val="none" w:color="auto"/>
          <w14:textFill>
            <w14:solidFill>
              <w14:schemeClr w14:val="tx1"/>
            </w14:solidFill>
          </w14:textFill>
        </w:rPr>
        <w:t>执行《地表水环境质量标准》（GB3838-2002）中</w:t>
      </w:r>
      <w:r>
        <w:rPr>
          <w:rFonts w:hint="default" w:ascii="Times New Roman" w:hAnsi="Times New Roman" w:cs="Times New Roman"/>
          <w:color w:val="000000" w:themeColor="text1"/>
          <w:highlight w:val="none"/>
          <w14:textFill>
            <w14:solidFill>
              <w14:schemeClr w14:val="tx1"/>
            </w14:solidFill>
          </w14:textFill>
        </w:rPr>
        <w:t>Ⅲ</w:t>
      </w:r>
      <w:r>
        <w:rPr>
          <w:rFonts w:hint="default" w:ascii="Times New Roman" w:hAnsi="Times New Roman" w:cs="Times New Roman"/>
          <w:color w:val="000000" w:themeColor="text1"/>
          <w:highlight w:val="none"/>
          <w:u w:val="none" w:color="auto"/>
          <w14:textFill>
            <w14:solidFill>
              <w14:schemeClr w14:val="tx1"/>
            </w14:solidFill>
          </w14:textFill>
        </w:rPr>
        <w:t>类标准，具体如下表所示。</w:t>
      </w:r>
    </w:p>
    <w:p w14:paraId="0238BA04">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14:textFill>
            <w14:solidFill>
              <w14:schemeClr w14:val="tx1"/>
            </w14:solidFill>
          </w14:textFill>
        </w:rPr>
        <w:t>2.3</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tab/>
      </w:r>
      <w:r>
        <w:rPr>
          <w:rFonts w:hint="default" w:ascii="Times New Roman" w:hAnsi="Times New Roman" w:cs="Times New Roman"/>
          <w:color w:val="000000" w:themeColor="text1"/>
          <w:highlight w:val="none"/>
          <w:u w:val="none" w:color="auto"/>
          <w14:textFill>
            <w14:solidFill>
              <w14:schemeClr w14:val="tx1"/>
            </w14:solidFill>
          </w14:textFill>
        </w:rPr>
        <w:t>评价河段地表水环境质量标准</w:t>
      </w:r>
    </w:p>
    <w:p w14:paraId="4986543F">
      <w:pPr>
        <w:kinsoku w:val="0"/>
        <w:overflowPunct w:val="0"/>
        <w:spacing w:before="7" w:line="40" w:lineRule="exact"/>
        <w:ind w:firstLine="80"/>
        <w:rPr>
          <w:rFonts w:hint="default" w:ascii="Times New Roman" w:hAnsi="Times New Roman" w:cs="Times New Roman" w:eastAsiaTheme="minorEastAsia"/>
          <w:color w:val="000000" w:themeColor="text1"/>
          <w:sz w:val="4"/>
          <w:szCs w:val="4"/>
          <w:highlight w:val="none"/>
          <w:u w:val="none" w:color="auto"/>
          <w14:textFill>
            <w14:solidFill>
              <w14:schemeClr w14:val="tx1"/>
            </w14:solidFill>
          </w14:textFill>
        </w:rPr>
      </w:pPr>
    </w:p>
    <w:tbl>
      <w:tblPr>
        <w:tblStyle w:val="76"/>
        <w:tblW w:w="490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393"/>
        <w:gridCol w:w="3120"/>
        <w:gridCol w:w="2296"/>
        <w:gridCol w:w="2113"/>
      </w:tblGrid>
      <w:tr w14:paraId="0E2ED5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1" w:hRule="atLeast"/>
          <w:jc w:val="center"/>
        </w:trPr>
        <w:tc>
          <w:tcPr>
            <w:tcW w:w="1389" w:type="dxa"/>
            <w:vAlign w:val="center"/>
          </w:tcPr>
          <w:p w14:paraId="08046455">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序号</w:t>
            </w:r>
          </w:p>
        </w:tc>
        <w:tc>
          <w:tcPr>
            <w:tcW w:w="3110" w:type="dxa"/>
            <w:vAlign w:val="center"/>
          </w:tcPr>
          <w:p w14:paraId="75561DF8">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参数</w:t>
            </w:r>
          </w:p>
        </w:tc>
        <w:tc>
          <w:tcPr>
            <w:tcW w:w="2289" w:type="dxa"/>
            <w:vAlign w:val="center"/>
          </w:tcPr>
          <w:p w14:paraId="20E82450">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（GB3838-2002）</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Ⅳ</w:t>
            </w:r>
            <w:r>
              <w:rPr>
                <w:rFonts w:hint="default" w:ascii="Times New Roman" w:hAnsi="Times New Roman" w:cs="Times New Roman"/>
                <w:color w:val="000000" w:themeColor="text1"/>
                <w:highlight w:val="none"/>
                <w:u w:val="wave" w:color="auto"/>
                <w14:textFill>
                  <w14:solidFill>
                    <w14:schemeClr w14:val="tx1"/>
                  </w14:solidFill>
                </w14:textFill>
              </w:rPr>
              <w:t>类</w:t>
            </w:r>
          </w:p>
          <w:p w14:paraId="08AAE8A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标准值 </w:t>
            </w:r>
          </w:p>
        </w:tc>
        <w:tc>
          <w:tcPr>
            <w:tcW w:w="2106" w:type="dxa"/>
            <w:vAlign w:val="center"/>
          </w:tcPr>
          <w:p w14:paraId="0C591ADA">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（GB3838-2002）</w:t>
            </w:r>
            <w:r>
              <w:rPr>
                <w:rFonts w:hint="default" w:ascii="Times New Roman" w:hAnsi="Times New Roman" w:cs="Times New Roman"/>
                <w:b/>
                <w:bCs/>
                <w:color w:val="000000" w:themeColor="text1"/>
                <w:kern w:val="0"/>
                <w:sz w:val="21"/>
                <w:szCs w:val="21"/>
                <w:highlight w:val="none"/>
                <w:lang w:val="en-US" w:eastAsia="zh-CN" w:bidi="ar"/>
                <w14:textFill>
                  <w14:solidFill>
                    <w14:schemeClr w14:val="tx1"/>
                  </w14:solidFill>
                </w14:textFill>
              </w:rPr>
              <w:t>Ⅲ</w:t>
            </w:r>
            <w:r>
              <w:rPr>
                <w:rFonts w:hint="default" w:ascii="Times New Roman" w:hAnsi="Times New Roman" w:cs="Times New Roman"/>
                <w:b/>
                <w:bCs/>
                <w:color w:val="000000" w:themeColor="text1"/>
                <w:highlight w:val="none"/>
                <w:u w:val="none" w:color="auto"/>
                <w14:textFill>
                  <w14:solidFill>
                    <w14:schemeClr w14:val="tx1"/>
                  </w14:solidFill>
                </w14:textFill>
              </w:rPr>
              <w:t>类</w:t>
            </w:r>
            <w:r>
              <w:rPr>
                <w:rFonts w:hint="default" w:ascii="Times New Roman" w:hAnsi="Times New Roman" w:cs="Times New Roman"/>
                <w:b/>
                <w:bCs/>
                <w:color w:val="000000" w:themeColor="text1"/>
                <w:spacing w:val="-3"/>
                <w:highlight w:val="none"/>
                <w:u w:val="none" w:color="auto"/>
                <w14:textFill>
                  <w14:solidFill>
                    <w14:schemeClr w14:val="tx1"/>
                  </w14:solidFill>
                </w14:textFill>
              </w:rPr>
              <w:t>标</w:t>
            </w:r>
            <w:r>
              <w:rPr>
                <w:rFonts w:hint="default" w:ascii="Times New Roman" w:hAnsi="Times New Roman" w:cs="Times New Roman"/>
                <w:b/>
                <w:bCs/>
                <w:color w:val="000000" w:themeColor="text1"/>
                <w:highlight w:val="none"/>
                <w:u w:val="none" w:color="auto"/>
                <w14:textFill>
                  <w14:solidFill>
                    <w14:schemeClr w14:val="tx1"/>
                  </w14:solidFill>
                </w14:textFill>
              </w:rPr>
              <w:t>准值</w:t>
            </w:r>
            <w:r>
              <w:rPr>
                <w:rFonts w:hint="default" w:ascii="Times New Roman" w:hAnsi="Times New Roman" w:cs="Times New Roman"/>
                <w:b/>
                <w:bCs/>
                <w:color w:val="000000" w:themeColor="text1"/>
                <w:spacing w:val="-2"/>
                <w:highlight w:val="none"/>
                <w:u w:val="none" w:color="auto"/>
                <w14:textFill>
                  <w14:solidFill>
                    <w14:schemeClr w14:val="tx1"/>
                  </w14:solidFill>
                </w14:textFill>
              </w:rPr>
              <w:t xml:space="preserve"> </w:t>
            </w:r>
          </w:p>
        </w:tc>
      </w:tr>
      <w:tr w14:paraId="29F2E5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1" w:hRule="atLeast"/>
          <w:jc w:val="center"/>
        </w:trPr>
        <w:tc>
          <w:tcPr>
            <w:tcW w:w="1389" w:type="dxa"/>
            <w:vAlign w:val="center"/>
          </w:tcPr>
          <w:p w14:paraId="76EE0E1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w:t>
            </w:r>
          </w:p>
        </w:tc>
        <w:tc>
          <w:tcPr>
            <w:tcW w:w="3110" w:type="dxa"/>
            <w:vAlign w:val="center"/>
          </w:tcPr>
          <w:p w14:paraId="307FFD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pH值（无量纲）</w:t>
            </w:r>
          </w:p>
        </w:tc>
        <w:tc>
          <w:tcPr>
            <w:tcW w:w="2289" w:type="dxa"/>
            <w:vAlign w:val="center"/>
          </w:tcPr>
          <w:p w14:paraId="0ADA786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6~9</w:t>
            </w:r>
          </w:p>
        </w:tc>
        <w:tc>
          <w:tcPr>
            <w:tcW w:w="2106" w:type="dxa"/>
            <w:vAlign w:val="center"/>
          </w:tcPr>
          <w:p w14:paraId="4D292E3A">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6~9</w:t>
            </w:r>
          </w:p>
        </w:tc>
      </w:tr>
      <w:tr w14:paraId="316302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3" w:hRule="atLeast"/>
          <w:jc w:val="center"/>
        </w:trPr>
        <w:tc>
          <w:tcPr>
            <w:tcW w:w="1389" w:type="dxa"/>
            <w:vAlign w:val="center"/>
          </w:tcPr>
          <w:p w14:paraId="546F5EE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w:t>
            </w:r>
          </w:p>
        </w:tc>
        <w:tc>
          <w:tcPr>
            <w:tcW w:w="3110" w:type="dxa"/>
            <w:vAlign w:val="center"/>
          </w:tcPr>
          <w:p w14:paraId="184DC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水温（℃）</w:t>
            </w:r>
          </w:p>
        </w:tc>
        <w:tc>
          <w:tcPr>
            <w:tcW w:w="2289" w:type="dxa"/>
            <w:vAlign w:val="center"/>
          </w:tcPr>
          <w:p w14:paraId="0FBF828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w:t>
            </w:r>
          </w:p>
        </w:tc>
        <w:tc>
          <w:tcPr>
            <w:tcW w:w="2106" w:type="dxa"/>
            <w:vAlign w:val="center"/>
          </w:tcPr>
          <w:p w14:paraId="4D2BEC4B">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p>
        </w:tc>
      </w:tr>
      <w:tr w14:paraId="5768D0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9" w:hRule="atLeast"/>
          <w:jc w:val="center"/>
        </w:trPr>
        <w:tc>
          <w:tcPr>
            <w:tcW w:w="1389" w:type="dxa"/>
            <w:vAlign w:val="center"/>
          </w:tcPr>
          <w:p w14:paraId="2B8F561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p>
        </w:tc>
        <w:tc>
          <w:tcPr>
            <w:tcW w:w="3110" w:type="dxa"/>
            <w:vAlign w:val="center"/>
          </w:tcPr>
          <w:p w14:paraId="4AC53E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化学需氧量</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2327DC7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30</w:t>
            </w:r>
          </w:p>
        </w:tc>
        <w:tc>
          <w:tcPr>
            <w:tcW w:w="2106" w:type="dxa"/>
            <w:vAlign w:val="center"/>
          </w:tcPr>
          <w:p w14:paraId="62EAB732">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20</w:t>
            </w:r>
          </w:p>
        </w:tc>
      </w:tr>
      <w:tr w14:paraId="67D3CF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8" w:hRule="atLeast"/>
          <w:jc w:val="center"/>
        </w:trPr>
        <w:tc>
          <w:tcPr>
            <w:tcW w:w="1389" w:type="dxa"/>
            <w:vAlign w:val="center"/>
          </w:tcPr>
          <w:p w14:paraId="23D156B3">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4                                                                                                                                                                                                                                                                                                                                                                                                                                </w:t>
            </w:r>
          </w:p>
        </w:tc>
        <w:tc>
          <w:tcPr>
            <w:tcW w:w="3110" w:type="dxa"/>
            <w:vAlign w:val="center"/>
          </w:tcPr>
          <w:p w14:paraId="39F491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五日生化需氧量</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1640D56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w:t>
            </w:r>
          </w:p>
        </w:tc>
        <w:tc>
          <w:tcPr>
            <w:tcW w:w="2106" w:type="dxa"/>
            <w:vAlign w:val="center"/>
          </w:tcPr>
          <w:p w14:paraId="0B22C972">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4</w:t>
            </w:r>
          </w:p>
        </w:tc>
      </w:tr>
      <w:tr w14:paraId="72A783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9" w:hRule="atLeast"/>
          <w:jc w:val="center"/>
        </w:trPr>
        <w:tc>
          <w:tcPr>
            <w:tcW w:w="1389" w:type="dxa"/>
            <w:vAlign w:val="center"/>
          </w:tcPr>
          <w:p w14:paraId="7F3E099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p>
        </w:tc>
        <w:tc>
          <w:tcPr>
            <w:tcW w:w="3110" w:type="dxa"/>
            <w:vAlign w:val="center"/>
          </w:tcPr>
          <w:p w14:paraId="0B700A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氨氮</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64EFD30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5</w:t>
            </w:r>
          </w:p>
        </w:tc>
        <w:tc>
          <w:tcPr>
            <w:tcW w:w="2106" w:type="dxa"/>
            <w:vAlign w:val="center"/>
          </w:tcPr>
          <w:p w14:paraId="7DE41CAE">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1.0</w:t>
            </w:r>
          </w:p>
        </w:tc>
      </w:tr>
      <w:tr w14:paraId="3C4387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9" w:hRule="atLeast"/>
          <w:jc w:val="center"/>
        </w:trPr>
        <w:tc>
          <w:tcPr>
            <w:tcW w:w="1389" w:type="dxa"/>
            <w:vAlign w:val="center"/>
          </w:tcPr>
          <w:p w14:paraId="5AEF276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w:t>
            </w:r>
          </w:p>
        </w:tc>
        <w:tc>
          <w:tcPr>
            <w:tcW w:w="3110" w:type="dxa"/>
            <w:vAlign w:val="center"/>
          </w:tcPr>
          <w:p w14:paraId="464F80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总磷</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50D4CD4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w:t>
            </w:r>
          </w:p>
        </w:tc>
        <w:tc>
          <w:tcPr>
            <w:tcW w:w="2106" w:type="dxa"/>
            <w:vAlign w:val="center"/>
          </w:tcPr>
          <w:p w14:paraId="55041A68">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0.2</w:t>
            </w:r>
          </w:p>
        </w:tc>
      </w:tr>
      <w:tr w14:paraId="4E4C91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9" w:hRule="atLeast"/>
          <w:jc w:val="center"/>
        </w:trPr>
        <w:tc>
          <w:tcPr>
            <w:tcW w:w="1389" w:type="dxa"/>
            <w:vAlign w:val="center"/>
          </w:tcPr>
          <w:p w14:paraId="58A8837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w:t>
            </w:r>
          </w:p>
        </w:tc>
        <w:tc>
          <w:tcPr>
            <w:tcW w:w="3110" w:type="dxa"/>
            <w:vAlign w:val="center"/>
          </w:tcPr>
          <w:p w14:paraId="57AB03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总氮</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36E5561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5</w:t>
            </w:r>
          </w:p>
        </w:tc>
        <w:tc>
          <w:tcPr>
            <w:tcW w:w="2106" w:type="dxa"/>
            <w:vAlign w:val="center"/>
          </w:tcPr>
          <w:p w14:paraId="7710560F">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1.0</w:t>
            </w:r>
          </w:p>
        </w:tc>
      </w:tr>
      <w:tr w14:paraId="059E18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9" w:hRule="atLeast"/>
          <w:jc w:val="center"/>
        </w:trPr>
        <w:tc>
          <w:tcPr>
            <w:tcW w:w="1389" w:type="dxa"/>
            <w:vAlign w:val="center"/>
          </w:tcPr>
          <w:p w14:paraId="5123137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w:t>
            </w:r>
          </w:p>
        </w:tc>
        <w:tc>
          <w:tcPr>
            <w:tcW w:w="3110" w:type="dxa"/>
            <w:vAlign w:val="center"/>
          </w:tcPr>
          <w:p w14:paraId="6319E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悬浮物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05662B1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p>
        </w:tc>
        <w:tc>
          <w:tcPr>
            <w:tcW w:w="2106" w:type="dxa"/>
            <w:vAlign w:val="center"/>
          </w:tcPr>
          <w:p w14:paraId="53913431">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w:t>
            </w:r>
          </w:p>
        </w:tc>
      </w:tr>
      <w:tr w14:paraId="5DD8AC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9" w:hRule="atLeast"/>
          <w:jc w:val="center"/>
        </w:trPr>
        <w:tc>
          <w:tcPr>
            <w:tcW w:w="1389" w:type="dxa"/>
            <w:vAlign w:val="center"/>
          </w:tcPr>
          <w:p w14:paraId="4F1F41E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w:t>
            </w:r>
          </w:p>
        </w:tc>
        <w:tc>
          <w:tcPr>
            <w:tcW w:w="3110" w:type="dxa"/>
            <w:vAlign w:val="center"/>
          </w:tcPr>
          <w:p w14:paraId="4FD91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石油类</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78F07EB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w:t>
            </w:r>
          </w:p>
        </w:tc>
        <w:tc>
          <w:tcPr>
            <w:tcW w:w="2106" w:type="dxa"/>
            <w:vAlign w:val="center"/>
          </w:tcPr>
          <w:p w14:paraId="2A53C98E">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0.05</w:t>
            </w:r>
          </w:p>
        </w:tc>
      </w:tr>
      <w:tr w14:paraId="44E36F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0" w:hRule="atLeast"/>
          <w:jc w:val="center"/>
        </w:trPr>
        <w:tc>
          <w:tcPr>
            <w:tcW w:w="1389" w:type="dxa"/>
            <w:vAlign w:val="center"/>
          </w:tcPr>
          <w:p w14:paraId="59A57D7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p>
        </w:tc>
        <w:tc>
          <w:tcPr>
            <w:tcW w:w="3110" w:type="dxa"/>
            <w:vAlign w:val="center"/>
          </w:tcPr>
          <w:p w14:paraId="07C00B47">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高锰酸盐指数</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272009A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2106" w:type="dxa"/>
            <w:vAlign w:val="center"/>
          </w:tcPr>
          <w:p w14:paraId="32D20C8C">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6</w:t>
            </w:r>
          </w:p>
        </w:tc>
      </w:tr>
      <w:tr w14:paraId="37B002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9" w:hRule="atLeast"/>
          <w:jc w:val="center"/>
        </w:trPr>
        <w:tc>
          <w:tcPr>
            <w:tcW w:w="1389" w:type="dxa"/>
            <w:vAlign w:val="center"/>
          </w:tcPr>
          <w:p w14:paraId="3E61A8F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w:t>
            </w:r>
          </w:p>
        </w:tc>
        <w:tc>
          <w:tcPr>
            <w:tcW w:w="3110" w:type="dxa"/>
            <w:vAlign w:val="center"/>
          </w:tcPr>
          <w:p w14:paraId="330EE5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溶解氧</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154A56B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w:t>
            </w:r>
          </w:p>
        </w:tc>
        <w:tc>
          <w:tcPr>
            <w:tcW w:w="2106" w:type="dxa"/>
            <w:vAlign w:val="center"/>
          </w:tcPr>
          <w:p w14:paraId="5F7337C1">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≥5</w:t>
            </w:r>
          </w:p>
        </w:tc>
      </w:tr>
      <w:tr w14:paraId="65D614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3EB4E16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12</w:t>
            </w:r>
          </w:p>
        </w:tc>
        <w:tc>
          <w:tcPr>
            <w:tcW w:w="3110" w:type="dxa"/>
            <w:vAlign w:val="center"/>
          </w:tcPr>
          <w:p w14:paraId="44DD4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铜</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4E73B630">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2106" w:type="dxa"/>
            <w:vAlign w:val="center"/>
          </w:tcPr>
          <w:p w14:paraId="03E05680">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1.0</w:t>
            </w:r>
          </w:p>
        </w:tc>
      </w:tr>
      <w:tr w14:paraId="735D84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02078F4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13</w:t>
            </w:r>
          </w:p>
        </w:tc>
        <w:tc>
          <w:tcPr>
            <w:tcW w:w="3110" w:type="dxa"/>
            <w:vAlign w:val="center"/>
          </w:tcPr>
          <w:p w14:paraId="5D96B3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锌</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0F712637">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w:t>
            </w:r>
          </w:p>
        </w:tc>
        <w:tc>
          <w:tcPr>
            <w:tcW w:w="2106" w:type="dxa"/>
            <w:vAlign w:val="center"/>
          </w:tcPr>
          <w:p w14:paraId="1A2107F4">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1.0</w:t>
            </w:r>
          </w:p>
        </w:tc>
      </w:tr>
      <w:tr w14:paraId="5323E1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3A32619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14</w:t>
            </w:r>
          </w:p>
        </w:tc>
        <w:tc>
          <w:tcPr>
            <w:tcW w:w="3110" w:type="dxa"/>
            <w:vAlign w:val="center"/>
          </w:tcPr>
          <w:p w14:paraId="3DE243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氟化物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05CAD42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1.5</w:t>
            </w:r>
          </w:p>
        </w:tc>
        <w:tc>
          <w:tcPr>
            <w:tcW w:w="2106" w:type="dxa"/>
            <w:vAlign w:val="center"/>
          </w:tcPr>
          <w:p w14:paraId="3C0ACE30">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1.0</w:t>
            </w:r>
          </w:p>
        </w:tc>
      </w:tr>
      <w:tr w14:paraId="2AB777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2F10DCD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15</w:t>
            </w:r>
          </w:p>
        </w:tc>
        <w:tc>
          <w:tcPr>
            <w:tcW w:w="3110" w:type="dxa"/>
            <w:vAlign w:val="center"/>
          </w:tcPr>
          <w:p w14:paraId="32A0E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砷</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0B5DECF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w:t>
            </w:r>
          </w:p>
        </w:tc>
        <w:tc>
          <w:tcPr>
            <w:tcW w:w="2106" w:type="dxa"/>
            <w:vAlign w:val="center"/>
          </w:tcPr>
          <w:p w14:paraId="78F8DD6E">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05</w:t>
            </w:r>
          </w:p>
        </w:tc>
      </w:tr>
      <w:tr w14:paraId="6005B5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0326B8E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16</w:t>
            </w:r>
          </w:p>
        </w:tc>
        <w:tc>
          <w:tcPr>
            <w:tcW w:w="3110" w:type="dxa"/>
            <w:vAlign w:val="center"/>
          </w:tcPr>
          <w:p w14:paraId="42BA3F9F">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rightChars="0"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硒</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0429BD7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p>
        </w:tc>
        <w:tc>
          <w:tcPr>
            <w:tcW w:w="2106" w:type="dxa"/>
            <w:vAlign w:val="center"/>
          </w:tcPr>
          <w:p w14:paraId="14FF0C6D">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≤0.0</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1</w:t>
            </w:r>
          </w:p>
        </w:tc>
      </w:tr>
      <w:tr w14:paraId="1EE3E5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0F810A1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17</w:t>
            </w:r>
          </w:p>
        </w:tc>
        <w:tc>
          <w:tcPr>
            <w:tcW w:w="3110" w:type="dxa"/>
            <w:vAlign w:val="center"/>
          </w:tcPr>
          <w:p w14:paraId="21A7F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汞</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260F061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0.001</w:t>
            </w:r>
          </w:p>
        </w:tc>
        <w:tc>
          <w:tcPr>
            <w:tcW w:w="2106" w:type="dxa"/>
            <w:vAlign w:val="center"/>
          </w:tcPr>
          <w:p w14:paraId="072C25A0">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0.0001</w:t>
            </w:r>
          </w:p>
        </w:tc>
      </w:tr>
      <w:tr w14:paraId="40BACE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2F912633">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18</w:t>
            </w:r>
          </w:p>
        </w:tc>
        <w:tc>
          <w:tcPr>
            <w:tcW w:w="3110" w:type="dxa"/>
            <w:vAlign w:val="center"/>
          </w:tcPr>
          <w:p w14:paraId="0D3081F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镉</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4EE1FBC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0.01</w:t>
            </w:r>
          </w:p>
        </w:tc>
        <w:tc>
          <w:tcPr>
            <w:tcW w:w="2106" w:type="dxa"/>
            <w:vAlign w:val="center"/>
          </w:tcPr>
          <w:p w14:paraId="5BDB501B">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0.005</w:t>
            </w:r>
          </w:p>
        </w:tc>
      </w:tr>
      <w:tr w14:paraId="2E84B2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10B9B3D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19</w:t>
            </w:r>
          </w:p>
        </w:tc>
        <w:tc>
          <w:tcPr>
            <w:tcW w:w="3110" w:type="dxa"/>
            <w:vAlign w:val="center"/>
          </w:tcPr>
          <w:p w14:paraId="3F188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铬（六价）</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71E9B46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0.1</w:t>
            </w:r>
          </w:p>
        </w:tc>
        <w:tc>
          <w:tcPr>
            <w:tcW w:w="2106" w:type="dxa"/>
            <w:vAlign w:val="center"/>
          </w:tcPr>
          <w:p w14:paraId="6A1E4A26">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0.05</w:t>
            </w:r>
          </w:p>
        </w:tc>
      </w:tr>
      <w:tr w14:paraId="3D1B65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3C567FD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w:t>
            </w:r>
          </w:p>
        </w:tc>
        <w:tc>
          <w:tcPr>
            <w:tcW w:w="3110" w:type="dxa"/>
            <w:vAlign w:val="center"/>
          </w:tcPr>
          <w:p w14:paraId="516568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铅</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523177B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05</w:t>
            </w:r>
          </w:p>
        </w:tc>
        <w:tc>
          <w:tcPr>
            <w:tcW w:w="2106" w:type="dxa"/>
            <w:vAlign w:val="center"/>
          </w:tcPr>
          <w:p w14:paraId="1D6D491B">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0.05</w:t>
            </w:r>
          </w:p>
        </w:tc>
      </w:tr>
      <w:tr w14:paraId="2DC6F1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20F1CFB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21</w:t>
            </w:r>
          </w:p>
        </w:tc>
        <w:tc>
          <w:tcPr>
            <w:tcW w:w="3110" w:type="dxa"/>
            <w:vAlign w:val="center"/>
          </w:tcPr>
          <w:p w14:paraId="48EB62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氰化物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22B50DEC">
            <w:pPr>
              <w:pStyle w:val="192"/>
              <w:keepNext w:val="0"/>
              <w:keepLines w:val="0"/>
              <w:suppressLineNumbers w:val="0"/>
              <w:spacing w:before="0" w:beforeAutospacing="0" w:after="0" w:afterAutospacing="0"/>
              <w:ind w:left="0" w:right="0"/>
              <w:rPr>
                <w:rFonts w:hint="eastAsia"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2</w:t>
            </w:r>
          </w:p>
        </w:tc>
        <w:tc>
          <w:tcPr>
            <w:tcW w:w="2106" w:type="dxa"/>
            <w:vAlign w:val="center"/>
          </w:tcPr>
          <w:p w14:paraId="5170E47A">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2</w:t>
            </w:r>
          </w:p>
        </w:tc>
      </w:tr>
      <w:tr w14:paraId="719C7A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1984DEE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22</w:t>
            </w:r>
          </w:p>
        </w:tc>
        <w:tc>
          <w:tcPr>
            <w:tcW w:w="3110" w:type="dxa"/>
            <w:vAlign w:val="center"/>
          </w:tcPr>
          <w:p w14:paraId="2869A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挥发酚</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6901798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0.01</w:t>
            </w:r>
          </w:p>
        </w:tc>
        <w:tc>
          <w:tcPr>
            <w:tcW w:w="2106" w:type="dxa"/>
            <w:vAlign w:val="center"/>
          </w:tcPr>
          <w:p w14:paraId="3D16CAE4">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0.005</w:t>
            </w:r>
          </w:p>
        </w:tc>
      </w:tr>
      <w:tr w14:paraId="234D84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1389" w:type="dxa"/>
            <w:vAlign w:val="center"/>
          </w:tcPr>
          <w:p w14:paraId="7A1F9E2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23</w:t>
            </w:r>
          </w:p>
        </w:tc>
        <w:tc>
          <w:tcPr>
            <w:tcW w:w="3110" w:type="dxa"/>
            <w:vAlign w:val="center"/>
          </w:tcPr>
          <w:p w14:paraId="51859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硫化物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4B7E9833">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p>
        </w:tc>
        <w:tc>
          <w:tcPr>
            <w:tcW w:w="2106" w:type="dxa"/>
            <w:vAlign w:val="center"/>
          </w:tcPr>
          <w:p w14:paraId="79E62608">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0.2</w:t>
            </w:r>
          </w:p>
        </w:tc>
      </w:tr>
      <w:tr w14:paraId="7422B4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8" w:hRule="atLeast"/>
          <w:jc w:val="center"/>
        </w:trPr>
        <w:tc>
          <w:tcPr>
            <w:tcW w:w="1389" w:type="dxa"/>
            <w:vAlign w:val="center"/>
          </w:tcPr>
          <w:p w14:paraId="1E85ED7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24</w:t>
            </w:r>
          </w:p>
        </w:tc>
        <w:tc>
          <w:tcPr>
            <w:tcW w:w="3110" w:type="dxa"/>
            <w:vAlign w:val="center"/>
          </w:tcPr>
          <w:p w14:paraId="41BEE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阴离子表面活性剂</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p>
        </w:tc>
        <w:tc>
          <w:tcPr>
            <w:tcW w:w="2289" w:type="dxa"/>
            <w:vAlign w:val="center"/>
          </w:tcPr>
          <w:p w14:paraId="5B0EF6D3">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lang w:val="en-US"/>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0.3</w:t>
            </w:r>
          </w:p>
        </w:tc>
        <w:tc>
          <w:tcPr>
            <w:tcW w:w="2106" w:type="dxa"/>
            <w:vAlign w:val="center"/>
          </w:tcPr>
          <w:p w14:paraId="0BB4BC6F">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0.2</w:t>
            </w:r>
          </w:p>
        </w:tc>
      </w:tr>
      <w:tr w14:paraId="08C6E5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9" w:hRule="atLeast"/>
          <w:jc w:val="center"/>
        </w:trPr>
        <w:tc>
          <w:tcPr>
            <w:tcW w:w="1389" w:type="dxa"/>
            <w:vAlign w:val="center"/>
          </w:tcPr>
          <w:p w14:paraId="24800A1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25</w:t>
            </w:r>
          </w:p>
        </w:tc>
        <w:tc>
          <w:tcPr>
            <w:tcW w:w="3110" w:type="dxa"/>
            <w:vAlign w:val="center"/>
          </w:tcPr>
          <w:p w14:paraId="40813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粪大肠菌群</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MPN/L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289" w:type="dxa"/>
            <w:vAlign w:val="center"/>
          </w:tcPr>
          <w:p w14:paraId="4FE2D9C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0000</w:t>
            </w:r>
          </w:p>
        </w:tc>
        <w:tc>
          <w:tcPr>
            <w:tcW w:w="2106" w:type="dxa"/>
            <w:vAlign w:val="center"/>
          </w:tcPr>
          <w:p w14:paraId="777DFCD0">
            <w:pPr>
              <w:keepNext w:val="0"/>
              <w:keepLines w:val="0"/>
              <w:suppressLineNumbers w:val="0"/>
              <w:adjustRightIn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0000</w:t>
            </w:r>
          </w:p>
        </w:tc>
      </w:tr>
    </w:tbl>
    <w:p w14:paraId="342BA6A1">
      <w:pPr>
        <w:pStyle w:val="381"/>
        <w:numPr>
          <w:ilvl w:val="3"/>
          <w:numId w:val="0"/>
        </w:numPr>
        <w:ind w:leftChars="0" w:firstLine="490" w:firstLineChars="20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pacing w:val="2"/>
          <w:highlight w:val="none"/>
          <w:u w:val="none" w:color="auto"/>
          <w:lang w:val="en-US" w:eastAsia="zh-CN"/>
          <w14:textFill>
            <w14:solidFill>
              <w14:schemeClr w14:val="tx1"/>
            </w14:solidFill>
          </w14:textFill>
        </w:rPr>
        <w:t xml:space="preserve">2.3.1.3 </w:t>
      </w:r>
      <w:r>
        <w:rPr>
          <w:rFonts w:hint="default" w:ascii="Times New Roman" w:hAnsi="Times New Roman" w:cs="Times New Roman"/>
          <w:color w:val="000000" w:themeColor="text1"/>
          <w:spacing w:val="2"/>
          <w:highlight w:val="none"/>
          <w:u w:val="none" w:color="auto"/>
          <w14:textFill>
            <w14:solidFill>
              <w14:schemeClr w14:val="tx1"/>
            </w14:solidFill>
          </w14:textFill>
        </w:rPr>
        <w:t>地</w:t>
      </w:r>
      <w:r>
        <w:rPr>
          <w:rFonts w:hint="default" w:ascii="Times New Roman" w:hAnsi="Times New Roman" w:cs="Times New Roman"/>
          <w:color w:val="000000" w:themeColor="text1"/>
          <w:highlight w:val="none"/>
          <w:u w:val="none" w:color="auto"/>
          <w14:textFill>
            <w14:solidFill>
              <w14:schemeClr w14:val="tx1"/>
            </w14:solidFill>
          </w14:textFill>
        </w:rPr>
        <w:t>下</w:t>
      </w:r>
      <w:r>
        <w:rPr>
          <w:rFonts w:hint="default" w:ascii="Times New Roman" w:hAnsi="Times New Roman" w:cs="Times New Roman"/>
          <w:color w:val="000000" w:themeColor="text1"/>
          <w:spacing w:val="2"/>
          <w:highlight w:val="none"/>
          <w:u w:val="none" w:color="auto"/>
          <w14:textFill>
            <w14:solidFill>
              <w14:schemeClr w14:val="tx1"/>
            </w14:solidFill>
          </w14:textFill>
        </w:rPr>
        <w:t>水</w:t>
      </w:r>
      <w:r>
        <w:rPr>
          <w:rFonts w:hint="default" w:ascii="Times New Roman" w:hAnsi="Times New Roman" w:cs="Times New Roman"/>
          <w:color w:val="000000" w:themeColor="text1"/>
          <w:highlight w:val="none"/>
          <w:u w:val="none" w:color="auto"/>
          <w14:textFill>
            <w14:solidFill>
              <w14:schemeClr w14:val="tx1"/>
            </w14:solidFill>
          </w14:textFill>
        </w:rPr>
        <w:t>环境</w:t>
      </w:r>
    </w:p>
    <w:p w14:paraId="06228A4E">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项目地下水环境执行《地下水质量标准》（GB/T14848-2017）</w:t>
      </w:r>
      <w:r>
        <w:rPr>
          <w:rFonts w:hint="default" w:ascii="Times New Roman" w:hAnsi="Times New Roman" w:eastAsia="宋体" w:cs="Times New Roman"/>
          <w:color w:val="000000" w:themeColor="text1"/>
          <w:highlight w:val="none"/>
          <w:u w:val="none" w:color="auto"/>
          <w14:textFill>
            <w14:solidFill>
              <w14:schemeClr w14:val="tx1"/>
            </w14:solidFill>
          </w14:textFill>
        </w:rPr>
        <w:t>Ⅲ</w:t>
      </w:r>
      <w:r>
        <w:rPr>
          <w:rFonts w:hint="default" w:ascii="Times New Roman" w:hAnsi="Times New Roman" w:cs="Times New Roman"/>
          <w:color w:val="000000" w:themeColor="text1"/>
          <w:highlight w:val="none"/>
          <w:u w:val="none" w:color="auto"/>
          <w14:textFill>
            <w14:solidFill>
              <w14:schemeClr w14:val="tx1"/>
            </w14:solidFill>
          </w14:textFill>
        </w:rPr>
        <w:t>类标准，见下表。</w:t>
      </w:r>
    </w:p>
    <w:p w14:paraId="6AE5358D">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14:textFill>
            <w14:solidFill>
              <w14:schemeClr w14:val="tx1"/>
            </w14:solidFill>
          </w14:textFill>
        </w:rPr>
        <w:t>2.3</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t xml:space="preserve">  地下水质量标准 单位：mg/L</w:t>
      </w:r>
    </w:p>
    <w:tbl>
      <w:tblPr>
        <w:tblStyle w:val="76"/>
        <w:tblW w:w="461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4"/>
        <w:gridCol w:w="4636"/>
        <w:gridCol w:w="2517"/>
      </w:tblGrid>
      <w:tr w14:paraId="4B66F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424" w:type="dxa"/>
            <w:vAlign w:val="center"/>
          </w:tcPr>
          <w:p w14:paraId="3D4E54B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序号</w:t>
            </w:r>
          </w:p>
        </w:tc>
        <w:tc>
          <w:tcPr>
            <w:tcW w:w="4636" w:type="dxa"/>
            <w:vAlign w:val="center"/>
          </w:tcPr>
          <w:p w14:paraId="1B4235A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评价因子</w:t>
            </w:r>
          </w:p>
        </w:tc>
        <w:tc>
          <w:tcPr>
            <w:tcW w:w="2517" w:type="dxa"/>
            <w:vAlign w:val="center"/>
          </w:tcPr>
          <w:p w14:paraId="38A7E81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color w:val="000000" w:themeColor="text1"/>
                <w:sz w:val="21"/>
                <w:szCs w:val="21"/>
                <w:highlight w:val="none"/>
                <w:u w:val="none" w:color="auto"/>
                <w14:textFill>
                  <w14:solidFill>
                    <w14:schemeClr w14:val="tx1"/>
                  </w14:solidFill>
                </w14:textFill>
              </w:rPr>
              <w:t>Ⅲ</w:t>
            </w:r>
            <w:r>
              <w:rPr>
                <w:rFonts w:hint="default" w:ascii="Times New Roman" w:hAnsi="Times New Roman" w:cs="Times New Roman" w:eastAsiaTheme="minorEastAsia"/>
                <w:b/>
                <w:color w:val="000000" w:themeColor="text1"/>
                <w:sz w:val="21"/>
                <w:szCs w:val="21"/>
                <w:highlight w:val="none"/>
                <w:u w:val="none" w:color="auto"/>
                <w14:textFill>
                  <w14:solidFill>
                    <w14:schemeClr w14:val="tx1"/>
                  </w14:solidFill>
                </w14:textFill>
              </w:rPr>
              <w:t>类</w:t>
            </w:r>
          </w:p>
        </w:tc>
      </w:tr>
      <w:tr w14:paraId="70E27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574FA91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1</w:t>
            </w:r>
          </w:p>
        </w:tc>
        <w:tc>
          <w:tcPr>
            <w:tcW w:w="4636" w:type="dxa"/>
            <w:vAlign w:val="center"/>
          </w:tcPr>
          <w:p w14:paraId="314A7AC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pH</w:t>
            </w:r>
          </w:p>
        </w:tc>
        <w:tc>
          <w:tcPr>
            <w:tcW w:w="2517" w:type="dxa"/>
            <w:vAlign w:val="center"/>
          </w:tcPr>
          <w:p w14:paraId="28E2A33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6.5-8.5</w:t>
            </w:r>
          </w:p>
        </w:tc>
      </w:tr>
      <w:tr w14:paraId="2715F7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407A068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eastAsiaTheme="minorEastAsia"/>
                <w:color w:val="auto"/>
                <w:sz w:val="21"/>
                <w:szCs w:val="21"/>
                <w:highlight w:val="none"/>
                <w:u w:val="none" w:color="auto"/>
              </w:rPr>
              <w:t>2</w:t>
            </w:r>
          </w:p>
        </w:tc>
        <w:tc>
          <w:tcPr>
            <w:tcW w:w="4636" w:type="dxa"/>
            <w:vAlign w:val="center"/>
          </w:tcPr>
          <w:p w14:paraId="158765A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氯化物</w:t>
            </w:r>
          </w:p>
        </w:tc>
        <w:tc>
          <w:tcPr>
            <w:tcW w:w="2517" w:type="dxa"/>
            <w:vAlign w:val="center"/>
          </w:tcPr>
          <w:p w14:paraId="0FA8450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≤250</w:t>
            </w:r>
          </w:p>
        </w:tc>
      </w:tr>
      <w:tr w14:paraId="1DDD7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1424" w:type="dxa"/>
            <w:vAlign w:val="center"/>
          </w:tcPr>
          <w:p w14:paraId="544D378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eastAsiaTheme="minorEastAsia"/>
                <w:color w:val="auto"/>
                <w:sz w:val="21"/>
                <w:szCs w:val="21"/>
                <w:highlight w:val="none"/>
                <w:u w:val="none" w:color="auto"/>
              </w:rPr>
              <w:t>3</w:t>
            </w:r>
          </w:p>
        </w:tc>
        <w:tc>
          <w:tcPr>
            <w:tcW w:w="4636" w:type="dxa"/>
            <w:vAlign w:val="center"/>
          </w:tcPr>
          <w:p w14:paraId="4AFFC22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硫酸盐</w:t>
            </w:r>
          </w:p>
        </w:tc>
        <w:tc>
          <w:tcPr>
            <w:tcW w:w="2517" w:type="dxa"/>
            <w:vAlign w:val="center"/>
          </w:tcPr>
          <w:p w14:paraId="5D26F00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≤250</w:t>
            </w:r>
          </w:p>
        </w:tc>
      </w:tr>
      <w:tr w14:paraId="6FA0E6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477449D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color w:val="auto"/>
                <w:highlight w:val="none"/>
                <w:u w:val="none" w:color="auto"/>
                <w:lang w:val="en-US" w:eastAsia="zh-CN"/>
              </w:rPr>
              <w:t xml:space="preserve">4                                                                                                                                                                                                                                                                                                                                                                                                                                </w:t>
            </w:r>
          </w:p>
        </w:tc>
        <w:tc>
          <w:tcPr>
            <w:tcW w:w="4636" w:type="dxa"/>
            <w:vAlign w:val="center"/>
          </w:tcPr>
          <w:p w14:paraId="572E835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总硬度</w:t>
            </w:r>
          </w:p>
        </w:tc>
        <w:tc>
          <w:tcPr>
            <w:tcW w:w="2517" w:type="dxa"/>
            <w:vAlign w:val="center"/>
          </w:tcPr>
          <w:p w14:paraId="0AA6744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≤450</w:t>
            </w:r>
          </w:p>
        </w:tc>
      </w:tr>
      <w:tr w14:paraId="42011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5B3B71C3">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color w:val="auto"/>
                <w:highlight w:val="none"/>
                <w:u w:val="none" w:color="auto"/>
                <w:lang w:val="en-US" w:eastAsia="zh-CN"/>
              </w:rPr>
              <w:t>5</w:t>
            </w:r>
          </w:p>
        </w:tc>
        <w:tc>
          <w:tcPr>
            <w:tcW w:w="4636" w:type="dxa"/>
            <w:vAlign w:val="center"/>
          </w:tcPr>
          <w:p w14:paraId="78C91DF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溶解性总固体</w:t>
            </w:r>
          </w:p>
        </w:tc>
        <w:tc>
          <w:tcPr>
            <w:tcW w:w="2517" w:type="dxa"/>
            <w:vAlign w:val="center"/>
          </w:tcPr>
          <w:p w14:paraId="58FCF7F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≤1000</w:t>
            </w:r>
          </w:p>
        </w:tc>
      </w:tr>
      <w:tr w14:paraId="3FC1B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424" w:type="dxa"/>
            <w:vAlign w:val="center"/>
          </w:tcPr>
          <w:p w14:paraId="1C02BF4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color w:val="auto"/>
                <w:highlight w:val="none"/>
                <w:u w:val="none" w:color="auto"/>
                <w:lang w:val="en-US" w:eastAsia="zh-CN"/>
              </w:rPr>
              <w:t>6</w:t>
            </w:r>
          </w:p>
        </w:tc>
        <w:tc>
          <w:tcPr>
            <w:tcW w:w="4636" w:type="dxa"/>
            <w:vAlign w:val="center"/>
          </w:tcPr>
          <w:p w14:paraId="2DD6B50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铁</w:t>
            </w:r>
          </w:p>
        </w:tc>
        <w:tc>
          <w:tcPr>
            <w:tcW w:w="2517" w:type="dxa"/>
            <w:vAlign w:val="center"/>
          </w:tcPr>
          <w:p w14:paraId="726E432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≤0.3</w:t>
            </w:r>
          </w:p>
        </w:tc>
      </w:tr>
      <w:tr w14:paraId="65780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7983CA4C">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color w:val="auto"/>
                <w:highlight w:val="none"/>
                <w:u w:val="none" w:color="auto"/>
                <w:lang w:val="en-US" w:eastAsia="zh-CN"/>
              </w:rPr>
              <w:t>7</w:t>
            </w:r>
          </w:p>
        </w:tc>
        <w:tc>
          <w:tcPr>
            <w:tcW w:w="4636" w:type="dxa"/>
            <w:vAlign w:val="center"/>
          </w:tcPr>
          <w:p w14:paraId="6B03675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锰</w:t>
            </w:r>
          </w:p>
        </w:tc>
        <w:tc>
          <w:tcPr>
            <w:tcW w:w="2517" w:type="dxa"/>
            <w:vAlign w:val="center"/>
          </w:tcPr>
          <w:p w14:paraId="04D9E51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≤0.1</w:t>
            </w:r>
          </w:p>
        </w:tc>
      </w:tr>
      <w:tr w14:paraId="36FFB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15EBEFD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color w:val="auto"/>
                <w:highlight w:val="none"/>
                <w:u w:val="none" w:color="auto"/>
                <w:lang w:val="en-US" w:eastAsia="zh-CN"/>
              </w:rPr>
              <w:t>8</w:t>
            </w:r>
          </w:p>
        </w:tc>
        <w:tc>
          <w:tcPr>
            <w:tcW w:w="4636" w:type="dxa"/>
            <w:vAlign w:val="center"/>
          </w:tcPr>
          <w:p w14:paraId="2194A74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砷</w:t>
            </w:r>
          </w:p>
        </w:tc>
        <w:tc>
          <w:tcPr>
            <w:tcW w:w="2517" w:type="dxa"/>
            <w:vAlign w:val="center"/>
          </w:tcPr>
          <w:p w14:paraId="251A33A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0.01</w:t>
            </w:r>
          </w:p>
        </w:tc>
      </w:tr>
      <w:tr w14:paraId="4DDC9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576B760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color w:val="auto"/>
                <w:highlight w:val="none"/>
                <w:u w:val="none" w:color="auto"/>
                <w:lang w:val="en-US" w:eastAsia="zh-CN"/>
              </w:rPr>
              <w:t>9</w:t>
            </w:r>
          </w:p>
        </w:tc>
        <w:tc>
          <w:tcPr>
            <w:tcW w:w="4636" w:type="dxa"/>
            <w:vAlign w:val="center"/>
          </w:tcPr>
          <w:p w14:paraId="0C98627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镉</w:t>
            </w:r>
          </w:p>
        </w:tc>
        <w:tc>
          <w:tcPr>
            <w:tcW w:w="2517" w:type="dxa"/>
            <w:vAlign w:val="center"/>
          </w:tcPr>
          <w:p w14:paraId="07C6EFE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005</w:t>
            </w:r>
          </w:p>
        </w:tc>
      </w:tr>
      <w:tr w14:paraId="7AF2A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710DD22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color w:val="auto"/>
                <w:highlight w:val="none"/>
                <w:u w:val="none" w:color="auto"/>
                <w:lang w:val="en-US" w:eastAsia="zh-CN"/>
              </w:rPr>
              <w:t>10</w:t>
            </w:r>
          </w:p>
        </w:tc>
        <w:tc>
          <w:tcPr>
            <w:tcW w:w="4636" w:type="dxa"/>
            <w:vAlign w:val="center"/>
          </w:tcPr>
          <w:p w14:paraId="07451DF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铬（六价）</w:t>
            </w:r>
          </w:p>
        </w:tc>
        <w:tc>
          <w:tcPr>
            <w:tcW w:w="2517" w:type="dxa"/>
            <w:vAlign w:val="center"/>
          </w:tcPr>
          <w:p w14:paraId="4EEC3D7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0.05</w:t>
            </w:r>
          </w:p>
        </w:tc>
      </w:tr>
      <w:tr w14:paraId="393B9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3B8C292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color w:val="auto"/>
                <w:highlight w:val="none"/>
                <w:u w:val="none" w:color="auto"/>
                <w:lang w:val="en-US" w:eastAsia="zh-CN"/>
              </w:rPr>
              <w:t>11</w:t>
            </w:r>
          </w:p>
        </w:tc>
        <w:tc>
          <w:tcPr>
            <w:tcW w:w="4636" w:type="dxa"/>
            <w:vAlign w:val="center"/>
          </w:tcPr>
          <w:p w14:paraId="258B3FF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铅</w:t>
            </w:r>
          </w:p>
        </w:tc>
        <w:tc>
          <w:tcPr>
            <w:tcW w:w="2517" w:type="dxa"/>
            <w:vAlign w:val="center"/>
          </w:tcPr>
          <w:p w14:paraId="67D54BA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1</w:t>
            </w:r>
          </w:p>
        </w:tc>
      </w:tr>
      <w:tr w14:paraId="7D74CB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71C82D89">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color w:val="auto"/>
                <w:highlight w:val="none"/>
                <w:u w:val="none" w:color="auto"/>
                <w:lang w:val="en-US" w:eastAsia="zh-CN"/>
              </w:rPr>
              <w:t>12</w:t>
            </w:r>
          </w:p>
        </w:tc>
        <w:tc>
          <w:tcPr>
            <w:tcW w:w="4636" w:type="dxa"/>
            <w:vAlign w:val="center"/>
          </w:tcPr>
          <w:p w14:paraId="2177A9C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汞</w:t>
            </w:r>
          </w:p>
        </w:tc>
        <w:tc>
          <w:tcPr>
            <w:tcW w:w="2517" w:type="dxa"/>
            <w:vAlign w:val="center"/>
          </w:tcPr>
          <w:p w14:paraId="4C6669B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00</w:t>
            </w: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1</w:t>
            </w:r>
          </w:p>
        </w:tc>
      </w:tr>
      <w:tr w14:paraId="18FFE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10FF7CD4">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color w:val="auto"/>
                <w:highlight w:val="none"/>
                <w:u w:val="none" w:color="auto"/>
                <w:lang w:val="en-US" w:eastAsia="zh-CN"/>
              </w:rPr>
              <w:t xml:space="preserve">13                                                                                                                                                                                                                                                                                                                                                                                                                               </w:t>
            </w:r>
          </w:p>
        </w:tc>
        <w:tc>
          <w:tcPr>
            <w:tcW w:w="4636" w:type="dxa"/>
            <w:vAlign w:val="center"/>
          </w:tcPr>
          <w:p w14:paraId="74E6DD6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挥发酚</w:t>
            </w:r>
          </w:p>
        </w:tc>
        <w:tc>
          <w:tcPr>
            <w:tcW w:w="2517" w:type="dxa"/>
            <w:vAlign w:val="center"/>
          </w:tcPr>
          <w:p w14:paraId="4AFDB18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≤0.002</w:t>
            </w:r>
          </w:p>
        </w:tc>
      </w:tr>
      <w:tr w14:paraId="209B3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55986D1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14</w:t>
            </w:r>
          </w:p>
        </w:tc>
        <w:tc>
          <w:tcPr>
            <w:tcW w:w="4636" w:type="dxa"/>
            <w:vAlign w:val="center"/>
          </w:tcPr>
          <w:p w14:paraId="2715E18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耗氧量</w:t>
            </w:r>
          </w:p>
        </w:tc>
        <w:tc>
          <w:tcPr>
            <w:tcW w:w="2517" w:type="dxa"/>
            <w:vAlign w:val="center"/>
          </w:tcPr>
          <w:p w14:paraId="792299A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≤3.0</w:t>
            </w:r>
          </w:p>
        </w:tc>
      </w:tr>
      <w:tr w14:paraId="442FB1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3CE9DD4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15</w:t>
            </w:r>
          </w:p>
        </w:tc>
        <w:tc>
          <w:tcPr>
            <w:tcW w:w="4636" w:type="dxa"/>
            <w:vAlign w:val="center"/>
          </w:tcPr>
          <w:p w14:paraId="645C400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氨氮</w:t>
            </w:r>
          </w:p>
        </w:tc>
        <w:tc>
          <w:tcPr>
            <w:tcW w:w="2517" w:type="dxa"/>
            <w:vAlign w:val="center"/>
          </w:tcPr>
          <w:p w14:paraId="03D6E8B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≤0.5</w:t>
            </w:r>
          </w:p>
        </w:tc>
      </w:tr>
      <w:tr w14:paraId="04440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424" w:type="dxa"/>
            <w:vAlign w:val="center"/>
          </w:tcPr>
          <w:p w14:paraId="6C91E3C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16</w:t>
            </w:r>
          </w:p>
        </w:tc>
        <w:tc>
          <w:tcPr>
            <w:tcW w:w="4636" w:type="dxa"/>
            <w:vAlign w:val="center"/>
          </w:tcPr>
          <w:p w14:paraId="6D6C338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硫化物</w:t>
            </w:r>
          </w:p>
        </w:tc>
        <w:tc>
          <w:tcPr>
            <w:tcW w:w="2517" w:type="dxa"/>
            <w:vAlign w:val="center"/>
          </w:tcPr>
          <w:p w14:paraId="3167D87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≤0.02</w:t>
            </w:r>
          </w:p>
        </w:tc>
      </w:tr>
      <w:tr w14:paraId="3CF495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4404DA3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17</w:t>
            </w:r>
          </w:p>
        </w:tc>
        <w:tc>
          <w:tcPr>
            <w:tcW w:w="4636" w:type="dxa"/>
            <w:vAlign w:val="center"/>
          </w:tcPr>
          <w:p w14:paraId="44417D7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亚硝酸盐氮</w:t>
            </w:r>
          </w:p>
        </w:tc>
        <w:tc>
          <w:tcPr>
            <w:tcW w:w="2517" w:type="dxa"/>
            <w:vAlign w:val="center"/>
          </w:tcPr>
          <w:p w14:paraId="349C0FB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≤1.0</w:t>
            </w:r>
          </w:p>
        </w:tc>
      </w:tr>
      <w:tr w14:paraId="1BB98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1424" w:type="dxa"/>
            <w:vAlign w:val="center"/>
          </w:tcPr>
          <w:p w14:paraId="34CAFAC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18</w:t>
            </w:r>
          </w:p>
        </w:tc>
        <w:tc>
          <w:tcPr>
            <w:tcW w:w="4636" w:type="dxa"/>
            <w:vAlign w:val="center"/>
          </w:tcPr>
          <w:p w14:paraId="5484170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硝酸盐</w:t>
            </w:r>
          </w:p>
          <w:p w14:paraId="6B05590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(以N计)</w:t>
            </w:r>
          </w:p>
        </w:tc>
        <w:tc>
          <w:tcPr>
            <w:tcW w:w="2517" w:type="dxa"/>
            <w:vAlign w:val="center"/>
          </w:tcPr>
          <w:p w14:paraId="6B79BDE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≤20.0</w:t>
            </w:r>
          </w:p>
        </w:tc>
      </w:tr>
      <w:tr w14:paraId="2BD814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424" w:type="dxa"/>
            <w:vAlign w:val="center"/>
          </w:tcPr>
          <w:p w14:paraId="3BCAA9C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19</w:t>
            </w:r>
          </w:p>
        </w:tc>
        <w:tc>
          <w:tcPr>
            <w:tcW w:w="4636" w:type="dxa"/>
            <w:vAlign w:val="center"/>
          </w:tcPr>
          <w:p w14:paraId="6E8E3AD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硒</w:t>
            </w:r>
          </w:p>
        </w:tc>
        <w:tc>
          <w:tcPr>
            <w:tcW w:w="2517" w:type="dxa"/>
            <w:vAlign w:val="center"/>
          </w:tcPr>
          <w:p w14:paraId="099EDB9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0.01</w:t>
            </w:r>
          </w:p>
        </w:tc>
      </w:tr>
      <w:tr w14:paraId="2972A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424" w:type="dxa"/>
            <w:vAlign w:val="center"/>
          </w:tcPr>
          <w:p w14:paraId="3B2EC93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20</w:t>
            </w:r>
          </w:p>
        </w:tc>
        <w:tc>
          <w:tcPr>
            <w:tcW w:w="4636" w:type="dxa"/>
            <w:vAlign w:val="center"/>
          </w:tcPr>
          <w:p w14:paraId="42947B1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氰化物</w:t>
            </w:r>
          </w:p>
        </w:tc>
        <w:tc>
          <w:tcPr>
            <w:tcW w:w="2517" w:type="dxa"/>
            <w:vAlign w:val="center"/>
          </w:tcPr>
          <w:p w14:paraId="3D27E42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≤0.05</w:t>
            </w:r>
          </w:p>
        </w:tc>
      </w:tr>
      <w:tr w14:paraId="790D8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1424" w:type="dxa"/>
            <w:vAlign w:val="center"/>
          </w:tcPr>
          <w:p w14:paraId="3E45969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21</w:t>
            </w:r>
          </w:p>
        </w:tc>
        <w:tc>
          <w:tcPr>
            <w:tcW w:w="4636" w:type="dxa"/>
            <w:vAlign w:val="center"/>
          </w:tcPr>
          <w:p w14:paraId="4481258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氟化物</w:t>
            </w:r>
          </w:p>
        </w:tc>
        <w:tc>
          <w:tcPr>
            <w:tcW w:w="2517" w:type="dxa"/>
            <w:vAlign w:val="center"/>
          </w:tcPr>
          <w:p w14:paraId="13189E7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≤1.0</w:t>
            </w:r>
          </w:p>
        </w:tc>
      </w:tr>
      <w:tr w14:paraId="4AF585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1424" w:type="dxa"/>
            <w:vAlign w:val="center"/>
          </w:tcPr>
          <w:p w14:paraId="210D808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22</w:t>
            </w:r>
          </w:p>
        </w:tc>
        <w:tc>
          <w:tcPr>
            <w:tcW w:w="4636" w:type="dxa"/>
            <w:vAlign w:val="center"/>
          </w:tcPr>
          <w:p w14:paraId="306AB0E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总大肠菌群</w:t>
            </w:r>
          </w:p>
        </w:tc>
        <w:tc>
          <w:tcPr>
            <w:tcW w:w="2517" w:type="dxa"/>
            <w:vAlign w:val="center"/>
          </w:tcPr>
          <w:p w14:paraId="7D85F52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≤3.0</w:t>
            </w:r>
            <w:r>
              <w:rPr>
                <w:rFonts w:hint="default" w:ascii="Times New Roman" w:hAnsi="Times New Roman" w:cs="Times New Roman"/>
                <w:color w:val="000000" w:themeColor="text1"/>
                <w:highlight w:val="none"/>
                <w14:textFill>
                  <w14:solidFill>
                    <w14:schemeClr w14:val="tx1"/>
                  </w14:solidFill>
                </w14:textFill>
              </w:rPr>
              <w:t>MPN/100mL</w:t>
            </w:r>
          </w:p>
        </w:tc>
      </w:tr>
      <w:tr w14:paraId="5E7E1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424" w:type="dxa"/>
            <w:vAlign w:val="center"/>
          </w:tcPr>
          <w:p w14:paraId="4F98E37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23</w:t>
            </w:r>
          </w:p>
        </w:tc>
        <w:tc>
          <w:tcPr>
            <w:tcW w:w="4636" w:type="dxa"/>
            <w:vAlign w:val="center"/>
          </w:tcPr>
          <w:p w14:paraId="1FC0FEF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细菌总数</w:t>
            </w:r>
          </w:p>
        </w:tc>
        <w:tc>
          <w:tcPr>
            <w:tcW w:w="2517" w:type="dxa"/>
            <w:vAlign w:val="center"/>
          </w:tcPr>
          <w:p w14:paraId="6252AC1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≤100</w:t>
            </w:r>
            <w:r>
              <w:rPr>
                <w:rFonts w:hint="default" w:ascii="Times New Roman" w:hAnsi="Times New Roman" w:cs="Times New Roman"/>
                <w:color w:val="000000" w:themeColor="text1"/>
                <w:highlight w:val="none"/>
                <w14:textFill>
                  <w14:solidFill>
                    <w14:schemeClr w14:val="tx1"/>
                  </w14:solidFill>
                </w14:textFill>
              </w:rPr>
              <w:t>CFU/mL</w:t>
            </w:r>
          </w:p>
        </w:tc>
      </w:tr>
    </w:tbl>
    <w:p w14:paraId="1D87CDD5">
      <w:pPr>
        <w:pStyle w:val="381"/>
        <w:numPr>
          <w:ilvl w:val="3"/>
          <w:numId w:val="0"/>
        </w:numPr>
        <w:ind w:leftChars="0" w:firstLine="49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2"/>
          <w:highlight w:val="none"/>
          <w:u w:val="none" w:color="auto"/>
          <w:lang w:val="en-US" w:eastAsia="zh-CN"/>
        </w:rPr>
        <w:t xml:space="preserve">2.3.1.4 </w:t>
      </w:r>
      <w:r>
        <w:rPr>
          <w:rFonts w:hint="default" w:ascii="Times New Roman" w:hAnsi="Times New Roman" w:cs="Times New Roman"/>
          <w:color w:val="auto"/>
          <w:spacing w:val="2"/>
          <w:highlight w:val="none"/>
          <w:u w:val="none" w:color="auto"/>
        </w:rPr>
        <w:t>声</w:t>
      </w:r>
      <w:r>
        <w:rPr>
          <w:rFonts w:hint="default" w:ascii="Times New Roman" w:hAnsi="Times New Roman" w:cs="Times New Roman"/>
          <w:color w:val="auto"/>
          <w:highlight w:val="none"/>
          <w:u w:val="none" w:color="auto"/>
        </w:rPr>
        <w:t>环境</w:t>
      </w:r>
    </w:p>
    <w:p w14:paraId="72DD2BA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项目区域执行《声环境质量标准》（GB3096-2008）中的3类标准，</w:t>
      </w:r>
      <w:r>
        <w:rPr>
          <w:rFonts w:hint="default" w:ascii="Times New Roman" w:hAnsi="Times New Roman" w:cs="Times New Roman"/>
          <w:color w:val="auto"/>
          <w:highlight w:val="none"/>
          <w:u w:val="none" w:color="auto"/>
          <w:lang w:val="en-US" w:eastAsia="zh-CN"/>
        </w:rPr>
        <w:t>居民敏感目标执行</w:t>
      </w:r>
      <w:r>
        <w:rPr>
          <w:rFonts w:hint="default" w:ascii="Times New Roman" w:hAnsi="Times New Roman" w:cs="Times New Roman"/>
          <w:color w:val="auto"/>
          <w:highlight w:val="none"/>
          <w:u w:val="none" w:color="auto"/>
        </w:rPr>
        <w:t>《声环境质量标准》（GB3096-2008）中的</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类标准</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见下表。</w:t>
      </w:r>
    </w:p>
    <w:p w14:paraId="5AF5D3D6">
      <w:pPr>
        <w:pStyle w:val="194"/>
        <w:spacing w:line="240" w:lineRule="auto"/>
        <w:rPr>
          <w:rFonts w:hint="default" w:ascii="Times New Roman" w:hAnsi="Times New Roman" w:cs="Times New Roman"/>
          <w:color w:val="auto"/>
          <w:highlight w:val="none"/>
          <w:u w:val="none" w:color="auto"/>
        </w:rPr>
      </w:pPr>
    </w:p>
    <w:p w14:paraId="6E574623">
      <w:pPr>
        <w:pStyle w:val="194"/>
        <w:spacing w:line="240" w:lineRule="auto"/>
        <w:rPr>
          <w:rFonts w:hint="default" w:ascii="Times New Roman" w:hAnsi="Times New Roman" w:cs="Times New Roman"/>
          <w:color w:val="auto"/>
          <w:highlight w:val="none"/>
          <w:u w:val="none" w:color="auto"/>
        </w:rPr>
      </w:pPr>
    </w:p>
    <w:p w14:paraId="32D60332">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环境噪声标准</w:t>
      </w:r>
    </w:p>
    <w:p w14:paraId="52B05E5E">
      <w:pPr>
        <w:kinsoku w:val="0"/>
        <w:overflowPunct w:val="0"/>
        <w:spacing w:before="4" w:line="10" w:lineRule="exact"/>
        <w:ind w:firstLine="40"/>
        <w:rPr>
          <w:rFonts w:hint="default" w:ascii="Times New Roman" w:hAnsi="Times New Roman" w:cs="Times New Roman" w:eastAsiaTheme="minorEastAsia"/>
          <w:color w:val="auto"/>
          <w:sz w:val="2"/>
          <w:szCs w:val="2"/>
          <w:highlight w:val="none"/>
          <w:u w:val="none" w:color="auto"/>
        </w:rPr>
      </w:pPr>
    </w:p>
    <w:tbl>
      <w:tblPr>
        <w:tblStyle w:val="76"/>
        <w:tblW w:w="485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67"/>
        <w:gridCol w:w="2128"/>
        <w:gridCol w:w="2127"/>
        <w:gridCol w:w="3406"/>
      </w:tblGrid>
      <w:tr w14:paraId="4F418F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9" w:hRule="atLeast"/>
          <w:jc w:val="center"/>
        </w:trPr>
        <w:tc>
          <w:tcPr>
            <w:tcW w:w="1163" w:type="dxa"/>
            <w:vAlign w:val="center"/>
          </w:tcPr>
          <w:p w14:paraId="44DF509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类别</w:t>
            </w:r>
          </w:p>
        </w:tc>
        <w:tc>
          <w:tcPr>
            <w:tcW w:w="2121" w:type="dxa"/>
            <w:vAlign w:val="center"/>
          </w:tcPr>
          <w:p w14:paraId="657F9AD1">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昼间 LAeq dB(A)</w:t>
            </w:r>
          </w:p>
        </w:tc>
        <w:tc>
          <w:tcPr>
            <w:tcW w:w="2120" w:type="dxa"/>
            <w:vAlign w:val="center"/>
          </w:tcPr>
          <w:p w14:paraId="7D395A28">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夜间 Laeq dB(A)</w:t>
            </w:r>
          </w:p>
        </w:tc>
        <w:tc>
          <w:tcPr>
            <w:tcW w:w="3395" w:type="dxa"/>
            <w:vAlign w:val="center"/>
          </w:tcPr>
          <w:p w14:paraId="68C5A2AA">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依</w:t>
            </w:r>
            <w:r>
              <w:rPr>
                <w:rFonts w:hint="default" w:ascii="Times New Roman" w:hAnsi="Times New Roman" w:cs="Times New Roman"/>
                <w:b/>
                <w:color w:val="auto"/>
                <w:highlight w:val="none"/>
                <w:u w:val="none" w:color="auto"/>
              </w:rPr>
              <w:tab/>
            </w:r>
            <w:r>
              <w:rPr>
                <w:rFonts w:hint="default" w:ascii="Times New Roman" w:hAnsi="Times New Roman" w:cs="Times New Roman"/>
                <w:b/>
                <w:color w:val="auto"/>
                <w:highlight w:val="none"/>
                <w:u w:val="none" w:color="auto"/>
              </w:rPr>
              <w:t>据</w:t>
            </w:r>
          </w:p>
        </w:tc>
      </w:tr>
      <w:tr w14:paraId="0CB247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6" w:hRule="atLeast"/>
          <w:jc w:val="center"/>
        </w:trPr>
        <w:tc>
          <w:tcPr>
            <w:tcW w:w="1163" w:type="dxa"/>
            <w:vAlign w:val="center"/>
          </w:tcPr>
          <w:p w14:paraId="238B40C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w:t>
            </w:r>
          </w:p>
        </w:tc>
        <w:tc>
          <w:tcPr>
            <w:tcW w:w="2121" w:type="dxa"/>
            <w:vAlign w:val="center"/>
          </w:tcPr>
          <w:p w14:paraId="4460359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65</w:t>
            </w:r>
          </w:p>
        </w:tc>
        <w:tc>
          <w:tcPr>
            <w:tcW w:w="2120" w:type="dxa"/>
            <w:vAlign w:val="center"/>
          </w:tcPr>
          <w:p w14:paraId="3577A53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3395" w:type="dxa"/>
            <w:vMerge w:val="restart"/>
            <w:vAlign w:val="center"/>
          </w:tcPr>
          <w:p w14:paraId="07D3A12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《声环境质量标准》（GB3096-2008）</w:t>
            </w:r>
          </w:p>
        </w:tc>
      </w:tr>
      <w:tr w14:paraId="041ADE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5" w:hRule="atLeast"/>
          <w:jc w:val="center"/>
        </w:trPr>
        <w:tc>
          <w:tcPr>
            <w:tcW w:w="1163" w:type="dxa"/>
            <w:vAlign w:val="center"/>
          </w:tcPr>
          <w:p w14:paraId="37BD121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w:t>
            </w:r>
          </w:p>
        </w:tc>
        <w:tc>
          <w:tcPr>
            <w:tcW w:w="2121" w:type="dxa"/>
            <w:vAlign w:val="center"/>
          </w:tcPr>
          <w:p w14:paraId="31A515D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60</w:t>
            </w:r>
          </w:p>
        </w:tc>
        <w:tc>
          <w:tcPr>
            <w:tcW w:w="2120" w:type="dxa"/>
            <w:vAlign w:val="center"/>
          </w:tcPr>
          <w:p w14:paraId="763D988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50</w:t>
            </w:r>
          </w:p>
        </w:tc>
        <w:tc>
          <w:tcPr>
            <w:tcW w:w="3395" w:type="dxa"/>
            <w:vMerge w:val="continue"/>
            <w:vAlign w:val="center"/>
          </w:tcPr>
          <w:p w14:paraId="0F31A94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bl>
    <w:p w14:paraId="158BC839">
      <w:pPr>
        <w:pStyle w:val="381"/>
        <w:numPr>
          <w:ilvl w:val="3"/>
          <w:numId w:val="0"/>
        </w:numPr>
        <w:ind w:leftChars="0" w:firstLine="482"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2.3.1.5 </w:t>
      </w:r>
      <w:r>
        <w:rPr>
          <w:rFonts w:hint="default" w:ascii="Times New Roman" w:hAnsi="Times New Roman" w:cs="Times New Roman"/>
          <w:color w:val="auto"/>
          <w:highlight w:val="none"/>
          <w:u w:val="none" w:color="auto"/>
        </w:rPr>
        <w:t>土壤环境</w:t>
      </w:r>
    </w:p>
    <w:p w14:paraId="66FB884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项目占地内土壤环境质量执行《土壤环境质量 建设用地土壤污染风险管控标准（试行）（GB36600-2018）中第二类用地标准筛选值。</w:t>
      </w:r>
    </w:p>
    <w:p w14:paraId="3AFE775C">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5</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《土壤环境质量 建设用地土壤污染风险管控标准（试行）》第二类用地</w:t>
      </w:r>
    </w:p>
    <w:tbl>
      <w:tblPr>
        <w:tblStyle w:val="76"/>
        <w:tblW w:w="479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4"/>
        <w:gridCol w:w="1883"/>
        <w:gridCol w:w="1482"/>
        <w:gridCol w:w="1483"/>
        <w:gridCol w:w="1483"/>
        <w:gridCol w:w="1484"/>
      </w:tblGrid>
      <w:tr w14:paraId="3FDEF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084" w:type="dxa"/>
            <w:vMerge w:val="restart"/>
            <w:vAlign w:val="center"/>
          </w:tcPr>
          <w:p w14:paraId="21B603CB">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序号</w:t>
            </w:r>
          </w:p>
        </w:tc>
        <w:tc>
          <w:tcPr>
            <w:tcW w:w="1883" w:type="dxa"/>
            <w:vMerge w:val="restart"/>
            <w:vAlign w:val="center"/>
          </w:tcPr>
          <w:p w14:paraId="28ECD53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污染物名称</w:t>
            </w:r>
          </w:p>
        </w:tc>
        <w:tc>
          <w:tcPr>
            <w:tcW w:w="2965" w:type="dxa"/>
            <w:gridSpan w:val="2"/>
            <w:vAlign w:val="center"/>
          </w:tcPr>
          <w:p w14:paraId="3455533E">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筛选值</w:t>
            </w:r>
          </w:p>
        </w:tc>
        <w:tc>
          <w:tcPr>
            <w:tcW w:w="2967" w:type="dxa"/>
            <w:gridSpan w:val="2"/>
            <w:vAlign w:val="center"/>
          </w:tcPr>
          <w:p w14:paraId="3DE64FFE">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管控制</w:t>
            </w:r>
          </w:p>
        </w:tc>
      </w:tr>
      <w:tr w14:paraId="508A08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Merge w:val="continue"/>
            <w:vAlign w:val="center"/>
          </w:tcPr>
          <w:p w14:paraId="51C28EE8">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1883" w:type="dxa"/>
            <w:vMerge w:val="continue"/>
            <w:vAlign w:val="center"/>
          </w:tcPr>
          <w:p w14:paraId="0B992582">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1482" w:type="dxa"/>
            <w:vAlign w:val="center"/>
          </w:tcPr>
          <w:p w14:paraId="155714A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第一类用地</w:t>
            </w:r>
          </w:p>
        </w:tc>
        <w:tc>
          <w:tcPr>
            <w:tcW w:w="1483" w:type="dxa"/>
            <w:vAlign w:val="center"/>
          </w:tcPr>
          <w:p w14:paraId="56B1C110">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第二类用地</w:t>
            </w:r>
          </w:p>
        </w:tc>
        <w:tc>
          <w:tcPr>
            <w:tcW w:w="1483" w:type="dxa"/>
            <w:vAlign w:val="center"/>
          </w:tcPr>
          <w:p w14:paraId="0DBFDCCB">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第一类用地</w:t>
            </w:r>
          </w:p>
        </w:tc>
        <w:tc>
          <w:tcPr>
            <w:tcW w:w="1484" w:type="dxa"/>
            <w:vAlign w:val="center"/>
          </w:tcPr>
          <w:p w14:paraId="050D11FF">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第二类用地</w:t>
            </w:r>
          </w:p>
        </w:tc>
      </w:tr>
      <w:tr w14:paraId="4B406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8899" w:type="dxa"/>
            <w:gridSpan w:val="6"/>
            <w:vAlign w:val="center"/>
          </w:tcPr>
          <w:p w14:paraId="24859BD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重金属和无机物</w:t>
            </w:r>
          </w:p>
        </w:tc>
      </w:tr>
      <w:tr w14:paraId="7696AA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28" w:hRule="atLeast"/>
          <w:jc w:val="center"/>
        </w:trPr>
        <w:tc>
          <w:tcPr>
            <w:tcW w:w="1084" w:type="dxa"/>
            <w:vAlign w:val="center"/>
          </w:tcPr>
          <w:p w14:paraId="53BF51E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p>
        </w:tc>
        <w:tc>
          <w:tcPr>
            <w:tcW w:w="1883" w:type="dxa"/>
            <w:vAlign w:val="center"/>
          </w:tcPr>
          <w:p w14:paraId="06925F1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砷</w:t>
            </w:r>
          </w:p>
        </w:tc>
        <w:tc>
          <w:tcPr>
            <w:tcW w:w="1482" w:type="dxa"/>
            <w:vAlign w:val="center"/>
          </w:tcPr>
          <w:p w14:paraId="32CF2DB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w:t>
            </w:r>
          </w:p>
        </w:tc>
        <w:tc>
          <w:tcPr>
            <w:tcW w:w="1483" w:type="dxa"/>
            <w:vAlign w:val="center"/>
          </w:tcPr>
          <w:p w14:paraId="432E8B2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60</w:t>
            </w:r>
          </w:p>
        </w:tc>
        <w:tc>
          <w:tcPr>
            <w:tcW w:w="1483" w:type="dxa"/>
            <w:vAlign w:val="center"/>
          </w:tcPr>
          <w:p w14:paraId="0E49C49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120</w:t>
            </w:r>
          </w:p>
        </w:tc>
        <w:tc>
          <w:tcPr>
            <w:tcW w:w="1484" w:type="dxa"/>
            <w:vAlign w:val="center"/>
          </w:tcPr>
          <w:p w14:paraId="5C959AB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140</w:t>
            </w:r>
          </w:p>
        </w:tc>
      </w:tr>
      <w:tr w14:paraId="3A960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0EFD2A4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w:t>
            </w:r>
          </w:p>
        </w:tc>
        <w:tc>
          <w:tcPr>
            <w:tcW w:w="1883" w:type="dxa"/>
            <w:vAlign w:val="center"/>
          </w:tcPr>
          <w:p w14:paraId="2679247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镉</w:t>
            </w:r>
          </w:p>
        </w:tc>
        <w:tc>
          <w:tcPr>
            <w:tcW w:w="1482" w:type="dxa"/>
            <w:vAlign w:val="center"/>
          </w:tcPr>
          <w:p w14:paraId="59FEB53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w:t>
            </w:r>
          </w:p>
        </w:tc>
        <w:tc>
          <w:tcPr>
            <w:tcW w:w="1483" w:type="dxa"/>
            <w:vAlign w:val="center"/>
          </w:tcPr>
          <w:p w14:paraId="25B22B8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65</w:t>
            </w:r>
          </w:p>
        </w:tc>
        <w:tc>
          <w:tcPr>
            <w:tcW w:w="1483" w:type="dxa"/>
            <w:vAlign w:val="center"/>
          </w:tcPr>
          <w:p w14:paraId="2BDC5CB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47</w:t>
            </w:r>
          </w:p>
        </w:tc>
        <w:tc>
          <w:tcPr>
            <w:tcW w:w="1484" w:type="dxa"/>
            <w:vAlign w:val="center"/>
          </w:tcPr>
          <w:p w14:paraId="4ADD5C0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172</w:t>
            </w:r>
          </w:p>
        </w:tc>
      </w:tr>
      <w:tr w14:paraId="2043E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5C14141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w:t>
            </w:r>
          </w:p>
        </w:tc>
        <w:tc>
          <w:tcPr>
            <w:tcW w:w="1883" w:type="dxa"/>
            <w:vAlign w:val="center"/>
          </w:tcPr>
          <w:p w14:paraId="2150D64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六价铬</w:t>
            </w:r>
          </w:p>
        </w:tc>
        <w:tc>
          <w:tcPr>
            <w:tcW w:w="1482" w:type="dxa"/>
            <w:vAlign w:val="center"/>
          </w:tcPr>
          <w:p w14:paraId="02169B2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3.0</w:t>
            </w:r>
          </w:p>
        </w:tc>
        <w:tc>
          <w:tcPr>
            <w:tcW w:w="1483" w:type="dxa"/>
            <w:vAlign w:val="center"/>
          </w:tcPr>
          <w:p w14:paraId="3138C5D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5.7</w:t>
            </w:r>
          </w:p>
        </w:tc>
        <w:tc>
          <w:tcPr>
            <w:tcW w:w="1483" w:type="dxa"/>
            <w:vAlign w:val="center"/>
          </w:tcPr>
          <w:p w14:paraId="7FD3FBB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30</w:t>
            </w:r>
          </w:p>
        </w:tc>
        <w:tc>
          <w:tcPr>
            <w:tcW w:w="1484" w:type="dxa"/>
            <w:vAlign w:val="center"/>
          </w:tcPr>
          <w:p w14:paraId="242B06B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78</w:t>
            </w:r>
          </w:p>
        </w:tc>
      </w:tr>
      <w:tr w14:paraId="0B9EA7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315BBD0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w:t>
            </w:r>
          </w:p>
        </w:tc>
        <w:tc>
          <w:tcPr>
            <w:tcW w:w="1883" w:type="dxa"/>
            <w:vAlign w:val="center"/>
          </w:tcPr>
          <w:p w14:paraId="297387F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铜</w:t>
            </w:r>
          </w:p>
        </w:tc>
        <w:tc>
          <w:tcPr>
            <w:tcW w:w="1482" w:type="dxa"/>
            <w:vAlign w:val="center"/>
          </w:tcPr>
          <w:p w14:paraId="4AC9B87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2000</w:t>
            </w:r>
          </w:p>
        </w:tc>
        <w:tc>
          <w:tcPr>
            <w:tcW w:w="1483" w:type="dxa"/>
            <w:vAlign w:val="center"/>
          </w:tcPr>
          <w:p w14:paraId="73E9F8D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18000</w:t>
            </w:r>
          </w:p>
        </w:tc>
        <w:tc>
          <w:tcPr>
            <w:tcW w:w="1483" w:type="dxa"/>
            <w:vAlign w:val="center"/>
          </w:tcPr>
          <w:p w14:paraId="55EB6A5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8000</w:t>
            </w:r>
          </w:p>
        </w:tc>
        <w:tc>
          <w:tcPr>
            <w:tcW w:w="1484" w:type="dxa"/>
            <w:vAlign w:val="center"/>
          </w:tcPr>
          <w:p w14:paraId="69622AC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36000</w:t>
            </w:r>
          </w:p>
        </w:tc>
      </w:tr>
      <w:tr w14:paraId="4A9A89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202038E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c>
          <w:tcPr>
            <w:tcW w:w="1883" w:type="dxa"/>
            <w:vAlign w:val="center"/>
          </w:tcPr>
          <w:p w14:paraId="13FB4C9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铅</w:t>
            </w:r>
          </w:p>
        </w:tc>
        <w:tc>
          <w:tcPr>
            <w:tcW w:w="1482" w:type="dxa"/>
            <w:vAlign w:val="center"/>
          </w:tcPr>
          <w:p w14:paraId="28FFD0D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400</w:t>
            </w:r>
          </w:p>
        </w:tc>
        <w:tc>
          <w:tcPr>
            <w:tcW w:w="1483" w:type="dxa"/>
            <w:vAlign w:val="center"/>
          </w:tcPr>
          <w:p w14:paraId="249BC5E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800</w:t>
            </w:r>
          </w:p>
        </w:tc>
        <w:tc>
          <w:tcPr>
            <w:tcW w:w="1483" w:type="dxa"/>
            <w:vAlign w:val="center"/>
          </w:tcPr>
          <w:p w14:paraId="575FB6D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800</w:t>
            </w:r>
          </w:p>
        </w:tc>
        <w:tc>
          <w:tcPr>
            <w:tcW w:w="1484" w:type="dxa"/>
            <w:vAlign w:val="center"/>
          </w:tcPr>
          <w:p w14:paraId="5E1D279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2500</w:t>
            </w:r>
          </w:p>
        </w:tc>
      </w:tr>
      <w:tr w14:paraId="3FDF2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7C122D4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w:t>
            </w:r>
          </w:p>
        </w:tc>
        <w:tc>
          <w:tcPr>
            <w:tcW w:w="1883" w:type="dxa"/>
            <w:vAlign w:val="center"/>
          </w:tcPr>
          <w:p w14:paraId="413DA42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汞</w:t>
            </w:r>
          </w:p>
        </w:tc>
        <w:tc>
          <w:tcPr>
            <w:tcW w:w="1482" w:type="dxa"/>
            <w:vAlign w:val="center"/>
          </w:tcPr>
          <w:p w14:paraId="13C04CA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w:t>
            </w:r>
          </w:p>
        </w:tc>
        <w:tc>
          <w:tcPr>
            <w:tcW w:w="1483" w:type="dxa"/>
            <w:vAlign w:val="center"/>
          </w:tcPr>
          <w:p w14:paraId="548B485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38</w:t>
            </w:r>
          </w:p>
        </w:tc>
        <w:tc>
          <w:tcPr>
            <w:tcW w:w="1483" w:type="dxa"/>
            <w:vAlign w:val="center"/>
          </w:tcPr>
          <w:p w14:paraId="3D51246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33</w:t>
            </w:r>
          </w:p>
        </w:tc>
        <w:tc>
          <w:tcPr>
            <w:tcW w:w="1484" w:type="dxa"/>
            <w:vAlign w:val="center"/>
          </w:tcPr>
          <w:p w14:paraId="71A653A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82</w:t>
            </w:r>
          </w:p>
        </w:tc>
      </w:tr>
      <w:tr w14:paraId="5A180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60AC32F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w:t>
            </w:r>
          </w:p>
        </w:tc>
        <w:tc>
          <w:tcPr>
            <w:tcW w:w="1883" w:type="dxa"/>
            <w:vAlign w:val="center"/>
          </w:tcPr>
          <w:p w14:paraId="04F3D87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镍</w:t>
            </w:r>
          </w:p>
        </w:tc>
        <w:tc>
          <w:tcPr>
            <w:tcW w:w="1482" w:type="dxa"/>
            <w:vAlign w:val="center"/>
          </w:tcPr>
          <w:p w14:paraId="4D61107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150</w:t>
            </w:r>
          </w:p>
        </w:tc>
        <w:tc>
          <w:tcPr>
            <w:tcW w:w="1483" w:type="dxa"/>
            <w:vAlign w:val="center"/>
          </w:tcPr>
          <w:p w14:paraId="717048E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900</w:t>
            </w:r>
          </w:p>
        </w:tc>
        <w:tc>
          <w:tcPr>
            <w:tcW w:w="1483" w:type="dxa"/>
            <w:vAlign w:val="center"/>
          </w:tcPr>
          <w:p w14:paraId="70B81B8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600</w:t>
            </w:r>
          </w:p>
        </w:tc>
        <w:tc>
          <w:tcPr>
            <w:tcW w:w="1484" w:type="dxa"/>
            <w:vAlign w:val="center"/>
          </w:tcPr>
          <w:p w14:paraId="40AD905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2000</w:t>
            </w:r>
          </w:p>
        </w:tc>
      </w:tr>
      <w:tr w14:paraId="1DF13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8899" w:type="dxa"/>
            <w:gridSpan w:val="6"/>
            <w:vAlign w:val="center"/>
          </w:tcPr>
          <w:p w14:paraId="4C8E9DB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挥发性有机物</w:t>
            </w:r>
          </w:p>
        </w:tc>
      </w:tr>
      <w:tr w14:paraId="0570D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22655A1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w:t>
            </w:r>
          </w:p>
        </w:tc>
        <w:tc>
          <w:tcPr>
            <w:tcW w:w="1883" w:type="dxa"/>
            <w:vAlign w:val="center"/>
          </w:tcPr>
          <w:p w14:paraId="4A5BEFF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四氯化碳</w:t>
            </w:r>
          </w:p>
        </w:tc>
        <w:tc>
          <w:tcPr>
            <w:tcW w:w="1482" w:type="dxa"/>
            <w:vAlign w:val="center"/>
          </w:tcPr>
          <w:p w14:paraId="4FF6E8B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0.9</w:t>
            </w:r>
          </w:p>
        </w:tc>
        <w:tc>
          <w:tcPr>
            <w:tcW w:w="1483" w:type="dxa"/>
            <w:vAlign w:val="center"/>
          </w:tcPr>
          <w:p w14:paraId="49FC06B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2.8</w:t>
            </w:r>
          </w:p>
        </w:tc>
        <w:tc>
          <w:tcPr>
            <w:tcW w:w="1483" w:type="dxa"/>
            <w:vAlign w:val="center"/>
          </w:tcPr>
          <w:p w14:paraId="440BB79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9</w:t>
            </w:r>
          </w:p>
        </w:tc>
        <w:tc>
          <w:tcPr>
            <w:tcW w:w="1484" w:type="dxa"/>
            <w:vAlign w:val="center"/>
          </w:tcPr>
          <w:p w14:paraId="3E33AB7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36</w:t>
            </w:r>
          </w:p>
        </w:tc>
      </w:tr>
      <w:tr w14:paraId="2A7F2A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4F9AF9E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9</w:t>
            </w:r>
          </w:p>
        </w:tc>
        <w:tc>
          <w:tcPr>
            <w:tcW w:w="1883" w:type="dxa"/>
            <w:vAlign w:val="center"/>
          </w:tcPr>
          <w:p w14:paraId="117F1B6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氯仿</w:t>
            </w:r>
          </w:p>
        </w:tc>
        <w:tc>
          <w:tcPr>
            <w:tcW w:w="1482" w:type="dxa"/>
            <w:vAlign w:val="center"/>
          </w:tcPr>
          <w:p w14:paraId="30612EC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0.3</w:t>
            </w:r>
          </w:p>
        </w:tc>
        <w:tc>
          <w:tcPr>
            <w:tcW w:w="1483" w:type="dxa"/>
            <w:vAlign w:val="center"/>
          </w:tcPr>
          <w:p w14:paraId="56D4066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0.9</w:t>
            </w:r>
          </w:p>
        </w:tc>
        <w:tc>
          <w:tcPr>
            <w:tcW w:w="1483" w:type="dxa"/>
            <w:vAlign w:val="center"/>
          </w:tcPr>
          <w:p w14:paraId="338D57B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c>
          <w:tcPr>
            <w:tcW w:w="1484" w:type="dxa"/>
            <w:vAlign w:val="center"/>
          </w:tcPr>
          <w:p w14:paraId="1B03194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w:t>
            </w:r>
          </w:p>
        </w:tc>
      </w:tr>
      <w:tr w14:paraId="6F161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7F9A572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w:t>
            </w:r>
          </w:p>
        </w:tc>
        <w:tc>
          <w:tcPr>
            <w:tcW w:w="1883" w:type="dxa"/>
            <w:vAlign w:val="center"/>
          </w:tcPr>
          <w:p w14:paraId="02600A5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氯甲烷</w:t>
            </w:r>
          </w:p>
        </w:tc>
        <w:tc>
          <w:tcPr>
            <w:tcW w:w="1482" w:type="dxa"/>
            <w:vAlign w:val="center"/>
          </w:tcPr>
          <w:p w14:paraId="37594DB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w:t>
            </w:r>
          </w:p>
        </w:tc>
        <w:tc>
          <w:tcPr>
            <w:tcW w:w="1483" w:type="dxa"/>
            <w:vAlign w:val="center"/>
          </w:tcPr>
          <w:p w14:paraId="31EBF78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37</w:t>
            </w:r>
          </w:p>
        </w:tc>
        <w:tc>
          <w:tcPr>
            <w:tcW w:w="1483" w:type="dxa"/>
            <w:vAlign w:val="center"/>
          </w:tcPr>
          <w:p w14:paraId="1DB20D2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21</w:t>
            </w:r>
          </w:p>
        </w:tc>
        <w:tc>
          <w:tcPr>
            <w:tcW w:w="1484" w:type="dxa"/>
            <w:vAlign w:val="center"/>
          </w:tcPr>
          <w:p w14:paraId="3D9636D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120</w:t>
            </w:r>
          </w:p>
        </w:tc>
      </w:tr>
      <w:tr w14:paraId="28F11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6263C9E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11</w:t>
            </w:r>
          </w:p>
        </w:tc>
        <w:tc>
          <w:tcPr>
            <w:tcW w:w="1883" w:type="dxa"/>
            <w:vAlign w:val="center"/>
          </w:tcPr>
          <w:p w14:paraId="4A143D1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1,1-</w:t>
            </w:r>
            <w:r>
              <w:rPr>
                <w:rFonts w:hint="default" w:ascii="Times New Roman" w:hAnsi="Times New Roman" w:cs="Times New Roman"/>
                <w:color w:val="auto"/>
                <w:highlight w:val="none"/>
                <w:u w:val="none" w:color="auto"/>
              </w:rPr>
              <w:t>二氯乙烷</w:t>
            </w:r>
          </w:p>
        </w:tc>
        <w:tc>
          <w:tcPr>
            <w:tcW w:w="1482" w:type="dxa"/>
            <w:vAlign w:val="center"/>
          </w:tcPr>
          <w:p w14:paraId="57CE92F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w:t>
            </w:r>
          </w:p>
        </w:tc>
        <w:tc>
          <w:tcPr>
            <w:tcW w:w="1483" w:type="dxa"/>
            <w:vAlign w:val="center"/>
          </w:tcPr>
          <w:p w14:paraId="2855A95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9</w:t>
            </w:r>
          </w:p>
        </w:tc>
        <w:tc>
          <w:tcPr>
            <w:tcW w:w="1483" w:type="dxa"/>
            <w:vAlign w:val="center"/>
          </w:tcPr>
          <w:p w14:paraId="1F2BF61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w:t>
            </w:r>
          </w:p>
        </w:tc>
        <w:tc>
          <w:tcPr>
            <w:tcW w:w="1484" w:type="dxa"/>
            <w:vAlign w:val="center"/>
          </w:tcPr>
          <w:p w14:paraId="2240193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100</w:t>
            </w:r>
          </w:p>
        </w:tc>
      </w:tr>
      <w:tr w14:paraId="751409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2F34653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w:t>
            </w:r>
          </w:p>
        </w:tc>
        <w:tc>
          <w:tcPr>
            <w:tcW w:w="1883" w:type="dxa"/>
            <w:vAlign w:val="center"/>
          </w:tcPr>
          <w:p w14:paraId="3D0DDE8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1,2-</w:t>
            </w:r>
            <w:r>
              <w:rPr>
                <w:rFonts w:hint="default" w:ascii="Times New Roman" w:hAnsi="Times New Roman" w:cs="Times New Roman"/>
                <w:color w:val="auto"/>
                <w:highlight w:val="none"/>
                <w:u w:val="none" w:color="auto"/>
              </w:rPr>
              <w:t>二氯乙烷</w:t>
            </w:r>
          </w:p>
        </w:tc>
        <w:tc>
          <w:tcPr>
            <w:tcW w:w="1482" w:type="dxa"/>
            <w:vAlign w:val="center"/>
          </w:tcPr>
          <w:p w14:paraId="0EB8BF0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0.52</w:t>
            </w:r>
          </w:p>
        </w:tc>
        <w:tc>
          <w:tcPr>
            <w:tcW w:w="1483" w:type="dxa"/>
            <w:vAlign w:val="center"/>
          </w:tcPr>
          <w:p w14:paraId="308E7F7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c>
          <w:tcPr>
            <w:tcW w:w="1483" w:type="dxa"/>
            <w:vAlign w:val="center"/>
          </w:tcPr>
          <w:p w14:paraId="2CBB276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w:t>
            </w:r>
          </w:p>
        </w:tc>
        <w:tc>
          <w:tcPr>
            <w:tcW w:w="1484" w:type="dxa"/>
            <w:vAlign w:val="center"/>
          </w:tcPr>
          <w:p w14:paraId="06E3AFE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21</w:t>
            </w:r>
          </w:p>
        </w:tc>
      </w:tr>
      <w:tr w14:paraId="36D66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3C81EB1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13</w:t>
            </w:r>
          </w:p>
        </w:tc>
        <w:tc>
          <w:tcPr>
            <w:tcW w:w="1883" w:type="dxa"/>
            <w:vAlign w:val="center"/>
          </w:tcPr>
          <w:p w14:paraId="1841884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1,1-</w:t>
            </w:r>
            <w:r>
              <w:rPr>
                <w:rFonts w:hint="default" w:ascii="Times New Roman" w:hAnsi="Times New Roman" w:cs="Times New Roman"/>
                <w:color w:val="auto"/>
                <w:highlight w:val="none"/>
                <w:u w:val="none" w:color="auto"/>
              </w:rPr>
              <w:t>二氯乙烯</w:t>
            </w:r>
          </w:p>
        </w:tc>
        <w:tc>
          <w:tcPr>
            <w:tcW w:w="1482" w:type="dxa"/>
            <w:vAlign w:val="center"/>
          </w:tcPr>
          <w:p w14:paraId="6C38BC7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w:t>
            </w:r>
          </w:p>
        </w:tc>
        <w:tc>
          <w:tcPr>
            <w:tcW w:w="1483" w:type="dxa"/>
            <w:vAlign w:val="center"/>
          </w:tcPr>
          <w:p w14:paraId="21B60BC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66</w:t>
            </w:r>
          </w:p>
        </w:tc>
        <w:tc>
          <w:tcPr>
            <w:tcW w:w="1483" w:type="dxa"/>
            <w:vAlign w:val="center"/>
          </w:tcPr>
          <w:p w14:paraId="05AA64D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40</w:t>
            </w:r>
          </w:p>
        </w:tc>
        <w:tc>
          <w:tcPr>
            <w:tcW w:w="1484" w:type="dxa"/>
            <w:vAlign w:val="center"/>
          </w:tcPr>
          <w:p w14:paraId="4402246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200</w:t>
            </w:r>
          </w:p>
        </w:tc>
      </w:tr>
      <w:tr w14:paraId="5E0BB8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391BED2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14</w:t>
            </w:r>
          </w:p>
        </w:tc>
        <w:tc>
          <w:tcPr>
            <w:tcW w:w="1883" w:type="dxa"/>
            <w:vAlign w:val="center"/>
          </w:tcPr>
          <w:p w14:paraId="7D839F4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顺</w:t>
            </w:r>
            <w:r>
              <w:rPr>
                <w:rFonts w:hint="default" w:ascii="Times New Roman" w:hAnsi="Times New Roman" w:eastAsia="TimesNewRomanPSMT" w:cs="Times New Roman"/>
                <w:color w:val="auto"/>
                <w:highlight w:val="none"/>
                <w:u w:val="none" w:color="auto"/>
              </w:rPr>
              <w:t>-1,2-</w:t>
            </w:r>
            <w:r>
              <w:rPr>
                <w:rFonts w:hint="default" w:ascii="Times New Roman" w:hAnsi="Times New Roman" w:cs="Times New Roman"/>
                <w:color w:val="auto"/>
                <w:highlight w:val="none"/>
                <w:u w:val="none" w:color="auto"/>
              </w:rPr>
              <w:t>二氯乙烯</w:t>
            </w:r>
          </w:p>
        </w:tc>
        <w:tc>
          <w:tcPr>
            <w:tcW w:w="1482" w:type="dxa"/>
            <w:vAlign w:val="center"/>
          </w:tcPr>
          <w:p w14:paraId="15998A9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66</w:t>
            </w:r>
          </w:p>
        </w:tc>
        <w:tc>
          <w:tcPr>
            <w:tcW w:w="1483" w:type="dxa"/>
            <w:vAlign w:val="center"/>
          </w:tcPr>
          <w:p w14:paraId="627B04D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596</w:t>
            </w:r>
          </w:p>
        </w:tc>
        <w:tc>
          <w:tcPr>
            <w:tcW w:w="1483" w:type="dxa"/>
            <w:vAlign w:val="center"/>
          </w:tcPr>
          <w:p w14:paraId="65996D8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200</w:t>
            </w:r>
          </w:p>
        </w:tc>
        <w:tc>
          <w:tcPr>
            <w:tcW w:w="1484" w:type="dxa"/>
            <w:vAlign w:val="center"/>
          </w:tcPr>
          <w:p w14:paraId="258D5B6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2000</w:t>
            </w:r>
          </w:p>
        </w:tc>
      </w:tr>
      <w:tr w14:paraId="434B1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28" w:hRule="atLeast"/>
          <w:jc w:val="center"/>
        </w:trPr>
        <w:tc>
          <w:tcPr>
            <w:tcW w:w="1084" w:type="dxa"/>
            <w:vAlign w:val="center"/>
          </w:tcPr>
          <w:p w14:paraId="2DCD9CC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w:t>
            </w:r>
          </w:p>
        </w:tc>
        <w:tc>
          <w:tcPr>
            <w:tcW w:w="1883" w:type="dxa"/>
            <w:vAlign w:val="center"/>
          </w:tcPr>
          <w:p w14:paraId="4A7771E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反</w:t>
            </w:r>
            <w:r>
              <w:rPr>
                <w:rFonts w:hint="default" w:ascii="Times New Roman" w:hAnsi="Times New Roman" w:eastAsia="TimesNewRomanPSMT" w:cs="Times New Roman"/>
                <w:color w:val="auto"/>
                <w:highlight w:val="none"/>
                <w:u w:val="none" w:color="auto"/>
              </w:rPr>
              <w:t>-1,2-</w:t>
            </w:r>
            <w:r>
              <w:rPr>
                <w:rFonts w:hint="default" w:ascii="Times New Roman" w:hAnsi="Times New Roman" w:cs="Times New Roman"/>
                <w:color w:val="auto"/>
                <w:highlight w:val="none"/>
                <w:u w:val="none" w:color="auto"/>
              </w:rPr>
              <w:t>二氯乙烯</w:t>
            </w:r>
          </w:p>
        </w:tc>
        <w:tc>
          <w:tcPr>
            <w:tcW w:w="1482" w:type="dxa"/>
            <w:vAlign w:val="center"/>
          </w:tcPr>
          <w:p w14:paraId="3C40FCF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w:t>
            </w:r>
          </w:p>
        </w:tc>
        <w:tc>
          <w:tcPr>
            <w:tcW w:w="1483" w:type="dxa"/>
            <w:vAlign w:val="center"/>
          </w:tcPr>
          <w:p w14:paraId="3E87A86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54</w:t>
            </w:r>
          </w:p>
        </w:tc>
        <w:tc>
          <w:tcPr>
            <w:tcW w:w="1483" w:type="dxa"/>
            <w:vAlign w:val="center"/>
          </w:tcPr>
          <w:p w14:paraId="43C66DA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31</w:t>
            </w:r>
          </w:p>
        </w:tc>
        <w:tc>
          <w:tcPr>
            <w:tcW w:w="1484" w:type="dxa"/>
            <w:vAlign w:val="center"/>
          </w:tcPr>
          <w:p w14:paraId="48B6A10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163</w:t>
            </w:r>
          </w:p>
        </w:tc>
      </w:tr>
      <w:tr w14:paraId="54D46B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5C5BF31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16</w:t>
            </w:r>
          </w:p>
        </w:tc>
        <w:tc>
          <w:tcPr>
            <w:tcW w:w="1883" w:type="dxa"/>
            <w:vAlign w:val="center"/>
          </w:tcPr>
          <w:p w14:paraId="64BF88A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二氯甲烷</w:t>
            </w:r>
          </w:p>
        </w:tc>
        <w:tc>
          <w:tcPr>
            <w:tcW w:w="1482" w:type="dxa"/>
            <w:vAlign w:val="center"/>
          </w:tcPr>
          <w:p w14:paraId="532D9FF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94</w:t>
            </w:r>
          </w:p>
        </w:tc>
        <w:tc>
          <w:tcPr>
            <w:tcW w:w="1483" w:type="dxa"/>
            <w:vAlign w:val="center"/>
          </w:tcPr>
          <w:p w14:paraId="2642252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616</w:t>
            </w:r>
          </w:p>
        </w:tc>
        <w:tc>
          <w:tcPr>
            <w:tcW w:w="1483" w:type="dxa"/>
            <w:vAlign w:val="center"/>
          </w:tcPr>
          <w:p w14:paraId="1670622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300</w:t>
            </w:r>
          </w:p>
        </w:tc>
        <w:tc>
          <w:tcPr>
            <w:tcW w:w="1484" w:type="dxa"/>
            <w:vAlign w:val="center"/>
          </w:tcPr>
          <w:p w14:paraId="5B59921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2000</w:t>
            </w:r>
          </w:p>
        </w:tc>
      </w:tr>
      <w:tr w14:paraId="3B4B9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11BC986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17</w:t>
            </w:r>
          </w:p>
        </w:tc>
        <w:tc>
          <w:tcPr>
            <w:tcW w:w="1883" w:type="dxa"/>
            <w:vAlign w:val="center"/>
          </w:tcPr>
          <w:p w14:paraId="1777BDB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1,2-</w:t>
            </w:r>
            <w:r>
              <w:rPr>
                <w:rFonts w:hint="default" w:ascii="Times New Roman" w:hAnsi="Times New Roman" w:cs="Times New Roman"/>
                <w:color w:val="auto"/>
                <w:highlight w:val="none"/>
                <w:u w:val="none" w:color="auto"/>
              </w:rPr>
              <w:t>二氯丙烷</w:t>
            </w:r>
          </w:p>
        </w:tc>
        <w:tc>
          <w:tcPr>
            <w:tcW w:w="1482" w:type="dxa"/>
            <w:vAlign w:val="center"/>
          </w:tcPr>
          <w:p w14:paraId="22AB77E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p>
        </w:tc>
        <w:tc>
          <w:tcPr>
            <w:tcW w:w="1483" w:type="dxa"/>
            <w:vAlign w:val="center"/>
          </w:tcPr>
          <w:p w14:paraId="031BEAA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c>
          <w:tcPr>
            <w:tcW w:w="1483" w:type="dxa"/>
            <w:vAlign w:val="center"/>
          </w:tcPr>
          <w:p w14:paraId="0BAAAE0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c>
          <w:tcPr>
            <w:tcW w:w="1484" w:type="dxa"/>
            <w:vAlign w:val="center"/>
          </w:tcPr>
          <w:p w14:paraId="21CC8DD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47</w:t>
            </w:r>
          </w:p>
        </w:tc>
      </w:tr>
      <w:tr w14:paraId="29A323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084" w:type="dxa"/>
            <w:vAlign w:val="center"/>
          </w:tcPr>
          <w:p w14:paraId="6AE1D05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18</w:t>
            </w:r>
          </w:p>
        </w:tc>
        <w:tc>
          <w:tcPr>
            <w:tcW w:w="1883" w:type="dxa"/>
            <w:vAlign w:val="center"/>
          </w:tcPr>
          <w:p w14:paraId="0C9B399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1,1,1,2-</w:t>
            </w:r>
            <w:r>
              <w:rPr>
                <w:rFonts w:hint="default" w:ascii="Times New Roman" w:hAnsi="Times New Roman" w:cs="Times New Roman"/>
                <w:color w:val="auto"/>
                <w:highlight w:val="none"/>
                <w:u w:val="none" w:color="auto"/>
              </w:rPr>
              <w:t>四氯乙烷</w:t>
            </w:r>
          </w:p>
        </w:tc>
        <w:tc>
          <w:tcPr>
            <w:tcW w:w="1482" w:type="dxa"/>
            <w:vAlign w:val="center"/>
          </w:tcPr>
          <w:p w14:paraId="611F7CD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2.6</w:t>
            </w:r>
          </w:p>
        </w:tc>
        <w:tc>
          <w:tcPr>
            <w:tcW w:w="1483" w:type="dxa"/>
            <w:vAlign w:val="center"/>
          </w:tcPr>
          <w:p w14:paraId="7F75C0F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w:t>
            </w:r>
          </w:p>
        </w:tc>
        <w:tc>
          <w:tcPr>
            <w:tcW w:w="1483" w:type="dxa"/>
            <w:vAlign w:val="center"/>
          </w:tcPr>
          <w:p w14:paraId="6927D6E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26</w:t>
            </w:r>
          </w:p>
        </w:tc>
        <w:tc>
          <w:tcPr>
            <w:tcW w:w="1484" w:type="dxa"/>
            <w:vAlign w:val="center"/>
          </w:tcPr>
          <w:p w14:paraId="0D54CF7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100</w:t>
            </w:r>
          </w:p>
        </w:tc>
      </w:tr>
      <w:tr w14:paraId="155C4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21A9533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19</w:t>
            </w:r>
          </w:p>
        </w:tc>
        <w:tc>
          <w:tcPr>
            <w:tcW w:w="1883" w:type="dxa"/>
            <w:vAlign w:val="center"/>
          </w:tcPr>
          <w:p w14:paraId="64C7912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1,1,2,2-</w:t>
            </w:r>
            <w:r>
              <w:rPr>
                <w:rFonts w:hint="default" w:ascii="Times New Roman" w:hAnsi="Times New Roman" w:cs="Times New Roman"/>
                <w:color w:val="auto"/>
                <w:highlight w:val="none"/>
                <w:u w:val="none" w:color="auto"/>
              </w:rPr>
              <w:t>四氯乙烷</w:t>
            </w:r>
          </w:p>
        </w:tc>
        <w:tc>
          <w:tcPr>
            <w:tcW w:w="1482" w:type="dxa"/>
            <w:vAlign w:val="center"/>
          </w:tcPr>
          <w:p w14:paraId="1878247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1.6</w:t>
            </w:r>
          </w:p>
        </w:tc>
        <w:tc>
          <w:tcPr>
            <w:tcW w:w="1483" w:type="dxa"/>
            <w:vAlign w:val="center"/>
          </w:tcPr>
          <w:p w14:paraId="32D9D43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6.8</w:t>
            </w:r>
          </w:p>
        </w:tc>
        <w:tc>
          <w:tcPr>
            <w:tcW w:w="1483" w:type="dxa"/>
            <w:vAlign w:val="center"/>
          </w:tcPr>
          <w:p w14:paraId="6B84463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14</w:t>
            </w:r>
          </w:p>
        </w:tc>
        <w:tc>
          <w:tcPr>
            <w:tcW w:w="1484" w:type="dxa"/>
            <w:vAlign w:val="center"/>
          </w:tcPr>
          <w:p w14:paraId="4DD743E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50</w:t>
            </w:r>
          </w:p>
        </w:tc>
      </w:tr>
      <w:tr w14:paraId="7801D8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544F99D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w:t>
            </w:r>
          </w:p>
        </w:tc>
        <w:tc>
          <w:tcPr>
            <w:tcW w:w="1883" w:type="dxa"/>
            <w:vAlign w:val="center"/>
          </w:tcPr>
          <w:p w14:paraId="481C399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四氯乙烯</w:t>
            </w:r>
          </w:p>
        </w:tc>
        <w:tc>
          <w:tcPr>
            <w:tcW w:w="1482" w:type="dxa"/>
            <w:vAlign w:val="center"/>
          </w:tcPr>
          <w:p w14:paraId="36410F9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11</w:t>
            </w:r>
          </w:p>
        </w:tc>
        <w:tc>
          <w:tcPr>
            <w:tcW w:w="1483" w:type="dxa"/>
            <w:vAlign w:val="center"/>
          </w:tcPr>
          <w:p w14:paraId="5AB4A3B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53</w:t>
            </w:r>
          </w:p>
        </w:tc>
        <w:tc>
          <w:tcPr>
            <w:tcW w:w="1483" w:type="dxa"/>
            <w:vAlign w:val="center"/>
          </w:tcPr>
          <w:p w14:paraId="6219ECC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34</w:t>
            </w:r>
          </w:p>
        </w:tc>
        <w:tc>
          <w:tcPr>
            <w:tcW w:w="1484" w:type="dxa"/>
            <w:vAlign w:val="center"/>
          </w:tcPr>
          <w:p w14:paraId="7A87C00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183</w:t>
            </w:r>
          </w:p>
        </w:tc>
      </w:tr>
      <w:tr w14:paraId="00C6B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14E2DF0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21</w:t>
            </w:r>
          </w:p>
        </w:tc>
        <w:tc>
          <w:tcPr>
            <w:tcW w:w="1883" w:type="dxa"/>
            <w:vAlign w:val="center"/>
          </w:tcPr>
          <w:p w14:paraId="747AC56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1,1,1-</w:t>
            </w:r>
            <w:r>
              <w:rPr>
                <w:rFonts w:hint="default" w:ascii="Times New Roman" w:hAnsi="Times New Roman" w:cs="Times New Roman"/>
                <w:color w:val="auto"/>
                <w:highlight w:val="none"/>
                <w:u w:val="none" w:color="auto"/>
              </w:rPr>
              <w:t>三氯乙烷</w:t>
            </w:r>
          </w:p>
        </w:tc>
        <w:tc>
          <w:tcPr>
            <w:tcW w:w="1482" w:type="dxa"/>
            <w:vAlign w:val="center"/>
          </w:tcPr>
          <w:p w14:paraId="7C8F19C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701</w:t>
            </w:r>
          </w:p>
        </w:tc>
        <w:tc>
          <w:tcPr>
            <w:tcW w:w="1483" w:type="dxa"/>
            <w:vAlign w:val="center"/>
          </w:tcPr>
          <w:p w14:paraId="69E3344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840</w:t>
            </w:r>
          </w:p>
        </w:tc>
        <w:tc>
          <w:tcPr>
            <w:tcW w:w="1483" w:type="dxa"/>
            <w:vAlign w:val="center"/>
          </w:tcPr>
          <w:p w14:paraId="56B19C1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840</w:t>
            </w:r>
          </w:p>
        </w:tc>
        <w:tc>
          <w:tcPr>
            <w:tcW w:w="1484" w:type="dxa"/>
            <w:vAlign w:val="center"/>
          </w:tcPr>
          <w:p w14:paraId="2ECD70C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840</w:t>
            </w:r>
          </w:p>
        </w:tc>
      </w:tr>
      <w:tr w14:paraId="3F39E3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28" w:hRule="atLeast"/>
          <w:jc w:val="center"/>
        </w:trPr>
        <w:tc>
          <w:tcPr>
            <w:tcW w:w="1084" w:type="dxa"/>
            <w:vAlign w:val="center"/>
          </w:tcPr>
          <w:p w14:paraId="0C73F7F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22</w:t>
            </w:r>
          </w:p>
        </w:tc>
        <w:tc>
          <w:tcPr>
            <w:tcW w:w="1883" w:type="dxa"/>
            <w:vAlign w:val="center"/>
          </w:tcPr>
          <w:p w14:paraId="180AA53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1,1,2-</w:t>
            </w:r>
            <w:r>
              <w:rPr>
                <w:rFonts w:hint="default" w:ascii="Times New Roman" w:hAnsi="Times New Roman" w:cs="Times New Roman"/>
                <w:color w:val="auto"/>
                <w:highlight w:val="none"/>
                <w:u w:val="none" w:color="auto"/>
              </w:rPr>
              <w:t>三氯乙烷</w:t>
            </w:r>
          </w:p>
        </w:tc>
        <w:tc>
          <w:tcPr>
            <w:tcW w:w="1482" w:type="dxa"/>
            <w:vAlign w:val="center"/>
          </w:tcPr>
          <w:p w14:paraId="45FC434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0.6</w:t>
            </w:r>
          </w:p>
        </w:tc>
        <w:tc>
          <w:tcPr>
            <w:tcW w:w="1483" w:type="dxa"/>
            <w:vAlign w:val="center"/>
          </w:tcPr>
          <w:p w14:paraId="7128FD1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2.8</w:t>
            </w:r>
          </w:p>
        </w:tc>
        <w:tc>
          <w:tcPr>
            <w:tcW w:w="1483" w:type="dxa"/>
            <w:vAlign w:val="center"/>
          </w:tcPr>
          <w:p w14:paraId="42370F6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c>
          <w:tcPr>
            <w:tcW w:w="1484" w:type="dxa"/>
            <w:vAlign w:val="center"/>
          </w:tcPr>
          <w:p w14:paraId="26BB166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w:t>
            </w:r>
          </w:p>
        </w:tc>
      </w:tr>
      <w:tr w14:paraId="528199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1C03B6A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23</w:t>
            </w:r>
          </w:p>
        </w:tc>
        <w:tc>
          <w:tcPr>
            <w:tcW w:w="1883" w:type="dxa"/>
            <w:vAlign w:val="center"/>
          </w:tcPr>
          <w:p w14:paraId="6B5A04F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三氯乙烷</w:t>
            </w:r>
          </w:p>
        </w:tc>
        <w:tc>
          <w:tcPr>
            <w:tcW w:w="1482" w:type="dxa"/>
            <w:vAlign w:val="center"/>
          </w:tcPr>
          <w:p w14:paraId="102469A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0.7</w:t>
            </w:r>
          </w:p>
        </w:tc>
        <w:tc>
          <w:tcPr>
            <w:tcW w:w="1483" w:type="dxa"/>
            <w:vAlign w:val="center"/>
          </w:tcPr>
          <w:p w14:paraId="6F0811F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2.8</w:t>
            </w:r>
          </w:p>
        </w:tc>
        <w:tc>
          <w:tcPr>
            <w:tcW w:w="1483" w:type="dxa"/>
            <w:vAlign w:val="center"/>
          </w:tcPr>
          <w:p w14:paraId="22EDB69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w:t>
            </w:r>
          </w:p>
        </w:tc>
        <w:tc>
          <w:tcPr>
            <w:tcW w:w="1484" w:type="dxa"/>
            <w:vAlign w:val="center"/>
          </w:tcPr>
          <w:p w14:paraId="16B8B48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w:t>
            </w:r>
          </w:p>
        </w:tc>
      </w:tr>
      <w:tr w14:paraId="0B9BF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35965CD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24</w:t>
            </w:r>
          </w:p>
        </w:tc>
        <w:tc>
          <w:tcPr>
            <w:tcW w:w="1883" w:type="dxa"/>
            <w:vAlign w:val="center"/>
          </w:tcPr>
          <w:p w14:paraId="4790911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1,2,3-</w:t>
            </w:r>
            <w:r>
              <w:rPr>
                <w:rFonts w:hint="default" w:ascii="Times New Roman" w:hAnsi="Times New Roman" w:cs="Times New Roman"/>
                <w:color w:val="auto"/>
                <w:highlight w:val="none"/>
                <w:u w:val="none" w:color="auto"/>
              </w:rPr>
              <w:t>三氯丙烷</w:t>
            </w:r>
          </w:p>
        </w:tc>
        <w:tc>
          <w:tcPr>
            <w:tcW w:w="1482" w:type="dxa"/>
            <w:vAlign w:val="center"/>
          </w:tcPr>
          <w:p w14:paraId="3977397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0.05</w:t>
            </w:r>
          </w:p>
        </w:tc>
        <w:tc>
          <w:tcPr>
            <w:tcW w:w="1483" w:type="dxa"/>
            <w:vAlign w:val="center"/>
          </w:tcPr>
          <w:p w14:paraId="17AFE07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0.5</w:t>
            </w:r>
          </w:p>
        </w:tc>
        <w:tc>
          <w:tcPr>
            <w:tcW w:w="1483" w:type="dxa"/>
            <w:vAlign w:val="center"/>
          </w:tcPr>
          <w:p w14:paraId="34321A5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0.5</w:t>
            </w:r>
          </w:p>
        </w:tc>
        <w:tc>
          <w:tcPr>
            <w:tcW w:w="1484" w:type="dxa"/>
            <w:vAlign w:val="center"/>
          </w:tcPr>
          <w:p w14:paraId="6103907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r>
      <w:tr w14:paraId="1E0A28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3F4A336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25</w:t>
            </w:r>
          </w:p>
        </w:tc>
        <w:tc>
          <w:tcPr>
            <w:tcW w:w="1883" w:type="dxa"/>
            <w:vAlign w:val="center"/>
          </w:tcPr>
          <w:p w14:paraId="5BA412F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氯乙烯</w:t>
            </w:r>
          </w:p>
        </w:tc>
        <w:tc>
          <w:tcPr>
            <w:tcW w:w="1482" w:type="dxa"/>
            <w:vAlign w:val="center"/>
          </w:tcPr>
          <w:p w14:paraId="575E613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0.12</w:t>
            </w:r>
          </w:p>
        </w:tc>
        <w:tc>
          <w:tcPr>
            <w:tcW w:w="1483" w:type="dxa"/>
            <w:vAlign w:val="center"/>
          </w:tcPr>
          <w:p w14:paraId="18B307C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0.43</w:t>
            </w:r>
          </w:p>
        </w:tc>
        <w:tc>
          <w:tcPr>
            <w:tcW w:w="1483" w:type="dxa"/>
            <w:vAlign w:val="center"/>
          </w:tcPr>
          <w:p w14:paraId="04A5D02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w:t>
            </w:r>
          </w:p>
        </w:tc>
        <w:tc>
          <w:tcPr>
            <w:tcW w:w="1484" w:type="dxa"/>
            <w:vAlign w:val="center"/>
          </w:tcPr>
          <w:p w14:paraId="6D22090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4.3</w:t>
            </w:r>
          </w:p>
        </w:tc>
      </w:tr>
      <w:tr w14:paraId="415C8D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249D1FE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26</w:t>
            </w:r>
          </w:p>
        </w:tc>
        <w:tc>
          <w:tcPr>
            <w:tcW w:w="1883" w:type="dxa"/>
            <w:vAlign w:val="center"/>
          </w:tcPr>
          <w:p w14:paraId="3ED88A9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苯</w:t>
            </w:r>
          </w:p>
        </w:tc>
        <w:tc>
          <w:tcPr>
            <w:tcW w:w="1482" w:type="dxa"/>
            <w:vAlign w:val="center"/>
          </w:tcPr>
          <w:p w14:paraId="371FC3C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p>
        </w:tc>
        <w:tc>
          <w:tcPr>
            <w:tcW w:w="1483" w:type="dxa"/>
            <w:vAlign w:val="center"/>
          </w:tcPr>
          <w:p w14:paraId="71BF634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w:t>
            </w:r>
          </w:p>
        </w:tc>
        <w:tc>
          <w:tcPr>
            <w:tcW w:w="1483" w:type="dxa"/>
            <w:vAlign w:val="center"/>
          </w:tcPr>
          <w:p w14:paraId="5321B92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w:t>
            </w:r>
          </w:p>
        </w:tc>
        <w:tc>
          <w:tcPr>
            <w:tcW w:w="1484" w:type="dxa"/>
            <w:vAlign w:val="center"/>
          </w:tcPr>
          <w:p w14:paraId="411AD67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40</w:t>
            </w:r>
          </w:p>
        </w:tc>
      </w:tr>
      <w:tr w14:paraId="2CE642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53B87ED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27</w:t>
            </w:r>
          </w:p>
        </w:tc>
        <w:tc>
          <w:tcPr>
            <w:tcW w:w="1883" w:type="dxa"/>
            <w:vAlign w:val="center"/>
          </w:tcPr>
          <w:p w14:paraId="11A08ED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氯苯</w:t>
            </w:r>
          </w:p>
        </w:tc>
        <w:tc>
          <w:tcPr>
            <w:tcW w:w="1482" w:type="dxa"/>
            <w:vAlign w:val="center"/>
          </w:tcPr>
          <w:p w14:paraId="3E42613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68</w:t>
            </w:r>
          </w:p>
        </w:tc>
        <w:tc>
          <w:tcPr>
            <w:tcW w:w="1483" w:type="dxa"/>
            <w:vAlign w:val="center"/>
          </w:tcPr>
          <w:p w14:paraId="20638A6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270</w:t>
            </w:r>
          </w:p>
        </w:tc>
        <w:tc>
          <w:tcPr>
            <w:tcW w:w="1483" w:type="dxa"/>
            <w:vAlign w:val="center"/>
          </w:tcPr>
          <w:p w14:paraId="3BE26A3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200</w:t>
            </w:r>
          </w:p>
        </w:tc>
        <w:tc>
          <w:tcPr>
            <w:tcW w:w="1484" w:type="dxa"/>
            <w:vAlign w:val="center"/>
          </w:tcPr>
          <w:p w14:paraId="2985FDD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1000</w:t>
            </w:r>
          </w:p>
        </w:tc>
      </w:tr>
      <w:tr w14:paraId="0FD1B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3845370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28</w:t>
            </w:r>
          </w:p>
        </w:tc>
        <w:tc>
          <w:tcPr>
            <w:tcW w:w="1883" w:type="dxa"/>
            <w:vAlign w:val="center"/>
          </w:tcPr>
          <w:p w14:paraId="016AD84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1,2-</w:t>
            </w:r>
            <w:r>
              <w:rPr>
                <w:rFonts w:hint="default" w:ascii="Times New Roman" w:hAnsi="Times New Roman" w:cs="Times New Roman"/>
                <w:color w:val="auto"/>
                <w:highlight w:val="none"/>
                <w:u w:val="none" w:color="auto"/>
              </w:rPr>
              <w:t>二氯苯</w:t>
            </w:r>
          </w:p>
        </w:tc>
        <w:tc>
          <w:tcPr>
            <w:tcW w:w="1482" w:type="dxa"/>
            <w:vAlign w:val="center"/>
          </w:tcPr>
          <w:p w14:paraId="06ECBD7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560</w:t>
            </w:r>
          </w:p>
        </w:tc>
        <w:tc>
          <w:tcPr>
            <w:tcW w:w="1483" w:type="dxa"/>
            <w:vAlign w:val="center"/>
          </w:tcPr>
          <w:p w14:paraId="50D75CB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560</w:t>
            </w:r>
          </w:p>
        </w:tc>
        <w:tc>
          <w:tcPr>
            <w:tcW w:w="1483" w:type="dxa"/>
            <w:vAlign w:val="center"/>
          </w:tcPr>
          <w:p w14:paraId="05B13BF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560</w:t>
            </w:r>
          </w:p>
        </w:tc>
        <w:tc>
          <w:tcPr>
            <w:tcW w:w="1484" w:type="dxa"/>
            <w:vAlign w:val="center"/>
          </w:tcPr>
          <w:p w14:paraId="164E13D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560</w:t>
            </w:r>
          </w:p>
        </w:tc>
      </w:tr>
      <w:tr w14:paraId="4CCF9C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79B4325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29</w:t>
            </w:r>
          </w:p>
        </w:tc>
        <w:tc>
          <w:tcPr>
            <w:tcW w:w="1883" w:type="dxa"/>
            <w:vAlign w:val="center"/>
          </w:tcPr>
          <w:p w14:paraId="3CB3536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1,4-</w:t>
            </w:r>
            <w:r>
              <w:rPr>
                <w:rFonts w:hint="default" w:ascii="Times New Roman" w:hAnsi="Times New Roman" w:cs="Times New Roman"/>
                <w:color w:val="auto"/>
                <w:highlight w:val="none"/>
                <w:u w:val="none" w:color="auto"/>
              </w:rPr>
              <w:t>二氯苯</w:t>
            </w:r>
          </w:p>
        </w:tc>
        <w:tc>
          <w:tcPr>
            <w:tcW w:w="1482" w:type="dxa"/>
            <w:vAlign w:val="center"/>
          </w:tcPr>
          <w:p w14:paraId="3CCFC22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5.6</w:t>
            </w:r>
          </w:p>
        </w:tc>
        <w:tc>
          <w:tcPr>
            <w:tcW w:w="1483" w:type="dxa"/>
            <w:vAlign w:val="center"/>
          </w:tcPr>
          <w:p w14:paraId="2EC3C94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w:t>
            </w:r>
          </w:p>
        </w:tc>
        <w:tc>
          <w:tcPr>
            <w:tcW w:w="1483" w:type="dxa"/>
            <w:vAlign w:val="center"/>
          </w:tcPr>
          <w:p w14:paraId="7C7DB70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56</w:t>
            </w:r>
          </w:p>
        </w:tc>
        <w:tc>
          <w:tcPr>
            <w:tcW w:w="1484" w:type="dxa"/>
            <w:vAlign w:val="center"/>
          </w:tcPr>
          <w:p w14:paraId="3B81AF3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200</w:t>
            </w:r>
          </w:p>
        </w:tc>
      </w:tr>
      <w:tr w14:paraId="7BC161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2B9357E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30</w:t>
            </w:r>
          </w:p>
        </w:tc>
        <w:tc>
          <w:tcPr>
            <w:tcW w:w="1883" w:type="dxa"/>
            <w:vAlign w:val="center"/>
          </w:tcPr>
          <w:p w14:paraId="7B7E79B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乙苯</w:t>
            </w:r>
          </w:p>
        </w:tc>
        <w:tc>
          <w:tcPr>
            <w:tcW w:w="1482" w:type="dxa"/>
            <w:vAlign w:val="center"/>
          </w:tcPr>
          <w:p w14:paraId="1DB29F1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7.2</w:t>
            </w:r>
          </w:p>
        </w:tc>
        <w:tc>
          <w:tcPr>
            <w:tcW w:w="1483" w:type="dxa"/>
            <w:vAlign w:val="center"/>
          </w:tcPr>
          <w:p w14:paraId="4CF8752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28</w:t>
            </w:r>
          </w:p>
        </w:tc>
        <w:tc>
          <w:tcPr>
            <w:tcW w:w="1483" w:type="dxa"/>
            <w:vAlign w:val="center"/>
          </w:tcPr>
          <w:p w14:paraId="6E8FB9D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72</w:t>
            </w:r>
          </w:p>
        </w:tc>
        <w:tc>
          <w:tcPr>
            <w:tcW w:w="1484" w:type="dxa"/>
            <w:vAlign w:val="center"/>
          </w:tcPr>
          <w:p w14:paraId="0C3C71A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280</w:t>
            </w:r>
          </w:p>
        </w:tc>
      </w:tr>
      <w:tr w14:paraId="1939FE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718F03E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31</w:t>
            </w:r>
          </w:p>
        </w:tc>
        <w:tc>
          <w:tcPr>
            <w:tcW w:w="1883" w:type="dxa"/>
            <w:vAlign w:val="center"/>
          </w:tcPr>
          <w:p w14:paraId="7D35B40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苯乙烯</w:t>
            </w:r>
          </w:p>
        </w:tc>
        <w:tc>
          <w:tcPr>
            <w:tcW w:w="1482" w:type="dxa"/>
            <w:vAlign w:val="center"/>
          </w:tcPr>
          <w:p w14:paraId="53F3556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1290</w:t>
            </w:r>
          </w:p>
        </w:tc>
        <w:tc>
          <w:tcPr>
            <w:tcW w:w="1483" w:type="dxa"/>
            <w:vAlign w:val="center"/>
          </w:tcPr>
          <w:p w14:paraId="6AE21B1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1290</w:t>
            </w:r>
          </w:p>
        </w:tc>
        <w:tc>
          <w:tcPr>
            <w:tcW w:w="1483" w:type="dxa"/>
            <w:vAlign w:val="center"/>
          </w:tcPr>
          <w:p w14:paraId="3FBF1A3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1290</w:t>
            </w:r>
          </w:p>
        </w:tc>
        <w:tc>
          <w:tcPr>
            <w:tcW w:w="1484" w:type="dxa"/>
            <w:vAlign w:val="center"/>
          </w:tcPr>
          <w:p w14:paraId="6437E08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1290</w:t>
            </w:r>
          </w:p>
        </w:tc>
      </w:tr>
      <w:tr w14:paraId="36E77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3743B1F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32</w:t>
            </w:r>
          </w:p>
        </w:tc>
        <w:tc>
          <w:tcPr>
            <w:tcW w:w="1883" w:type="dxa"/>
            <w:vAlign w:val="center"/>
          </w:tcPr>
          <w:p w14:paraId="5ECFFDC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甲苯</w:t>
            </w:r>
          </w:p>
        </w:tc>
        <w:tc>
          <w:tcPr>
            <w:tcW w:w="1482" w:type="dxa"/>
            <w:vAlign w:val="center"/>
          </w:tcPr>
          <w:p w14:paraId="7B0C856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1200</w:t>
            </w:r>
          </w:p>
        </w:tc>
        <w:tc>
          <w:tcPr>
            <w:tcW w:w="1483" w:type="dxa"/>
            <w:vAlign w:val="center"/>
          </w:tcPr>
          <w:p w14:paraId="33DC0C9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1200</w:t>
            </w:r>
          </w:p>
        </w:tc>
        <w:tc>
          <w:tcPr>
            <w:tcW w:w="1483" w:type="dxa"/>
            <w:vAlign w:val="center"/>
          </w:tcPr>
          <w:p w14:paraId="08D3D0E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1200</w:t>
            </w:r>
          </w:p>
        </w:tc>
        <w:tc>
          <w:tcPr>
            <w:tcW w:w="1484" w:type="dxa"/>
            <w:vAlign w:val="center"/>
          </w:tcPr>
          <w:p w14:paraId="7310E70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1200</w:t>
            </w:r>
          </w:p>
        </w:tc>
      </w:tr>
      <w:tr w14:paraId="11389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1084" w:type="dxa"/>
            <w:vAlign w:val="center"/>
          </w:tcPr>
          <w:p w14:paraId="0BE7428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33</w:t>
            </w:r>
          </w:p>
        </w:tc>
        <w:tc>
          <w:tcPr>
            <w:tcW w:w="1883" w:type="dxa"/>
            <w:vAlign w:val="center"/>
          </w:tcPr>
          <w:p w14:paraId="762368F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间二甲苯</w:t>
            </w:r>
            <w:r>
              <w:rPr>
                <w:rFonts w:hint="default" w:ascii="Times New Roman" w:hAnsi="Times New Roman" w:eastAsia="TimesNewRomanPSMT" w:cs="Times New Roman"/>
                <w:color w:val="auto"/>
                <w:highlight w:val="none"/>
                <w:u w:val="none" w:color="auto"/>
              </w:rPr>
              <w:t>+</w:t>
            </w:r>
            <w:r>
              <w:rPr>
                <w:rFonts w:hint="default" w:ascii="Times New Roman" w:hAnsi="Times New Roman" w:cs="Times New Roman"/>
                <w:color w:val="auto"/>
                <w:highlight w:val="none"/>
                <w:u w:val="none" w:color="auto"/>
              </w:rPr>
              <w:t>对二甲苯</w:t>
            </w:r>
          </w:p>
        </w:tc>
        <w:tc>
          <w:tcPr>
            <w:tcW w:w="1482" w:type="dxa"/>
            <w:vAlign w:val="center"/>
          </w:tcPr>
          <w:p w14:paraId="3DC945D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163</w:t>
            </w:r>
          </w:p>
        </w:tc>
        <w:tc>
          <w:tcPr>
            <w:tcW w:w="1483" w:type="dxa"/>
            <w:vAlign w:val="center"/>
          </w:tcPr>
          <w:p w14:paraId="01B96BC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570</w:t>
            </w:r>
          </w:p>
        </w:tc>
        <w:tc>
          <w:tcPr>
            <w:tcW w:w="1483" w:type="dxa"/>
            <w:vAlign w:val="center"/>
          </w:tcPr>
          <w:p w14:paraId="296B995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500</w:t>
            </w:r>
          </w:p>
        </w:tc>
        <w:tc>
          <w:tcPr>
            <w:tcW w:w="1484" w:type="dxa"/>
            <w:vAlign w:val="center"/>
          </w:tcPr>
          <w:p w14:paraId="53CB594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570</w:t>
            </w:r>
          </w:p>
        </w:tc>
      </w:tr>
      <w:tr w14:paraId="681E7D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5D1B7D7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34</w:t>
            </w:r>
          </w:p>
        </w:tc>
        <w:tc>
          <w:tcPr>
            <w:tcW w:w="1883" w:type="dxa"/>
            <w:vAlign w:val="center"/>
          </w:tcPr>
          <w:p w14:paraId="40BE063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邻二甲苯</w:t>
            </w:r>
          </w:p>
        </w:tc>
        <w:tc>
          <w:tcPr>
            <w:tcW w:w="1482" w:type="dxa"/>
            <w:vAlign w:val="center"/>
          </w:tcPr>
          <w:p w14:paraId="46E3720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222</w:t>
            </w:r>
          </w:p>
        </w:tc>
        <w:tc>
          <w:tcPr>
            <w:tcW w:w="1483" w:type="dxa"/>
            <w:vAlign w:val="center"/>
          </w:tcPr>
          <w:p w14:paraId="7D57EF8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640</w:t>
            </w:r>
          </w:p>
        </w:tc>
        <w:tc>
          <w:tcPr>
            <w:tcW w:w="1483" w:type="dxa"/>
            <w:vAlign w:val="center"/>
          </w:tcPr>
          <w:p w14:paraId="1E8602F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640</w:t>
            </w:r>
          </w:p>
        </w:tc>
        <w:tc>
          <w:tcPr>
            <w:tcW w:w="1484" w:type="dxa"/>
            <w:vAlign w:val="center"/>
          </w:tcPr>
          <w:p w14:paraId="0843E14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640</w:t>
            </w:r>
          </w:p>
        </w:tc>
      </w:tr>
      <w:tr w14:paraId="65B6C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8899" w:type="dxa"/>
            <w:gridSpan w:val="6"/>
            <w:vAlign w:val="center"/>
          </w:tcPr>
          <w:p w14:paraId="73E0B20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半挥发性有机物</w:t>
            </w:r>
          </w:p>
        </w:tc>
      </w:tr>
      <w:tr w14:paraId="0AD056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5479E6F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35</w:t>
            </w:r>
          </w:p>
        </w:tc>
        <w:tc>
          <w:tcPr>
            <w:tcW w:w="1883" w:type="dxa"/>
            <w:vAlign w:val="center"/>
          </w:tcPr>
          <w:p w14:paraId="775E558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硝基苯</w:t>
            </w:r>
          </w:p>
        </w:tc>
        <w:tc>
          <w:tcPr>
            <w:tcW w:w="1482" w:type="dxa"/>
            <w:vAlign w:val="center"/>
          </w:tcPr>
          <w:p w14:paraId="276C88F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34</w:t>
            </w:r>
          </w:p>
        </w:tc>
        <w:tc>
          <w:tcPr>
            <w:tcW w:w="1483" w:type="dxa"/>
            <w:vAlign w:val="center"/>
          </w:tcPr>
          <w:p w14:paraId="2A60753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76</w:t>
            </w:r>
          </w:p>
        </w:tc>
        <w:tc>
          <w:tcPr>
            <w:tcW w:w="1483" w:type="dxa"/>
            <w:vAlign w:val="center"/>
          </w:tcPr>
          <w:p w14:paraId="5E1F26B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190</w:t>
            </w:r>
          </w:p>
        </w:tc>
        <w:tc>
          <w:tcPr>
            <w:tcW w:w="1484" w:type="dxa"/>
            <w:vAlign w:val="center"/>
          </w:tcPr>
          <w:p w14:paraId="57F9966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760</w:t>
            </w:r>
          </w:p>
        </w:tc>
      </w:tr>
      <w:tr w14:paraId="16AB6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1084" w:type="dxa"/>
            <w:vAlign w:val="center"/>
          </w:tcPr>
          <w:p w14:paraId="61FE69A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36</w:t>
            </w:r>
          </w:p>
        </w:tc>
        <w:tc>
          <w:tcPr>
            <w:tcW w:w="1883" w:type="dxa"/>
            <w:vAlign w:val="center"/>
          </w:tcPr>
          <w:p w14:paraId="031EA7C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苯胺</w:t>
            </w:r>
          </w:p>
        </w:tc>
        <w:tc>
          <w:tcPr>
            <w:tcW w:w="1482" w:type="dxa"/>
            <w:vAlign w:val="center"/>
          </w:tcPr>
          <w:p w14:paraId="234585A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92</w:t>
            </w:r>
          </w:p>
        </w:tc>
        <w:tc>
          <w:tcPr>
            <w:tcW w:w="1483" w:type="dxa"/>
            <w:vAlign w:val="center"/>
          </w:tcPr>
          <w:p w14:paraId="4FF5EAE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260</w:t>
            </w:r>
          </w:p>
        </w:tc>
        <w:tc>
          <w:tcPr>
            <w:tcW w:w="1483" w:type="dxa"/>
            <w:vAlign w:val="center"/>
          </w:tcPr>
          <w:p w14:paraId="408893B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211</w:t>
            </w:r>
          </w:p>
        </w:tc>
        <w:tc>
          <w:tcPr>
            <w:tcW w:w="1484" w:type="dxa"/>
            <w:vAlign w:val="center"/>
          </w:tcPr>
          <w:p w14:paraId="68BF8A4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663</w:t>
            </w:r>
          </w:p>
        </w:tc>
      </w:tr>
      <w:tr w14:paraId="0C280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1301F20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37</w:t>
            </w:r>
          </w:p>
        </w:tc>
        <w:tc>
          <w:tcPr>
            <w:tcW w:w="1883" w:type="dxa"/>
            <w:vAlign w:val="center"/>
          </w:tcPr>
          <w:p w14:paraId="5A3E743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2-</w:t>
            </w:r>
            <w:r>
              <w:rPr>
                <w:rFonts w:hint="default" w:ascii="Times New Roman" w:hAnsi="Times New Roman" w:cs="Times New Roman"/>
                <w:color w:val="auto"/>
                <w:highlight w:val="none"/>
                <w:u w:val="none" w:color="auto"/>
              </w:rPr>
              <w:t>氯酚</w:t>
            </w:r>
          </w:p>
        </w:tc>
        <w:tc>
          <w:tcPr>
            <w:tcW w:w="1482" w:type="dxa"/>
            <w:vAlign w:val="center"/>
          </w:tcPr>
          <w:p w14:paraId="64ACC51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250</w:t>
            </w:r>
          </w:p>
        </w:tc>
        <w:tc>
          <w:tcPr>
            <w:tcW w:w="1483" w:type="dxa"/>
            <w:vAlign w:val="center"/>
          </w:tcPr>
          <w:p w14:paraId="3DAA0D5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2256</w:t>
            </w:r>
          </w:p>
        </w:tc>
        <w:tc>
          <w:tcPr>
            <w:tcW w:w="1483" w:type="dxa"/>
            <w:vAlign w:val="center"/>
          </w:tcPr>
          <w:p w14:paraId="79B1600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500</w:t>
            </w:r>
          </w:p>
        </w:tc>
        <w:tc>
          <w:tcPr>
            <w:tcW w:w="1484" w:type="dxa"/>
            <w:vAlign w:val="center"/>
          </w:tcPr>
          <w:p w14:paraId="1355FFD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4500</w:t>
            </w:r>
          </w:p>
        </w:tc>
      </w:tr>
      <w:tr w14:paraId="6EBDE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1084" w:type="dxa"/>
            <w:vAlign w:val="center"/>
          </w:tcPr>
          <w:p w14:paraId="1D883A5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38</w:t>
            </w:r>
          </w:p>
        </w:tc>
        <w:tc>
          <w:tcPr>
            <w:tcW w:w="1883" w:type="dxa"/>
            <w:vAlign w:val="center"/>
          </w:tcPr>
          <w:p w14:paraId="410EE8D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苯并</w:t>
            </w:r>
            <w:r>
              <w:rPr>
                <w:rFonts w:hint="default" w:ascii="Times New Roman" w:hAnsi="Times New Roman" w:eastAsia="TimesNewRomanPSMT" w:cs="Times New Roman"/>
                <w:color w:val="auto"/>
                <w:highlight w:val="none"/>
                <w:u w:val="none" w:color="auto"/>
              </w:rPr>
              <w:t>[a]</w:t>
            </w:r>
            <w:r>
              <w:rPr>
                <w:rFonts w:hint="default" w:ascii="Times New Roman" w:hAnsi="Times New Roman" w:cs="Times New Roman"/>
                <w:color w:val="auto"/>
                <w:highlight w:val="none"/>
                <w:u w:val="none" w:color="auto"/>
              </w:rPr>
              <w:t>蒽</w:t>
            </w:r>
          </w:p>
        </w:tc>
        <w:tc>
          <w:tcPr>
            <w:tcW w:w="1482" w:type="dxa"/>
            <w:vAlign w:val="center"/>
          </w:tcPr>
          <w:p w14:paraId="25018A3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1483" w:type="dxa"/>
            <w:vAlign w:val="center"/>
          </w:tcPr>
          <w:p w14:paraId="3BE83F8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w:t>
            </w:r>
          </w:p>
        </w:tc>
        <w:tc>
          <w:tcPr>
            <w:tcW w:w="1483" w:type="dxa"/>
            <w:vAlign w:val="center"/>
          </w:tcPr>
          <w:p w14:paraId="318EE50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1484" w:type="dxa"/>
            <w:vAlign w:val="center"/>
          </w:tcPr>
          <w:p w14:paraId="7988FEE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151</w:t>
            </w:r>
          </w:p>
        </w:tc>
      </w:tr>
      <w:tr w14:paraId="1664B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1D3D372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39</w:t>
            </w:r>
          </w:p>
        </w:tc>
        <w:tc>
          <w:tcPr>
            <w:tcW w:w="1883" w:type="dxa"/>
            <w:vAlign w:val="center"/>
          </w:tcPr>
          <w:p w14:paraId="1D81B52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苯并</w:t>
            </w:r>
            <w:r>
              <w:rPr>
                <w:rFonts w:hint="default" w:ascii="Times New Roman" w:hAnsi="Times New Roman" w:eastAsia="TimesNewRomanPSMT" w:cs="Times New Roman"/>
                <w:color w:val="auto"/>
                <w:highlight w:val="none"/>
                <w:u w:val="none" w:color="auto"/>
              </w:rPr>
              <w:t>[a]</w:t>
            </w:r>
            <w:r>
              <w:rPr>
                <w:rFonts w:hint="default" w:ascii="Times New Roman" w:hAnsi="Times New Roman" w:cs="Times New Roman"/>
                <w:color w:val="auto"/>
                <w:highlight w:val="none"/>
                <w:u w:val="none" w:color="auto"/>
              </w:rPr>
              <w:t>芘</w:t>
            </w:r>
          </w:p>
        </w:tc>
        <w:tc>
          <w:tcPr>
            <w:tcW w:w="1482" w:type="dxa"/>
            <w:vAlign w:val="center"/>
          </w:tcPr>
          <w:p w14:paraId="59D3CBE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0.55</w:t>
            </w:r>
          </w:p>
        </w:tc>
        <w:tc>
          <w:tcPr>
            <w:tcW w:w="1483" w:type="dxa"/>
            <w:vAlign w:val="center"/>
          </w:tcPr>
          <w:p w14:paraId="2F1CA25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w:t>
            </w:r>
          </w:p>
        </w:tc>
        <w:tc>
          <w:tcPr>
            <w:tcW w:w="1483" w:type="dxa"/>
            <w:vAlign w:val="center"/>
          </w:tcPr>
          <w:p w14:paraId="24B07D4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1484" w:type="dxa"/>
            <w:vAlign w:val="center"/>
          </w:tcPr>
          <w:p w14:paraId="359BD74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w:t>
            </w:r>
          </w:p>
        </w:tc>
      </w:tr>
      <w:tr w14:paraId="3ED055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3A54C1E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40</w:t>
            </w:r>
          </w:p>
        </w:tc>
        <w:tc>
          <w:tcPr>
            <w:tcW w:w="1883" w:type="dxa"/>
            <w:vAlign w:val="center"/>
          </w:tcPr>
          <w:p w14:paraId="43EBB13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苯并</w:t>
            </w:r>
            <w:r>
              <w:rPr>
                <w:rFonts w:hint="default" w:ascii="Times New Roman" w:hAnsi="Times New Roman" w:eastAsia="TimesNewRomanPSMT" w:cs="Times New Roman"/>
                <w:color w:val="auto"/>
                <w:highlight w:val="none"/>
                <w:u w:val="none" w:color="auto"/>
              </w:rPr>
              <w:t>[b]</w:t>
            </w:r>
            <w:r>
              <w:rPr>
                <w:rFonts w:hint="default" w:ascii="Times New Roman" w:hAnsi="Times New Roman" w:cs="Times New Roman"/>
                <w:color w:val="auto"/>
                <w:highlight w:val="none"/>
                <w:u w:val="none" w:color="auto"/>
              </w:rPr>
              <w:t>荧蒽</w:t>
            </w:r>
          </w:p>
        </w:tc>
        <w:tc>
          <w:tcPr>
            <w:tcW w:w="1482" w:type="dxa"/>
            <w:vAlign w:val="center"/>
          </w:tcPr>
          <w:p w14:paraId="211AD68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1483" w:type="dxa"/>
            <w:vAlign w:val="center"/>
          </w:tcPr>
          <w:p w14:paraId="18A05CC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w:t>
            </w:r>
          </w:p>
        </w:tc>
        <w:tc>
          <w:tcPr>
            <w:tcW w:w="1483" w:type="dxa"/>
            <w:vAlign w:val="center"/>
          </w:tcPr>
          <w:p w14:paraId="412E1AE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1484" w:type="dxa"/>
            <w:vAlign w:val="center"/>
          </w:tcPr>
          <w:p w14:paraId="3C548A8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151</w:t>
            </w:r>
          </w:p>
        </w:tc>
      </w:tr>
      <w:tr w14:paraId="2FFA3B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6434572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41</w:t>
            </w:r>
          </w:p>
        </w:tc>
        <w:tc>
          <w:tcPr>
            <w:tcW w:w="1883" w:type="dxa"/>
            <w:vAlign w:val="center"/>
          </w:tcPr>
          <w:p w14:paraId="5781F8B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苯并</w:t>
            </w:r>
            <w:r>
              <w:rPr>
                <w:rFonts w:hint="default" w:ascii="Times New Roman" w:hAnsi="Times New Roman" w:eastAsia="TimesNewRomanPSMT" w:cs="Times New Roman"/>
                <w:color w:val="auto"/>
                <w:highlight w:val="none"/>
                <w:u w:val="none" w:color="auto"/>
              </w:rPr>
              <w:t>[k]</w:t>
            </w:r>
            <w:r>
              <w:rPr>
                <w:rFonts w:hint="default" w:ascii="Times New Roman" w:hAnsi="Times New Roman" w:cs="Times New Roman"/>
                <w:color w:val="auto"/>
                <w:highlight w:val="none"/>
                <w:u w:val="none" w:color="auto"/>
              </w:rPr>
              <w:t>荧蒽</w:t>
            </w:r>
          </w:p>
        </w:tc>
        <w:tc>
          <w:tcPr>
            <w:tcW w:w="1482" w:type="dxa"/>
            <w:vAlign w:val="center"/>
          </w:tcPr>
          <w:p w14:paraId="69EE01F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1483" w:type="dxa"/>
            <w:vAlign w:val="center"/>
          </w:tcPr>
          <w:p w14:paraId="7E99786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151</w:t>
            </w:r>
          </w:p>
        </w:tc>
        <w:tc>
          <w:tcPr>
            <w:tcW w:w="1483" w:type="dxa"/>
            <w:vAlign w:val="center"/>
          </w:tcPr>
          <w:p w14:paraId="15F6F5C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550</w:t>
            </w:r>
          </w:p>
        </w:tc>
        <w:tc>
          <w:tcPr>
            <w:tcW w:w="1484" w:type="dxa"/>
            <w:vAlign w:val="center"/>
          </w:tcPr>
          <w:p w14:paraId="3DEC69F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1500</w:t>
            </w:r>
          </w:p>
        </w:tc>
      </w:tr>
      <w:tr w14:paraId="1095D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101D9CD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42</w:t>
            </w:r>
          </w:p>
        </w:tc>
        <w:tc>
          <w:tcPr>
            <w:tcW w:w="1883" w:type="dxa"/>
            <w:vAlign w:val="center"/>
          </w:tcPr>
          <w:p w14:paraId="110B6C9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䓛</w:t>
            </w:r>
          </w:p>
        </w:tc>
        <w:tc>
          <w:tcPr>
            <w:tcW w:w="1482" w:type="dxa"/>
            <w:vAlign w:val="center"/>
          </w:tcPr>
          <w:p w14:paraId="6076751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490</w:t>
            </w:r>
          </w:p>
        </w:tc>
        <w:tc>
          <w:tcPr>
            <w:tcW w:w="1483" w:type="dxa"/>
            <w:vAlign w:val="center"/>
          </w:tcPr>
          <w:p w14:paraId="5DCFAF5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1293</w:t>
            </w:r>
          </w:p>
        </w:tc>
        <w:tc>
          <w:tcPr>
            <w:tcW w:w="1483" w:type="dxa"/>
            <w:vAlign w:val="center"/>
          </w:tcPr>
          <w:p w14:paraId="2DA04D0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4900</w:t>
            </w:r>
          </w:p>
        </w:tc>
        <w:tc>
          <w:tcPr>
            <w:tcW w:w="1484" w:type="dxa"/>
            <w:vAlign w:val="center"/>
          </w:tcPr>
          <w:p w14:paraId="00E179B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12900</w:t>
            </w:r>
          </w:p>
        </w:tc>
      </w:tr>
      <w:tr w14:paraId="791D5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28" w:hRule="atLeast"/>
          <w:jc w:val="center"/>
        </w:trPr>
        <w:tc>
          <w:tcPr>
            <w:tcW w:w="1084" w:type="dxa"/>
            <w:vAlign w:val="center"/>
          </w:tcPr>
          <w:p w14:paraId="066370D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43</w:t>
            </w:r>
          </w:p>
        </w:tc>
        <w:tc>
          <w:tcPr>
            <w:tcW w:w="1883" w:type="dxa"/>
            <w:vAlign w:val="center"/>
          </w:tcPr>
          <w:p w14:paraId="4818950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二苯</w:t>
            </w:r>
            <w:r>
              <w:rPr>
                <w:rFonts w:hint="default" w:ascii="Times New Roman" w:hAnsi="Times New Roman" w:eastAsia="TimesNewRomanPSMT" w:cs="Times New Roman"/>
                <w:color w:val="auto"/>
                <w:highlight w:val="none"/>
                <w:u w:val="none" w:color="auto"/>
              </w:rPr>
              <w:t>[a,h]</w:t>
            </w:r>
            <w:r>
              <w:rPr>
                <w:rFonts w:hint="default" w:ascii="Times New Roman" w:hAnsi="Times New Roman" w:cs="Times New Roman"/>
                <w:color w:val="auto"/>
                <w:highlight w:val="none"/>
                <w:u w:val="none" w:color="auto"/>
              </w:rPr>
              <w:t>蒽</w:t>
            </w:r>
          </w:p>
        </w:tc>
        <w:tc>
          <w:tcPr>
            <w:tcW w:w="1482" w:type="dxa"/>
            <w:vAlign w:val="center"/>
          </w:tcPr>
          <w:p w14:paraId="06E60D2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0.55</w:t>
            </w:r>
          </w:p>
        </w:tc>
        <w:tc>
          <w:tcPr>
            <w:tcW w:w="1483" w:type="dxa"/>
            <w:vAlign w:val="center"/>
          </w:tcPr>
          <w:p w14:paraId="4F48509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w:t>
            </w:r>
          </w:p>
        </w:tc>
        <w:tc>
          <w:tcPr>
            <w:tcW w:w="1483" w:type="dxa"/>
            <w:vAlign w:val="center"/>
          </w:tcPr>
          <w:p w14:paraId="2C3826C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1484" w:type="dxa"/>
            <w:vAlign w:val="center"/>
          </w:tcPr>
          <w:p w14:paraId="737D796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w:t>
            </w:r>
          </w:p>
        </w:tc>
      </w:tr>
      <w:tr w14:paraId="4B90C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0CA9705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44</w:t>
            </w:r>
          </w:p>
        </w:tc>
        <w:tc>
          <w:tcPr>
            <w:tcW w:w="1883" w:type="dxa"/>
            <w:vAlign w:val="center"/>
          </w:tcPr>
          <w:p w14:paraId="0F87109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茚并</w:t>
            </w:r>
            <w:r>
              <w:rPr>
                <w:rFonts w:hint="default" w:ascii="Times New Roman" w:hAnsi="Times New Roman" w:eastAsia="TimesNewRomanPSMT" w:cs="Times New Roman"/>
                <w:color w:val="auto"/>
                <w:highlight w:val="none"/>
                <w:u w:val="none" w:color="auto"/>
              </w:rPr>
              <w:t>[1,2,3,-cd]</w:t>
            </w:r>
            <w:r>
              <w:rPr>
                <w:rFonts w:hint="default" w:ascii="Times New Roman" w:hAnsi="Times New Roman" w:cs="Times New Roman"/>
                <w:color w:val="auto"/>
                <w:highlight w:val="none"/>
                <w:u w:val="none" w:color="auto"/>
              </w:rPr>
              <w:t>芘</w:t>
            </w:r>
          </w:p>
        </w:tc>
        <w:tc>
          <w:tcPr>
            <w:tcW w:w="1482" w:type="dxa"/>
            <w:vAlign w:val="center"/>
          </w:tcPr>
          <w:p w14:paraId="5F3F86D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1483" w:type="dxa"/>
            <w:vAlign w:val="center"/>
          </w:tcPr>
          <w:p w14:paraId="34AAAF9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w:t>
            </w:r>
          </w:p>
        </w:tc>
        <w:tc>
          <w:tcPr>
            <w:tcW w:w="1483" w:type="dxa"/>
            <w:vAlign w:val="center"/>
          </w:tcPr>
          <w:p w14:paraId="67B4644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1484" w:type="dxa"/>
            <w:vAlign w:val="center"/>
          </w:tcPr>
          <w:p w14:paraId="0B5D4CE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151</w:t>
            </w:r>
          </w:p>
        </w:tc>
      </w:tr>
      <w:tr w14:paraId="3C239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84" w:type="dxa"/>
            <w:vAlign w:val="center"/>
          </w:tcPr>
          <w:p w14:paraId="7FFAAB9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45</w:t>
            </w:r>
          </w:p>
        </w:tc>
        <w:tc>
          <w:tcPr>
            <w:tcW w:w="1883" w:type="dxa"/>
            <w:vAlign w:val="center"/>
          </w:tcPr>
          <w:p w14:paraId="129300F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萘</w:t>
            </w:r>
          </w:p>
        </w:tc>
        <w:tc>
          <w:tcPr>
            <w:tcW w:w="1482" w:type="dxa"/>
            <w:vAlign w:val="center"/>
          </w:tcPr>
          <w:p w14:paraId="5DE516F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25</w:t>
            </w:r>
          </w:p>
        </w:tc>
        <w:tc>
          <w:tcPr>
            <w:tcW w:w="1483" w:type="dxa"/>
            <w:vAlign w:val="center"/>
          </w:tcPr>
          <w:p w14:paraId="684B72D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70</w:t>
            </w:r>
          </w:p>
        </w:tc>
        <w:tc>
          <w:tcPr>
            <w:tcW w:w="1483" w:type="dxa"/>
            <w:vAlign w:val="center"/>
          </w:tcPr>
          <w:p w14:paraId="03B78CE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255</w:t>
            </w:r>
          </w:p>
        </w:tc>
        <w:tc>
          <w:tcPr>
            <w:tcW w:w="1484" w:type="dxa"/>
            <w:vAlign w:val="center"/>
          </w:tcPr>
          <w:p w14:paraId="085C628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700</w:t>
            </w:r>
          </w:p>
        </w:tc>
      </w:tr>
      <w:tr w14:paraId="5A189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jc w:val="center"/>
        </w:trPr>
        <w:tc>
          <w:tcPr>
            <w:tcW w:w="1084" w:type="dxa"/>
            <w:vAlign w:val="center"/>
          </w:tcPr>
          <w:p w14:paraId="37ADF68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46</w:t>
            </w:r>
          </w:p>
        </w:tc>
        <w:tc>
          <w:tcPr>
            <w:tcW w:w="1883" w:type="dxa"/>
            <w:vAlign w:val="center"/>
          </w:tcPr>
          <w:p w14:paraId="4026434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eastAsia" w:cs="Times New Roman"/>
                <w:color w:val="auto"/>
                <w:highlight w:val="none"/>
                <w:u w:val="none" w:color="auto"/>
                <w:lang w:val="en-US" w:eastAsia="zh-CN"/>
              </w:rPr>
              <w:t>二噁英</w:t>
            </w:r>
            <w:r>
              <w:rPr>
                <w:rFonts w:hint="default" w:ascii="Times New Roman" w:hAnsi="Times New Roman" w:cs="Times New Roman"/>
                <w:color w:val="auto"/>
                <w:highlight w:val="none"/>
                <w:u w:val="none" w:color="auto"/>
              </w:rPr>
              <w:t>类（总毒性当量）</w:t>
            </w:r>
          </w:p>
        </w:tc>
        <w:tc>
          <w:tcPr>
            <w:tcW w:w="1482" w:type="dxa"/>
            <w:vAlign w:val="center"/>
          </w:tcPr>
          <w:p w14:paraId="2812C17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1×10</w:t>
            </w:r>
            <w:r>
              <w:rPr>
                <w:rFonts w:hint="default" w:ascii="Times New Roman" w:hAnsi="Times New Roman" w:eastAsia="TimesNewRomanPSMT" w:cs="Times New Roman"/>
                <w:color w:val="auto"/>
                <w:sz w:val="14"/>
                <w:highlight w:val="none"/>
                <w:u w:val="none" w:color="auto"/>
              </w:rPr>
              <w:t>-5</w:t>
            </w:r>
          </w:p>
        </w:tc>
        <w:tc>
          <w:tcPr>
            <w:tcW w:w="1483" w:type="dxa"/>
            <w:vAlign w:val="center"/>
          </w:tcPr>
          <w:p w14:paraId="4CFB03C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w:t>
            </w:r>
            <w:r>
              <w:rPr>
                <w:rFonts w:hint="default" w:ascii="Times New Roman" w:hAnsi="Times New Roman" w:eastAsia="TimesNewRomanPSMT" w:cs="Times New Roman"/>
                <w:color w:val="auto"/>
                <w:highlight w:val="none"/>
                <w:u w:val="none" w:color="auto"/>
              </w:rPr>
              <w:t>×10</w:t>
            </w:r>
            <w:r>
              <w:rPr>
                <w:rFonts w:hint="default" w:ascii="Times New Roman" w:hAnsi="Times New Roman" w:eastAsia="TimesNewRomanPSMT" w:cs="Times New Roman"/>
                <w:color w:val="auto"/>
                <w:sz w:val="14"/>
                <w:highlight w:val="none"/>
                <w:u w:val="none" w:color="auto"/>
              </w:rPr>
              <w:t>-5</w:t>
            </w:r>
          </w:p>
        </w:tc>
        <w:tc>
          <w:tcPr>
            <w:tcW w:w="1483" w:type="dxa"/>
            <w:vAlign w:val="center"/>
          </w:tcPr>
          <w:p w14:paraId="6CEE091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TimesNewRomanPSMT" w:cs="Times New Roman"/>
                <w:color w:val="auto"/>
                <w:highlight w:val="none"/>
                <w:u w:val="none" w:color="auto"/>
              </w:rPr>
              <w:t>1×10</w:t>
            </w:r>
            <w:r>
              <w:rPr>
                <w:rFonts w:hint="default" w:ascii="Times New Roman" w:hAnsi="Times New Roman" w:eastAsia="TimesNewRomanPSMT" w:cs="Times New Roman"/>
                <w:color w:val="auto"/>
                <w:sz w:val="14"/>
                <w:highlight w:val="none"/>
                <w:u w:val="none" w:color="auto"/>
              </w:rPr>
              <w:t>-</w:t>
            </w:r>
            <w:r>
              <w:rPr>
                <w:rFonts w:hint="default" w:ascii="Times New Roman" w:hAnsi="Times New Roman" w:cs="Times New Roman"/>
                <w:color w:val="auto"/>
                <w:sz w:val="14"/>
                <w:highlight w:val="none"/>
                <w:u w:val="none" w:color="auto"/>
              </w:rPr>
              <w:t>4</w:t>
            </w:r>
          </w:p>
        </w:tc>
        <w:tc>
          <w:tcPr>
            <w:tcW w:w="1484" w:type="dxa"/>
            <w:vAlign w:val="center"/>
          </w:tcPr>
          <w:p w14:paraId="09BE65F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w:t>
            </w:r>
            <w:r>
              <w:rPr>
                <w:rFonts w:hint="default" w:ascii="Times New Roman" w:hAnsi="Times New Roman" w:eastAsia="TimesNewRomanPSMT" w:cs="Times New Roman"/>
                <w:color w:val="auto"/>
                <w:highlight w:val="none"/>
                <w:u w:val="none" w:color="auto"/>
              </w:rPr>
              <w:t>×10</w:t>
            </w:r>
            <w:r>
              <w:rPr>
                <w:rFonts w:hint="default" w:ascii="Times New Roman" w:hAnsi="Times New Roman" w:eastAsia="TimesNewRomanPSMT" w:cs="Times New Roman"/>
                <w:color w:val="auto"/>
                <w:sz w:val="14"/>
                <w:highlight w:val="none"/>
                <w:u w:val="none" w:color="auto"/>
              </w:rPr>
              <w:t>-</w:t>
            </w:r>
            <w:r>
              <w:rPr>
                <w:rFonts w:hint="default" w:ascii="Times New Roman" w:hAnsi="Times New Roman" w:cs="Times New Roman"/>
                <w:color w:val="auto"/>
                <w:sz w:val="14"/>
                <w:highlight w:val="none"/>
                <w:u w:val="none" w:color="auto"/>
              </w:rPr>
              <w:t>4</w:t>
            </w:r>
          </w:p>
        </w:tc>
      </w:tr>
    </w:tbl>
    <w:p w14:paraId="0DE4EB58">
      <w:pPr>
        <w:pStyle w:val="4"/>
        <w:numPr>
          <w:ilvl w:val="2"/>
          <w:numId w:val="0"/>
        </w:numPr>
        <w:ind w:leftChars="0"/>
        <w:rPr>
          <w:rFonts w:hint="default" w:ascii="Times New Roman" w:hAnsi="Times New Roman" w:cs="Times New Roman"/>
          <w:color w:val="auto"/>
          <w:highlight w:val="none"/>
          <w:u w:val="none" w:color="auto"/>
        </w:rPr>
      </w:pPr>
      <w:bookmarkStart w:id="27" w:name="_Hlk33539383"/>
      <w:r>
        <w:rPr>
          <w:rFonts w:hint="default" w:ascii="Times New Roman" w:hAnsi="Times New Roman" w:cs="Times New Roman"/>
          <w:color w:val="auto"/>
          <w:spacing w:val="2"/>
          <w:highlight w:val="none"/>
          <w:u w:val="none" w:color="auto"/>
          <w:lang w:val="en-US" w:eastAsia="zh-CN"/>
        </w:rPr>
        <w:t xml:space="preserve">2.3.2 </w:t>
      </w:r>
      <w:r>
        <w:rPr>
          <w:rFonts w:hint="default" w:ascii="Times New Roman" w:hAnsi="Times New Roman" w:cs="Times New Roman"/>
          <w:color w:val="auto"/>
          <w:spacing w:val="2"/>
          <w:highlight w:val="none"/>
          <w:u w:val="none" w:color="auto"/>
        </w:rPr>
        <w:t>污</w:t>
      </w:r>
      <w:r>
        <w:rPr>
          <w:rFonts w:hint="default" w:ascii="Times New Roman" w:hAnsi="Times New Roman" w:cs="Times New Roman"/>
          <w:color w:val="auto"/>
          <w:highlight w:val="none"/>
          <w:u w:val="none" w:color="auto"/>
        </w:rPr>
        <w:t>染</w:t>
      </w:r>
      <w:r>
        <w:rPr>
          <w:rFonts w:hint="default" w:ascii="Times New Roman" w:hAnsi="Times New Roman" w:cs="Times New Roman"/>
          <w:color w:val="auto"/>
          <w:spacing w:val="2"/>
          <w:highlight w:val="none"/>
          <w:u w:val="none" w:color="auto"/>
        </w:rPr>
        <w:t>物</w:t>
      </w:r>
      <w:r>
        <w:rPr>
          <w:rFonts w:hint="default" w:ascii="Times New Roman" w:hAnsi="Times New Roman" w:cs="Times New Roman"/>
          <w:color w:val="auto"/>
          <w:highlight w:val="none"/>
          <w:u w:val="none" w:color="auto"/>
        </w:rPr>
        <w:t>排</w:t>
      </w:r>
      <w:r>
        <w:rPr>
          <w:rFonts w:hint="default" w:ascii="Times New Roman" w:hAnsi="Times New Roman" w:cs="Times New Roman"/>
          <w:color w:val="auto"/>
          <w:spacing w:val="2"/>
          <w:highlight w:val="none"/>
          <w:u w:val="none" w:color="auto"/>
        </w:rPr>
        <w:t>放</w:t>
      </w:r>
      <w:r>
        <w:rPr>
          <w:rFonts w:hint="default" w:ascii="Times New Roman" w:hAnsi="Times New Roman" w:cs="Times New Roman"/>
          <w:color w:val="auto"/>
          <w:highlight w:val="none"/>
          <w:u w:val="none" w:color="auto"/>
        </w:rPr>
        <w:t>标准</w:t>
      </w:r>
    </w:p>
    <w:p w14:paraId="08F4634B">
      <w:pPr>
        <w:pStyle w:val="381"/>
        <w:numPr>
          <w:ilvl w:val="3"/>
          <w:numId w:val="0"/>
        </w:numPr>
        <w:ind w:leftChars="0" w:firstLine="482"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2.3.2.1 </w:t>
      </w:r>
      <w:r>
        <w:rPr>
          <w:rFonts w:hint="default" w:ascii="Times New Roman" w:hAnsi="Times New Roman" w:cs="Times New Roman"/>
          <w:color w:val="auto"/>
          <w:highlight w:val="none"/>
          <w:u w:val="none" w:color="auto"/>
        </w:rPr>
        <w:t>大气</w:t>
      </w:r>
    </w:p>
    <w:p w14:paraId="561E16B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施工期扬尘执行《大气污染物综合排放标准</w:t>
      </w:r>
      <w:r>
        <w:rPr>
          <w:rFonts w:hint="default" w:ascii="Times New Roman" w:hAnsi="Times New Roman" w:cs="Times New Roman"/>
          <w:color w:val="000000" w:themeColor="text1"/>
          <w:highlight w:val="none"/>
          <w:u w:val="none" w:color="auto"/>
          <w14:textFill>
            <w14:solidFill>
              <w14:schemeClr w14:val="tx1"/>
            </w14:solidFill>
          </w14:textFill>
        </w:rPr>
        <w:t>》（GB16297-1996）中的表2排放限值。</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营运期</w:t>
      </w:r>
      <w:r>
        <w:rPr>
          <w:rFonts w:hint="default" w:ascii="Times New Roman" w:hAnsi="Times New Roman" w:cs="Times New Roman"/>
          <w:color w:val="000000" w:themeColor="text1"/>
          <w:highlight w:val="none"/>
          <w:u w:val="none" w:color="auto"/>
          <w14:textFill>
            <w14:solidFill>
              <w14:schemeClr w14:val="tx1"/>
            </w14:solidFill>
          </w14:textFill>
        </w:rPr>
        <w:t>污水处理过程中无组织排放的臭气执行《</w:t>
      </w:r>
      <w:r>
        <w:rPr>
          <w:rFonts w:hint="default" w:ascii="Times New Roman" w:hAnsi="Times New Roman" w:cs="Times New Roman"/>
          <w:color w:val="000000" w:themeColor="text1"/>
          <w:highlight w:val="none"/>
          <w:u w:val="wave" w:color="auto"/>
          <w14:textFill>
            <w14:solidFill>
              <w14:schemeClr w14:val="tx1"/>
            </w14:solidFill>
          </w14:textFill>
        </w:rPr>
        <w:t>城镇污水处理厂污染物排放标准》</w:t>
      </w:r>
      <w:r>
        <w:rPr>
          <w:rFonts w:hint="eastAsia" w:cs="Times New Roman"/>
          <w:color w:val="000000" w:themeColor="text1"/>
          <w:highlight w:val="none"/>
          <w:u w:val="wave" w:color="auto"/>
          <w:lang w:eastAsia="zh-CN"/>
          <w14:textFill>
            <w14:solidFill>
              <w14:schemeClr w14:val="tx1"/>
            </w14:solidFill>
          </w14:textFill>
        </w:rPr>
        <w:t>（GB18918-2002）修改单</w:t>
      </w:r>
      <w:r>
        <w:rPr>
          <w:rFonts w:hint="default" w:ascii="Times New Roman" w:hAnsi="Times New Roman" w:cs="Times New Roman"/>
          <w:color w:val="000000" w:themeColor="text1"/>
          <w:highlight w:val="none"/>
          <w:u w:val="none" w:color="auto"/>
          <w14:textFill>
            <w14:solidFill>
              <w14:schemeClr w14:val="tx1"/>
            </w14:solidFill>
          </w14:textFill>
        </w:rPr>
        <w:t>中二级标准，</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有组织排放</w:t>
      </w:r>
      <w:r>
        <w:rPr>
          <w:rFonts w:hint="default" w:ascii="Times New Roman" w:hAnsi="Times New Roman" w:cs="Times New Roman"/>
          <w:color w:val="auto"/>
          <w:highlight w:val="none"/>
          <w:u w:val="none" w:color="auto"/>
          <w:lang w:val="en-US" w:eastAsia="zh-CN"/>
        </w:rPr>
        <w:t>的臭气执行《恶臭污染物排放标准》（GB14554-93）。</w:t>
      </w:r>
      <w:r>
        <w:rPr>
          <w:rFonts w:hint="default" w:ascii="Times New Roman" w:hAnsi="Times New Roman" w:cs="Times New Roman"/>
          <w:color w:val="auto"/>
          <w:highlight w:val="none"/>
          <w:u w:val="none" w:color="auto"/>
        </w:rPr>
        <w:t>具体执行标准见下表。</w:t>
      </w:r>
    </w:p>
    <w:p w14:paraId="21AFFCA4">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6</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大气污染物综合排放标准</w:t>
      </w:r>
    </w:p>
    <w:tbl>
      <w:tblPr>
        <w:tblStyle w:val="76"/>
        <w:tblW w:w="511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921"/>
        <w:gridCol w:w="6388"/>
      </w:tblGrid>
      <w:tr w14:paraId="4A446E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0" w:hRule="atLeast"/>
          <w:jc w:val="center"/>
        </w:trPr>
        <w:tc>
          <w:tcPr>
            <w:tcW w:w="2912" w:type="dxa"/>
            <w:vAlign w:val="center"/>
          </w:tcPr>
          <w:p w14:paraId="681F4F1A">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污染物</w:t>
            </w:r>
          </w:p>
        </w:tc>
        <w:tc>
          <w:tcPr>
            <w:tcW w:w="6367" w:type="dxa"/>
            <w:vAlign w:val="center"/>
          </w:tcPr>
          <w:p w14:paraId="1EF134C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无组织排放监控浓度限值</w:t>
            </w:r>
          </w:p>
        </w:tc>
      </w:tr>
      <w:tr w14:paraId="2FFC13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74" w:hRule="atLeast"/>
          <w:jc w:val="center"/>
        </w:trPr>
        <w:tc>
          <w:tcPr>
            <w:tcW w:w="2912" w:type="dxa"/>
            <w:vAlign w:val="center"/>
          </w:tcPr>
          <w:p w14:paraId="058DDD2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颗粒物</w:t>
            </w:r>
          </w:p>
        </w:tc>
        <w:tc>
          <w:tcPr>
            <w:tcW w:w="6367" w:type="dxa"/>
            <w:vAlign w:val="center"/>
          </w:tcPr>
          <w:p w14:paraId="7F935C7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1.0mg/m</w:t>
            </w:r>
            <w:r>
              <w:rPr>
                <w:rFonts w:hint="default" w:ascii="Times New Roman" w:hAnsi="Times New Roman" w:cs="Times New Roman"/>
                <w:color w:val="auto"/>
                <w:highlight w:val="none"/>
                <w:u w:val="none" w:color="auto"/>
                <w:vertAlign w:val="superscript"/>
              </w:rPr>
              <w:t>3</w:t>
            </w:r>
          </w:p>
        </w:tc>
      </w:tr>
    </w:tbl>
    <w:p w14:paraId="0298C9B6">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7</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w:t>
      </w:r>
      <w:r>
        <w:rPr>
          <w:rFonts w:hint="default" w:ascii="Times New Roman" w:hAnsi="Times New Roman" w:cs="Times New Roman"/>
          <w:color w:val="auto"/>
          <w:highlight w:val="none"/>
          <w:u w:val="none" w:color="auto"/>
          <w:lang w:eastAsia="zh-CN"/>
        </w:rPr>
        <w:t>营运期</w:t>
      </w:r>
      <w:r>
        <w:rPr>
          <w:rFonts w:hint="default" w:ascii="Times New Roman" w:hAnsi="Times New Roman" w:cs="Times New Roman"/>
          <w:color w:val="auto"/>
          <w:highlight w:val="none"/>
          <w:u w:val="none" w:color="auto"/>
        </w:rPr>
        <w:t>污染物排放标准</w:t>
      </w:r>
    </w:p>
    <w:p w14:paraId="123A73BF">
      <w:pPr>
        <w:kinsoku w:val="0"/>
        <w:overflowPunct w:val="0"/>
        <w:spacing w:before="4" w:line="10" w:lineRule="exact"/>
        <w:ind w:firstLine="40"/>
        <w:rPr>
          <w:rFonts w:hint="default" w:ascii="Times New Roman" w:hAnsi="Times New Roman" w:cs="Times New Roman" w:eastAsiaTheme="minorEastAsia"/>
          <w:color w:val="auto"/>
          <w:sz w:val="2"/>
          <w:szCs w:val="2"/>
          <w:highlight w:val="none"/>
          <w:u w:val="none" w:color="auto"/>
        </w:rPr>
      </w:pPr>
    </w:p>
    <w:tbl>
      <w:tblPr>
        <w:tblStyle w:val="76"/>
        <w:tblW w:w="513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719"/>
        <w:gridCol w:w="1910"/>
        <w:gridCol w:w="1473"/>
        <w:gridCol w:w="1616"/>
        <w:gridCol w:w="1629"/>
      </w:tblGrid>
      <w:tr w14:paraId="78BB95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06" w:hRule="atLeast"/>
          <w:jc w:val="center"/>
        </w:trPr>
        <w:tc>
          <w:tcPr>
            <w:tcW w:w="2710" w:type="dxa"/>
            <w:vAlign w:val="center"/>
          </w:tcPr>
          <w:p w14:paraId="492A4B1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类别</w:t>
            </w:r>
          </w:p>
        </w:tc>
        <w:tc>
          <w:tcPr>
            <w:tcW w:w="1904" w:type="dxa"/>
            <w:vAlign w:val="center"/>
          </w:tcPr>
          <w:p w14:paraId="5803D7CB">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污染物</w:t>
            </w:r>
          </w:p>
        </w:tc>
        <w:tc>
          <w:tcPr>
            <w:tcW w:w="1468" w:type="dxa"/>
            <w:vAlign w:val="center"/>
          </w:tcPr>
          <w:p w14:paraId="3AECC2CB">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氨</w:t>
            </w:r>
          </w:p>
        </w:tc>
        <w:tc>
          <w:tcPr>
            <w:tcW w:w="1611" w:type="dxa"/>
            <w:vAlign w:val="center"/>
          </w:tcPr>
          <w:p w14:paraId="517CE51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硫化氢</w:t>
            </w:r>
          </w:p>
        </w:tc>
        <w:tc>
          <w:tcPr>
            <w:tcW w:w="1624" w:type="dxa"/>
            <w:vAlign w:val="center"/>
          </w:tcPr>
          <w:p w14:paraId="67DC1C21">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臭气浓度</w:t>
            </w:r>
          </w:p>
        </w:tc>
      </w:tr>
      <w:tr w14:paraId="658CC6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3" w:hRule="atLeast"/>
          <w:jc w:val="center"/>
        </w:trPr>
        <w:tc>
          <w:tcPr>
            <w:tcW w:w="2710" w:type="dxa"/>
            <w:vAlign w:val="center"/>
          </w:tcPr>
          <w:p w14:paraId="7E0BEC2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厂界废气无组织监控浓度</w:t>
            </w:r>
          </w:p>
        </w:tc>
        <w:tc>
          <w:tcPr>
            <w:tcW w:w="1904" w:type="dxa"/>
            <w:vAlign w:val="center"/>
          </w:tcPr>
          <w:p w14:paraId="2273867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标准限值</w:t>
            </w:r>
          </w:p>
        </w:tc>
        <w:tc>
          <w:tcPr>
            <w:tcW w:w="1468" w:type="dxa"/>
            <w:vAlign w:val="center"/>
          </w:tcPr>
          <w:p w14:paraId="32ABAB3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≤1.5mg/m</w:t>
            </w:r>
            <w:r>
              <w:rPr>
                <w:rFonts w:hint="default" w:ascii="Times New Roman" w:hAnsi="Times New Roman" w:cs="Times New Roman"/>
                <w:color w:val="auto"/>
                <w:highlight w:val="none"/>
                <w:u w:val="none" w:color="auto"/>
                <w:vertAlign w:val="superscript"/>
              </w:rPr>
              <w:t>3</w:t>
            </w:r>
          </w:p>
        </w:tc>
        <w:tc>
          <w:tcPr>
            <w:tcW w:w="1611" w:type="dxa"/>
            <w:vAlign w:val="center"/>
          </w:tcPr>
          <w:p w14:paraId="0A7F975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≤0.06mg/m</w:t>
            </w:r>
            <w:r>
              <w:rPr>
                <w:rFonts w:hint="default" w:ascii="Times New Roman" w:hAnsi="Times New Roman" w:cs="Times New Roman"/>
                <w:color w:val="auto"/>
                <w:highlight w:val="none"/>
                <w:u w:val="none" w:color="auto"/>
                <w:vertAlign w:val="superscript"/>
              </w:rPr>
              <w:t>3</w:t>
            </w:r>
          </w:p>
        </w:tc>
        <w:tc>
          <w:tcPr>
            <w:tcW w:w="1624" w:type="dxa"/>
            <w:vAlign w:val="center"/>
          </w:tcPr>
          <w:p w14:paraId="238C075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w:t>
            </w:r>
          </w:p>
        </w:tc>
      </w:tr>
      <w:tr w14:paraId="6DB7F5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3" w:hRule="atLeast"/>
          <w:jc w:val="center"/>
        </w:trPr>
        <w:tc>
          <w:tcPr>
            <w:tcW w:w="2710" w:type="dxa"/>
            <w:vMerge w:val="restart"/>
            <w:vAlign w:val="center"/>
          </w:tcPr>
          <w:p w14:paraId="3E202C36">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有组织排放标准</w:t>
            </w:r>
          </w:p>
        </w:tc>
        <w:tc>
          <w:tcPr>
            <w:tcW w:w="1904" w:type="dxa"/>
            <w:vAlign w:val="center"/>
          </w:tcPr>
          <w:p w14:paraId="6BEBEB3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排气筒高度</w:t>
            </w:r>
          </w:p>
        </w:tc>
        <w:tc>
          <w:tcPr>
            <w:tcW w:w="1468" w:type="dxa"/>
            <w:vAlign w:val="center"/>
          </w:tcPr>
          <w:p w14:paraId="62D5B42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15m</w:t>
            </w:r>
          </w:p>
        </w:tc>
        <w:tc>
          <w:tcPr>
            <w:tcW w:w="1611" w:type="dxa"/>
            <w:vAlign w:val="center"/>
          </w:tcPr>
          <w:p w14:paraId="557E16A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15m</w:t>
            </w:r>
          </w:p>
        </w:tc>
        <w:tc>
          <w:tcPr>
            <w:tcW w:w="1624" w:type="dxa"/>
            <w:vAlign w:val="center"/>
          </w:tcPr>
          <w:p w14:paraId="1D35502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15m</w:t>
            </w:r>
          </w:p>
        </w:tc>
      </w:tr>
      <w:tr w14:paraId="210B2C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00" w:hRule="atLeast"/>
          <w:jc w:val="center"/>
        </w:trPr>
        <w:tc>
          <w:tcPr>
            <w:tcW w:w="2710" w:type="dxa"/>
            <w:vMerge w:val="continue"/>
            <w:vAlign w:val="center"/>
          </w:tcPr>
          <w:p w14:paraId="15BFA7E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904" w:type="dxa"/>
            <w:vAlign w:val="center"/>
          </w:tcPr>
          <w:p w14:paraId="2A5A30D3">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标准限值</w:t>
            </w:r>
          </w:p>
        </w:tc>
        <w:tc>
          <w:tcPr>
            <w:tcW w:w="1468" w:type="dxa"/>
            <w:vAlign w:val="center"/>
          </w:tcPr>
          <w:p w14:paraId="075DA76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4.9kg/h</w:t>
            </w:r>
          </w:p>
        </w:tc>
        <w:tc>
          <w:tcPr>
            <w:tcW w:w="1611" w:type="dxa"/>
            <w:vAlign w:val="center"/>
          </w:tcPr>
          <w:p w14:paraId="49E488EE">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0.33kg/h</w:t>
            </w:r>
          </w:p>
        </w:tc>
        <w:tc>
          <w:tcPr>
            <w:tcW w:w="1624" w:type="dxa"/>
            <w:vAlign w:val="center"/>
          </w:tcPr>
          <w:p w14:paraId="18D0B31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2000（无量纲）</w:t>
            </w:r>
          </w:p>
        </w:tc>
      </w:tr>
    </w:tbl>
    <w:p w14:paraId="62C4C3D4">
      <w:pPr>
        <w:kinsoku w:val="0"/>
        <w:overflowPunct w:val="0"/>
        <w:spacing w:before="4" w:line="10" w:lineRule="exact"/>
        <w:ind w:firstLine="40"/>
        <w:rPr>
          <w:rFonts w:hint="default" w:ascii="Times New Roman" w:hAnsi="Times New Roman" w:cs="Times New Roman" w:eastAsiaTheme="minorEastAsia"/>
          <w:color w:val="FF0000"/>
          <w:sz w:val="2"/>
          <w:szCs w:val="2"/>
          <w:highlight w:val="none"/>
          <w:u w:val="none" w:color="auto"/>
        </w:rPr>
      </w:pPr>
    </w:p>
    <w:p w14:paraId="36A63B2B">
      <w:pPr>
        <w:pStyle w:val="381"/>
        <w:numPr>
          <w:ilvl w:val="3"/>
          <w:numId w:val="0"/>
        </w:numPr>
        <w:ind w:leftChars="0" w:firstLine="482"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2.3.2.2 </w:t>
      </w:r>
      <w:r>
        <w:rPr>
          <w:rFonts w:hint="default" w:ascii="Times New Roman" w:hAnsi="Times New Roman" w:cs="Times New Roman"/>
          <w:color w:val="auto"/>
          <w:highlight w:val="none"/>
          <w:u w:val="none" w:color="auto"/>
        </w:rPr>
        <w:t>废水</w:t>
      </w:r>
    </w:p>
    <w:p w14:paraId="03FD580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eastAsia="zh-CN"/>
        </w:rPr>
        <w:t>园</w:t>
      </w:r>
      <w:r>
        <w:rPr>
          <w:rFonts w:hint="default" w:ascii="Times New Roman" w:hAnsi="Times New Roman" w:cs="Times New Roman"/>
          <w:color w:val="auto"/>
          <w:highlight w:val="none"/>
          <w:u w:val="none" w:color="auto"/>
        </w:rPr>
        <w:t>内企业</w:t>
      </w:r>
      <w:r>
        <w:rPr>
          <w:rFonts w:hint="default" w:ascii="Times New Roman" w:hAnsi="Times New Roman" w:cs="Times New Roman"/>
          <w:color w:val="auto"/>
          <w:highlight w:val="none"/>
          <w:u w:val="none" w:color="auto"/>
          <w:lang w:eastAsia="zh-CN"/>
        </w:rPr>
        <w:t>的</w:t>
      </w:r>
      <w:r>
        <w:rPr>
          <w:rFonts w:hint="default" w:ascii="Times New Roman" w:hAnsi="Times New Roman" w:cs="Times New Roman"/>
          <w:color w:val="auto"/>
          <w:highlight w:val="none"/>
          <w:u w:val="none" w:color="auto"/>
        </w:rPr>
        <w:t>生产废水</w:t>
      </w:r>
      <w:r>
        <w:rPr>
          <w:rFonts w:hint="default" w:ascii="Times New Roman" w:hAnsi="Times New Roman" w:cs="Times New Roman"/>
          <w:color w:val="auto"/>
          <w:highlight w:val="none"/>
          <w:u w:val="none" w:color="auto"/>
          <w:lang w:eastAsia="zh-CN"/>
        </w:rPr>
        <w:t>经本污水处理站处理后达到</w:t>
      </w:r>
      <w:r>
        <w:rPr>
          <w:rFonts w:hint="default" w:ascii="Times New Roman" w:hAnsi="Times New Roman" w:cs="Times New Roman"/>
          <w:color w:val="auto"/>
          <w:highlight w:val="none"/>
          <w:u w:val="none" w:color="auto"/>
        </w:rPr>
        <w:t>《城镇污水处理厂污染物排放标准》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cs="Times New Roman"/>
          <w:color w:val="auto"/>
          <w:highlight w:val="none"/>
          <w:u w:val="none" w:color="auto"/>
        </w:rPr>
        <w:t>一级A标准后</w:t>
      </w:r>
      <w:r>
        <w:rPr>
          <w:rFonts w:hint="default" w:ascii="Times New Roman" w:hAnsi="Times New Roman" w:cs="Times New Roman"/>
          <w:color w:val="auto"/>
          <w:highlight w:val="none"/>
          <w:u w:val="none" w:color="auto"/>
          <w:lang w:eastAsia="zh-CN"/>
        </w:rPr>
        <w:t>经</w:t>
      </w:r>
      <w:r>
        <w:rPr>
          <w:rFonts w:hint="default" w:ascii="Times New Roman" w:hAnsi="Times New Roman" w:cs="Times New Roman"/>
          <w:color w:val="auto"/>
          <w:highlight w:val="none"/>
          <w:u w:val="none" w:color="auto"/>
          <w:lang w:val="en-US" w:eastAsia="zh-CN"/>
        </w:rPr>
        <w:t>机排二十渠</w:t>
      </w:r>
      <w:r>
        <w:rPr>
          <w:rFonts w:hint="default" w:ascii="Times New Roman" w:hAnsi="Times New Roman" w:cs="Times New Roman"/>
          <w:color w:val="auto"/>
          <w:highlight w:val="none"/>
          <w:u w:val="none" w:color="auto"/>
        </w:rPr>
        <w:t>排入</w:t>
      </w:r>
      <w:r>
        <w:rPr>
          <w:rFonts w:hint="default" w:ascii="Times New Roman" w:hAnsi="Times New Roman" w:cs="Times New Roman"/>
          <w:color w:val="auto"/>
          <w:highlight w:val="none"/>
          <w:u w:val="none" w:color="auto"/>
          <w:lang w:val="en-US" w:eastAsia="zh-CN"/>
        </w:rPr>
        <w:t>老三运河。</w:t>
      </w:r>
    </w:p>
    <w:p w14:paraId="1C3CD125">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8</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废水执行标准</w:t>
      </w:r>
    </w:p>
    <w:tbl>
      <w:tblPr>
        <w:tblStyle w:val="76"/>
        <w:tblW w:w="501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56"/>
        <w:gridCol w:w="1199"/>
        <w:gridCol w:w="1002"/>
        <w:gridCol w:w="821"/>
        <w:gridCol w:w="1109"/>
        <w:gridCol w:w="922"/>
        <w:gridCol w:w="909"/>
      </w:tblGrid>
      <w:tr w14:paraId="22D89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800" w:type="pct"/>
            <w:shd w:val="clear" w:color="auto" w:fill="auto"/>
            <w:vAlign w:val="center"/>
          </w:tcPr>
          <w:p w14:paraId="767A8802">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项目</w:t>
            </w:r>
          </w:p>
        </w:tc>
        <w:tc>
          <w:tcPr>
            <w:tcW w:w="643" w:type="pct"/>
            <w:shd w:val="clear" w:color="auto" w:fill="auto"/>
            <w:vAlign w:val="center"/>
          </w:tcPr>
          <w:p w14:paraId="335266B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COD</w:t>
            </w:r>
            <w:r>
              <w:rPr>
                <w:rFonts w:hint="default" w:ascii="Times New Roman" w:hAnsi="Times New Roman" w:cs="Times New Roman"/>
                <w:b/>
                <w:color w:val="auto"/>
                <w:highlight w:val="none"/>
                <w:u w:val="none" w:color="auto"/>
                <w:vertAlign w:val="subscript"/>
              </w:rPr>
              <w:t>cr</w:t>
            </w:r>
          </w:p>
        </w:tc>
        <w:tc>
          <w:tcPr>
            <w:tcW w:w="537" w:type="pct"/>
            <w:shd w:val="clear" w:color="auto" w:fill="auto"/>
            <w:vAlign w:val="center"/>
          </w:tcPr>
          <w:p w14:paraId="08BC822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BOD</w:t>
            </w:r>
            <w:r>
              <w:rPr>
                <w:rFonts w:hint="default" w:ascii="Times New Roman" w:hAnsi="Times New Roman" w:cs="Times New Roman"/>
                <w:b/>
                <w:color w:val="auto"/>
                <w:highlight w:val="none"/>
                <w:u w:val="none" w:color="auto"/>
                <w:vertAlign w:val="subscript"/>
              </w:rPr>
              <w:t>5</w:t>
            </w:r>
          </w:p>
        </w:tc>
        <w:tc>
          <w:tcPr>
            <w:tcW w:w="440" w:type="pct"/>
            <w:shd w:val="clear" w:color="auto" w:fill="auto"/>
            <w:vAlign w:val="center"/>
          </w:tcPr>
          <w:p w14:paraId="4DDE161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SS</w:t>
            </w:r>
          </w:p>
        </w:tc>
        <w:tc>
          <w:tcPr>
            <w:tcW w:w="595" w:type="pct"/>
            <w:shd w:val="clear" w:color="auto" w:fill="auto"/>
            <w:vAlign w:val="center"/>
          </w:tcPr>
          <w:p w14:paraId="44E6451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NH</w:t>
            </w:r>
            <w:r>
              <w:rPr>
                <w:rFonts w:hint="default" w:ascii="Times New Roman" w:hAnsi="Times New Roman" w:cs="Times New Roman"/>
                <w:b/>
                <w:color w:val="auto"/>
                <w:highlight w:val="none"/>
                <w:u w:val="none" w:color="auto"/>
                <w:vertAlign w:val="subscript"/>
              </w:rPr>
              <w:t>3</w:t>
            </w:r>
            <w:r>
              <w:rPr>
                <w:rFonts w:hint="default" w:ascii="Times New Roman" w:hAnsi="Times New Roman" w:cs="Times New Roman"/>
                <w:b/>
                <w:color w:val="auto"/>
                <w:highlight w:val="none"/>
                <w:u w:val="none" w:color="auto"/>
              </w:rPr>
              <w:t>-N</w:t>
            </w:r>
          </w:p>
        </w:tc>
        <w:tc>
          <w:tcPr>
            <w:tcW w:w="494" w:type="pct"/>
            <w:shd w:val="clear" w:color="auto" w:fill="auto"/>
            <w:vAlign w:val="center"/>
          </w:tcPr>
          <w:p w14:paraId="5F6DCABE">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eastAsia="zh-CN"/>
              </w:rPr>
            </w:pPr>
            <w:r>
              <w:rPr>
                <w:rFonts w:hint="default" w:ascii="Times New Roman" w:hAnsi="Times New Roman" w:cs="Times New Roman"/>
                <w:b/>
                <w:color w:val="auto"/>
                <w:highlight w:val="none"/>
                <w:u w:val="none" w:color="auto"/>
              </w:rPr>
              <w:t>T</w:t>
            </w:r>
            <w:r>
              <w:rPr>
                <w:rFonts w:hint="default" w:ascii="Times New Roman" w:hAnsi="Times New Roman" w:cs="Times New Roman"/>
                <w:b/>
                <w:color w:val="auto"/>
                <w:highlight w:val="none"/>
                <w:u w:val="none" w:color="auto"/>
                <w:lang w:val="en-US" w:eastAsia="zh-CN"/>
              </w:rPr>
              <w:t>N</w:t>
            </w:r>
          </w:p>
        </w:tc>
        <w:tc>
          <w:tcPr>
            <w:tcW w:w="487" w:type="pct"/>
            <w:shd w:val="clear" w:color="auto" w:fill="auto"/>
            <w:vAlign w:val="center"/>
          </w:tcPr>
          <w:p w14:paraId="0A3C692E">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rPr>
              <w:t>T</w:t>
            </w:r>
            <w:r>
              <w:rPr>
                <w:rFonts w:hint="default" w:ascii="Times New Roman" w:hAnsi="Times New Roman" w:cs="Times New Roman"/>
                <w:b/>
                <w:color w:val="auto"/>
                <w:highlight w:val="none"/>
                <w:u w:val="none" w:color="auto"/>
                <w:lang w:val="en-US" w:eastAsia="zh-CN"/>
              </w:rPr>
              <w:t>P</w:t>
            </w:r>
          </w:p>
        </w:tc>
      </w:tr>
      <w:tr w14:paraId="0786B6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1800" w:type="pct"/>
            <w:shd w:val="clear" w:color="auto" w:fill="auto"/>
            <w:vAlign w:val="center"/>
          </w:tcPr>
          <w:p w14:paraId="5B11664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《城</w:t>
            </w:r>
            <w:r>
              <w:rPr>
                <w:rFonts w:hint="default" w:ascii="Times New Roman" w:hAnsi="Times New Roman" w:cs="Times New Roman"/>
                <w:color w:val="auto"/>
                <w:highlight w:val="none"/>
                <w:u w:val="none" w:color="auto"/>
              </w:rPr>
              <w:t>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cs="Times New Roman"/>
                <w:color w:val="auto"/>
                <w:highlight w:val="none"/>
                <w:u w:val="none" w:color="auto"/>
              </w:rPr>
              <w:t>一级A标</w:t>
            </w:r>
          </w:p>
        </w:tc>
        <w:tc>
          <w:tcPr>
            <w:tcW w:w="643" w:type="pct"/>
            <w:shd w:val="clear" w:color="auto" w:fill="auto"/>
            <w:vAlign w:val="center"/>
          </w:tcPr>
          <w:p w14:paraId="38AF402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eastAsiaTheme="minorEastAsia"/>
                <w:color w:val="auto"/>
                <w:sz w:val="21"/>
                <w:szCs w:val="21"/>
                <w:highlight w:val="none"/>
                <w:u w:val="none" w:color="auto"/>
              </w:rPr>
              <w:t>≤</w:t>
            </w:r>
            <w:r>
              <w:rPr>
                <w:rFonts w:hint="default" w:ascii="Times New Roman" w:hAnsi="Times New Roman" w:cs="Times New Roman"/>
                <w:color w:val="auto"/>
                <w:highlight w:val="none"/>
                <w:u w:val="none" w:color="auto"/>
              </w:rPr>
              <w:t>50</w:t>
            </w:r>
          </w:p>
        </w:tc>
        <w:tc>
          <w:tcPr>
            <w:tcW w:w="537" w:type="pct"/>
            <w:shd w:val="clear" w:color="auto" w:fill="auto"/>
            <w:vAlign w:val="center"/>
          </w:tcPr>
          <w:p w14:paraId="593344FF">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rPr>
              <w:t>≤</w:t>
            </w:r>
            <w:r>
              <w:rPr>
                <w:rFonts w:hint="default" w:ascii="Times New Roman" w:hAnsi="Times New Roman" w:cs="Times New Roman" w:eastAsiaTheme="minorEastAsia"/>
                <w:color w:val="auto"/>
                <w:highlight w:val="none"/>
                <w:u w:val="none" w:color="auto"/>
                <w:lang w:val="en-US" w:eastAsia="zh-CN"/>
              </w:rPr>
              <w:t>10</w:t>
            </w:r>
          </w:p>
        </w:tc>
        <w:tc>
          <w:tcPr>
            <w:tcW w:w="440" w:type="pct"/>
            <w:shd w:val="clear" w:color="auto" w:fill="auto"/>
            <w:vAlign w:val="center"/>
          </w:tcPr>
          <w:p w14:paraId="68876B4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rPr>
            </w:pPr>
            <w:r>
              <w:rPr>
                <w:rFonts w:hint="default" w:ascii="Times New Roman" w:hAnsi="Times New Roman" w:cs="Times New Roman" w:eastAsiaTheme="minorEastAsia"/>
                <w:color w:val="auto"/>
                <w:sz w:val="21"/>
                <w:szCs w:val="21"/>
                <w:highlight w:val="none"/>
                <w:u w:val="none" w:color="auto"/>
              </w:rPr>
              <w:t>≤</w:t>
            </w:r>
            <w:r>
              <w:rPr>
                <w:rFonts w:hint="default" w:ascii="Times New Roman" w:hAnsi="Times New Roman" w:cs="Times New Roman" w:eastAsiaTheme="minorEastAsia"/>
                <w:color w:val="auto"/>
                <w:highlight w:val="none"/>
                <w:u w:val="none" w:color="auto"/>
                <w:lang w:val="en-US" w:eastAsia="zh-CN"/>
              </w:rPr>
              <w:t>10</w:t>
            </w:r>
          </w:p>
        </w:tc>
        <w:tc>
          <w:tcPr>
            <w:tcW w:w="595" w:type="pct"/>
            <w:shd w:val="clear" w:color="auto" w:fill="auto"/>
            <w:vAlign w:val="center"/>
          </w:tcPr>
          <w:p w14:paraId="228ED43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rPr>
              <w:t>≤</w:t>
            </w:r>
            <w:r>
              <w:rPr>
                <w:rFonts w:hint="default" w:ascii="Times New Roman" w:hAnsi="Times New Roman" w:cs="Times New Roman" w:eastAsiaTheme="minorEastAsia"/>
                <w:color w:val="auto"/>
                <w:highlight w:val="none"/>
                <w:u w:val="none" w:color="auto"/>
                <w:lang w:val="en-US" w:eastAsia="zh-CN"/>
              </w:rPr>
              <w:t>5（8）</w:t>
            </w:r>
          </w:p>
        </w:tc>
        <w:tc>
          <w:tcPr>
            <w:tcW w:w="494" w:type="pct"/>
            <w:shd w:val="clear" w:color="auto" w:fill="auto"/>
            <w:vAlign w:val="center"/>
          </w:tcPr>
          <w:p w14:paraId="1B49E9A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rPr>
              <w:t>≤</w:t>
            </w:r>
            <w:r>
              <w:rPr>
                <w:rFonts w:hint="default" w:ascii="Times New Roman" w:hAnsi="Times New Roman" w:cs="Times New Roman" w:eastAsiaTheme="minorEastAsia"/>
                <w:color w:val="auto"/>
                <w:highlight w:val="none"/>
                <w:u w:val="none" w:color="auto"/>
                <w:lang w:val="en-US" w:eastAsia="zh-CN"/>
              </w:rPr>
              <w:t>15</w:t>
            </w:r>
          </w:p>
        </w:tc>
        <w:tc>
          <w:tcPr>
            <w:tcW w:w="487" w:type="pct"/>
            <w:shd w:val="clear" w:color="auto" w:fill="auto"/>
            <w:vAlign w:val="center"/>
          </w:tcPr>
          <w:p w14:paraId="65E8BD6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eastAsiaTheme="minorEastAsia"/>
                <w:color w:val="auto"/>
                <w:sz w:val="21"/>
                <w:szCs w:val="21"/>
                <w:highlight w:val="none"/>
                <w:u w:val="none" w:color="auto"/>
              </w:rPr>
              <w:t>≤</w:t>
            </w:r>
            <w:r>
              <w:rPr>
                <w:rFonts w:hint="default" w:ascii="Times New Roman" w:hAnsi="Times New Roman" w:cs="Times New Roman" w:eastAsiaTheme="minorEastAsia"/>
                <w:color w:val="auto"/>
                <w:highlight w:val="none"/>
                <w:u w:val="none" w:color="auto"/>
                <w:lang w:val="en-US" w:eastAsia="zh-CN"/>
              </w:rPr>
              <w:t>0.5</w:t>
            </w:r>
          </w:p>
        </w:tc>
      </w:tr>
    </w:tbl>
    <w:p w14:paraId="211F6BBE">
      <w:pPr>
        <w:kinsoku w:val="0"/>
        <w:overflowPunct w:val="0"/>
        <w:spacing w:before="4" w:line="10" w:lineRule="exact"/>
        <w:ind w:firstLine="40"/>
        <w:rPr>
          <w:rFonts w:hint="default" w:ascii="Times New Roman" w:hAnsi="Times New Roman" w:cs="Times New Roman" w:eastAsiaTheme="minorEastAsia"/>
          <w:color w:val="FF0000"/>
          <w:sz w:val="2"/>
          <w:szCs w:val="2"/>
          <w:highlight w:val="none"/>
          <w:u w:val="none" w:color="auto"/>
        </w:rPr>
      </w:pPr>
    </w:p>
    <w:p w14:paraId="4FFB7680">
      <w:pPr>
        <w:pStyle w:val="381"/>
        <w:numPr>
          <w:ilvl w:val="3"/>
          <w:numId w:val="0"/>
        </w:numPr>
        <w:ind w:leftChars="0" w:firstLine="241" w:firstLineChars="1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2.3.2.3 </w:t>
      </w:r>
      <w:r>
        <w:rPr>
          <w:rFonts w:hint="default" w:ascii="Times New Roman" w:hAnsi="Times New Roman" w:cs="Times New Roman"/>
          <w:color w:val="auto"/>
          <w:highlight w:val="none"/>
          <w:u w:val="none" w:color="auto"/>
        </w:rPr>
        <w:t>噪声</w:t>
      </w:r>
    </w:p>
    <w:p w14:paraId="4BF80E2F">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项目厂界执行《工业企业厂界环境噪声排放标准》（GB12348-2008）中3类标准，施工噪声执行《建筑施工场界环境噪声排放标准》（</w:t>
      </w:r>
      <w:r>
        <w:rPr>
          <w:rFonts w:hint="default" w:ascii="Times New Roman" w:hAnsi="Times New Roman" w:cs="Times New Roman"/>
          <w:color w:val="auto"/>
          <w:highlight w:val="none"/>
          <w:u w:val="none" w:color="auto"/>
          <w:lang w:eastAsia="zh-CN"/>
        </w:rPr>
        <w:t>GB12523-2025</w:t>
      </w:r>
      <w:r>
        <w:rPr>
          <w:rFonts w:hint="default" w:ascii="Times New Roman" w:hAnsi="Times New Roman" w:cs="Times New Roman"/>
          <w:color w:val="auto"/>
          <w:highlight w:val="none"/>
          <w:u w:val="none" w:color="auto"/>
        </w:rPr>
        <w:t>），详见下表。</w:t>
      </w:r>
    </w:p>
    <w:p w14:paraId="1099930D">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9</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噪声排放标准</w:t>
      </w:r>
      <w:r>
        <w:rPr>
          <w:rFonts w:hint="default" w:ascii="Times New Roman" w:hAnsi="Times New Roman" w:cs="Times New Roman"/>
          <w:color w:val="auto"/>
          <w:highlight w:val="none"/>
          <w:u w:val="none" w:color="auto"/>
        </w:rPr>
        <w:tab/>
      </w:r>
      <w:r>
        <w:rPr>
          <w:rFonts w:hint="default" w:ascii="Times New Roman" w:hAnsi="Times New Roman" w:cs="Times New Roman"/>
          <w:color w:val="auto"/>
          <w:highlight w:val="none"/>
          <w:u w:val="none" w:color="auto"/>
        </w:rPr>
        <w:t>单位：dB(A)</w:t>
      </w:r>
    </w:p>
    <w:p w14:paraId="3C631F68">
      <w:pPr>
        <w:kinsoku w:val="0"/>
        <w:overflowPunct w:val="0"/>
        <w:spacing w:before="4" w:line="10" w:lineRule="exact"/>
        <w:ind w:firstLine="40"/>
        <w:rPr>
          <w:rFonts w:hint="default" w:ascii="Times New Roman" w:hAnsi="Times New Roman" w:cs="Times New Roman" w:eastAsiaTheme="minorEastAsia"/>
          <w:color w:val="auto"/>
          <w:sz w:val="2"/>
          <w:szCs w:val="2"/>
          <w:highlight w:val="none"/>
          <w:u w:val="none" w:color="auto"/>
        </w:rPr>
      </w:pPr>
    </w:p>
    <w:tbl>
      <w:tblPr>
        <w:tblStyle w:val="76"/>
        <w:tblW w:w="508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37"/>
        <w:gridCol w:w="1450"/>
        <w:gridCol w:w="1449"/>
        <w:gridCol w:w="5613"/>
      </w:tblGrid>
      <w:tr w14:paraId="0E07F3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0" w:hRule="atLeast"/>
          <w:jc w:val="center"/>
        </w:trPr>
        <w:tc>
          <w:tcPr>
            <w:tcW w:w="735" w:type="dxa"/>
            <w:vAlign w:val="center"/>
          </w:tcPr>
          <w:p w14:paraId="31E65718">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eastAsia="zh-CN"/>
              </w:rPr>
            </w:pPr>
            <w:r>
              <w:rPr>
                <w:rFonts w:hint="default" w:ascii="Times New Roman" w:hAnsi="Times New Roman" w:cs="Times New Roman"/>
                <w:b/>
                <w:color w:val="auto"/>
                <w:highlight w:val="none"/>
                <w:u w:val="none" w:color="auto"/>
                <w:lang w:eastAsia="zh-CN"/>
              </w:rPr>
              <w:t>序号</w:t>
            </w:r>
          </w:p>
        </w:tc>
        <w:tc>
          <w:tcPr>
            <w:tcW w:w="1445" w:type="dxa"/>
            <w:vAlign w:val="center"/>
          </w:tcPr>
          <w:p w14:paraId="0C2F12C0">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昼间 LAeq</w:t>
            </w:r>
          </w:p>
        </w:tc>
        <w:tc>
          <w:tcPr>
            <w:tcW w:w="1444" w:type="dxa"/>
            <w:vAlign w:val="center"/>
          </w:tcPr>
          <w:p w14:paraId="38AA9E99">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夜间 LAeq</w:t>
            </w:r>
          </w:p>
        </w:tc>
        <w:tc>
          <w:tcPr>
            <w:tcW w:w="5595" w:type="dxa"/>
            <w:vAlign w:val="center"/>
          </w:tcPr>
          <w:p w14:paraId="7E9D405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依据</w:t>
            </w:r>
          </w:p>
        </w:tc>
      </w:tr>
      <w:tr w14:paraId="3C1D83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8" w:hRule="atLeast"/>
          <w:jc w:val="center"/>
        </w:trPr>
        <w:tc>
          <w:tcPr>
            <w:tcW w:w="735" w:type="dxa"/>
            <w:vAlign w:val="center"/>
          </w:tcPr>
          <w:p w14:paraId="56130B4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1</w:t>
            </w:r>
          </w:p>
        </w:tc>
        <w:tc>
          <w:tcPr>
            <w:tcW w:w="1445" w:type="dxa"/>
            <w:vAlign w:val="center"/>
          </w:tcPr>
          <w:p w14:paraId="54B4428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65</w:t>
            </w:r>
          </w:p>
        </w:tc>
        <w:tc>
          <w:tcPr>
            <w:tcW w:w="1444" w:type="dxa"/>
            <w:vAlign w:val="center"/>
          </w:tcPr>
          <w:p w14:paraId="31ABBCA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5595" w:type="dxa"/>
            <w:vAlign w:val="center"/>
          </w:tcPr>
          <w:p w14:paraId="22373AA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《工业企业厂界环境噪声排放标准》（GB12348－2008）</w:t>
            </w:r>
          </w:p>
        </w:tc>
      </w:tr>
      <w:tr w14:paraId="039C4A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84" w:hRule="atLeast"/>
          <w:jc w:val="center"/>
        </w:trPr>
        <w:tc>
          <w:tcPr>
            <w:tcW w:w="735" w:type="dxa"/>
            <w:vAlign w:val="center"/>
          </w:tcPr>
          <w:p w14:paraId="6E151E7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2</w:t>
            </w:r>
          </w:p>
        </w:tc>
        <w:tc>
          <w:tcPr>
            <w:tcW w:w="1445" w:type="dxa"/>
            <w:vAlign w:val="center"/>
          </w:tcPr>
          <w:p w14:paraId="1827C97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70</w:t>
            </w:r>
          </w:p>
        </w:tc>
        <w:tc>
          <w:tcPr>
            <w:tcW w:w="1444" w:type="dxa"/>
            <w:vAlign w:val="center"/>
          </w:tcPr>
          <w:p w14:paraId="249F1B9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w:t>
            </w:r>
          </w:p>
        </w:tc>
        <w:tc>
          <w:tcPr>
            <w:tcW w:w="5595" w:type="dxa"/>
            <w:vAlign w:val="center"/>
          </w:tcPr>
          <w:p w14:paraId="14EEB5C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《建筑施工场界环境噪声排放标准》（</w:t>
            </w:r>
            <w:r>
              <w:rPr>
                <w:rFonts w:hint="default" w:ascii="Times New Roman" w:hAnsi="Times New Roman" w:cs="Times New Roman"/>
                <w:color w:val="auto"/>
                <w:highlight w:val="none"/>
                <w:u w:val="none" w:color="auto"/>
                <w:lang w:eastAsia="zh-CN"/>
              </w:rPr>
              <w:t>GB12523-2025</w:t>
            </w:r>
            <w:r>
              <w:rPr>
                <w:rFonts w:hint="default" w:ascii="Times New Roman" w:hAnsi="Times New Roman" w:cs="Times New Roman"/>
                <w:color w:val="auto"/>
                <w:highlight w:val="none"/>
                <w:u w:val="none" w:color="auto"/>
              </w:rPr>
              <w:t>）</w:t>
            </w:r>
          </w:p>
        </w:tc>
      </w:tr>
    </w:tbl>
    <w:p w14:paraId="2D05C3EA">
      <w:pPr>
        <w:pStyle w:val="381"/>
        <w:numPr>
          <w:ilvl w:val="3"/>
          <w:numId w:val="0"/>
        </w:numPr>
        <w:ind w:leftChars="0" w:firstLine="49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2"/>
          <w:highlight w:val="none"/>
          <w:u w:val="none" w:color="auto"/>
          <w:lang w:val="en-US" w:eastAsia="zh-CN"/>
        </w:rPr>
        <w:t xml:space="preserve">2.3.2.4 </w:t>
      </w:r>
      <w:r>
        <w:rPr>
          <w:rFonts w:hint="default" w:ascii="Times New Roman" w:hAnsi="Times New Roman" w:cs="Times New Roman"/>
          <w:color w:val="auto"/>
          <w:spacing w:val="2"/>
          <w:highlight w:val="none"/>
          <w:u w:val="none" w:color="auto"/>
        </w:rPr>
        <w:t>固</w:t>
      </w:r>
      <w:r>
        <w:rPr>
          <w:rFonts w:hint="default" w:ascii="Times New Roman" w:hAnsi="Times New Roman" w:cs="Times New Roman"/>
          <w:color w:val="auto"/>
          <w:highlight w:val="none"/>
          <w:u w:val="none" w:color="auto"/>
        </w:rPr>
        <w:t>体</w:t>
      </w:r>
      <w:r>
        <w:rPr>
          <w:rFonts w:hint="default" w:ascii="Times New Roman" w:hAnsi="Times New Roman" w:cs="Times New Roman"/>
          <w:color w:val="auto"/>
          <w:spacing w:val="2"/>
          <w:highlight w:val="none"/>
          <w:u w:val="none" w:color="auto"/>
        </w:rPr>
        <w:t>废</w:t>
      </w:r>
      <w:r>
        <w:rPr>
          <w:rFonts w:hint="default" w:ascii="Times New Roman" w:hAnsi="Times New Roman" w:cs="Times New Roman"/>
          <w:color w:val="auto"/>
          <w:highlight w:val="none"/>
          <w:u w:val="none" w:color="auto"/>
        </w:rPr>
        <w:t>物</w:t>
      </w:r>
    </w:p>
    <w:p w14:paraId="22DB9456">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auto"/>
          <w:highlight w:val="none"/>
          <w:u w:val="none" w:color="auto"/>
        </w:rPr>
        <w:t>施工期及运营期一般固废及生活垃圾执行</w:t>
      </w:r>
      <w:r>
        <w:rPr>
          <w:rFonts w:hint="default" w:ascii="Times New Roman" w:hAnsi="Times New Roman" w:cs="Times New Roman"/>
          <w:color w:val="auto"/>
          <w:highlight w:val="none"/>
          <w:u w:val="none" w:color="auto"/>
          <w:lang w:eastAsia="zh-CN"/>
        </w:rPr>
        <w:t>《一般工业固体废物贮存和填埋污染控制标准》（GB18599-2020）</w:t>
      </w:r>
      <w:r>
        <w:rPr>
          <w:rFonts w:hint="default" w:ascii="Times New Roman" w:hAnsi="Times New Roman" w:cs="Times New Roman"/>
          <w:color w:val="000000" w:themeColor="text1"/>
          <w:highlight w:val="none"/>
          <w:u w:val="none" w:color="auto"/>
          <w14:textFill>
            <w14:solidFill>
              <w14:schemeClr w14:val="tx1"/>
            </w14:solidFill>
          </w14:textFill>
        </w:rPr>
        <w:t>；污泥执行《城镇污水</w:t>
      </w:r>
      <w:r>
        <w:rPr>
          <w:rFonts w:hint="eastAsia" w:cs="Times New Roman"/>
          <w:color w:val="000000" w:themeColor="text1"/>
          <w:highlight w:val="none"/>
          <w:u w:val="none" w:color="auto"/>
          <w:lang w:val="en-US" w:eastAsia="zh-CN"/>
          <w14:textFill>
            <w14:solidFill>
              <w14:schemeClr w14:val="tx1"/>
            </w14:solidFill>
          </w14:textFill>
        </w:rPr>
        <w:t>处理</w:t>
      </w:r>
      <w:r>
        <w:rPr>
          <w:rFonts w:hint="default" w:ascii="Times New Roman" w:hAnsi="Times New Roman" w:cs="Times New Roman"/>
          <w:color w:val="000000" w:themeColor="text1"/>
          <w:highlight w:val="none"/>
          <w:u w:val="none" w:color="auto"/>
          <w14:textFill>
            <w14:solidFill>
              <w14:schemeClr w14:val="tx1"/>
            </w14:solidFill>
          </w14:textFill>
        </w:rPr>
        <w:t>厂污染物排放标准》</w:t>
      </w:r>
      <w:r>
        <w:rPr>
          <w:rFonts w:hint="eastAsia" w:cs="Times New Roman"/>
          <w:color w:val="000000" w:themeColor="text1"/>
          <w:highlight w:val="none"/>
          <w:u w:val="none" w:color="auto"/>
          <w:lang w:eastAsia="zh-CN"/>
          <w14:textFill>
            <w14:solidFill>
              <w14:schemeClr w14:val="tx1"/>
            </w14:solidFill>
          </w14:textFill>
        </w:rPr>
        <w:t>（GB18918-2002）修改单</w:t>
      </w:r>
      <w:r>
        <w:rPr>
          <w:rFonts w:hint="default" w:ascii="Times New Roman" w:hAnsi="Times New Roman" w:cs="Times New Roman"/>
          <w:color w:val="000000" w:themeColor="text1"/>
          <w:highlight w:val="none"/>
          <w:u w:val="none" w:color="auto"/>
          <w14:textFill>
            <w14:solidFill>
              <w14:schemeClr w14:val="tx1"/>
            </w14:solidFill>
          </w14:textFill>
        </w:rPr>
        <w:t>中标准限值规定</w:t>
      </w:r>
      <w:r>
        <w:rPr>
          <w:rFonts w:hint="eastAsia" w:cs="Times New Roman"/>
          <w:color w:val="000000" w:themeColor="text1"/>
          <w:highlight w:val="none"/>
          <w:u w:val="none" w:color="auto"/>
          <w:lang w:eastAsia="zh-CN"/>
          <w14:textFill>
            <w14:solidFill>
              <w14:schemeClr w14:val="tx1"/>
            </w14:solidFill>
          </w14:textFill>
        </w:rPr>
        <w:t>，</w:t>
      </w:r>
      <w:r>
        <w:rPr>
          <w:rFonts w:hint="eastAsia" w:cs="Times New Roman"/>
          <w:color w:val="000000" w:themeColor="text1"/>
          <w:highlight w:val="none"/>
          <w:u w:val="none" w:color="auto"/>
          <w:lang w:val="en-US" w:eastAsia="zh-CN"/>
          <w14:textFill>
            <w14:solidFill>
              <w14:schemeClr w14:val="tx1"/>
            </w14:solidFill>
          </w14:textFill>
        </w:rPr>
        <w:t>要求含水率低于60%后运往益阳海螺环保科技有限责任公司妥善处理；</w:t>
      </w:r>
      <w:r>
        <w:rPr>
          <w:rFonts w:hint="default" w:ascii="Times New Roman" w:hAnsi="Times New Roman" w:cs="Times New Roman"/>
          <w:color w:val="000000" w:themeColor="text1"/>
          <w:highlight w:val="none"/>
          <w:u w:val="none" w:color="auto"/>
          <w14:textFill>
            <w14:solidFill>
              <w14:schemeClr w14:val="tx1"/>
            </w14:solidFill>
          </w14:textFill>
        </w:rPr>
        <w:t>危险废物执行《危险废物贮存污染控制标准》(GB18597-2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023</w:t>
      </w:r>
      <w:r>
        <w:rPr>
          <w:rFonts w:hint="default" w:ascii="Times New Roman" w:hAnsi="Times New Roman" w:cs="Times New Roman"/>
          <w:color w:val="000000" w:themeColor="text1"/>
          <w:highlight w:val="none"/>
          <w:u w:val="none" w:color="auto"/>
          <w14:textFill>
            <w14:solidFill>
              <w14:schemeClr w14:val="tx1"/>
            </w14:solidFill>
          </w14:textFill>
        </w:rPr>
        <w:t>)。</w:t>
      </w:r>
    </w:p>
    <w:bookmarkEnd w:id="14"/>
    <w:bookmarkEnd w:id="15"/>
    <w:bookmarkEnd w:id="16"/>
    <w:bookmarkEnd w:id="27"/>
    <w:p w14:paraId="6D159623">
      <w:pPr>
        <w:pStyle w:val="3"/>
        <w:numPr>
          <w:ilvl w:val="1"/>
          <w:numId w:val="0"/>
        </w:numPr>
        <w:ind w:leftChars="0"/>
        <w:rPr>
          <w:rFonts w:hint="default" w:ascii="Times New Roman" w:hAnsi="Times New Roman" w:cs="Times New Roman"/>
          <w:color w:val="auto"/>
          <w:highlight w:val="none"/>
          <w:u w:val="none" w:color="auto"/>
        </w:rPr>
      </w:pPr>
      <w:bookmarkStart w:id="28" w:name="_Toc24396"/>
      <w:r>
        <w:rPr>
          <w:rFonts w:hint="default" w:ascii="Times New Roman" w:hAnsi="Times New Roman" w:cs="Times New Roman"/>
          <w:color w:val="auto"/>
          <w:highlight w:val="none"/>
          <w:u w:val="none" w:color="auto"/>
          <w:lang w:val="en-US" w:eastAsia="zh-CN"/>
        </w:rPr>
        <w:t xml:space="preserve">2.4 </w:t>
      </w:r>
      <w:r>
        <w:rPr>
          <w:rFonts w:hint="default" w:ascii="Times New Roman" w:hAnsi="Times New Roman" w:cs="Times New Roman"/>
          <w:color w:val="auto"/>
          <w:highlight w:val="none"/>
          <w:u w:val="none" w:color="auto"/>
        </w:rPr>
        <w:t>评价工作等级与</w:t>
      </w:r>
      <w:r>
        <w:rPr>
          <w:rFonts w:hint="default" w:ascii="Times New Roman" w:hAnsi="Times New Roman" w:cs="Times New Roman"/>
          <w:color w:val="auto"/>
          <w:highlight w:val="none"/>
          <w:u w:val="none" w:color="auto"/>
          <w:lang w:eastAsia="zh-CN"/>
        </w:rPr>
        <w:t>评价</w:t>
      </w:r>
      <w:r>
        <w:rPr>
          <w:rFonts w:hint="default" w:ascii="Times New Roman" w:hAnsi="Times New Roman" w:cs="Times New Roman"/>
          <w:color w:val="auto"/>
          <w:highlight w:val="none"/>
          <w:u w:val="none" w:color="auto"/>
        </w:rPr>
        <w:t>范围</w:t>
      </w:r>
      <w:bookmarkEnd w:id="28"/>
    </w:p>
    <w:p w14:paraId="691F926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依据本项目的建设规模、工程特点、污染特点、项目所在地的环境特征，及《建设项目环境影响评价导则 总纲》（HJ2.1-2016）规定的判据原则等确定评价工作等级。</w:t>
      </w:r>
    </w:p>
    <w:p w14:paraId="41AF9A84">
      <w:pPr>
        <w:pStyle w:val="4"/>
        <w:numPr>
          <w:ilvl w:val="2"/>
          <w:numId w:val="0"/>
        </w:numPr>
        <w:ind w:leftChars="0"/>
        <w:rPr>
          <w:rFonts w:hint="default" w:ascii="Times New Roman" w:hAnsi="Times New Roman" w:cs="Times New Roman"/>
          <w:color w:val="auto"/>
          <w:highlight w:val="none"/>
          <w:u w:val="none" w:color="auto"/>
        </w:rPr>
      </w:pPr>
      <w:bookmarkStart w:id="29" w:name="_Toc9432"/>
      <w:r>
        <w:rPr>
          <w:rFonts w:hint="default" w:ascii="Times New Roman" w:hAnsi="Times New Roman" w:cs="Times New Roman"/>
          <w:color w:val="auto"/>
          <w:highlight w:val="none"/>
          <w:u w:val="none" w:color="auto"/>
          <w:lang w:val="en-US" w:eastAsia="zh-CN"/>
        </w:rPr>
        <w:t xml:space="preserve">2.4.1 </w:t>
      </w:r>
      <w:r>
        <w:rPr>
          <w:rFonts w:hint="default" w:ascii="Times New Roman" w:hAnsi="Times New Roman" w:cs="Times New Roman"/>
          <w:color w:val="auto"/>
          <w:highlight w:val="none"/>
          <w:u w:val="none" w:color="auto"/>
        </w:rPr>
        <w:t>环境空气影响评价工作等级</w:t>
      </w:r>
      <w:bookmarkEnd w:id="29"/>
    </w:p>
    <w:p w14:paraId="412CE26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根据《环境影响评价技术导则 大气环境》（HJ2.2-2018）关于大气环境影响评价等级的判定原则，运用导则附录A推荐模型中估算模型分别计算项目污染源的最大环境影响，然后按评价工作分级判据进行分级。</w:t>
      </w:r>
    </w:p>
    <w:p w14:paraId="465905D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按照《环境影响评价技术导则大气环境》（HJ2.2-2018）规定，分别计算每一种污染物的最大地面空气质量浓度占标率P</w:t>
      </w:r>
      <w:r>
        <w:rPr>
          <w:rFonts w:hint="default" w:ascii="Times New Roman" w:hAnsi="Times New Roman" w:cs="Times New Roman"/>
          <w:color w:val="auto"/>
          <w:sz w:val="16"/>
          <w:szCs w:val="16"/>
          <w:highlight w:val="none"/>
          <w:u w:val="none" w:color="auto"/>
        </w:rPr>
        <w:t>i</w:t>
      </w:r>
      <w:r>
        <w:rPr>
          <w:rFonts w:hint="default" w:ascii="Times New Roman" w:hAnsi="Times New Roman" w:cs="Times New Roman"/>
          <w:color w:val="auto"/>
          <w:highlight w:val="none"/>
          <w:u w:val="none" w:color="auto"/>
        </w:rPr>
        <w:t>（第i个污染物），及第i个污染物的地面空气质量浓度达标准限值10%时所对应的最远距离D10%，其中P</w:t>
      </w:r>
      <w:r>
        <w:rPr>
          <w:rFonts w:hint="default" w:ascii="Times New Roman" w:hAnsi="Times New Roman" w:cs="Times New Roman"/>
          <w:color w:val="auto"/>
          <w:sz w:val="16"/>
          <w:szCs w:val="16"/>
          <w:highlight w:val="none"/>
          <w:u w:val="none" w:color="auto"/>
        </w:rPr>
        <w:t>i</w:t>
      </w:r>
      <w:r>
        <w:rPr>
          <w:rFonts w:hint="default" w:ascii="Times New Roman" w:hAnsi="Times New Roman" w:cs="Times New Roman"/>
          <w:color w:val="auto"/>
          <w:highlight w:val="none"/>
          <w:u w:val="none" w:color="auto"/>
        </w:rPr>
        <w:t xml:space="preserve"> 定义为：</w:t>
      </w:r>
    </w:p>
    <w:p w14:paraId="09B3BEC8">
      <w:pPr>
        <w:pStyle w:val="189"/>
        <w:ind w:firstLine="1440" w:firstLineChars="600"/>
        <w:rPr>
          <w:rFonts w:hint="default" w:ascii="Times New Roman" w:hAnsi="Times New Roman" w:cs="Times New Roman"/>
          <w:position w:val="-30"/>
          <w:highlight w:val="none"/>
        </w:rPr>
      </w:pPr>
      <w:r>
        <w:rPr>
          <w:rFonts w:hint="default" w:ascii="Times New Roman" w:hAnsi="Times New Roman" w:cs="Times New Roman"/>
          <w:position w:val="-30"/>
          <w:highlight w:val="none"/>
        </w:rPr>
        <w:object>
          <v:shape id="_x0000_i1025" o:spt="75" type="#_x0000_t75" style="height:36pt;width:79.5pt;" o:ole="t" filled="f" o:preferrelative="t" stroked="f" coordsize="21600,21600">
            <v:path/>
            <v:fill on="f" focussize="0,0"/>
            <v:stroke on="f" joinstyle="miter"/>
            <v:imagedata r:id="rId26" o:title=""/>
            <o:lock v:ext="edit" aspectratio="t"/>
            <w10:wrap type="none"/>
            <w10:anchorlock/>
          </v:shape>
          <o:OLEObject Type="Embed" ProgID="Equation.3" ShapeID="_x0000_i1025" DrawAspect="Content" ObjectID="_1468075725" r:id="rId25">
            <o:LockedField>false</o:LockedField>
          </o:OLEObject>
        </w:object>
      </w:r>
    </w:p>
    <w:p w14:paraId="0D54820F">
      <w:pPr>
        <w:pStyle w:val="189"/>
        <w:ind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式中：</w:t>
      </w:r>
    </w:p>
    <w:p w14:paraId="07BBECC0">
      <w:pPr>
        <w:pStyle w:val="440"/>
        <w:adjustRightInd/>
        <w:snapToGrid/>
        <w:rPr>
          <w:rFonts w:hint="default" w:ascii="Times New Roman" w:hAnsi="Times New Roman" w:cs="Times New Roman"/>
          <w:highlight w:val="none"/>
        </w:rPr>
      </w:pPr>
      <w:r>
        <w:rPr>
          <w:rFonts w:hint="default" w:ascii="Times New Roman" w:hAnsi="Times New Roman" w:cs="Times New Roman"/>
          <w:i/>
          <w:highlight w:val="none"/>
        </w:rPr>
        <w:t>P</w:t>
      </w:r>
      <w:r>
        <w:rPr>
          <w:rFonts w:hint="default" w:ascii="Times New Roman" w:hAnsi="Times New Roman" w:cs="Times New Roman"/>
          <w:i/>
          <w:highlight w:val="none"/>
          <w:vertAlign w:val="subscript"/>
        </w:rPr>
        <w:t>i</w:t>
      </w:r>
      <w:r>
        <w:rPr>
          <w:rFonts w:hint="default" w:ascii="Times New Roman" w:hAnsi="Times New Roman" w:cs="Times New Roman"/>
          <w:highlight w:val="none"/>
        </w:rPr>
        <w:t>——第i个污染物的最大地面浓度占标率，%；</w:t>
      </w:r>
    </w:p>
    <w:p w14:paraId="70420C88">
      <w:pPr>
        <w:pStyle w:val="440"/>
        <w:adjustRightInd/>
        <w:snapToGrid/>
        <w:rPr>
          <w:rFonts w:hint="default" w:ascii="Times New Roman" w:hAnsi="Times New Roman" w:cs="Times New Roman"/>
          <w:highlight w:val="none"/>
        </w:rPr>
      </w:pPr>
      <w:r>
        <w:rPr>
          <w:rFonts w:hint="default" w:ascii="Times New Roman" w:hAnsi="Times New Roman" w:cs="Times New Roman"/>
          <w:i/>
          <w:highlight w:val="none"/>
        </w:rPr>
        <w:t>C</w:t>
      </w:r>
      <w:r>
        <w:rPr>
          <w:rFonts w:hint="default" w:ascii="Times New Roman" w:hAnsi="Times New Roman" w:cs="Times New Roman"/>
          <w:i/>
          <w:highlight w:val="none"/>
          <w:vertAlign w:val="subscript"/>
        </w:rPr>
        <w:t>i</w:t>
      </w:r>
      <w:r>
        <w:rPr>
          <w:rFonts w:hint="default" w:ascii="Times New Roman" w:hAnsi="Times New Roman" w:cs="Times New Roman"/>
          <w:highlight w:val="none"/>
        </w:rPr>
        <w:t>——采用估算模式算出的第i个污染物的最大地面浓度，mg/m³；</w:t>
      </w:r>
    </w:p>
    <w:p w14:paraId="55401611">
      <w:pPr>
        <w:pStyle w:val="440"/>
        <w:adjustRightInd/>
        <w:snapToGrid/>
        <w:rPr>
          <w:rFonts w:hint="default" w:ascii="Times New Roman" w:hAnsi="Times New Roman" w:cs="Times New Roman"/>
          <w:highlight w:val="none"/>
        </w:rPr>
      </w:pPr>
      <w:r>
        <w:rPr>
          <w:rFonts w:hint="default" w:ascii="Times New Roman" w:hAnsi="Times New Roman" w:cs="Times New Roman"/>
          <w:i/>
          <w:highlight w:val="none"/>
        </w:rPr>
        <w:t>C</w:t>
      </w:r>
      <w:r>
        <w:rPr>
          <w:rFonts w:hint="default" w:ascii="Times New Roman" w:hAnsi="Times New Roman" w:cs="Times New Roman"/>
          <w:i/>
          <w:highlight w:val="none"/>
          <w:vertAlign w:val="subscript"/>
        </w:rPr>
        <w:t>oi</w:t>
      </w:r>
      <w:r>
        <w:rPr>
          <w:rFonts w:hint="default" w:ascii="Times New Roman" w:hAnsi="Times New Roman" w:cs="Times New Roman"/>
          <w:highlight w:val="none"/>
        </w:rPr>
        <w:t>——第i个污染物的环境空气质量标准，mg/m³；</w:t>
      </w:r>
    </w:p>
    <w:p w14:paraId="137C0131">
      <w:pPr>
        <w:pStyle w:val="440"/>
        <w:adjustRightInd/>
        <w:snapToGrid/>
        <w:rPr>
          <w:rFonts w:hint="default" w:ascii="Times New Roman" w:hAnsi="Times New Roman" w:cs="Times New Roman"/>
          <w:highlight w:val="none"/>
        </w:rPr>
      </w:pPr>
      <w:r>
        <w:rPr>
          <w:rFonts w:hint="default" w:ascii="Times New Roman" w:hAnsi="Times New Roman" w:cs="Times New Roman"/>
          <w:i/>
          <w:highlight w:val="none"/>
        </w:rPr>
        <w:t>C</w:t>
      </w:r>
      <w:r>
        <w:rPr>
          <w:rFonts w:hint="default" w:ascii="Times New Roman" w:hAnsi="Times New Roman" w:cs="Times New Roman"/>
          <w:i/>
          <w:highlight w:val="none"/>
          <w:vertAlign w:val="subscript"/>
        </w:rPr>
        <w:t>oi</w:t>
      </w:r>
      <w:r>
        <w:rPr>
          <w:rFonts w:hint="default" w:ascii="Times New Roman" w:hAnsi="Times New Roman" w:cs="Times New Roman"/>
          <w:highlight w:val="none"/>
        </w:rPr>
        <w:t>——一般选用《环境空气质量标准》（GB3095-2012）中1小时平均取样时间的二级标准的浓度限值；如项目位于一类环境空气功能区，应选择相应的一级浓度限值；对该标准中未包含的污染物，使用5.2确定的各评价因子1h平均质量浓度限值。对仅有8h平均质量浓度限值、日平均浓度质量限值或年平均浓度限值的，可分别按2倍、3倍、6倍折算1h平均质量浓度限值。</w:t>
      </w:r>
    </w:p>
    <w:p w14:paraId="722C250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评价工作等级的判定依据见下表。</w:t>
      </w:r>
    </w:p>
    <w:p w14:paraId="619E833A">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大气环境影响评价等级</w:t>
      </w:r>
    </w:p>
    <w:tbl>
      <w:tblPr>
        <w:tblStyle w:val="76"/>
        <w:tblW w:w="92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84"/>
        <w:gridCol w:w="6455"/>
      </w:tblGrid>
      <w:tr w14:paraId="09519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84" w:type="dxa"/>
            <w:vAlign w:val="center"/>
          </w:tcPr>
          <w:p w14:paraId="5AE079BB">
            <w:pPr>
              <w:pStyle w:val="177"/>
              <w:keepNext w:val="0"/>
              <w:keepLines w:val="0"/>
              <w:widowControl/>
              <w:suppressLineNumbers w:val="0"/>
              <w:spacing w:before="0" w:beforeAutospacing="0" w:after="0" w:afterAutospacing="0"/>
              <w:ind w:left="0" w:right="0"/>
              <w:rPr>
                <w:rFonts w:hint="default" w:ascii="Times New Roman" w:hAnsi="Times New Roman" w:cs="Times New Roman" w:eastAsiaTheme="minorEastAsia"/>
                <w:b/>
                <w:color w:val="auto"/>
                <w:kern w:val="2"/>
                <w:highlight w:val="none"/>
                <w:u w:val="none" w:color="auto"/>
              </w:rPr>
            </w:pPr>
            <w:r>
              <w:rPr>
                <w:rFonts w:hint="default" w:ascii="Times New Roman" w:hAnsi="Times New Roman" w:cs="Times New Roman" w:eastAsiaTheme="minorEastAsia"/>
                <w:b/>
                <w:color w:val="auto"/>
                <w:kern w:val="2"/>
                <w:highlight w:val="none"/>
                <w:u w:val="none" w:color="auto"/>
              </w:rPr>
              <w:t>评价工作等级</w:t>
            </w:r>
          </w:p>
        </w:tc>
        <w:tc>
          <w:tcPr>
            <w:tcW w:w="6455" w:type="dxa"/>
            <w:vAlign w:val="center"/>
          </w:tcPr>
          <w:p w14:paraId="786CC776">
            <w:pPr>
              <w:pStyle w:val="177"/>
              <w:keepNext w:val="0"/>
              <w:keepLines w:val="0"/>
              <w:widowControl/>
              <w:suppressLineNumbers w:val="0"/>
              <w:spacing w:before="0" w:beforeAutospacing="0" w:after="0" w:afterAutospacing="0"/>
              <w:ind w:left="0" w:right="0"/>
              <w:rPr>
                <w:rFonts w:hint="default" w:ascii="Times New Roman" w:hAnsi="Times New Roman" w:cs="Times New Roman" w:eastAsiaTheme="minorEastAsia"/>
                <w:b/>
                <w:color w:val="auto"/>
                <w:kern w:val="2"/>
                <w:highlight w:val="none"/>
                <w:u w:val="none" w:color="auto"/>
              </w:rPr>
            </w:pPr>
            <w:r>
              <w:rPr>
                <w:rFonts w:hint="default" w:ascii="Times New Roman" w:hAnsi="Times New Roman" w:cs="Times New Roman" w:eastAsiaTheme="minorEastAsia"/>
                <w:b/>
                <w:color w:val="auto"/>
                <w:kern w:val="2"/>
                <w:highlight w:val="none"/>
                <w:u w:val="none" w:color="auto"/>
              </w:rPr>
              <w:t>评价工作分级判据</w:t>
            </w:r>
          </w:p>
        </w:tc>
      </w:tr>
      <w:tr w14:paraId="23E9E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784" w:type="dxa"/>
            <w:vAlign w:val="center"/>
          </w:tcPr>
          <w:p w14:paraId="443AE516">
            <w:pPr>
              <w:pStyle w:val="177"/>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auto"/>
                <w:kern w:val="2"/>
                <w:highlight w:val="none"/>
                <w:u w:val="none" w:color="auto"/>
              </w:rPr>
            </w:pPr>
            <w:r>
              <w:rPr>
                <w:rFonts w:hint="default" w:ascii="Times New Roman" w:hAnsi="Times New Roman" w:cs="Times New Roman" w:eastAsiaTheme="minorEastAsia"/>
                <w:color w:val="auto"/>
                <w:kern w:val="2"/>
                <w:highlight w:val="none"/>
                <w:u w:val="none" w:color="auto"/>
              </w:rPr>
              <w:t>一级</w:t>
            </w:r>
          </w:p>
        </w:tc>
        <w:tc>
          <w:tcPr>
            <w:tcW w:w="6455" w:type="dxa"/>
            <w:vAlign w:val="center"/>
          </w:tcPr>
          <w:p w14:paraId="4C252B72">
            <w:pPr>
              <w:pStyle w:val="177"/>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auto"/>
                <w:kern w:val="2"/>
                <w:highlight w:val="none"/>
                <w:u w:val="none" w:color="auto"/>
              </w:rPr>
            </w:pPr>
            <w:r>
              <w:rPr>
                <w:rFonts w:hint="default" w:ascii="Times New Roman" w:hAnsi="Times New Roman" w:cs="Times New Roman" w:eastAsiaTheme="minorEastAsia"/>
                <w:color w:val="auto"/>
                <w:kern w:val="2"/>
                <w:highlight w:val="none"/>
                <w:u w:val="none" w:color="auto"/>
              </w:rPr>
              <w:t>Pmax≥10%</w:t>
            </w:r>
          </w:p>
        </w:tc>
      </w:tr>
      <w:tr w14:paraId="35444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784" w:type="dxa"/>
            <w:vAlign w:val="center"/>
          </w:tcPr>
          <w:p w14:paraId="795258C5">
            <w:pPr>
              <w:pStyle w:val="177"/>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auto"/>
                <w:kern w:val="2"/>
                <w:highlight w:val="none"/>
                <w:u w:val="none" w:color="auto"/>
              </w:rPr>
            </w:pPr>
            <w:r>
              <w:rPr>
                <w:rFonts w:hint="default" w:ascii="Times New Roman" w:hAnsi="Times New Roman" w:cs="Times New Roman" w:eastAsiaTheme="minorEastAsia"/>
                <w:color w:val="auto"/>
                <w:kern w:val="2"/>
                <w:highlight w:val="none"/>
                <w:u w:val="none" w:color="auto"/>
              </w:rPr>
              <w:t>二级</w:t>
            </w:r>
          </w:p>
        </w:tc>
        <w:tc>
          <w:tcPr>
            <w:tcW w:w="6455" w:type="dxa"/>
            <w:vAlign w:val="center"/>
          </w:tcPr>
          <w:p w14:paraId="102D1F7F">
            <w:pPr>
              <w:pStyle w:val="177"/>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auto"/>
                <w:kern w:val="2"/>
                <w:highlight w:val="none"/>
                <w:u w:val="none" w:color="auto"/>
              </w:rPr>
            </w:pPr>
            <w:r>
              <w:rPr>
                <w:rFonts w:hint="default" w:ascii="Times New Roman" w:hAnsi="Times New Roman" w:cs="Times New Roman" w:eastAsiaTheme="minorEastAsia"/>
                <w:color w:val="auto"/>
                <w:kern w:val="2"/>
                <w:highlight w:val="none"/>
                <w:u w:val="none" w:color="auto"/>
              </w:rPr>
              <w:t>1%≤Pmax﹤10%</w:t>
            </w:r>
          </w:p>
        </w:tc>
      </w:tr>
      <w:tr w14:paraId="1FAB9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784" w:type="dxa"/>
            <w:vAlign w:val="center"/>
          </w:tcPr>
          <w:p w14:paraId="5DEA6A69">
            <w:pPr>
              <w:pStyle w:val="177"/>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auto"/>
                <w:kern w:val="2"/>
                <w:highlight w:val="none"/>
                <w:u w:val="none" w:color="auto"/>
              </w:rPr>
            </w:pPr>
            <w:r>
              <w:rPr>
                <w:rFonts w:hint="default" w:ascii="Times New Roman" w:hAnsi="Times New Roman" w:cs="Times New Roman" w:eastAsiaTheme="minorEastAsia"/>
                <w:color w:val="auto"/>
                <w:kern w:val="2"/>
                <w:highlight w:val="none"/>
                <w:u w:val="none" w:color="auto"/>
              </w:rPr>
              <w:t>三级</w:t>
            </w:r>
          </w:p>
        </w:tc>
        <w:tc>
          <w:tcPr>
            <w:tcW w:w="6455" w:type="dxa"/>
            <w:vAlign w:val="center"/>
          </w:tcPr>
          <w:p w14:paraId="19C9AD56">
            <w:pPr>
              <w:pStyle w:val="177"/>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auto"/>
                <w:kern w:val="2"/>
                <w:highlight w:val="none"/>
                <w:u w:val="none" w:color="auto"/>
              </w:rPr>
            </w:pPr>
            <w:r>
              <w:rPr>
                <w:rFonts w:hint="default" w:ascii="Times New Roman" w:hAnsi="Times New Roman" w:cs="Times New Roman" w:eastAsiaTheme="minorEastAsia"/>
                <w:color w:val="auto"/>
                <w:kern w:val="2"/>
                <w:highlight w:val="none"/>
                <w:u w:val="none" w:color="auto"/>
              </w:rPr>
              <w:t xml:space="preserve">Pmax﹤1% </w:t>
            </w:r>
          </w:p>
        </w:tc>
      </w:tr>
    </w:tbl>
    <w:p w14:paraId="4EAA3DB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根据项目生产工艺分析可知，该项目产生的主要大气污染物为NH</w:t>
      </w:r>
      <w:r>
        <w:rPr>
          <w:rFonts w:hint="default" w:ascii="Times New Roman" w:hAnsi="Times New Roman" w:cs="Times New Roman"/>
          <w:color w:val="auto"/>
          <w:sz w:val="16"/>
          <w:szCs w:val="16"/>
          <w:highlight w:val="none"/>
          <w:u w:val="none" w:color="auto"/>
        </w:rPr>
        <w:t>3</w:t>
      </w:r>
      <w:r>
        <w:rPr>
          <w:rFonts w:hint="default" w:ascii="Times New Roman" w:hAnsi="Times New Roman" w:cs="Times New Roman"/>
          <w:color w:val="auto"/>
          <w:highlight w:val="none"/>
          <w:u w:val="none" w:color="auto"/>
        </w:rPr>
        <w:t>、H</w:t>
      </w:r>
      <w:r>
        <w:rPr>
          <w:rFonts w:hint="default" w:ascii="Times New Roman" w:hAnsi="Times New Roman" w:cs="Times New Roman"/>
          <w:color w:val="auto"/>
          <w:sz w:val="16"/>
          <w:szCs w:val="16"/>
          <w:highlight w:val="none"/>
          <w:u w:val="none" w:color="auto"/>
        </w:rPr>
        <w:t>2</w:t>
      </w:r>
      <w:r>
        <w:rPr>
          <w:rFonts w:hint="default" w:ascii="Times New Roman" w:hAnsi="Times New Roman" w:cs="Times New Roman"/>
          <w:color w:val="auto"/>
          <w:highlight w:val="none"/>
          <w:u w:val="none" w:color="auto"/>
        </w:rPr>
        <w:t>S，按《环境影响评价技术导则大气环境》（HJ2.2-2018）中的规定，选择主要污染物NH</w:t>
      </w:r>
      <w:r>
        <w:rPr>
          <w:rFonts w:hint="default" w:ascii="Times New Roman" w:hAnsi="Times New Roman" w:cs="Times New Roman"/>
          <w:color w:val="auto"/>
          <w:sz w:val="16"/>
          <w:szCs w:val="16"/>
          <w:highlight w:val="none"/>
          <w:u w:val="none" w:color="auto"/>
        </w:rPr>
        <w:t>3</w:t>
      </w:r>
      <w:r>
        <w:rPr>
          <w:rFonts w:hint="default" w:ascii="Times New Roman" w:hAnsi="Times New Roman" w:cs="Times New Roman"/>
          <w:color w:val="auto"/>
          <w:highlight w:val="none"/>
          <w:u w:val="none" w:color="auto"/>
        </w:rPr>
        <w:t>、H</w:t>
      </w:r>
      <w:r>
        <w:rPr>
          <w:rFonts w:hint="default" w:ascii="Times New Roman" w:hAnsi="Times New Roman" w:cs="Times New Roman"/>
          <w:color w:val="auto"/>
          <w:sz w:val="16"/>
          <w:szCs w:val="16"/>
          <w:highlight w:val="none"/>
          <w:u w:val="none" w:color="auto"/>
        </w:rPr>
        <w:t>2</w:t>
      </w:r>
      <w:r>
        <w:rPr>
          <w:rFonts w:hint="default" w:ascii="Times New Roman" w:hAnsi="Times New Roman" w:cs="Times New Roman"/>
          <w:color w:val="auto"/>
          <w:highlight w:val="none"/>
          <w:u w:val="none" w:color="auto"/>
        </w:rPr>
        <w:t>S、为大气影响评价因子，排放参数源强及预测结果见下表。</w:t>
      </w:r>
    </w:p>
    <w:p w14:paraId="0F546F3B">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ab/>
      </w: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预测因子估算结果一览表</w:t>
      </w:r>
    </w:p>
    <w:tbl>
      <w:tblPr>
        <w:tblStyle w:val="76"/>
        <w:tblW w:w="497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65"/>
        <w:gridCol w:w="1458"/>
        <w:gridCol w:w="899"/>
        <w:gridCol w:w="917"/>
        <w:gridCol w:w="1223"/>
        <w:gridCol w:w="1834"/>
        <w:gridCol w:w="2148"/>
      </w:tblGrid>
      <w:tr w14:paraId="191A18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89" w:hRule="atLeast"/>
          <w:jc w:val="center"/>
        </w:trPr>
        <w:tc>
          <w:tcPr>
            <w:tcW w:w="560" w:type="dxa"/>
            <w:vAlign w:val="center"/>
          </w:tcPr>
          <w:p w14:paraId="6F93D71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序号</w:t>
            </w:r>
          </w:p>
        </w:tc>
        <w:tc>
          <w:tcPr>
            <w:tcW w:w="1443" w:type="dxa"/>
            <w:vAlign w:val="center"/>
          </w:tcPr>
          <w:p w14:paraId="64CFDB4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污染源</w:t>
            </w:r>
          </w:p>
        </w:tc>
        <w:tc>
          <w:tcPr>
            <w:tcW w:w="891" w:type="dxa"/>
            <w:vAlign w:val="center"/>
          </w:tcPr>
          <w:p w14:paraId="7554537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污染源类型</w:t>
            </w:r>
          </w:p>
        </w:tc>
        <w:tc>
          <w:tcPr>
            <w:tcW w:w="908" w:type="dxa"/>
            <w:vAlign w:val="center"/>
          </w:tcPr>
          <w:p w14:paraId="3DBA083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污染物</w:t>
            </w:r>
          </w:p>
        </w:tc>
        <w:tc>
          <w:tcPr>
            <w:tcW w:w="1211" w:type="dxa"/>
            <w:vAlign w:val="center"/>
          </w:tcPr>
          <w:p w14:paraId="09D3476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最大落地浓度（</w:t>
            </w:r>
            <w:r>
              <w:rPr>
                <w:rFonts w:hint="default" w:ascii="Times New Roman" w:hAnsi="Times New Roman" w:cs="Times New Roman"/>
                <w:b/>
                <w:bCs/>
                <w:color w:val="000000" w:themeColor="text1"/>
                <w:highlight w:val="none"/>
                <w:u w:val="none" w:color="auto"/>
                <w14:textFill>
                  <w14:solidFill>
                    <w14:schemeClr w14:val="tx1"/>
                  </w14:solidFill>
                </w14:textFill>
              </w:rPr>
              <w:t>u</w:t>
            </w:r>
            <w:r>
              <w:rPr>
                <w:rFonts w:hint="default" w:ascii="Times New Roman" w:hAnsi="Times New Roman" w:cs="Times New Roman"/>
                <w:b/>
                <w:color w:val="000000" w:themeColor="text1"/>
                <w:highlight w:val="none"/>
                <w:u w:val="none" w:color="auto"/>
                <w14:textFill>
                  <w14:solidFill>
                    <w14:schemeClr w14:val="tx1"/>
                  </w14:solidFill>
                </w14:textFill>
              </w:rPr>
              <w:t>g/m</w:t>
            </w:r>
            <w:r>
              <w:rPr>
                <w:rFonts w:hint="default" w:ascii="Times New Roman" w:hAnsi="Times New Roman" w:cs="Times New Roman"/>
                <w:b/>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b/>
                <w:color w:val="000000" w:themeColor="text1"/>
                <w:highlight w:val="none"/>
                <w:u w:val="none" w:color="auto"/>
                <w14:textFill>
                  <w14:solidFill>
                    <w14:schemeClr w14:val="tx1"/>
                  </w14:solidFill>
                </w14:textFill>
              </w:rPr>
              <w:t>）</w:t>
            </w:r>
          </w:p>
        </w:tc>
        <w:tc>
          <w:tcPr>
            <w:tcW w:w="1816" w:type="dxa"/>
            <w:vAlign w:val="center"/>
          </w:tcPr>
          <w:p w14:paraId="159AA5A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最大落地浓度占标率Pmax（%）</w:t>
            </w:r>
          </w:p>
        </w:tc>
        <w:tc>
          <w:tcPr>
            <w:tcW w:w="2127" w:type="dxa"/>
            <w:vAlign w:val="center"/>
          </w:tcPr>
          <w:p w14:paraId="16F409D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下风向最大质量浓度出现距离m</w:t>
            </w:r>
          </w:p>
        </w:tc>
      </w:tr>
      <w:tr w14:paraId="63E2E6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63" w:hRule="atLeast"/>
          <w:jc w:val="center"/>
        </w:trPr>
        <w:tc>
          <w:tcPr>
            <w:tcW w:w="560" w:type="dxa"/>
            <w:vMerge w:val="restart"/>
            <w:vAlign w:val="center"/>
          </w:tcPr>
          <w:p w14:paraId="0A81B98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w:t>
            </w:r>
          </w:p>
        </w:tc>
        <w:tc>
          <w:tcPr>
            <w:tcW w:w="1443" w:type="dxa"/>
            <w:vMerge w:val="restart"/>
            <w:vAlign w:val="center"/>
          </w:tcPr>
          <w:p w14:paraId="0B99DD5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Style w:val="190"/>
                <w:rFonts w:hint="default" w:ascii="Times New Roman" w:hAnsi="Times New Roman" w:cs="Times New Roman"/>
                <w:color w:val="000000" w:themeColor="text1"/>
                <w:sz w:val="21"/>
                <w:szCs w:val="21"/>
                <w:highlight w:val="none"/>
                <w:u w:val="none" w:color="auto"/>
                <w14:textFill>
                  <w14:solidFill>
                    <w14:schemeClr w14:val="tx1"/>
                  </w14:solidFill>
                </w14:textFill>
              </w:rPr>
              <w:t>DA001排气筒</w:t>
            </w:r>
          </w:p>
        </w:tc>
        <w:tc>
          <w:tcPr>
            <w:tcW w:w="891" w:type="dxa"/>
            <w:vMerge w:val="restart"/>
            <w:vAlign w:val="center"/>
          </w:tcPr>
          <w:p w14:paraId="50AEBA2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点源</w:t>
            </w:r>
          </w:p>
        </w:tc>
        <w:tc>
          <w:tcPr>
            <w:tcW w:w="908" w:type="dxa"/>
            <w:vAlign w:val="center"/>
          </w:tcPr>
          <w:p w14:paraId="2FF6B60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NH</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3</w:t>
            </w:r>
          </w:p>
        </w:tc>
        <w:tc>
          <w:tcPr>
            <w:tcW w:w="1211" w:type="dxa"/>
            <w:vAlign w:val="center"/>
          </w:tcPr>
          <w:p w14:paraId="5E72A7D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1.25</w:t>
            </w:r>
            <w:r>
              <w:rPr>
                <w:rFonts w:hint="default" w:ascii="Times New Roman" w:hAnsi="Times New Roman" w:cs="Times New Roman"/>
                <w:b/>
                <w:bCs/>
                <w:color w:val="000000" w:themeColor="text1"/>
                <w:highlight w:val="none"/>
                <w:u w:val="none" w:color="auto"/>
                <w14:textFill>
                  <w14:solidFill>
                    <w14:schemeClr w14:val="tx1"/>
                  </w14:solidFill>
                </w14:textFill>
              </w:rPr>
              <w:t>E-0</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1</w:t>
            </w:r>
          </w:p>
        </w:tc>
        <w:tc>
          <w:tcPr>
            <w:tcW w:w="1816" w:type="dxa"/>
            <w:vAlign w:val="center"/>
          </w:tcPr>
          <w:p w14:paraId="1D74DDD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0.06</w:t>
            </w:r>
          </w:p>
        </w:tc>
        <w:tc>
          <w:tcPr>
            <w:tcW w:w="2127" w:type="dxa"/>
            <w:vAlign w:val="center"/>
          </w:tcPr>
          <w:p w14:paraId="274EE88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71</w:t>
            </w:r>
          </w:p>
        </w:tc>
      </w:tr>
      <w:tr w14:paraId="177CD7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63" w:hRule="atLeast"/>
          <w:jc w:val="center"/>
        </w:trPr>
        <w:tc>
          <w:tcPr>
            <w:tcW w:w="560" w:type="dxa"/>
            <w:vMerge w:val="continue"/>
            <w:vAlign w:val="center"/>
          </w:tcPr>
          <w:p w14:paraId="0DCAA56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1443" w:type="dxa"/>
            <w:vMerge w:val="continue"/>
            <w:vAlign w:val="center"/>
          </w:tcPr>
          <w:p w14:paraId="7D64F29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891" w:type="dxa"/>
            <w:vMerge w:val="continue"/>
            <w:vAlign w:val="center"/>
          </w:tcPr>
          <w:p w14:paraId="6BC6DC0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908" w:type="dxa"/>
            <w:vAlign w:val="center"/>
          </w:tcPr>
          <w:p w14:paraId="4F8750F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H</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S</w:t>
            </w:r>
          </w:p>
        </w:tc>
        <w:tc>
          <w:tcPr>
            <w:tcW w:w="1211" w:type="dxa"/>
            <w:vAlign w:val="center"/>
          </w:tcPr>
          <w:p w14:paraId="7D53FF9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4.83</w:t>
            </w:r>
            <w:r>
              <w:rPr>
                <w:rFonts w:hint="default" w:ascii="Times New Roman" w:hAnsi="Times New Roman" w:cs="Times New Roman"/>
                <w:b/>
                <w:bCs/>
                <w:color w:val="000000" w:themeColor="text1"/>
                <w:highlight w:val="none"/>
                <w:u w:val="none" w:color="auto"/>
                <w14:textFill>
                  <w14:solidFill>
                    <w14:schemeClr w14:val="tx1"/>
                  </w14:solidFill>
                </w14:textFill>
              </w:rPr>
              <w:t>E-0</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3</w:t>
            </w:r>
          </w:p>
        </w:tc>
        <w:tc>
          <w:tcPr>
            <w:tcW w:w="1816" w:type="dxa"/>
            <w:vAlign w:val="center"/>
          </w:tcPr>
          <w:p w14:paraId="2E15CB0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0.04</w:t>
            </w:r>
          </w:p>
        </w:tc>
        <w:tc>
          <w:tcPr>
            <w:tcW w:w="2127" w:type="dxa"/>
            <w:vAlign w:val="center"/>
          </w:tcPr>
          <w:p w14:paraId="61F7A04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71</w:t>
            </w:r>
          </w:p>
        </w:tc>
      </w:tr>
      <w:tr w14:paraId="00E8F5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27" w:hRule="atLeast"/>
          <w:jc w:val="center"/>
        </w:trPr>
        <w:tc>
          <w:tcPr>
            <w:tcW w:w="560" w:type="dxa"/>
            <w:vMerge w:val="restart"/>
            <w:vAlign w:val="center"/>
          </w:tcPr>
          <w:p w14:paraId="4ABB89F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w:t>
            </w:r>
          </w:p>
        </w:tc>
        <w:tc>
          <w:tcPr>
            <w:tcW w:w="1443" w:type="dxa"/>
            <w:vMerge w:val="restart"/>
            <w:vAlign w:val="center"/>
          </w:tcPr>
          <w:p w14:paraId="17A1BF9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污水处理区</w:t>
            </w:r>
          </w:p>
        </w:tc>
        <w:tc>
          <w:tcPr>
            <w:tcW w:w="891" w:type="dxa"/>
            <w:vMerge w:val="restart"/>
            <w:vAlign w:val="center"/>
          </w:tcPr>
          <w:p w14:paraId="3D2ACD1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面源</w:t>
            </w:r>
          </w:p>
        </w:tc>
        <w:tc>
          <w:tcPr>
            <w:tcW w:w="908" w:type="dxa"/>
            <w:vAlign w:val="center"/>
          </w:tcPr>
          <w:p w14:paraId="3959450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NH</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3</w:t>
            </w:r>
          </w:p>
        </w:tc>
        <w:tc>
          <w:tcPr>
            <w:tcW w:w="1211" w:type="dxa"/>
            <w:vAlign w:val="center"/>
          </w:tcPr>
          <w:p w14:paraId="6187EDE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3.04</w:t>
            </w:r>
            <w:r>
              <w:rPr>
                <w:rFonts w:hint="default" w:ascii="Times New Roman" w:hAnsi="Times New Roman" w:cs="Times New Roman"/>
                <w:b/>
                <w:bCs/>
                <w:color w:val="000000" w:themeColor="text1"/>
                <w:highlight w:val="none"/>
                <w:u w:val="none" w:color="auto"/>
                <w14:textFill>
                  <w14:solidFill>
                    <w14:schemeClr w14:val="tx1"/>
                  </w14:solidFill>
                </w14:textFill>
              </w:rPr>
              <w:t>E</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w:t>
            </w:r>
            <w:r>
              <w:rPr>
                <w:rFonts w:hint="default" w:ascii="Times New Roman" w:hAnsi="Times New Roman" w:cs="Times New Roman"/>
                <w:b/>
                <w:bCs/>
                <w:color w:val="000000" w:themeColor="text1"/>
                <w:highlight w:val="none"/>
                <w:u w:val="none" w:color="auto"/>
                <w14:textFill>
                  <w14:solidFill>
                    <w14:schemeClr w14:val="tx1"/>
                  </w14:solidFill>
                </w14:textFill>
              </w:rPr>
              <w:t>0</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0</w:t>
            </w:r>
          </w:p>
        </w:tc>
        <w:tc>
          <w:tcPr>
            <w:tcW w:w="1816" w:type="dxa"/>
            <w:vAlign w:val="center"/>
          </w:tcPr>
          <w:p w14:paraId="2C869B7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1.52</w:t>
            </w:r>
          </w:p>
        </w:tc>
        <w:tc>
          <w:tcPr>
            <w:tcW w:w="2127" w:type="dxa"/>
            <w:vAlign w:val="center"/>
          </w:tcPr>
          <w:p w14:paraId="32ABEDB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56</w:t>
            </w:r>
          </w:p>
        </w:tc>
      </w:tr>
      <w:tr w14:paraId="10925E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560" w:type="dxa"/>
            <w:vMerge w:val="continue"/>
            <w:vAlign w:val="center"/>
          </w:tcPr>
          <w:p w14:paraId="7A0ACFD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1443" w:type="dxa"/>
            <w:vMerge w:val="continue"/>
            <w:vAlign w:val="center"/>
          </w:tcPr>
          <w:p w14:paraId="40528E6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891" w:type="dxa"/>
            <w:vMerge w:val="continue"/>
            <w:vAlign w:val="center"/>
          </w:tcPr>
          <w:p w14:paraId="381D0B7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908" w:type="dxa"/>
            <w:vAlign w:val="center"/>
          </w:tcPr>
          <w:p w14:paraId="1302BF0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H</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S</w:t>
            </w:r>
          </w:p>
        </w:tc>
        <w:tc>
          <w:tcPr>
            <w:tcW w:w="1211" w:type="dxa"/>
            <w:vAlign w:val="center"/>
          </w:tcPr>
          <w:p w14:paraId="31C4833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1.18</w:t>
            </w:r>
            <w:r>
              <w:rPr>
                <w:rFonts w:hint="default" w:ascii="Times New Roman" w:hAnsi="Times New Roman" w:cs="Times New Roman"/>
                <w:b/>
                <w:bCs/>
                <w:color w:val="000000" w:themeColor="text1"/>
                <w:highlight w:val="none"/>
                <w:u w:val="none" w:color="auto"/>
                <w14:textFill>
                  <w14:solidFill>
                    <w14:schemeClr w14:val="tx1"/>
                  </w14:solidFill>
                </w14:textFill>
              </w:rPr>
              <w:t>E-0</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1</w:t>
            </w:r>
          </w:p>
        </w:tc>
        <w:tc>
          <w:tcPr>
            <w:tcW w:w="1816" w:type="dxa"/>
            <w:vAlign w:val="center"/>
          </w:tcPr>
          <w:p w14:paraId="0F15720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1.18</w:t>
            </w:r>
          </w:p>
        </w:tc>
        <w:tc>
          <w:tcPr>
            <w:tcW w:w="2127" w:type="dxa"/>
            <w:vAlign w:val="center"/>
          </w:tcPr>
          <w:p w14:paraId="023A074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56</w:t>
            </w:r>
          </w:p>
        </w:tc>
      </w:tr>
    </w:tbl>
    <w:p w14:paraId="5B31EB7B">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项目大气污染物最大地面空气质量浓度占标率Pmax为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2.64</w:t>
      </w:r>
      <w:r>
        <w:rPr>
          <w:rFonts w:hint="default" w:ascii="Times New Roman" w:hAnsi="Times New Roman" w:cs="Times New Roman"/>
          <w:color w:val="000000" w:themeColor="text1"/>
          <w:highlight w:val="none"/>
          <w:u w:val="none" w:color="auto"/>
          <w14:textFill>
            <w14:solidFill>
              <w14:schemeClr w14:val="tx1"/>
            </w14:solidFill>
          </w14:textFill>
        </w:rPr>
        <w:t>%，大于</w:t>
      </w:r>
      <w:r>
        <w:rPr>
          <w:rFonts w:hint="default" w:ascii="Times New Roman" w:hAnsi="Times New Roman" w:cs="Times New Roman"/>
          <w:color w:val="000000" w:themeColor="text1"/>
          <w:kern w:val="2"/>
          <w:highlight w:val="none"/>
          <w:u w:val="none" w:color="auto"/>
          <w14:textFill>
            <w14:solidFill>
              <w14:schemeClr w14:val="tx1"/>
            </w14:solidFill>
          </w14:textFill>
        </w:rPr>
        <w:t>1%，小于</w:t>
      </w:r>
      <w:r>
        <w:rPr>
          <w:rFonts w:hint="default" w:ascii="Times New Roman" w:hAnsi="Times New Roman" w:cs="Times New Roman"/>
          <w:color w:val="000000" w:themeColor="text1"/>
          <w:highlight w:val="none"/>
          <w:u w:val="none" w:color="auto"/>
          <w14:textFill>
            <w14:solidFill>
              <w14:schemeClr w14:val="tx1"/>
            </w14:solidFill>
          </w14:textFill>
        </w:rPr>
        <w:t>10%，根据《环境影响评价技术导则 大气环境》（HJ2.2-2018），项目大气环境评价工作等级为二级。</w:t>
      </w:r>
    </w:p>
    <w:p w14:paraId="011B6585">
      <w:pPr>
        <w:kinsoku w:val="0"/>
        <w:overflowPunct w:val="0"/>
        <w:spacing w:before="4" w:line="10" w:lineRule="exact"/>
        <w:ind w:firstLine="40"/>
        <w:rPr>
          <w:rFonts w:hint="default" w:ascii="Times New Roman" w:hAnsi="Times New Roman" w:cs="Times New Roman"/>
          <w:color w:val="FF0000"/>
          <w:sz w:val="2"/>
          <w:szCs w:val="2"/>
          <w:highlight w:val="none"/>
          <w:u w:val="none" w:color="auto"/>
        </w:rPr>
      </w:pPr>
    </w:p>
    <w:p w14:paraId="321495E2">
      <w:pPr>
        <w:pStyle w:val="4"/>
        <w:numPr>
          <w:ilvl w:val="2"/>
          <w:numId w:val="0"/>
        </w:numPr>
        <w:ind w:leftChars="0"/>
        <w:rPr>
          <w:rFonts w:hint="default" w:ascii="Times New Roman" w:hAnsi="Times New Roman" w:cs="Times New Roman"/>
          <w:color w:val="auto"/>
          <w:highlight w:val="none"/>
          <w:u w:val="none" w:color="auto"/>
        </w:rPr>
      </w:pPr>
      <w:bookmarkStart w:id="30" w:name="_Toc31101"/>
      <w:r>
        <w:rPr>
          <w:rFonts w:hint="default" w:ascii="Times New Roman" w:hAnsi="Times New Roman" w:cs="Times New Roman"/>
          <w:color w:val="auto"/>
          <w:highlight w:val="none"/>
          <w:u w:val="none" w:color="auto"/>
          <w:lang w:val="en-US" w:eastAsia="zh-CN"/>
        </w:rPr>
        <w:t xml:space="preserve">2.4.2 </w:t>
      </w:r>
      <w:r>
        <w:rPr>
          <w:rFonts w:hint="default" w:ascii="Times New Roman" w:hAnsi="Times New Roman" w:cs="Times New Roman"/>
          <w:color w:val="auto"/>
          <w:highlight w:val="none"/>
          <w:u w:val="none" w:color="auto"/>
        </w:rPr>
        <w:t>地表水环境影响评价等级</w:t>
      </w:r>
      <w:bookmarkEnd w:id="30"/>
    </w:p>
    <w:p w14:paraId="28FDCEFD">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园内企业的生产废水经本污水处理站处理后达到《城镇污水处理厂污染物排放标准》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cs="Times New Roman"/>
          <w:color w:val="auto"/>
          <w:highlight w:val="none"/>
          <w:u w:val="none" w:color="auto"/>
        </w:rPr>
        <w:t>一级A标准后经机排二十渠排入老三运河，属于</w:t>
      </w:r>
      <w:r>
        <w:rPr>
          <w:rFonts w:hint="default" w:ascii="Times New Roman" w:hAnsi="Times New Roman" w:cs="Times New Roman"/>
          <w:color w:val="auto"/>
          <w:highlight w:val="none"/>
          <w:u w:val="none" w:color="auto"/>
          <w:lang w:val="en-US" w:eastAsia="zh-CN"/>
        </w:rPr>
        <w:t>直接</w:t>
      </w:r>
      <w:r>
        <w:rPr>
          <w:rFonts w:hint="default" w:ascii="Times New Roman" w:hAnsi="Times New Roman" w:cs="Times New Roman"/>
          <w:color w:val="auto"/>
          <w:highlight w:val="none"/>
          <w:u w:val="none" w:color="auto"/>
        </w:rPr>
        <w:t>排放。根据《环境影响评价技术导则 地表水环境》（HJ 2.3-2018）的环境影响评价等级分级判据要求，</w:t>
      </w:r>
      <w:r>
        <w:rPr>
          <w:rFonts w:hint="default" w:ascii="Times New Roman" w:hAnsi="Times New Roman" w:cs="Times New Roman"/>
          <w:color w:val="auto"/>
          <w:highlight w:val="none"/>
          <w:u w:val="none" w:color="auto"/>
          <w:lang w:val="en-US" w:eastAsia="zh-CN"/>
        </w:rPr>
        <w:t>计算得到本项目200m</w:t>
      </w:r>
      <w:r>
        <w:rPr>
          <w:rFonts w:hint="default" w:ascii="Times New Roman" w:hAnsi="Times New Roman" w:cs="Times New Roman"/>
          <w:color w:val="auto"/>
          <w:highlight w:val="none"/>
          <w:u w:val="none" w:color="auto"/>
          <w:vertAlign w:val="superscript"/>
          <w:lang w:val="en-US" w:eastAsia="zh-CN"/>
        </w:rPr>
        <w:t>3</w:t>
      </w:r>
      <w:r>
        <w:rPr>
          <w:rFonts w:hint="default" w:ascii="Times New Roman" w:hAnsi="Times New Roman" w:cs="Times New Roman"/>
          <w:color w:val="auto"/>
          <w:highlight w:val="none"/>
          <w:u w:val="none" w:color="auto"/>
          <w:lang w:val="en-US" w:eastAsia="zh-CN"/>
        </w:rPr>
        <w:t>/d≤Q=3000m</w:t>
      </w:r>
      <w:r>
        <w:rPr>
          <w:rFonts w:hint="default" w:ascii="Times New Roman" w:hAnsi="Times New Roman" w:cs="Times New Roman"/>
          <w:color w:val="auto"/>
          <w:highlight w:val="none"/>
          <w:u w:val="none" w:color="auto"/>
          <w:vertAlign w:val="superscript"/>
          <w:lang w:val="en-US" w:eastAsia="zh-CN"/>
        </w:rPr>
        <w:t>3</w:t>
      </w:r>
      <w:r>
        <w:rPr>
          <w:rFonts w:hint="default" w:ascii="Times New Roman" w:hAnsi="Times New Roman" w:cs="Times New Roman"/>
          <w:color w:val="auto"/>
          <w:highlight w:val="none"/>
          <w:u w:val="none" w:color="auto"/>
          <w:lang w:val="en-US" w:eastAsia="zh-CN"/>
        </w:rPr>
        <w:t>/d≤20000m</w:t>
      </w:r>
      <w:r>
        <w:rPr>
          <w:rFonts w:hint="default" w:ascii="Times New Roman" w:hAnsi="Times New Roman" w:cs="Times New Roman"/>
          <w:color w:val="auto"/>
          <w:highlight w:val="none"/>
          <w:u w:val="none" w:color="auto"/>
          <w:vertAlign w:val="superscript"/>
          <w:lang w:val="en-US" w:eastAsia="zh-CN"/>
        </w:rPr>
        <w:t>3</w:t>
      </w:r>
      <w:r>
        <w:rPr>
          <w:rFonts w:hint="default" w:ascii="Times New Roman" w:hAnsi="Times New Roman" w:cs="Times New Roman"/>
          <w:color w:val="auto"/>
          <w:highlight w:val="none"/>
          <w:u w:val="none" w:color="auto"/>
          <w:lang w:val="en-US" w:eastAsia="zh-CN"/>
        </w:rPr>
        <w:t>/d，计算得到项目Wmax=54750，据表2.4-3可知，项目地</w:t>
      </w:r>
      <w:r>
        <w:rPr>
          <w:rFonts w:hint="default" w:ascii="Times New Roman" w:hAnsi="Times New Roman" w:cs="Times New Roman"/>
          <w:color w:val="auto"/>
          <w:highlight w:val="none"/>
          <w:u w:val="none" w:color="auto"/>
        </w:rPr>
        <w:t>表水环境影响评价的工作等级为</w:t>
      </w:r>
      <w:r>
        <w:rPr>
          <w:rFonts w:hint="default" w:ascii="Times New Roman" w:hAnsi="Times New Roman" w:cs="Times New Roman"/>
          <w:color w:val="auto"/>
          <w:highlight w:val="none"/>
          <w:u w:val="none" w:color="auto"/>
          <w:lang w:val="en-US" w:eastAsia="zh-CN"/>
        </w:rPr>
        <w:t>二级</w:t>
      </w:r>
      <w:r>
        <w:rPr>
          <w:rFonts w:hint="default" w:ascii="Times New Roman" w:hAnsi="Times New Roman" w:cs="Times New Roman"/>
          <w:color w:val="auto"/>
          <w:highlight w:val="none"/>
          <w:u w:val="none" w:color="auto"/>
        </w:rPr>
        <w:t>。</w:t>
      </w:r>
    </w:p>
    <w:p w14:paraId="5739F4EF">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 xml:space="preserve">  水污染影响型建设项目评价等级判定</w:t>
      </w:r>
    </w:p>
    <w:tbl>
      <w:tblPr>
        <w:tblStyle w:val="76"/>
        <w:tblW w:w="92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1967"/>
        <w:gridCol w:w="5450"/>
      </w:tblGrid>
      <w:tr w14:paraId="3503C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842" w:type="dxa"/>
            <w:vMerge w:val="restart"/>
            <w:vAlign w:val="center"/>
          </w:tcPr>
          <w:p w14:paraId="5CF0883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评价等级</w:t>
            </w:r>
          </w:p>
        </w:tc>
        <w:tc>
          <w:tcPr>
            <w:tcW w:w="7417" w:type="dxa"/>
            <w:gridSpan w:val="2"/>
            <w:vAlign w:val="center"/>
          </w:tcPr>
          <w:p w14:paraId="39458ECB">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判定依据</w:t>
            </w:r>
          </w:p>
        </w:tc>
      </w:tr>
      <w:tr w14:paraId="5A61D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842" w:type="dxa"/>
            <w:vMerge w:val="continue"/>
            <w:vAlign w:val="center"/>
          </w:tcPr>
          <w:p w14:paraId="42E6C37D">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1967" w:type="dxa"/>
            <w:vAlign w:val="center"/>
          </w:tcPr>
          <w:p w14:paraId="7220219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排放方式</w:t>
            </w:r>
          </w:p>
        </w:tc>
        <w:tc>
          <w:tcPr>
            <w:tcW w:w="5450" w:type="dxa"/>
          </w:tcPr>
          <w:p w14:paraId="7D591E1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污水排放量Q/（m</w:t>
            </w:r>
            <w:r>
              <w:rPr>
                <w:rFonts w:hint="default" w:ascii="Times New Roman" w:hAnsi="Times New Roman" w:cs="Times New Roman"/>
                <w:b/>
                <w:color w:val="auto"/>
                <w:highlight w:val="none"/>
                <w:u w:val="none" w:color="auto"/>
                <w:vertAlign w:val="superscript"/>
              </w:rPr>
              <w:t>3</w:t>
            </w:r>
            <w:r>
              <w:rPr>
                <w:rFonts w:hint="default" w:ascii="Times New Roman" w:hAnsi="Times New Roman" w:cs="Times New Roman"/>
                <w:b/>
                <w:color w:val="auto"/>
                <w:highlight w:val="none"/>
                <w:u w:val="none" w:color="auto"/>
              </w:rPr>
              <w:t>/d） 水污染物当量数W/（无量纲）</w:t>
            </w:r>
          </w:p>
        </w:tc>
      </w:tr>
      <w:tr w14:paraId="59D3F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842" w:type="dxa"/>
            <w:vAlign w:val="center"/>
          </w:tcPr>
          <w:p w14:paraId="7DC3893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一级</w:t>
            </w:r>
          </w:p>
        </w:tc>
        <w:tc>
          <w:tcPr>
            <w:tcW w:w="1967" w:type="dxa"/>
            <w:vAlign w:val="center"/>
          </w:tcPr>
          <w:p w14:paraId="4196195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直接排放</w:t>
            </w:r>
          </w:p>
        </w:tc>
        <w:tc>
          <w:tcPr>
            <w:tcW w:w="5450" w:type="dxa"/>
          </w:tcPr>
          <w:p w14:paraId="578D489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Q≥20000m</w:t>
            </w:r>
            <w:r>
              <w:rPr>
                <w:rFonts w:hint="default" w:ascii="Times New Roman" w:hAnsi="Times New Roman" w:cs="Times New Roman"/>
                <w:color w:val="auto"/>
                <w:highlight w:val="none"/>
                <w:u w:val="none" w:color="auto"/>
                <w:vertAlign w:val="superscript"/>
              </w:rPr>
              <w:t>3</w:t>
            </w:r>
            <w:r>
              <w:rPr>
                <w:rFonts w:hint="default" w:ascii="Times New Roman" w:hAnsi="Times New Roman" w:cs="Times New Roman"/>
                <w:color w:val="auto"/>
                <w:highlight w:val="none"/>
                <w:u w:val="none" w:color="auto"/>
              </w:rPr>
              <w:t>/d 或W≥600000</w:t>
            </w:r>
          </w:p>
        </w:tc>
      </w:tr>
      <w:tr w14:paraId="2C25A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42" w:type="dxa"/>
            <w:vAlign w:val="center"/>
          </w:tcPr>
          <w:p w14:paraId="4A63752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二级</w:t>
            </w:r>
          </w:p>
        </w:tc>
        <w:tc>
          <w:tcPr>
            <w:tcW w:w="1967" w:type="dxa"/>
            <w:vAlign w:val="center"/>
          </w:tcPr>
          <w:p w14:paraId="498245C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直接排放</w:t>
            </w:r>
          </w:p>
        </w:tc>
        <w:tc>
          <w:tcPr>
            <w:tcW w:w="5450" w:type="dxa"/>
          </w:tcPr>
          <w:p w14:paraId="7F44666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其他</w:t>
            </w:r>
          </w:p>
        </w:tc>
      </w:tr>
      <w:tr w14:paraId="4FDDB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42" w:type="dxa"/>
            <w:vAlign w:val="center"/>
          </w:tcPr>
          <w:p w14:paraId="1AF6351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三级A </w:t>
            </w:r>
          </w:p>
        </w:tc>
        <w:tc>
          <w:tcPr>
            <w:tcW w:w="1967" w:type="dxa"/>
            <w:vAlign w:val="center"/>
          </w:tcPr>
          <w:p w14:paraId="5AA4089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直接排放</w:t>
            </w:r>
          </w:p>
        </w:tc>
        <w:tc>
          <w:tcPr>
            <w:tcW w:w="5450" w:type="dxa"/>
          </w:tcPr>
          <w:p w14:paraId="71CAA34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Q≤200m</w:t>
            </w:r>
            <w:r>
              <w:rPr>
                <w:rFonts w:hint="default" w:ascii="Times New Roman" w:hAnsi="Times New Roman" w:cs="Times New Roman"/>
                <w:color w:val="auto"/>
                <w:highlight w:val="none"/>
                <w:u w:val="none" w:color="auto"/>
                <w:vertAlign w:val="superscript"/>
              </w:rPr>
              <w:t>3</w:t>
            </w:r>
            <w:r>
              <w:rPr>
                <w:rFonts w:hint="default" w:ascii="Times New Roman" w:hAnsi="Times New Roman" w:cs="Times New Roman"/>
                <w:color w:val="auto"/>
                <w:highlight w:val="none"/>
                <w:u w:val="none" w:color="auto"/>
              </w:rPr>
              <w:t>/d 或W≤6000</w:t>
            </w:r>
          </w:p>
        </w:tc>
      </w:tr>
      <w:tr w14:paraId="41066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42" w:type="dxa"/>
            <w:vAlign w:val="center"/>
          </w:tcPr>
          <w:p w14:paraId="583C9C6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三级B</w:t>
            </w:r>
          </w:p>
        </w:tc>
        <w:tc>
          <w:tcPr>
            <w:tcW w:w="1967" w:type="dxa"/>
            <w:vAlign w:val="center"/>
          </w:tcPr>
          <w:p w14:paraId="7A4DB37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间接排放</w:t>
            </w:r>
          </w:p>
        </w:tc>
        <w:tc>
          <w:tcPr>
            <w:tcW w:w="5450" w:type="dxa"/>
          </w:tcPr>
          <w:p w14:paraId="2431BB0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bl>
    <w:p w14:paraId="0369D9E6">
      <w:pPr>
        <w:pStyle w:val="194"/>
        <w:spacing w:line="240" w:lineRule="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4</w:t>
      </w:r>
      <w:r>
        <w:rPr>
          <w:rFonts w:hint="default" w:ascii="Times New Roman" w:hAnsi="Times New Roman" w:cs="Times New Roman"/>
          <w:color w:val="auto"/>
          <w:highlight w:val="none"/>
          <w:u w:val="none" w:color="auto"/>
        </w:rPr>
        <w:t xml:space="preserve">  </w:t>
      </w:r>
      <w:r>
        <w:rPr>
          <w:rFonts w:hint="default" w:ascii="Times New Roman" w:hAnsi="Times New Roman" w:cs="Times New Roman"/>
          <w:color w:val="auto"/>
          <w:highlight w:val="none"/>
          <w:u w:val="none" w:color="auto"/>
          <w:lang w:val="en-US" w:eastAsia="zh-CN"/>
        </w:rPr>
        <w:t>各污染物水污染当量数</w:t>
      </w:r>
    </w:p>
    <w:tbl>
      <w:tblPr>
        <w:tblStyle w:val="76"/>
        <w:tblW w:w="498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02"/>
        <w:gridCol w:w="1322"/>
        <w:gridCol w:w="1104"/>
        <w:gridCol w:w="905"/>
        <w:gridCol w:w="1222"/>
        <w:gridCol w:w="1002"/>
      </w:tblGrid>
      <w:tr w14:paraId="5081EE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999" w:type="pct"/>
            <w:shd w:val="clear" w:color="auto" w:fill="auto"/>
            <w:vAlign w:val="center"/>
          </w:tcPr>
          <w:p w14:paraId="5049FD0C">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bookmarkStart w:id="31" w:name="_Toc31363"/>
            <w:r>
              <w:rPr>
                <w:rFonts w:hint="default" w:ascii="Times New Roman" w:hAnsi="Times New Roman" w:cs="Times New Roman"/>
                <w:b/>
                <w:color w:val="auto"/>
                <w:highlight w:val="none"/>
                <w:u w:val="none" w:color="auto"/>
              </w:rPr>
              <w:t>项目</w:t>
            </w:r>
          </w:p>
        </w:tc>
        <w:tc>
          <w:tcPr>
            <w:tcW w:w="714" w:type="pct"/>
            <w:shd w:val="clear" w:color="auto" w:fill="auto"/>
            <w:vAlign w:val="center"/>
          </w:tcPr>
          <w:p w14:paraId="724B358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COD</w:t>
            </w:r>
            <w:r>
              <w:rPr>
                <w:rFonts w:hint="default" w:ascii="Times New Roman" w:hAnsi="Times New Roman" w:cs="Times New Roman"/>
                <w:b/>
                <w:color w:val="auto"/>
                <w:highlight w:val="none"/>
                <w:u w:val="none" w:color="auto"/>
                <w:vertAlign w:val="subscript"/>
              </w:rPr>
              <w:t>cr</w:t>
            </w:r>
          </w:p>
        </w:tc>
        <w:tc>
          <w:tcPr>
            <w:tcW w:w="596" w:type="pct"/>
            <w:shd w:val="clear" w:color="auto" w:fill="auto"/>
            <w:vAlign w:val="center"/>
          </w:tcPr>
          <w:p w14:paraId="1BBEF0F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BOD</w:t>
            </w:r>
            <w:r>
              <w:rPr>
                <w:rFonts w:hint="default" w:ascii="Times New Roman" w:hAnsi="Times New Roman" w:cs="Times New Roman"/>
                <w:b/>
                <w:color w:val="auto"/>
                <w:highlight w:val="none"/>
                <w:u w:val="none" w:color="auto"/>
                <w:vertAlign w:val="subscript"/>
              </w:rPr>
              <w:t>5</w:t>
            </w:r>
          </w:p>
        </w:tc>
        <w:tc>
          <w:tcPr>
            <w:tcW w:w="488" w:type="pct"/>
            <w:shd w:val="clear" w:color="auto" w:fill="auto"/>
            <w:vAlign w:val="center"/>
          </w:tcPr>
          <w:p w14:paraId="24379E6A">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SS</w:t>
            </w:r>
          </w:p>
        </w:tc>
        <w:tc>
          <w:tcPr>
            <w:tcW w:w="660" w:type="pct"/>
            <w:shd w:val="clear" w:color="auto" w:fill="auto"/>
            <w:vAlign w:val="center"/>
          </w:tcPr>
          <w:p w14:paraId="30058C8E">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NH</w:t>
            </w:r>
            <w:r>
              <w:rPr>
                <w:rFonts w:hint="default" w:ascii="Times New Roman" w:hAnsi="Times New Roman" w:cs="Times New Roman"/>
                <w:b/>
                <w:color w:val="auto"/>
                <w:highlight w:val="none"/>
                <w:u w:val="none" w:color="auto"/>
                <w:vertAlign w:val="subscript"/>
              </w:rPr>
              <w:t>3</w:t>
            </w:r>
            <w:r>
              <w:rPr>
                <w:rFonts w:hint="default" w:ascii="Times New Roman" w:hAnsi="Times New Roman" w:cs="Times New Roman"/>
                <w:b/>
                <w:color w:val="auto"/>
                <w:highlight w:val="none"/>
                <w:u w:val="none" w:color="auto"/>
              </w:rPr>
              <w:t>-N</w:t>
            </w:r>
          </w:p>
        </w:tc>
        <w:tc>
          <w:tcPr>
            <w:tcW w:w="541" w:type="pct"/>
            <w:shd w:val="clear" w:color="auto" w:fill="auto"/>
            <w:vAlign w:val="center"/>
          </w:tcPr>
          <w:p w14:paraId="467DECE4">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rPr>
              <w:t>T</w:t>
            </w:r>
            <w:r>
              <w:rPr>
                <w:rFonts w:hint="default" w:ascii="Times New Roman" w:hAnsi="Times New Roman" w:cs="Times New Roman"/>
                <w:b/>
                <w:color w:val="auto"/>
                <w:highlight w:val="none"/>
                <w:u w:val="none" w:color="auto"/>
                <w:lang w:val="en-US" w:eastAsia="zh-CN"/>
              </w:rPr>
              <w:t>P</w:t>
            </w:r>
          </w:p>
        </w:tc>
      </w:tr>
      <w:tr w14:paraId="75147A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1999" w:type="pct"/>
            <w:shd w:val="clear" w:color="auto" w:fill="auto"/>
            <w:vAlign w:val="center"/>
          </w:tcPr>
          <w:p w14:paraId="6DBA99E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lang w:val="en-US" w:eastAsia="zh-CN"/>
              </w:rPr>
              <w:t>污染当量值/kg</w:t>
            </w:r>
          </w:p>
        </w:tc>
        <w:tc>
          <w:tcPr>
            <w:tcW w:w="714" w:type="pct"/>
            <w:shd w:val="clear" w:color="auto" w:fill="auto"/>
            <w:vAlign w:val="center"/>
          </w:tcPr>
          <w:p w14:paraId="1226FFDC">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w:t>
            </w:r>
          </w:p>
        </w:tc>
        <w:tc>
          <w:tcPr>
            <w:tcW w:w="596" w:type="pct"/>
            <w:shd w:val="clear" w:color="auto" w:fill="auto"/>
            <w:vAlign w:val="center"/>
          </w:tcPr>
          <w:p w14:paraId="43F2150D">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0.5</w:t>
            </w:r>
          </w:p>
        </w:tc>
        <w:tc>
          <w:tcPr>
            <w:tcW w:w="488" w:type="pct"/>
            <w:shd w:val="clear" w:color="auto" w:fill="auto"/>
            <w:vAlign w:val="center"/>
          </w:tcPr>
          <w:p w14:paraId="1B5247F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4</w:t>
            </w:r>
          </w:p>
        </w:tc>
        <w:tc>
          <w:tcPr>
            <w:tcW w:w="660" w:type="pct"/>
            <w:shd w:val="clear" w:color="auto" w:fill="auto"/>
            <w:vAlign w:val="center"/>
          </w:tcPr>
          <w:p w14:paraId="6FB486F2">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0.8</w:t>
            </w:r>
          </w:p>
        </w:tc>
        <w:tc>
          <w:tcPr>
            <w:tcW w:w="541" w:type="pct"/>
            <w:shd w:val="clear" w:color="auto" w:fill="auto"/>
            <w:vAlign w:val="center"/>
          </w:tcPr>
          <w:p w14:paraId="76A149D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0.25</w:t>
            </w:r>
          </w:p>
        </w:tc>
      </w:tr>
      <w:tr w14:paraId="49A77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1999" w:type="pct"/>
            <w:shd w:val="clear" w:color="auto" w:fill="auto"/>
            <w:vAlign w:val="center"/>
          </w:tcPr>
          <w:p w14:paraId="068D508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年排放量/kg</w:t>
            </w:r>
          </w:p>
        </w:tc>
        <w:tc>
          <w:tcPr>
            <w:tcW w:w="714" w:type="pct"/>
            <w:shd w:val="clear" w:color="auto" w:fill="auto"/>
            <w:vAlign w:val="center"/>
          </w:tcPr>
          <w:p w14:paraId="1891A3F6">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54750</w:t>
            </w:r>
          </w:p>
        </w:tc>
        <w:tc>
          <w:tcPr>
            <w:tcW w:w="596" w:type="pct"/>
            <w:shd w:val="clear" w:color="auto" w:fill="auto"/>
            <w:vAlign w:val="center"/>
          </w:tcPr>
          <w:p w14:paraId="0C8E2C00">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10950</w:t>
            </w:r>
          </w:p>
        </w:tc>
        <w:tc>
          <w:tcPr>
            <w:tcW w:w="488" w:type="pct"/>
            <w:shd w:val="clear" w:color="auto" w:fill="auto"/>
            <w:vAlign w:val="center"/>
          </w:tcPr>
          <w:p w14:paraId="6CC7C27C">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eastAsiaTheme="minorEastAsia"/>
                <w:color w:val="auto"/>
                <w:sz w:val="21"/>
                <w:szCs w:val="21"/>
                <w:highlight w:val="none"/>
                <w:u w:val="none" w:color="auto"/>
                <w:lang w:val="en-US" w:eastAsia="zh-CN"/>
              </w:rPr>
              <w:t>10950</w:t>
            </w:r>
          </w:p>
        </w:tc>
        <w:tc>
          <w:tcPr>
            <w:tcW w:w="660" w:type="pct"/>
            <w:shd w:val="clear" w:color="auto" w:fill="auto"/>
            <w:vAlign w:val="center"/>
          </w:tcPr>
          <w:p w14:paraId="04B5F4EC">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5475</w:t>
            </w:r>
          </w:p>
        </w:tc>
        <w:tc>
          <w:tcPr>
            <w:tcW w:w="541" w:type="pct"/>
            <w:shd w:val="clear" w:color="auto" w:fill="auto"/>
            <w:vAlign w:val="center"/>
          </w:tcPr>
          <w:p w14:paraId="31F970CE">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547.5</w:t>
            </w:r>
          </w:p>
        </w:tc>
      </w:tr>
      <w:tr w14:paraId="51B421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1999" w:type="pct"/>
            <w:shd w:val="clear" w:color="auto" w:fill="auto"/>
            <w:vAlign w:val="center"/>
          </w:tcPr>
          <w:p w14:paraId="0FEAAD3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b w:val="0"/>
                <w:bCs/>
                <w:color w:val="auto"/>
                <w:highlight w:val="none"/>
                <w:u w:val="none" w:color="auto"/>
              </w:rPr>
              <w:t>水污染物当量数W</w:t>
            </w:r>
          </w:p>
        </w:tc>
        <w:tc>
          <w:tcPr>
            <w:tcW w:w="714" w:type="pct"/>
            <w:shd w:val="clear" w:color="auto" w:fill="auto"/>
            <w:vAlign w:val="center"/>
          </w:tcPr>
          <w:p w14:paraId="1D36574C">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eastAsiaTheme="minorEastAsia"/>
                <w:b/>
                <w:bCs/>
                <w:color w:val="auto"/>
                <w:sz w:val="21"/>
                <w:szCs w:val="21"/>
                <w:highlight w:val="none"/>
                <w:u w:val="none" w:color="auto"/>
                <w:lang w:val="en-US" w:eastAsia="zh-CN"/>
              </w:rPr>
              <w:t>54750</w:t>
            </w:r>
          </w:p>
        </w:tc>
        <w:tc>
          <w:tcPr>
            <w:tcW w:w="596" w:type="pct"/>
            <w:shd w:val="clear" w:color="auto" w:fill="auto"/>
            <w:vAlign w:val="center"/>
          </w:tcPr>
          <w:p w14:paraId="39950AD7">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21900</w:t>
            </w:r>
          </w:p>
        </w:tc>
        <w:tc>
          <w:tcPr>
            <w:tcW w:w="488" w:type="pct"/>
            <w:shd w:val="clear" w:color="auto" w:fill="auto"/>
            <w:vAlign w:val="center"/>
          </w:tcPr>
          <w:p w14:paraId="526B998F">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2737.5</w:t>
            </w:r>
          </w:p>
        </w:tc>
        <w:tc>
          <w:tcPr>
            <w:tcW w:w="660" w:type="pct"/>
            <w:shd w:val="clear" w:color="auto" w:fill="auto"/>
            <w:vAlign w:val="center"/>
          </w:tcPr>
          <w:p w14:paraId="084C63B9">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6843.75</w:t>
            </w:r>
          </w:p>
        </w:tc>
        <w:tc>
          <w:tcPr>
            <w:tcW w:w="541" w:type="pct"/>
            <w:shd w:val="clear" w:color="auto" w:fill="auto"/>
            <w:vAlign w:val="center"/>
          </w:tcPr>
          <w:p w14:paraId="3B8214E3">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2190</w:t>
            </w:r>
          </w:p>
        </w:tc>
      </w:tr>
    </w:tbl>
    <w:p w14:paraId="1B3EA7EA">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2.4.3 </w:t>
      </w:r>
      <w:r>
        <w:rPr>
          <w:rFonts w:hint="default" w:ascii="Times New Roman" w:hAnsi="Times New Roman" w:cs="Times New Roman"/>
          <w:color w:val="auto"/>
          <w:highlight w:val="none"/>
          <w:u w:val="none" w:color="auto"/>
        </w:rPr>
        <w:t>地下水环境影响评价等级</w:t>
      </w:r>
      <w:bookmarkEnd w:id="31"/>
    </w:p>
    <w:p w14:paraId="32FEE149">
      <w:pPr>
        <w:pStyle w:val="189"/>
        <w:rPr>
          <w:rFonts w:hint="default" w:ascii="Times New Roman" w:hAnsi="Times New Roman" w:cs="Times New Roman"/>
          <w:color w:val="auto"/>
          <w:highlight w:val="none"/>
          <w:u w:val="none" w:color="auto"/>
          <w:lang w:eastAsia="zh-CN"/>
        </w:rPr>
      </w:pPr>
      <w:bookmarkStart w:id="32" w:name="_Toc24637_WPSOffice_Level3"/>
      <w:bookmarkStart w:id="33" w:name="_Toc27905_WPSOffice_Level3"/>
      <w:bookmarkStart w:id="34" w:name="_Toc21779_WPSOffice_Level3"/>
      <w:r>
        <w:rPr>
          <w:rFonts w:hint="default" w:ascii="Times New Roman" w:hAnsi="Times New Roman" w:cs="Times New Roman"/>
          <w:color w:val="auto"/>
          <w:highlight w:val="none"/>
          <w:u w:val="none" w:color="auto"/>
        </w:rPr>
        <w:t>根据《环境影响评价技术导则</w:t>
      </w:r>
      <w:r>
        <w:rPr>
          <w:rFonts w:hint="default" w:ascii="Times New Roman" w:hAnsi="Times New Roman" w:cs="Times New Roman"/>
          <w:color w:val="auto"/>
          <w:highlight w:val="none"/>
          <w:u w:val="none" w:color="auto"/>
        </w:rPr>
        <w:tab/>
      </w:r>
      <w:r>
        <w:rPr>
          <w:rFonts w:hint="default" w:ascii="Times New Roman" w:hAnsi="Times New Roman" w:cs="Times New Roman"/>
          <w:color w:val="auto"/>
          <w:highlight w:val="none"/>
          <w:u w:val="none" w:color="auto"/>
        </w:rPr>
        <w:t>地下水环境》（HJ610-2016）附录 A，本项目类别为“145、工业废水集中处理”，属于地下水环境影响评价项目类别中的</w:t>
      </w:r>
      <w:r>
        <w:rPr>
          <w:rFonts w:hint="default" w:ascii="Times New Roman" w:hAnsi="Times New Roman" w:eastAsia="宋体" w:cs="Times New Roman"/>
          <w:color w:val="auto"/>
          <w:highlight w:val="none"/>
          <w:u w:val="none" w:color="auto"/>
        </w:rPr>
        <w:t>Ⅰ</w:t>
      </w:r>
      <w:r>
        <w:rPr>
          <w:rFonts w:hint="default" w:ascii="Times New Roman" w:hAnsi="Times New Roman" w:cs="Times New Roman"/>
          <w:color w:val="auto"/>
          <w:highlight w:val="none"/>
          <w:u w:val="none" w:color="auto"/>
        </w:rPr>
        <w:t>类建设项目</w:t>
      </w:r>
      <w:r>
        <w:rPr>
          <w:rFonts w:hint="default" w:ascii="Times New Roman" w:hAnsi="Times New Roman" w:cs="Times New Roman"/>
          <w:color w:val="auto"/>
          <w:highlight w:val="none"/>
          <w:u w:val="none" w:color="auto"/>
          <w:lang w:eastAsia="zh-CN"/>
        </w:rPr>
        <w:t>。</w:t>
      </w:r>
    </w:p>
    <w:p w14:paraId="6D2C56A0">
      <w:pPr>
        <w:pStyle w:val="437"/>
        <w:adjustRightInd/>
        <w:snapToGrid/>
        <w:ind w:firstLine="456"/>
        <w:rPr>
          <w:rFonts w:hint="default" w:ascii="Times New Roman" w:hAnsi="Times New Roman" w:cs="Times New Roman"/>
          <w:spacing w:val="-6"/>
          <w:highlight w:val="none"/>
        </w:rPr>
      </w:pPr>
      <w:r>
        <w:rPr>
          <w:rFonts w:hint="default" w:ascii="Times New Roman" w:hAnsi="Times New Roman" w:cs="Times New Roman"/>
          <w:spacing w:val="-6"/>
          <w:highlight w:val="none"/>
        </w:rPr>
        <w:t>建设项目的地下水环境敏感程度可分为敏感、较敏感、不敏感三级，分级原则如下表所示：</w:t>
      </w:r>
    </w:p>
    <w:p w14:paraId="6590491C">
      <w:pPr>
        <w:pStyle w:val="194"/>
        <w:spacing w:line="240" w:lineRule="auto"/>
        <w:rPr>
          <w:rFonts w:hint="default" w:ascii="Times New Roman" w:hAnsi="Times New Roman" w:eastAsia="宋体"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 xml:space="preserve"> </w:t>
      </w:r>
      <w:r>
        <w:rPr>
          <w:rFonts w:hint="default" w:ascii="Times New Roman" w:hAnsi="Times New Roman" w:eastAsia="宋体" w:cs="Times New Roman"/>
          <w:color w:val="auto"/>
          <w:highlight w:val="none"/>
          <w:u w:val="none" w:color="auto"/>
        </w:rPr>
        <w:t>地下水环境工作等级分级表</w:t>
      </w:r>
    </w:p>
    <w:tbl>
      <w:tblPr>
        <w:tblStyle w:val="76"/>
        <w:tblW w:w="0" w:type="auto"/>
        <w:tblInd w:w="16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80"/>
        <w:gridCol w:w="7860"/>
      </w:tblGrid>
      <w:tr w14:paraId="3CED13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0" w:type="dxa"/>
            <w:tcBorders>
              <w:tl2br w:val="nil"/>
              <w:tr2bl w:val="nil"/>
            </w:tcBorders>
            <w:vAlign w:val="center"/>
          </w:tcPr>
          <w:p w14:paraId="4BEC231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敏感程度</w:t>
            </w:r>
          </w:p>
        </w:tc>
        <w:tc>
          <w:tcPr>
            <w:tcW w:w="7860" w:type="dxa"/>
            <w:tcBorders>
              <w:tl2br w:val="nil"/>
              <w:tr2bl w:val="nil"/>
            </w:tcBorders>
            <w:vAlign w:val="center"/>
          </w:tcPr>
          <w:p w14:paraId="101D3B7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地下水环境特征</w:t>
            </w:r>
          </w:p>
        </w:tc>
      </w:tr>
      <w:tr w14:paraId="374A64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0" w:type="dxa"/>
            <w:tcBorders>
              <w:tl2br w:val="nil"/>
              <w:tr2bl w:val="nil"/>
            </w:tcBorders>
            <w:vAlign w:val="center"/>
          </w:tcPr>
          <w:p w14:paraId="51A3F73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敏感</w:t>
            </w:r>
          </w:p>
        </w:tc>
        <w:tc>
          <w:tcPr>
            <w:tcW w:w="7860" w:type="dxa"/>
            <w:tcBorders>
              <w:tl2br w:val="nil"/>
              <w:tr2bl w:val="nil"/>
            </w:tcBorders>
            <w:vAlign w:val="center"/>
          </w:tcPr>
          <w:p w14:paraId="235A6D7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034265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0" w:type="dxa"/>
            <w:tcBorders>
              <w:tl2br w:val="nil"/>
              <w:tr2bl w:val="nil"/>
            </w:tcBorders>
            <w:vAlign w:val="center"/>
          </w:tcPr>
          <w:p w14:paraId="45F50AA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较敏感</w:t>
            </w:r>
          </w:p>
        </w:tc>
        <w:tc>
          <w:tcPr>
            <w:tcW w:w="7860" w:type="dxa"/>
            <w:tcBorders>
              <w:tl2br w:val="nil"/>
              <w:tr2bl w:val="nil"/>
            </w:tcBorders>
            <w:vAlign w:val="center"/>
          </w:tcPr>
          <w:p w14:paraId="458DC38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a。</w:t>
            </w:r>
          </w:p>
        </w:tc>
      </w:tr>
      <w:tr w14:paraId="3D081D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0" w:type="dxa"/>
            <w:tcBorders>
              <w:tl2br w:val="nil"/>
              <w:tr2bl w:val="nil"/>
            </w:tcBorders>
            <w:shd w:val="clear" w:color="auto" w:fill="D7D7D7"/>
            <w:vAlign w:val="center"/>
          </w:tcPr>
          <w:p w14:paraId="2335988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不敏感</w:t>
            </w:r>
          </w:p>
        </w:tc>
        <w:tc>
          <w:tcPr>
            <w:tcW w:w="7860" w:type="dxa"/>
            <w:tcBorders>
              <w:tl2br w:val="nil"/>
              <w:tr2bl w:val="nil"/>
            </w:tcBorders>
            <w:shd w:val="clear" w:color="auto" w:fill="D7D7D7"/>
            <w:vAlign w:val="center"/>
          </w:tcPr>
          <w:p w14:paraId="51773E3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上述地区之外的其它地区</w:t>
            </w:r>
          </w:p>
        </w:tc>
      </w:tr>
      <w:tr w14:paraId="7861BD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940" w:type="dxa"/>
            <w:gridSpan w:val="2"/>
            <w:tcBorders>
              <w:tl2br w:val="nil"/>
              <w:tr2bl w:val="nil"/>
            </w:tcBorders>
            <w:vAlign w:val="center"/>
          </w:tcPr>
          <w:p w14:paraId="7737FB9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注：a“环境敏感区”是指《建设项目环境影响评价分类管理名录》中所界定的涉及地下水的环境敏感区</w:t>
            </w:r>
          </w:p>
        </w:tc>
      </w:tr>
    </w:tbl>
    <w:p w14:paraId="54CD75E5">
      <w:pPr>
        <w:pStyle w:val="194"/>
        <w:spacing w:line="240" w:lineRule="auto"/>
        <w:jc w:val="both"/>
        <w:rPr>
          <w:rFonts w:hint="default" w:ascii="Times New Roman" w:hAnsi="Times New Roman" w:eastAsia="宋体" w:cs="Times New Roman"/>
          <w:color w:val="auto"/>
          <w:highlight w:val="none"/>
          <w:u w:val="none" w:color="auto"/>
        </w:rPr>
      </w:pPr>
    </w:p>
    <w:p w14:paraId="18A5FB76">
      <w:pPr>
        <w:pStyle w:val="437"/>
        <w:adjustRightInd/>
        <w:snapToGrid/>
        <w:ind w:firstLine="456"/>
        <w:rPr>
          <w:rFonts w:hint="default" w:ascii="Times New Roman" w:hAnsi="Times New Roman" w:cs="Times New Roman"/>
          <w:spacing w:val="-6"/>
          <w:highlight w:val="none"/>
        </w:rPr>
      </w:pPr>
      <w:r>
        <w:rPr>
          <w:rFonts w:hint="default" w:ascii="Times New Roman" w:hAnsi="Times New Roman" w:cs="Times New Roman"/>
          <w:spacing w:val="-6"/>
          <w:highlight w:val="none"/>
        </w:rPr>
        <w:t>通过对本项目及周边情况调查，项目及周边区域范围内不存在集中式饮用水水源准保护区及以外的补给径流区，也不涉及特殊地下水资源保护区等，项目周边不存在分散式饮用水水源地和特殊地下资（如矿泉水、温泉等）保护分散式饮用水源地以及特殊地下资源（如矿泉、温等）保护区以外的分布区等其他未列入上述敏感分级的环境敏感区。区域均使用自来水。综上所述，本项目所在区域地下水属于不敏感。</w:t>
      </w:r>
    </w:p>
    <w:p w14:paraId="1971F2C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地下水环境影响评价工作等级划分情况见下表。</w:t>
      </w:r>
    </w:p>
    <w:p w14:paraId="6844ABB1">
      <w:pPr>
        <w:pStyle w:val="194"/>
        <w:spacing w:line="240" w:lineRule="auto"/>
        <w:rPr>
          <w:rFonts w:hint="default" w:ascii="Times New Roman" w:hAnsi="Times New Roman" w:cs="Times New Roman"/>
          <w:color w:val="auto"/>
          <w:sz w:val="2"/>
          <w:szCs w:val="2"/>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 xml:space="preserve">  地下水环境影响评价工作等级划分判据一览表</w:t>
      </w:r>
    </w:p>
    <w:tbl>
      <w:tblPr>
        <w:tblStyle w:val="76"/>
        <w:tblW w:w="8838" w:type="dxa"/>
        <w:tblInd w:w="109" w:type="dxa"/>
        <w:tblLayout w:type="fixed"/>
        <w:tblCellMar>
          <w:top w:w="0" w:type="dxa"/>
          <w:left w:w="0" w:type="dxa"/>
          <w:bottom w:w="0" w:type="dxa"/>
          <w:right w:w="0" w:type="dxa"/>
        </w:tblCellMar>
      </w:tblPr>
      <w:tblGrid>
        <w:gridCol w:w="2642"/>
        <w:gridCol w:w="1882"/>
        <w:gridCol w:w="2249"/>
        <w:gridCol w:w="2065"/>
      </w:tblGrid>
      <w:tr w14:paraId="4BF133C1">
        <w:tblPrEx>
          <w:tblCellMar>
            <w:top w:w="0" w:type="dxa"/>
            <w:left w:w="0" w:type="dxa"/>
            <w:bottom w:w="0" w:type="dxa"/>
            <w:right w:w="0" w:type="dxa"/>
          </w:tblCellMar>
        </w:tblPrEx>
        <w:trPr>
          <w:trHeight w:val="357" w:hRule="exact"/>
        </w:trPr>
        <w:tc>
          <w:tcPr>
            <w:tcW w:w="2642" w:type="dxa"/>
            <w:tcBorders>
              <w:top w:val="single" w:color="000000" w:sz="12" w:space="0"/>
              <w:left w:val="single" w:color="000000" w:sz="12" w:space="0"/>
              <w:bottom w:val="single" w:color="000000" w:sz="6" w:space="0"/>
              <w:right w:val="single" w:color="000000" w:sz="6" w:space="0"/>
            </w:tcBorders>
            <w:vAlign w:val="center"/>
          </w:tcPr>
          <w:p w14:paraId="647D9083">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环境敏感程度/项目类别</w:t>
            </w:r>
          </w:p>
        </w:tc>
        <w:tc>
          <w:tcPr>
            <w:tcW w:w="1882" w:type="dxa"/>
            <w:tcBorders>
              <w:top w:val="single" w:color="000000" w:sz="12" w:space="0"/>
              <w:left w:val="single" w:color="000000" w:sz="6" w:space="0"/>
              <w:bottom w:val="single" w:color="000000" w:sz="6" w:space="0"/>
              <w:right w:val="single" w:color="000000" w:sz="6" w:space="0"/>
            </w:tcBorders>
            <w:vAlign w:val="center"/>
          </w:tcPr>
          <w:p w14:paraId="167ED77A">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Ⅰ类项目</w:t>
            </w:r>
          </w:p>
        </w:tc>
        <w:tc>
          <w:tcPr>
            <w:tcW w:w="2249" w:type="dxa"/>
            <w:tcBorders>
              <w:top w:val="single" w:color="000000" w:sz="12" w:space="0"/>
              <w:left w:val="single" w:color="000000" w:sz="6" w:space="0"/>
              <w:bottom w:val="single" w:color="000000" w:sz="6" w:space="0"/>
              <w:right w:val="single" w:color="000000" w:sz="6" w:space="0"/>
            </w:tcBorders>
            <w:vAlign w:val="center"/>
          </w:tcPr>
          <w:p w14:paraId="365D2EC7">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Ⅱ类项目</w:t>
            </w:r>
          </w:p>
        </w:tc>
        <w:tc>
          <w:tcPr>
            <w:tcW w:w="2065" w:type="dxa"/>
            <w:tcBorders>
              <w:top w:val="single" w:color="000000" w:sz="12" w:space="0"/>
              <w:left w:val="single" w:color="000000" w:sz="6" w:space="0"/>
              <w:bottom w:val="single" w:color="000000" w:sz="6" w:space="0"/>
              <w:right w:val="single" w:color="000000" w:sz="12" w:space="0"/>
            </w:tcBorders>
            <w:vAlign w:val="center"/>
          </w:tcPr>
          <w:p w14:paraId="60C60FC9">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Ⅲ类项目</w:t>
            </w:r>
          </w:p>
        </w:tc>
      </w:tr>
      <w:tr w14:paraId="33DE07A2">
        <w:tblPrEx>
          <w:tblCellMar>
            <w:top w:w="0" w:type="dxa"/>
            <w:left w:w="0" w:type="dxa"/>
            <w:bottom w:w="0" w:type="dxa"/>
            <w:right w:w="0" w:type="dxa"/>
          </w:tblCellMar>
        </w:tblPrEx>
        <w:trPr>
          <w:trHeight w:val="310" w:hRule="exact"/>
        </w:trPr>
        <w:tc>
          <w:tcPr>
            <w:tcW w:w="2642" w:type="dxa"/>
            <w:tcBorders>
              <w:top w:val="single" w:color="000000" w:sz="6" w:space="0"/>
              <w:left w:val="single" w:color="000000" w:sz="12" w:space="0"/>
              <w:bottom w:val="single" w:color="000000" w:sz="6" w:space="0"/>
              <w:right w:val="single" w:color="000000" w:sz="6" w:space="0"/>
            </w:tcBorders>
            <w:vAlign w:val="center"/>
          </w:tcPr>
          <w:p w14:paraId="76D1B8E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敏感</w:t>
            </w:r>
          </w:p>
        </w:tc>
        <w:tc>
          <w:tcPr>
            <w:tcW w:w="1882" w:type="dxa"/>
            <w:tcBorders>
              <w:top w:val="single" w:color="000000" w:sz="6" w:space="0"/>
              <w:left w:val="single" w:color="000000" w:sz="6" w:space="0"/>
              <w:bottom w:val="single" w:color="000000" w:sz="6" w:space="0"/>
              <w:right w:val="single" w:color="000000" w:sz="6" w:space="0"/>
            </w:tcBorders>
            <w:vAlign w:val="center"/>
          </w:tcPr>
          <w:p w14:paraId="71A945F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w:t>
            </w:r>
          </w:p>
        </w:tc>
        <w:tc>
          <w:tcPr>
            <w:tcW w:w="2249" w:type="dxa"/>
            <w:tcBorders>
              <w:top w:val="single" w:color="000000" w:sz="6" w:space="0"/>
              <w:left w:val="single" w:color="000000" w:sz="6" w:space="0"/>
              <w:bottom w:val="single" w:color="000000" w:sz="6" w:space="0"/>
              <w:right w:val="single" w:color="000000" w:sz="6" w:space="0"/>
            </w:tcBorders>
            <w:vAlign w:val="center"/>
          </w:tcPr>
          <w:p w14:paraId="1FB1572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w:t>
            </w:r>
          </w:p>
        </w:tc>
        <w:tc>
          <w:tcPr>
            <w:tcW w:w="2065" w:type="dxa"/>
            <w:tcBorders>
              <w:top w:val="single" w:color="000000" w:sz="6" w:space="0"/>
              <w:left w:val="single" w:color="000000" w:sz="6" w:space="0"/>
              <w:bottom w:val="single" w:color="000000" w:sz="6" w:space="0"/>
              <w:right w:val="single" w:color="000000" w:sz="12" w:space="0"/>
            </w:tcBorders>
            <w:vAlign w:val="center"/>
          </w:tcPr>
          <w:p w14:paraId="2D7A0CF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w:t>
            </w:r>
          </w:p>
        </w:tc>
      </w:tr>
      <w:tr w14:paraId="06FF8164">
        <w:tblPrEx>
          <w:tblCellMar>
            <w:top w:w="0" w:type="dxa"/>
            <w:left w:w="0" w:type="dxa"/>
            <w:bottom w:w="0" w:type="dxa"/>
            <w:right w:w="0" w:type="dxa"/>
          </w:tblCellMar>
        </w:tblPrEx>
        <w:trPr>
          <w:trHeight w:val="325" w:hRule="exact"/>
        </w:trPr>
        <w:tc>
          <w:tcPr>
            <w:tcW w:w="2642" w:type="dxa"/>
            <w:tcBorders>
              <w:top w:val="single" w:color="000000" w:sz="6" w:space="0"/>
              <w:left w:val="single" w:color="000000" w:sz="12" w:space="0"/>
              <w:bottom w:val="single" w:color="000000" w:sz="6" w:space="0"/>
              <w:right w:val="single" w:color="000000" w:sz="6" w:space="0"/>
            </w:tcBorders>
            <w:vAlign w:val="center"/>
          </w:tcPr>
          <w:p w14:paraId="5BB980A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较敏感</w:t>
            </w:r>
          </w:p>
        </w:tc>
        <w:tc>
          <w:tcPr>
            <w:tcW w:w="1882" w:type="dxa"/>
            <w:tcBorders>
              <w:top w:val="single" w:color="000000" w:sz="6" w:space="0"/>
              <w:left w:val="single" w:color="000000" w:sz="6" w:space="0"/>
              <w:bottom w:val="single" w:color="000000" w:sz="6" w:space="0"/>
              <w:right w:val="single" w:color="000000" w:sz="6" w:space="0"/>
            </w:tcBorders>
            <w:vAlign w:val="center"/>
          </w:tcPr>
          <w:p w14:paraId="0F97B7B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w:t>
            </w:r>
          </w:p>
        </w:tc>
        <w:tc>
          <w:tcPr>
            <w:tcW w:w="2249" w:type="dxa"/>
            <w:tcBorders>
              <w:top w:val="single" w:color="000000" w:sz="6" w:space="0"/>
              <w:left w:val="single" w:color="000000" w:sz="6" w:space="0"/>
              <w:bottom w:val="single" w:color="000000" w:sz="6" w:space="0"/>
              <w:right w:val="single" w:color="000000" w:sz="6" w:space="0"/>
            </w:tcBorders>
            <w:vAlign w:val="center"/>
          </w:tcPr>
          <w:p w14:paraId="1121CD6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w:t>
            </w:r>
          </w:p>
        </w:tc>
        <w:tc>
          <w:tcPr>
            <w:tcW w:w="2065" w:type="dxa"/>
            <w:tcBorders>
              <w:top w:val="single" w:color="000000" w:sz="6" w:space="0"/>
              <w:left w:val="single" w:color="000000" w:sz="6" w:space="0"/>
              <w:bottom w:val="single" w:color="000000" w:sz="6" w:space="0"/>
              <w:right w:val="single" w:color="000000" w:sz="12" w:space="0"/>
            </w:tcBorders>
            <w:vAlign w:val="center"/>
          </w:tcPr>
          <w:p w14:paraId="5E3853F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三</w:t>
            </w:r>
          </w:p>
        </w:tc>
      </w:tr>
      <w:tr w14:paraId="5B2C40A4">
        <w:tblPrEx>
          <w:tblCellMar>
            <w:top w:w="0" w:type="dxa"/>
            <w:left w:w="0" w:type="dxa"/>
            <w:bottom w:w="0" w:type="dxa"/>
            <w:right w:w="0" w:type="dxa"/>
          </w:tblCellMar>
        </w:tblPrEx>
        <w:trPr>
          <w:trHeight w:val="351" w:hRule="exact"/>
        </w:trPr>
        <w:tc>
          <w:tcPr>
            <w:tcW w:w="2642" w:type="dxa"/>
            <w:tcBorders>
              <w:top w:val="single" w:color="000000" w:sz="6" w:space="0"/>
              <w:left w:val="single" w:color="000000" w:sz="12" w:space="0"/>
              <w:bottom w:val="single" w:color="000000" w:sz="12" w:space="0"/>
              <w:right w:val="single" w:color="000000" w:sz="6" w:space="0"/>
            </w:tcBorders>
            <w:vAlign w:val="center"/>
          </w:tcPr>
          <w:p w14:paraId="2E912E9D">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不敏感</w:t>
            </w:r>
          </w:p>
        </w:tc>
        <w:tc>
          <w:tcPr>
            <w:tcW w:w="1882" w:type="dxa"/>
            <w:tcBorders>
              <w:top w:val="single" w:color="000000" w:sz="6" w:space="0"/>
              <w:left w:val="single" w:color="000000" w:sz="6" w:space="0"/>
              <w:bottom w:val="single" w:color="000000" w:sz="12" w:space="0"/>
              <w:right w:val="single" w:color="000000" w:sz="6" w:space="0"/>
            </w:tcBorders>
            <w:vAlign w:val="center"/>
          </w:tcPr>
          <w:p w14:paraId="405E100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u w:val="none" w:color="auto"/>
                <w:lang w:eastAsia="zh-CN"/>
              </w:rPr>
            </w:pPr>
            <w:r>
              <w:rPr>
                <w:rFonts w:hint="default" w:ascii="Times New Roman" w:hAnsi="Times New Roman" w:cs="Times New Roman"/>
                <w:b/>
                <w:bCs/>
                <w:color w:val="auto"/>
                <w:highlight w:val="none"/>
                <w:u w:val="none" w:color="auto"/>
                <w:lang w:eastAsia="zh-CN"/>
              </w:rPr>
              <w:t>二</w:t>
            </w:r>
          </w:p>
        </w:tc>
        <w:tc>
          <w:tcPr>
            <w:tcW w:w="2249" w:type="dxa"/>
            <w:tcBorders>
              <w:top w:val="single" w:color="000000" w:sz="6" w:space="0"/>
              <w:left w:val="single" w:color="000000" w:sz="6" w:space="0"/>
              <w:bottom w:val="single" w:color="000000" w:sz="12" w:space="0"/>
              <w:right w:val="single" w:color="000000" w:sz="6" w:space="0"/>
            </w:tcBorders>
            <w:vAlign w:val="center"/>
          </w:tcPr>
          <w:p w14:paraId="270B741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三</w:t>
            </w:r>
          </w:p>
        </w:tc>
        <w:tc>
          <w:tcPr>
            <w:tcW w:w="2065" w:type="dxa"/>
            <w:tcBorders>
              <w:top w:val="single" w:color="000000" w:sz="6" w:space="0"/>
              <w:left w:val="single" w:color="000000" w:sz="6" w:space="0"/>
              <w:bottom w:val="single" w:color="000000" w:sz="12" w:space="0"/>
              <w:right w:val="single" w:color="000000" w:sz="12" w:space="0"/>
            </w:tcBorders>
            <w:vAlign w:val="center"/>
          </w:tcPr>
          <w:p w14:paraId="6702323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三</w:t>
            </w:r>
          </w:p>
        </w:tc>
      </w:tr>
    </w:tbl>
    <w:p w14:paraId="47DDE92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综上所述，对照《环境影响评价技术导则</w:t>
      </w:r>
      <w:r>
        <w:rPr>
          <w:rFonts w:hint="default" w:ascii="Times New Roman" w:hAnsi="Times New Roman" w:cs="Times New Roman"/>
          <w:color w:val="auto"/>
          <w:highlight w:val="none"/>
          <w:u w:val="none" w:color="auto"/>
          <w:lang w:val="en-US" w:eastAsia="zh-CN"/>
        </w:rPr>
        <w:t xml:space="preserve"> </w:t>
      </w:r>
      <w:r>
        <w:rPr>
          <w:rFonts w:hint="default" w:ascii="Times New Roman" w:hAnsi="Times New Roman" w:cs="Times New Roman"/>
          <w:color w:val="auto"/>
          <w:highlight w:val="none"/>
          <w:u w:val="none" w:color="auto"/>
        </w:rPr>
        <w:t>地下水环境》（HJ610-2016），可知本项目地下水影响评价等级为二级。</w:t>
      </w:r>
    </w:p>
    <w:bookmarkEnd w:id="32"/>
    <w:bookmarkEnd w:id="33"/>
    <w:bookmarkEnd w:id="34"/>
    <w:p w14:paraId="315AED9F">
      <w:pPr>
        <w:pStyle w:val="4"/>
        <w:numPr>
          <w:ilvl w:val="2"/>
          <w:numId w:val="0"/>
        </w:numPr>
        <w:ind w:leftChars="0"/>
        <w:rPr>
          <w:rFonts w:hint="default" w:ascii="Times New Roman" w:hAnsi="Times New Roman" w:cs="Times New Roman"/>
          <w:strike w:val="0"/>
          <w:dstrike w:val="0"/>
          <w:color w:val="auto"/>
          <w:highlight w:val="none"/>
          <w:u w:val="none" w:color="auto"/>
        </w:rPr>
      </w:pPr>
      <w:bookmarkStart w:id="35" w:name="_Toc25793"/>
      <w:bookmarkStart w:id="36" w:name="_Toc7490_WPSOffice_Level2"/>
      <w:bookmarkStart w:id="37" w:name="_Toc5721_WPSOffice_Level2"/>
      <w:bookmarkStart w:id="38" w:name="_Toc23632_WPSOffice_Level2"/>
      <w:r>
        <w:rPr>
          <w:rFonts w:hint="default" w:ascii="Times New Roman" w:hAnsi="Times New Roman" w:cs="Times New Roman"/>
          <w:strike w:val="0"/>
          <w:dstrike w:val="0"/>
          <w:color w:val="auto"/>
          <w:highlight w:val="none"/>
          <w:u w:val="none" w:color="auto"/>
          <w:lang w:val="en-US" w:eastAsia="zh-CN"/>
        </w:rPr>
        <w:t xml:space="preserve">2.4.4 </w:t>
      </w:r>
      <w:r>
        <w:rPr>
          <w:rFonts w:hint="default" w:ascii="Times New Roman" w:hAnsi="Times New Roman" w:cs="Times New Roman"/>
          <w:strike w:val="0"/>
          <w:dstrike w:val="0"/>
          <w:color w:val="auto"/>
          <w:highlight w:val="none"/>
          <w:u w:val="none" w:color="auto"/>
        </w:rPr>
        <w:t>声环境影响评价工作等级</w:t>
      </w:r>
      <w:bookmarkEnd w:id="35"/>
    </w:p>
    <w:p w14:paraId="4CC15210">
      <w:pPr>
        <w:pStyle w:val="31"/>
        <w:autoSpaceDE/>
        <w:autoSpaceDN/>
        <w:adjustRightInd w:val="0"/>
        <w:snapToGrid w:val="0"/>
        <w:spacing w:before="0" w:line="360" w:lineRule="auto"/>
        <w:ind w:left="0" w:firstLine="480" w:firstLineChars="200"/>
        <w:jc w:val="both"/>
        <w:rPr>
          <w:rFonts w:hint="default" w:ascii="Times New Roman" w:hAnsi="Times New Roman" w:cs="Times New Roman"/>
          <w:strike w:val="0"/>
          <w:dstrike w:val="0"/>
          <w:snapToGrid w:val="0"/>
          <w:color w:val="auto"/>
          <w:highlight w:val="none"/>
          <w:u w:val="none" w:color="auto"/>
        </w:rPr>
      </w:pPr>
      <w:bookmarkStart w:id="39" w:name="_Toc24451"/>
      <w:r>
        <w:rPr>
          <w:rFonts w:hint="default" w:ascii="Times New Roman" w:hAnsi="Times New Roman" w:cs="Times New Roman"/>
          <w:strike w:val="0"/>
          <w:dstrike w:val="0"/>
          <w:snapToGrid w:val="0"/>
          <w:color w:val="auto"/>
          <w:highlight w:val="none"/>
          <w:u w:val="none" w:color="auto"/>
        </w:rPr>
        <w:t>根据《环境影响评价技术导则  声环境》（HJ2.4-2021），声环境影响评价工作级别划分的主要依据是：建设项目所在区域的声环境功能区类别；建设项目建设前后所在区域的声环境质量变化程度；受建设项目影响人口的数量。</w:t>
      </w:r>
    </w:p>
    <w:p w14:paraId="1248278F">
      <w:pPr>
        <w:pStyle w:val="31"/>
        <w:autoSpaceDE/>
        <w:autoSpaceDN/>
        <w:adjustRightInd w:val="0"/>
        <w:snapToGrid w:val="0"/>
        <w:spacing w:before="0" w:line="360" w:lineRule="auto"/>
        <w:ind w:left="0" w:firstLine="480" w:firstLineChars="200"/>
        <w:jc w:val="both"/>
        <w:rPr>
          <w:rFonts w:hint="default" w:ascii="Times New Roman" w:hAnsi="Times New Roman" w:cs="Times New Roman"/>
          <w:strike w:val="0"/>
          <w:dstrike w:val="0"/>
          <w:snapToGrid w:val="0"/>
          <w:color w:val="auto"/>
          <w:highlight w:val="none"/>
          <w:u w:val="none" w:color="auto"/>
        </w:rPr>
      </w:pPr>
      <w:r>
        <w:rPr>
          <w:rFonts w:hint="default" w:ascii="Times New Roman" w:hAnsi="Times New Roman" w:cs="Times New Roman"/>
          <w:strike w:val="0"/>
          <w:dstrike w:val="0"/>
          <w:snapToGrid w:val="0"/>
          <w:color w:val="auto"/>
          <w:highlight w:val="none"/>
          <w:u w:val="none" w:color="auto"/>
        </w:rPr>
        <w:t>评价范围内有适用于 GB 3096 规定的 0 类声环境功能区域，或建设项目建设前后评价范围内声环境保护目标噪声级增量达 5 dB(A</w:t>
      </w:r>
      <w:r>
        <w:rPr>
          <w:rFonts w:hint="default" w:ascii="Times New Roman" w:hAnsi="Times New Roman" w:cs="Times New Roman"/>
          <w:strike w:val="0"/>
          <w:dstrike w:val="0"/>
          <w:snapToGrid w:val="0"/>
          <w:color w:val="auto"/>
          <w:highlight w:val="none"/>
          <w:u w:val="none" w:color="auto"/>
          <w:lang w:eastAsia="zh-CN"/>
        </w:rPr>
        <w:t>）</w:t>
      </w:r>
      <w:r>
        <w:rPr>
          <w:rFonts w:hint="default" w:ascii="Times New Roman" w:hAnsi="Times New Roman" w:cs="Times New Roman"/>
          <w:strike w:val="0"/>
          <w:dstrike w:val="0"/>
          <w:snapToGrid w:val="0"/>
          <w:color w:val="auto"/>
          <w:highlight w:val="none"/>
          <w:u w:val="none" w:color="auto"/>
        </w:rPr>
        <w:t>以上（不含 5 dB(A)），或受影响人口数量显著增加时，按一级评价。</w:t>
      </w:r>
    </w:p>
    <w:p w14:paraId="401F9E01">
      <w:pPr>
        <w:pStyle w:val="31"/>
        <w:autoSpaceDE/>
        <w:autoSpaceDN/>
        <w:adjustRightInd w:val="0"/>
        <w:snapToGrid w:val="0"/>
        <w:spacing w:before="0" w:line="360" w:lineRule="auto"/>
        <w:ind w:left="0" w:firstLine="480" w:firstLineChars="200"/>
        <w:jc w:val="both"/>
        <w:rPr>
          <w:rFonts w:hint="default" w:ascii="Times New Roman" w:hAnsi="Times New Roman" w:cs="Times New Roman"/>
          <w:strike w:val="0"/>
          <w:dstrike w:val="0"/>
          <w:snapToGrid w:val="0"/>
          <w:color w:val="auto"/>
          <w:highlight w:val="none"/>
          <w:u w:val="none" w:color="auto"/>
        </w:rPr>
      </w:pPr>
      <w:r>
        <w:rPr>
          <w:rFonts w:hint="default" w:ascii="Times New Roman" w:hAnsi="Times New Roman" w:cs="Times New Roman"/>
          <w:strike w:val="0"/>
          <w:dstrike w:val="0"/>
          <w:snapToGrid w:val="0"/>
          <w:color w:val="auto"/>
          <w:highlight w:val="none"/>
          <w:u w:val="none" w:color="auto"/>
        </w:rPr>
        <w:t>建设项目所处的声环境功能区为 GB 3096 规定的 1 类、2 类地区，或建设项目建设前后评价范围内声环境保护目标噪声级增量达 3 dB(A)～5 dB(A)，或受噪声影响人口数量增加较多时，按二级评价。</w:t>
      </w:r>
    </w:p>
    <w:p w14:paraId="334DA9F6">
      <w:pPr>
        <w:pStyle w:val="31"/>
        <w:autoSpaceDE/>
        <w:autoSpaceDN/>
        <w:adjustRightInd w:val="0"/>
        <w:snapToGrid w:val="0"/>
        <w:spacing w:before="0" w:line="360" w:lineRule="auto"/>
        <w:ind w:left="0" w:firstLine="480" w:firstLineChars="200"/>
        <w:jc w:val="both"/>
        <w:rPr>
          <w:rFonts w:hint="default" w:ascii="Times New Roman" w:hAnsi="Times New Roman" w:cs="Times New Roman"/>
          <w:strike w:val="0"/>
          <w:dstrike w:val="0"/>
          <w:snapToGrid w:val="0"/>
          <w:color w:val="auto"/>
          <w:highlight w:val="none"/>
          <w:u w:val="none" w:color="auto"/>
        </w:rPr>
      </w:pPr>
      <w:r>
        <w:rPr>
          <w:rFonts w:hint="default" w:ascii="Times New Roman" w:hAnsi="Times New Roman" w:cs="Times New Roman"/>
          <w:strike w:val="0"/>
          <w:dstrike w:val="0"/>
          <w:snapToGrid w:val="0"/>
          <w:color w:val="auto"/>
          <w:highlight w:val="none"/>
          <w:u w:val="none" w:color="auto"/>
        </w:rPr>
        <w:t>建设项目所处的声环境功能区为 GB 3096 规定的 3 类、4 类地区，或建设项目建设前后评价范围内声环境保护目标噪声级增量在 3 dB(A</w:t>
      </w:r>
      <w:r>
        <w:rPr>
          <w:rFonts w:hint="default" w:ascii="Times New Roman" w:hAnsi="Times New Roman" w:cs="Times New Roman"/>
          <w:strike w:val="0"/>
          <w:dstrike w:val="0"/>
          <w:snapToGrid w:val="0"/>
          <w:color w:val="auto"/>
          <w:highlight w:val="none"/>
          <w:u w:val="none" w:color="auto"/>
          <w:lang w:eastAsia="zh-CN"/>
        </w:rPr>
        <w:t>）</w:t>
      </w:r>
      <w:r>
        <w:rPr>
          <w:rFonts w:hint="default" w:ascii="Times New Roman" w:hAnsi="Times New Roman" w:cs="Times New Roman"/>
          <w:strike w:val="0"/>
          <w:dstrike w:val="0"/>
          <w:snapToGrid w:val="0"/>
          <w:color w:val="auto"/>
          <w:highlight w:val="none"/>
          <w:u w:val="none" w:color="auto"/>
        </w:rPr>
        <w:t>以下（不含 3 dB(A)），且受影响人口数量变化不大时，按三级评价。</w:t>
      </w:r>
    </w:p>
    <w:p w14:paraId="185E37F5">
      <w:pPr>
        <w:pStyle w:val="31"/>
        <w:autoSpaceDE/>
        <w:autoSpaceDN/>
        <w:adjustRightInd w:val="0"/>
        <w:snapToGrid w:val="0"/>
        <w:spacing w:before="0" w:line="360" w:lineRule="auto"/>
        <w:ind w:left="0" w:firstLine="480" w:firstLineChars="200"/>
        <w:jc w:val="both"/>
        <w:rPr>
          <w:rFonts w:hint="default" w:ascii="Times New Roman" w:hAnsi="Times New Roman" w:cs="Times New Roman"/>
          <w:strike w:val="0"/>
          <w:dstrike w:val="0"/>
          <w:snapToGrid w:val="0"/>
          <w:color w:val="auto"/>
          <w:highlight w:val="none"/>
          <w:u w:val="none" w:color="auto"/>
        </w:rPr>
      </w:pPr>
      <w:r>
        <w:rPr>
          <w:rFonts w:hint="default" w:ascii="Times New Roman" w:hAnsi="Times New Roman" w:cs="Times New Roman"/>
          <w:strike w:val="0"/>
          <w:dstrike w:val="0"/>
          <w:snapToGrid w:val="0"/>
          <w:color w:val="auto"/>
          <w:highlight w:val="none"/>
          <w:u w:val="none" w:color="auto"/>
        </w:rPr>
        <w:t>本项目所处的声环境功能区为</w:t>
      </w:r>
      <w:r>
        <w:rPr>
          <w:rFonts w:hint="default" w:ascii="Times New Roman" w:hAnsi="Times New Roman" w:cs="Times New Roman"/>
          <w:strike w:val="0"/>
          <w:dstrike w:val="0"/>
          <w:snapToGrid w:val="0"/>
          <w:color w:val="auto"/>
          <w:highlight w:val="none"/>
          <w:u w:val="none" w:color="auto"/>
          <w:lang w:val="en-US" w:eastAsia="zh-CN"/>
        </w:rPr>
        <w:t>3</w:t>
      </w:r>
      <w:r>
        <w:rPr>
          <w:rFonts w:hint="default" w:ascii="Times New Roman" w:hAnsi="Times New Roman" w:cs="Times New Roman"/>
          <w:strike w:val="0"/>
          <w:dstrike w:val="0"/>
          <w:snapToGrid w:val="0"/>
          <w:color w:val="auto"/>
          <w:highlight w:val="none"/>
          <w:u w:val="none" w:color="auto"/>
        </w:rPr>
        <w:t>类区，且受影响人口数量变化不大，综合考虑本次评价中声环境影响评价工作等级确定为</w:t>
      </w:r>
      <w:r>
        <w:rPr>
          <w:rFonts w:hint="default" w:ascii="Times New Roman" w:hAnsi="Times New Roman" w:cs="Times New Roman"/>
          <w:strike w:val="0"/>
          <w:dstrike w:val="0"/>
          <w:snapToGrid w:val="0"/>
          <w:color w:val="auto"/>
          <w:highlight w:val="none"/>
          <w:u w:val="none" w:color="auto"/>
          <w:lang w:val="en-US" w:eastAsia="zh-CN"/>
        </w:rPr>
        <w:t>三</w:t>
      </w:r>
      <w:r>
        <w:rPr>
          <w:rFonts w:hint="default" w:ascii="Times New Roman" w:hAnsi="Times New Roman" w:cs="Times New Roman"/>
          <w:strike w:val="0"/>
          <w:dstrike w:val="0"/>
          <w:snapToGrid w:val="0"/>
          <w:color w:val="auto"/>
          <w:highlight w:val="none"/>
          <w:u w:val="none" w:color="auto"/>
        </w:rPr>
        <w:t>级。</w:t>
      </w:r>
    </w:p>
    <w:p w14:paraId="4D57F422">
      <w:pPr>
        <w:pStyle w:val="4"/>
        <w:numPr>
          <w:ilvl w:val="2"/>
          <w:numId w:val="0"/>
        </w:numPr>
        <w:ind w:leftChars="0"/>
        <w:rPr>
          <w:rFonts w:hint="default" w:ascii="Times New Roman" w:hAnsi="Times New Roman" w:cs="Times New Roman"/>
          <w:strike w:val="0"/>
          <w:dstrike w:val="0"/>
          <w:color w:val="auto"/>
          <w:highlight w:val="none"/>
          <w:u w:val="none" w:color="auto"/>
        </w:rPr>
      </w:pPr>
      <w:r>
        <w:rPr>
          <w:rFonts w:hint="default" w:ascii="Times New Roman" w:hAnsi="Times New Roman" w:cs="Times New Roman"/>
          <w:strike w:val="0"/>
          <w:dstrike w:val="0"/>
          <w:color w:val="auto"/>
          <w:highlight w:val="none"/>
          <w:u w:val="none" w:color="auto"/>
          <w:lang w:val="en-US" w:eastAsia="zh-CN"/>
        </w:rPr>
        <w:t xml:space="preserve">2.4.5 </w:t>
      </w:r>
      <w:r>
        <w:rPr>
          <w:rFonts w:hint="default" w:ascii="Times New Roman" w:hAnsi="Times New Roman" w:cs="Times New Roman"/>
          <w:strike w:val="0"/>
          <w:dstrike w:val="0"/>
          <w:color w:val="auto"/>
          <w:highlight w:val="none"/>
          <w:u w:val="none" w:color="auto"/>
        </w:rPr>
        <w:t>生态环境影响评价工作等级</w:t>
      </w:r>
      <w:bookmarkEnd w:id="39"/>
    </w:p>
    <w:p w14:paraId="49A241EA">
      <w:pPr>
        <w:pStyle w:val="189"/>
        <w:rPr>
          <w:rFonts w:hint="default" w:ascii="Times New Roman" w:hAnsi="Times New Roman" w:cs="Times New Roman"/>
          <w:strike w:val="0"/>
          <w:dstrike w:val="0"/>
          <w:color w:val="auto"/>
          <w:highlight w:val="none"/>
          <w:u w:val="none" w:color="auto"/>
        </w:rPr>
      </w:pPr>
      <w:r>
        <w:rPr>
          <w:rFonts w:hint="default" w:ascii="Times New Roman" w:hAnsi="Times New Roman" w:cs="Times New Roman"/>
          <w:strike w:val="0"/>
          <w:dstrike w:val="0"/>
          <w:color w:val="auto"/>
          <w:highlight w:val="none"/>
          <w:u w:val="none" w:color="auto"/>
        </w:rPr>
        <w:t>根据《环境影响评价技术导则  生态影响》（HJ19-2022），评价等级依据建设项目影响区域的生态敏感性和影响程度，等级划分为一级、二级和三级。</w:t>
      </w:r>
    </w:p>
    <w:p w14:paraId="3359FEB6">
      <w:pPr>
        <w:pStyle w:val="189"/>
        <w:rPr>
          <w:rFonts w:hint="default" w:ascii="Times New Roman" w:hAnsi="Times New Roman" w:cs="Times New Roman"/>
          <w:strike w:val="0"/>
          <w:dstrike w:val="0"/>
          <w:color w:val="auto"/>
          <w:highlight w:val="none"/>
          <w:u w:val="none" w:color="auto"/>
        </w:rPr>
      </w:pPr>
      <w:r>
        <w:rPr>
          <w:rFonts w:hint="default" w:ascii="Times New Roman" w:hAnsi="Times New Roman" w:cs="Times New Roman"/>
          <w:strike w:val="0"/>
          <w:dstrike w:val="0"/>
          <w:color w:val="auto"/>
          <w:highlight w:val="none"/>
          <w:u w:val="none" w:color="auto"/>
        </w:rPr>
        <w:t>按以下原则确定评价等级：</w:t>
      </w:r>
    </w:p>
    <w:p w14:paraId="4444F0E9">
      <w:pPr>
        <w:pStyle w:val="189"/>
        <w:rPr>
          <w:rFonts w:hint="default" w:ascii="Times New Roman" w:hAnsi="Times New Roman" w:cs="Times New Roman"/>
          <w:strike w:val="0"/>
          <w:dstrike w:val="0"/>
          <w:color w:val="auto"/>
          <w:highlight w:val="none"/>
          <w:u w:val="none" w:color="auto"/>
        </w:rPr>
      </w:pPr>
      <w:r>
        <w:rPr>
          <w:rFonts w:hint="default" w:ascii="Times New Roman" w:hAnsi="Times New Roman" w:cs="Times New Roman"/>
          <w:strike w:val="0"/>
          <w:dstrike w:val="0"/>
          <w:color w:val="auto"/>
          <w:highlight w:val="none"/>
          <w:u w:val="none" w:color="auto"/>
        </w:rPr>
        <w:t>a）</w:t>
      </w:r>
      <w:r>
        <w:rPr>
          <w:rFonts w:hint="default" w:ascii="Times New Roman" w:hAnsi="Times New Roman" w:cs="Times New Roman"/>
          <w:strike w:val="0"/>
          <w:dstrike w:val="0"/>
          <w:color w:val="auto"/>
          <w:highlight w:val="none"/>
          <w:u w:val="none" w:color="auto"/>
        </w:rPr>
        <w:tab/>
      </w:r>
      <w:r>
        <w:rPr>
          <w:rFonts w:hint="default" w:ascii="Times New Roman" w:hAnsi="Times New Roman" w:cs="Times New Roman"/>
          <w:strike w:val="0"/>
          <w:dstrike w:val="0"/>
          <w:color w:val="auto"/>
          <w:highlight w:val="none"/>
          <w:u w:val="none" w:color="auto"/>
        </w:rPr>
        <w:t>涉及国家公园、自然保护区、世界自然遗产、重要生境时，评价等级为一级；</w:t>
      </w:r>
    </w:p>
    <w:p w14:paraId="4F1B9FFD">
      <w:pPr>
        <w:pStyle w:val="189"/>
        <w:rPr>
          <w:rFonts w:hint="default" w:ascii="Times New Roman" w:hAnsi="Times New Roman" w:cs="Times New Roman"/>
          <w:strike w:val="0"/>
          <w:dstrike w:val="0"/>
          <w:color w:val="auto"/>
          <w:highlight w:val="none"/>
          <w:u w:val="none" w:color="auto"/>
        </w:rPr>
      </w:pPr>
      <w:r>
        <w:rPr>
          <w:rFonts w:hint="default" w:ascii="Times New Roman" w:hAnsi="Times New Roman" w:cs="Times New Roman"/>
          <w:strike w:val="0"/>
          <w:dstrike w:val="0"/>
          <w:color w:val="auto"/>
          <w:highlight w:val="none"/>
          <w:u w:val="none" w:color="auto"/>
        </w:rPr>
        <w:t>b）涉及自然公园时，评价等级为二级；</w:t>
      </w:r>
    </w:p>
    <w:p w14:paraId="73C827D6">
      <w:pPr>
        <w:pStyle w:val="189"/>
        <w:rPr>
          <w:rFonts w:hint="default" w:ascii="Times New Roman" w:hAnsi="Times New Roman" w:cs="Times New Roman"/>
          <w:strike w:val="0"/>
          <w:dstrike w:val="0"/>
          <w:color w:val="auto"/>
          <w:highlight w:val="none"/>
          <w:u w:val="none" w:color="auto"/>
        </w:rPr>
      </w:pPr>
      <w:r>
        <w:rPr>
          <w:rFonts w:hint="default" w:ascii="Times New Roman" w:hAnsi="Times New Roman" w:cs="Times New Roman"/>
          <w:strike w:val="0"/>
          <w:dstrike w:val="0"/>
          <w:color w:val="auto"/>
          <w:highlight w:val="none"/>
          <w:u w:val="none" w:color="auto"/>
        </w:rPr>
        <w:t>c）</w:t>
      </w:r>
      <w:r>
        <w:rPr>
          <w:rFonts w:hint="default" w:ascii="Times New Roman" w:hAnsi="Times New Roman" w:cs="Times New Roman"/>
          <w:strike w:val="0"/>
          <w:dstrike w:val="0"/>
          <w:color w:val="auto"/>
          <w:highlight w:val="none"/>
          <w:u w:val="none" w:color="auto"/>
        </w:rPr>
        <w:tab/>
      </w:r>
      <w:r>
        <w:rPr>
          <w:rFonts w:hint="default" w:ascii="Times New Roman" w:hAnsi="Times New Roman" w:cs="Times New Roman"/>
          <w:strike w:val="0"/>
          <w:dstrike w:val="0"/>
          <w:color w:val="auto"/>
          <w:highlight w:val="none"/>
          <w:u w:val="none" w:color="auto"/>
        </w:rPr>
        <w:t>涉及生态保护红线时，评价等级不低于二级；</w:t>
      </w:r>
    </w:p>
    <w:p w14:paraId="2C4A7F42">
      <w:pPr>
        <w:pStyle w:val="189"/>
        <w:rPr>
          <w:rFonts w:hint="default" w:ascii="Times New Roman" w:hAnsi="Times New Roman" w:cs="Times New Roman"/>
          <w:strike w:val="0"/>
          <w:dstrike w:val="0"/>
          <w:color w:val="auto"/>
          <w:highlight w:val="none"/>
          <w:u w:val="none" w:color="auto"/>
        </w:rPr>
      </w:pPr>
      <w:r>
        <w:rPr>
          <w:rFonts w:hint="default" w:ascii="Times New Roman" w:hAnsi="Times New Roman" w:cs="Times New Roman"/>
          <w:strike w:val="0"/>
          <w:dstrike w:val="0"/>
          <w:color w:val="auto"/>
          <w:highlight w:val="none"/>
          <w:u w:val="none" w:color="auto"/>
        </w:rPr>
        <w:t>d）根据HJ2.3判断属于水文要素影响型且地表水评价等级不低于二级的建设项目，生态影响评价等级不低于二级；</w:t>
      </w:r>
    </w:p>
    <w:p w14:paraId="4D408AD9">
      <w:pPr>
        <w:pStyle w:val="189"/>
        <w:rPr>
          <w:rFonts w:hint="default" w:ascii="Times New Roman" w:hAnsi="Times New Roman" w:cs="Times New Roman"/>
          <w:strike w:val="0"/>
          <w:dstrike w:val="0"/>
          <w:color w:val="auto"/>
          <w:highlight w:val="none"/>
          <w:u w:val="none" w:color="auto"/>
        </w:rPr>
      </w:pPr>
      <w:r>
        <w:rPr>
          <w:rFonts w:hint="default" w:ascii="Times New Roman" w:hAnsi="Times New Roman" w:cs="Times New Roman"/>
          <w:strike w:val="0"/>
          <w:dstrike w:val="0"/>
          <w:color w:val="auto"/>
          <w:highlight w:val="none"/>
          <w:u w:val="none" w:color="auto"/>
        </w:rPr>
        <w:t>e）</w:t>
      </w:r>
      <w:r>
        <w:rPr>
          <w:rFonts w:hint="default" w:ascii="Times New Roman" w:hAnsi="Times New Roman" w:cs="Times New Roman"/>
          <w:strike w:val="0"/>
          <w:dstrike w:val="0"/>
          <w:color w:val="auto"/>
          <w:highlight w:val="none"/>
          <w:u w:val="none" w:color="auto"/>
        </w:rPr>
        <w:tab/>
      </w:r>
      <w:r>
        <w:rPr>
          <w:rFonts w:hint="default" w:ascii="Times New Roman" w:hAnsi="Times New Roman" w:cs="Times New Roman"/>
          <w:strike w:val="0"/>
          <w:dstrike w:val="0"/>
          <w:color w:val="auto"/>
          <w:highlight w:val="none"/>
          <w:u w:val="none" w:color="auto"/>
        </w:rPr>
        <w:t>根据HJ610、HJ964判断地下水水位或土壤影响范围内分布有天然林、公益林、湿地等生态保护目标的建设项目，生态影响评价等级不低于二级；</w:t>
      </w:r>
    </w:p>
    <w:p w14:paraId="3B2AF816">
      <w:pPr>
        <w:pStyle w:val="189"/>
        <w:rPr>
          <w:rFonts w:hint="default" w:ascii="Times New Roman" w:hAnsi="Times New Roman" w:cs="Times New Roman"/>
          <w:strike w:val="0"/>
          <w:dstrike w:val="0"/>
          <w:color w:val="auto"/>
          <w:highlight w:val="none"/>
          <w:u w:val="none" w:color="auto"/>
        </w:rPr>
      </w:pPr>
      <w:r>
        <w:rPr>
          <w:rFonts w:hint="default" w:ascii="Times New Roman" w:hAnsi="Times New Roman" w:cs="Times New Roman"/>
          <w:strike w:val="0"/>
          <w:dstrike w:val="0"/>
          <w:color w:val="auto"/>
          <w:highlight w:val="none"/>
          <w:u w:val="none" w:color="auto"/>
        </w:rPr>
        <w:t>f）</w:t>
      </w:r>
      <w:r>
        <w:rPr>
          <w:rFonts w:hint="default" w:ascii="Times New Roman" w:hAnsi="Times New Roman" w:cs="Times New Roman"/>
          <w:strike w:val="0"/>
          <w:dstrike w:val="0"/>
          <w:color w:val="auto"/>
          <w:highlight w:val="none"/>
          <w:u w:val="none" w:color="auto"/>
        </w:rPr>
        <w:tab/>
      </w:r>
      <w:r>
        <w:rPr>
          <w:rFonts w:hint="default" w:ascii="Times New Roman" w:hAnsi="Times New Roman" w:cs="Times New Roman"/>
          <w:strike w:val="0"/>
          <w:dstrike w:val="0"/>
          <w:color w:val="auto"/>
          <w:highlight w:val="none"/>
          <w:u w:val="none" w:color="auto"/>
        </w:rPr>
        <w:t>当工程占地规模大于20km</w:t>
      </w:r>
      <w:r>
        <w:rPr>
          <w:rFonts w:hint="default" w:ascii="Times New Roman" w:hAnsi="Times New Roman" w:cs="Times New Roman"/>
          <w:strike w:val="0"/>
          <w:dstrike w:val="0"/>
          <w:color w:val="auto"/>
          <w:highlight w:val="none"/>
          <w:u w:val="none" w:color="auto"/>
          <w:vertAlign w:val="superscript"/>
        </w:rPr>
        <w:t>2</w:t>
      </w:r>
      <w:r>
        <w:rPr>
          <w:rFonts w:hint="default" w:ascii="Times New Roman" w:hAnsi="Times New Roman" w:cs="Times New Roman"/>
          <w:strike w:val="0"/>
          <w:dstrike w:val="0"/>
          <w:color w:val="auto"/>
          <w:highlight w:val="none"/>
          <w:u w:val="none" w:color="auto"/>
        </w:rPr>
        <w:t>时（包括永久和临时占用陆域和水域），评价等级不低于二级；改扩建项目的占地范围以新增占地（包括陆域和水域）确定；</w:t>
      </w:r>
    </w:p>
    <w:p w14:paraId="4DDAFC9D">
      <w:pPr>
        <w:pStyle w:val="189"/>
        <w:rPr>
          <w:rFonts w:hint="default" w:ascii="Times New Roman" w:hAnsi="Times New Roman" w:cs="Times New Roman"/>
          <w:strike w:val="0"/>
          <w:dstrike w:val="0"/>
          <w:color w:val="auto"/>
          <w:highlight w:val="none"/>
          <w:u w:val="none" w:color="auto"/>
        </w:rPr>
      </w:pPr>
      <w:r>
        <w:rPr>
          <w:rFonts w:hint="default" w:ascii="Times New Roman" w:hAnsi="Times New Roman" w:cs="Times New Roman"/>
          <w:strike w:val="0"/>
          <w:dstrike w:val="0"/>
          <w:color w:val="auto"/>
          <w:highlight w:val="none"/>
          <w:u w:val="none" w:color="auto"/>
        </w:rPr>
        <w:t>g）除本条a）、b）、c）、d）、e）、f）以外的情况，评价等级为三级；</w:t>
      </w:r>
    </w:p>
    <w:p w14:paraId="10D16A9E">
      <w:pPr>
        <w:pStyle w:val="189"/>
        <w:rPr>
          <w:rFonts w:hint="default" w:ascii="Times New Roman" w:hAnsi="Times New Roman" w:cs="Times New Roman"/>
          <w:strike w:val="0"/>
          <w:dstrike w:val="0"/>
          <w:color w:val="auto"/>
          <w:highlight w:val="none"/>
          <w:u w:val="none" w:color="auto"/>
          <w:lang w:eastAsia="zh-CN"/>
        </w:rPr>
      </w:pPr>
      <w:r>
        <w:rPr>
          <w:rFonts w:hint="default" w:ascii="Times New Roman" w:hAnsi="Times New Roman" w:cs="Times New Roman"/>
          <w:strike w:val="0"/>
          <w:dstrike w:val="0"/>
          <w:color w:val="auto"/>
          <w:highlight w:val="none"/>
          <w:u w:val="none" w:color="auto"/>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r>
        <w:rPr>
          <w:rFonts w:hint="default" w:ascii="Times New Roman" w:hAnsi="Times New Roman" w:cs="Times New Roman"/>
          <w:strike w:val="0"/>
          <w:dstrike w:val="0"/>
          <w:color w:val="auto"/>
          <w:highlight w:val="none"/>
          <w:u w:val="none" w:color="auto"/>
          <w:lang w:eastAsia="zh-CN"/>
        </w:rPr>
        <w:t>。</w:t>
      </w:r>
    </w:p>
    <w:p w14:paraId="14C527D1">
      <w:pPr>
        <w:pStyle w:val="189"/>
        <w:rPr>
          <w:rFonts w:hint="default" w:ascii="Times New Roman" w:hAnsi="Times New Roman" w:cs="Times New Roman" w:eastAsiaTheme="minorEastAsia"/>
          <w:strike w:val="0"/>
          <w:dstrike w:val="0"/>
          <w:color w:val="FF0000"/>
          <w:highlight w:val="none"/>
          <w:u w:val="none" w:color="auto"/>
          <w:lang w:val="en-US" w:eastAsia="zh-CN"/>
        </w:rPr>
      </w:pPr>
      <w:r>
        <w:rPr>
          <w:rFonts w:hint="default" w:ascii="Times New Roman" w:hAnsi="Times New Roman" w:cs="Times New Roman"/>
          <w:strike w:val="0"/>
          <w:dstrike w:val="0"/>
          <w:color w:val="auto"/>
          <w:highlight w:val="none"/>
          <w:u w:val="none" w:color="auto"/>
          <w:lang w:val="en-US" w:eastAsia="zh-CN"/>
        </w:rPr>
        <w:t>本项目位污染影响类项目，现有及新增用地位于</w:t>
      </w:r>
      <w:r>
        <w:rPr>
          <w:rFonts w:hint="default" w:ascii="Times New Roman" w:hAnsi="Times New Roman" w:cs="Times New Roman"/>
          <w:strike w:val="0"/>
          <w:dstrike w:val="0"/>
          <w:color w:val="auto"/>
          <w:highlight w:val="none"/>
          <w:u w:val="none" w:color="auto"/>
        </w:rPr>
        <w:t>已批准规划环评的产业园区内且符合规划环评要求</w:t>
      </w:r>
      <w:r>
        <w:rPr>
          <w:rFonts w:hint="default" w:ascii="Times New Roman" w:hAnsi="Times New Roman" w:cs="Times New Roman"/>
          <w:strike w:val="0"/>
          <w:dstrike w:val="0"/>
          <w:color w:val="auto"/>
          <w:highlight w:val="none"/>
          <w:u w:val="none" w:color="auto"/>
          <w:lang w:eastAsia="zh-CN"/>
        </w:rPr>
        <w:t>，</w:t>
      </w:r>
      <w:r>
        <w:rPr>
          <w:rFonts w:hint="default" w:ascii="Times New Roman" w:hAnsi="Times New Roman" w:cs="Times New Roman"/>
          <w:strike w:val="0"/>
          <w:dstrike w:val="0"/>
          <w:color w:val="auto"/>
          <w:highlight w:val="none"/>
          <w:u w:val="none" w:color="auto"/>
          <w:lang w:val="en-US" w:eastAsia="zh-CN"/>
        </w:rPr>
        <w:t>不涉及生态敏感区，故本项目</w:t>
      </w:r>
      <w:r>
        <w:rPr>
          <w:rFonts w:hint="default" w:ascii="Times New Roman" w:hAnsi="Times New Roman" w:cs="Times New Roman"/>
          <w:strike w:val="0"/>
          <w:dstrike w:val="0"/>
          <w:color w:val="auto"/>
          <w:highlight w:val="none"/>
          <w:u w:val="none" w:color="auto"/>
        </w:rPr>
        <w:t>不确定评价等级，直接进行生态影响简单分析。</w:t>
      </w:r>
    </w:p>
    <w:p w14:paraId="5C560DF8">
      <w:pPr>
        <w:pStyle w:val="4"/>
        <w:numPr>
          <w:ilvl w:val="2"/>
          <w:numId w:val="0"/>
        </w:numPr>
        <w:ind w:leftChars="0"/>
        <w:rPr>
          <w:rFonts w:hint="default" w:ascii="Times New Roman" w:hAnsi="Times New Roman" w:cs="Times New Roman"/>
          <w:color w:val="auto"/>
          <w:highlight w:val="none"/>
          <w:u w:val="none" w:color="auto"/>
        </w:rPr>
      </w:pPr>
      <w:bookmarkStart w:id="40" w:name="_Toc32381"/>
      <w:r>
        <w:rPr>
          <w:rFonts w:hint="default" w:ascii="Times New Roman" w:hAnsi="Times New Roman" w:cs="Times New Roman"/>
          <w:color w:val="auto"/>
          <w:highlight w:val="none"/>
          <w:u w:val="none" w:color="auto"/>
          <w:lang w:val="en-US" w:eastAsia="zh-CN"/>
        </w:rPr>
        <w:t xml:space="preserve">2.4.6 </w:t>
      </w:r>
      <w:r>
        <w:rPr>
          <w:rFonts w:hint="default" w:ascii="Times New Roman" w:hAnsi="Times New Roman" w:cs="Times New Roman"/>
          <w:color w:val="auto"/>
          <w:highlight w:val="none"/>
          <w:u w:val="none" w:color="auto"/>
        </w:rPr>
        <w:t>土壤环境评价等级</w:t>
      </w:r>
      <w:bookmarkEnd w:id="40"/>
    </w:p>
    <w:p w14:paraId="46BD8AD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根据《环境影响评价技术导则 总纲》（HJ2.1-2016），本项目污水处理工程土壤环境影响类型属于污染影响型，项目占地面积</w:t>
      </w:r>
      <w:r>
        <w:rPr>
          <w:rFonts w:hint="default" w:ascii="Times New Roman" w:hAnsi="Times New Roman" w:cs="Times New Roman"/>
          <w:color w:val="auto"/>
          <w:highlight w:val="none"/>
          <w:u w:val="none" w:color="auto"/>
          <w:lang w:val="en-US" w:eastAsia="zh-CN"/>
        </w:rPr>
        <w:t>10955.32</w:t>
      </w:r>
      <w:r>
        <w:rPr>
          <w:rFonts w:hint="default" w:ascii="Times New Roman" w:hAnsi="Times New Roman" w:cs="Times New Roman"/>
          <w:color w:val="auto"/>
          <w:highlight w:val="none"/>
          <w:u w:val="none" w:color="auto"/>
        </w:rPr>
        <w:t>m</w:t>
      </w:r>
      <w:r>
        <w:rPr>
          <w:rFonts w:hint="default" w:ascii="Times New Roman" w:hAnsi="Times New Roman" w:cs="Times New Roman"/>
          <w:color w:val="auto"/>
          <w:highlight w:val="none"/>
          <w:u w:val="none" w:color="auto"/>
          <w:vertAlign w:val="superscript"/>
        </w:rPr>
        <w:t>2</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1.0955h</w:t>
      </w:r>
      <w:r>
        <w:rPr>
          <w:rFonts w:hint="default" w:ascii="Times New Roman" w:hAnsi="Times New Roman" w:cs="Times New Roman"/>
          <w:color w:val="auto"/>
          <w:highlight w:val="none"/>
          <w:u w:val="none" w:color="auto"/>
        </w:rPr>
        <w:t>m</w:t>
      </w:r>
      <w:r>
        <w:rPr>
          <w:rFonts w:hint="default" w:ascii="Times New Roman" w:hAnsi="Times New Roman" w:cs="Times New Roman"/>
          <w:color w:val="auto"/>
          <w:highlight w:val="none"/>
          <w:u w:val="none" w:color="auto"/>
          <w:vertAlign w:val="superscript"/>
        </w:rPr>
        <w:t>2</w:t>
      </w:r>
      <w:r>
        <w:rPr>
          <w:rFonts w:hint="default" w:ascii="Times New Roman" w:hAnsi="Times New Roman" w:cs="Times New Roman"/>
          <w:color w:val="auto"/>
          <w:highlight w:val="none"/>
          <w:u w:val="none" w:color="auto"/>
        </w:rPr>
        <w:t>），占地规模属于小型（≤5 hm</w:t>
      </w:r>
      <w:r>
        <w:rPr>
          <w:rFonts w:hint="default" w:ascii="Times New Roman" w:hAnsi="Times New Roman" w:cs="Times New Roman"/>
          <w:color w:val="auto"/>
          <w:highlight w:val="none"/>
          <w:u w:val="none" w:color="auto"/>
          <w:vertAlign w:val="superscript"/>
        </w:rPr>
        <w:t>2</w:t>
      </w:r>
      <w:r>
        <w:rPr>
          <w:rFonts w:hint="default" w:ascii="Times New Roman" w:hAnsi="Times New Roman" w:cs="Times New Roman"/>
          <w:color w:val="auto"/>
          <w:highlight w:val="none"/>
          <w:u w:val="none" w:color="auto"/>
        </w:rPr>
        <w:t>）。按照《环境影响评价技术导则土壤环境（试行）》（HJ 964-2018）中的有关规定，污染影响型土壤环境影响评价工作等级划分如下表所示。</w:t>
      </w:r>
    </w:p>
    <w:p w14:paraId="1B2BFB89">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7</w:t>
      </w:r>
      <w:r>
        <w:rPr>
          <w:rFonts w:hint="default" w:ascii="Times New Roman" w:hAnsi="Times New Roman" w:cs="Times New Roman"/>
          <w:color w:val="auto"/>
          <w:highlight w:val="none"/>
          <w:u w:val="none" w:color="auto"/>
        </w:rPr>
        <w:t xml:space="preserve">  污染影响型敏感程度分级表</w:t>
      </w:r>
    </w:p>
    <w:tbl>
      <w:tblPr>
        <w:tblStyle w:val="76"/>
        <w:tblW w:w="899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001"/>
        <w:gridCol w:w="7998"/>
      </w:tblGrid>
      <w:tr w14:paraId="5001F6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4" w:hRule="atLeast"/>
          <w:jc w:val="center"/>
        </w:trPr>
        <w:tc>
          <w:tcPr>
            <w:tcW w:w="1001" w:type="dxa"/>
            <w:vAlign w:val="center"/>
          </w:tcPr>
          <w:p w14:paraId="77C89DE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敏感程度</w:t>
            </w:r>
          </w:p>
        </w:tc>
        <w:tc>
          <w:tcPr>
            <w:tcW w:w="7998" w:type="dxa"/>
            <w:vAlign w:val="center"/>
          </w:tcPr>
          <w:p w14:paraId="7C53C94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判别依据</w:t>
            </w:r>
          </w:p>
        </w:tc>
      </w:tr>
      <w:tr w14:paraId="669182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79" w:hRule="atLeast"/>
          <w:jc w:val="center"/>
        </w:trPr>
        <w:tc>
          <w:tcPr>
            <w:tcW w:w="1001" w:type="dxa"/>
            <w:vAlign w:val="center"/>
          </w:tcPr>
          <w:p w14:paraId="755910F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敏感</w:t>
            </w:r>
          </w:p>
        </w:tc>
        <w:tc>
          <w:tcPr>
            <w:tcW w:w="7998" w:type="dxa"/>
            <w:vAlign w:val="center"/>
          </w:tcPr>
          <w:p w14:paraId="5F46CC2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建设项目周边存在耕地、园地、牧草地、饮用水水源地或居民区、学校、医院、疗养院、养老院等土壤环境敏感目标的</w:t>
            </w:r>
          </w:p>
        </w:tc>
      </w:tr>
      <w:tr w14:paraId="729E70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4" w:hRule="atLeast"/>
          <w:jc w:val="center"/>
        </w:trPr>
        <w:tc>
          <w:tcPr>
            <w:tcW w:w="1001" w:type="dxa"/>
            <w:vAlign w:val="center"/>
          </w:tcPr>
          <w:p w14:paraId="2BAC35C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较敏感</w:t>
            </w:r>
          </w:p>
        </w:tc>
        <w:tc>
          <w:tcPr>
            <w:tcW w:w="7998" w:type="dxa"/>
            <w:vAlign w:val="center"/>
          </w:tcPr>
          <w:p w14:paraId="181AF35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建设项目周边存在其他土壤环境敏感目标的</w:t>
            </w:r>
          </w:p>
        </w:tc>
      </w:tr>
      <w:tr w14:paraId="37B7E2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0" w:hRule="atLeast"/>
          <w:jc w:val="center"/>
        </w:trPr>
        <w:tc>
          <w:tcPr>
            <w:tcW w:w="1001" w:type="dxa"/>
            <w:vAlign w:val="center"/>
          </w:tcPr>
          <w:p w14:paraId="0EB5EE7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不敏感</w:t>
            </w:r>
          </w:p>
        </w:tc>
        <w:tc>
          <w:tcPr>
            <w:tcW w:w="7998" w:type="dxa"/>
            <w:vAlign w:val="center"/>
          </w:tcPr>
          <w:p w14:paraId="55D7300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其他情况</w:t>
            </w:r>
          </w:p>
        </w:tc>
      </w:tr>
    </w:tbl>
    <w:p w14:paraId="53F2E3D2">
      <w:pPr>
        <w:pStyle w:val="194"/>
        <w:spacing w:line="240" w:lineRule="auto"/>
        <w:jc w:val="both"/>
        <w:rPr>
          <w:rFonts w:hint="default" w:ascii="Times New Roman" w:hAnsi="Times New Roman" w:cs="Times New Roman"/>
          <w:color w:val="auto"/>
          <w:highlight w:val="none"/>
          <w:u w:val="none" w:color="auto"/>
        </w:rPr>
      </w:pPr>
    </w:p>
    <w:p w14:paraId="29A8A9C6">
      <w:pPr>
        <w:pStyle w:val="194"/>
        <w:spacing w:line="240" w:lineRule="auto"/>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8</w:t>
      </w:r>
      <w:r>
        <w:rPr>
          <w:rFonts w:hint="default" w:ascii="Times New Roman" w:hAnsi="Times New Roman" w:cs="Times New Roman"/>
          <w:color w:val="auto"/>
          <w:highlight w:val="none"/>
          <w:u w:val="none" w:color="auto"/>
        </w:rPr>
        <w:t xml:space="preserve">  污染影响型评价工作等级划分表</w:t>
      </w:r>
    </w:p>
    <w:tbl>
      <w:tblPr>
        <w:tblStyle w:val="76"/>
        <w:tblW w:w="907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96"/>
        <w:gridCol w:w="1131"/>
        <w:gridCol w:w="1192"/>
        <w:gridCol w:w="838"/>
        <w:gridCol w:w="837"/>
        <w:gridCol w:w="837"/>
        <w:gridCol w:w="837"/>
        <w:gridCol w:w="837"/>
        <w:gridCol w:w="837"/>
        <w:gridCol w:w="837"/>
      </w:tblGrid>
      <w:tr w14:paraId="2BC14E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896" w:type="dxa"/>
            <w:vMerge w:val="restart"/>
            <w:vAlign w:val="center"/>
          </w:tcPr>
          <w:p w14:paraId="47DE7651">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项目</w:t>
            </w:r>
          </w:p>
        </w:tc>
        <w:tc>
          <w:tcPr>
            <w:tcW w:w="3161" w:type="dxa"/>
            <w:gridSpan w:val="3"/>
            <w:vAlign w:val="center"/>
          </w:tcPr>
          <w:p w14:paraId="341EC340">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Ⅰ类</w:t>
            </w:r>
          </w:p>
        </w:tc>
        <w:tc>
          <w:tcPr>
            <w:tcW w:w="2511" w:type="dxa"/>
            <w:gridSpan w:val="3"/>
            <w:vAlign w:val="center"/>
          </w:tcPr>
          <w:p w14:paraId="2AEF7A81">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Ⅱ类</w:t>
            </w:r>
          </w:p>
        </w:tc>
        <w:tc>
          <w:tcPr>
            <w:tcW w:w="2511" w:type="dxa"/>
            <w:gridSpan w:val="3"/>
            <w:vAlign w:val="center"/>
          </w:tcPr>
          <w:p w14:paraId="46A23A37">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Ⅲ类</w:t>
            </w:r>
          </w:p>
        </w:tc>
      </w:tr>
      <w:tr w14:paraId="2FF804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5" w:hRule="atLeast"/>
          <w:jc w:val="center"/>
        </w:trPr>
        <w:tc>
          <w:tcPr>
            <w:tcW w:w="896" w:type="dxa"/>
            <w:vMerge w:val="continue"/>
            <w:vAlign w:val="center"/>
          </w:tcPr>
          <w:p w14:paraId="79318187">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p>
        </w:tc>
        <w:tc>
          <w:tcPr>
            <w:tcW w:w="1131" w:type="dxa"/>
            <w:vAlign w:val="center"/>
          </w:tcPr>
          <w:p w14:paraId="18B55CED">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大</w:t>
            </w:r>
          </w:p>
        </w:tc>
        <w:tc>
          <w:tcPr>
            <w:tcW w:w="1192" w:type="dxa"/>
            <w:vAlign w:val="center"/>
          </w:tcPr>
          <w:p w14:paraId="1E453CB6">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中</w:t>
            </w:r>
          </w:p>
        </w:tc>
        <w:tc>
          <w:tcPr>
            <w:tcW w:w="838" w:type="dxa"/>
            <w:vAlign w:val="center"/>
          </w:tcPr>
          <w:p w14:paraId="6364B74C">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小</w:t>
            </w:r>
          </w:p>
        </w:tc>
        <w:tc>
          <w:tcPr>
            <w:tcW w:w="837" w:type="dxa"/>
            <w:vAlign w:val="center"/>
          </w:tcPr>
          <w:p w14:paraId="151ADD94">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大</w:t>
            </w:r>
          </w:p>
        </w:tc>
        <w:tc>
          <w:tcPr>
            <w:tcW w:w="837" w:type="dxa"/>
            <w:vAlign w:val="center"/>
          </w:tcPr>
          <w:p w14:paraId="0ECC2B39">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中</w:t>
            </w:r>
          </w:p>
        </w:tc>
        <w:tc>
          <w:tcPr>
            <w:tcW w:w="837" w:type="dxa"/>
            <w:vAlign w:val="center"/>
          </w:tcPr>
          <w:p w14:paraId="731B3F8C">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小</w:t>
            </w:r>
          </w:p>
        </w:tc>
        <w:tc>
          <w:tcPr>
            <w:tcW w:w="837" w:type="dxa"/>
            <w:vAlign w:val="center"/>
          </w:tcPr>
          <w:p w14:paraId="0F2F95C3">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大</w:t>
            </w:r>
          </w:p>
        </w:tc>
        <w:tc>
          <w:tcPr>
            <w:tcW w:w="837" w:type="dxa"/>
            <w:vAlign w:val="center"/>
          </w:tcPr>
          <w:p w14:paraId="37F050CE">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中</w:t>
            </w:r>
          </w:p>
        </w:tc>
        <w:tc>
          <w:tcPr>
            <w:tcW w:w="837" w:type="dxa"/>
            <w:vAlign w:val="center"/>
          </w:tcPr>
          <w:p w14:paraId="059D5DD0">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小</w:t>
            </w:r>
          </w:p>
        </w:tc>
      </w:tr>
      <w:tr w14:paraId="38D01F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atLeast"/>
          <w:jc w:val="center"/>
        </w:trPr>
        <w:tc>
          <w:tcPr>
            <w:tcW w:w="896" w:type="dxa"/>
            <w:vAlign w:val="center"/>
          </w:tcPr>
          <w:p w14:paraId="4DE9FFB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敏感</w:t>
            </w:r>
          </w:p>
        </w:tc>
        <w:tc>
          <w:tcPr>
            <w:tcW w:w="1131" w:type="dxa"/>
            <w:vAlign w:val="center"/>
          </w:tcPr>
          <w:p w14:paraId="5138704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一级</w:t>
            </w:r>
          </w:p>
        </w:tc>
        <w:tc>
          <w:tcPr>
            <w:tcW w:w="1192" w:type="dxa"/>
            <w:vAlign w:val="center"/>
          </w:tcPr>
          <w:p w14:paraId="1496CA7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一级</w:t>
            </w:r>
          </w:p>
        </w:tc>
        <w:tc>
          <w:tcPr>
            <w:tcW w:w="838" w:type="dxa"/>
            <w:vAlign w:val="center"/>
          </w:tcPr>
          <w:p w14:paraId="1966B56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一级</w:t>
            </w:r>
          </w:p>
        </w:tc>
        <w:tc>
          <w:tcPr>
            <w:tcW w:w="837" w:type="dxa"/>
            <w:vAlign w:val="center"/>
          </w:tcPr>
          <w:p w14:paraId="122FAB0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二级</w:t>
            </w:r>
          </w:p>
        </w:tc>
        <w:tc>
          <w:tcPr>
            <w:tcW w:w="837" w:type="dxa"/>
            <w:vAlign w:val="center"/>
          </w:tcPr>
          <w:p w14:paraId="6C1E2F6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二级</w:t>
            </w:r>
          </w:p>
        </w:tc>
        <w:tc>
          <w:tcPr>
            <w:tcW w:w="837" w:type="dxa"/>
            <w:vAlign w:val="center"/>
          </w:tcPr>
          <w:p w14:paraId="2D994ED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二级</w:t>
            </w:r>
          </w:p>
        </w:tc>
        <w:tc>
          <w:tcPr>
            <w:tcW w:w="837" w:type="dxa"/>
            <w:vAlign w:val="center"/>
          </w:tcPr>
          <w:p w14:paraId="1B4BFE9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三级</w:t>
            </w:r>
          </w:p>
        </w:tc>
        <w:tc>
          <w:tcPr>
            <w:tcW w:w="837" w:type="dxa"/>
            <w:vAlign w:val="center"/>
          </w:tcPr>
          <w:p w14:paraId="409A47A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三级</w:t>
            </w:r>
          </w:p>
        </w:tc>
        <w:tc>
          <w:tcPr>
            <w:tcW w:w="837" w:type="dxa"/>
            <w:vAlign w:val="center"/>
          </w:tcPr>
          <w:p w14:paraId="34C8CAD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三级</w:t>
            </w:r>
          </w:p>
        </w:tc>
      </w:tr>
      <w:tr w14:paraId="13A7D6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atLeast"/>
          <w:jc w:val="center"/>
        </w:trPr>
        <w:tc>
          <w:tcPr>
            <w:tcW w:w="896" w:type="dxa"/>
            <w:vAlign w:val="center"/>
          </w:tcPr>
          <w:p w14:paraId="407E4FC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较敏感</w:t>
            </w:r>
          </w:p>
        </w:tc>
        <w:tc>
          <w:tcPr>
            <w:tcW w:w="1131" w:type="dxa"/>
            <w:vAlign w:val="center"/>
          </w:tcPr>
          <w:p w14:paraId="7412AEC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一级</w:t>
            </w:r>
          </w:p>
        </w:tc>
        <w:tc>
          <w:tcPr>
            <w:tcW w:w="1192" w:type="dxa"/>
            <w:vAlign w:val="center"/>
          </w:tcPr>
          <w:p w14:paraId="0959E5E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一级</w:t>
            </w:r>
          </w:p>
        </w:tc>
        <w:tc>
          <w:tcPr>
            <w:tcW w:w="838" w:type="dxa"/>
            <w:vAlign w:val="center"/>
          </w:tcPr>
          <w:p w14:paraId="2EBF97C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二级</w:t>
            </w:r>
          </w:p>
        </w:tc>
        <w:tc>
          <w:tcPr>
            <w:tcW w:w="837" w:type="dxa"/>
            <w:vAlign w:val="center"/>
          </w:tcPr>
          <w:p w14:paraId="1F9ED04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二级</w:t>
            </w:r>
          </w:p>
        </w:tc>
        <w:tc>
          <w:tcPr>
            <w:tcW w:w="837" w:type="dxa"/>
            <w:vAlign w:val="center"/>
          </w:tcPr>
          <w:p w14:paraId="2657C22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二级</w:t>
            </w:r>
          </w:p>
        </w:tc>
        <w:tc>
          <w:tcPr>
            <w:tcW w:w="837" w:type="dxa"/>
            <w:vAlign w:val="center"/>
          </w:tcPr>
          <w:p w14:paraId="24A4BD6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wave" w:color="auto"/>
                <w14:textFill>
                  <w14:solidFill>
                    <w14:schemeClr w14:val="tx1"/>
                  </w14:solidFill>
                </w14:textFill>
              </w:rPr>
              <w:t>三级</w:t>
            </w:r>
          </w:p>
        </w:tc>
        <w:tc>
          <w:tcPr>
            <w:tcW w:w="837" w:type="dxa"/>
            <w:vAlign w:val="center"/>
          </w:tcPr>
          <w:p w14:paraId="601332E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三级</w:t>
            </w:r>
          </w:p>
        </w:tc>
        <w:tc>
          <w:tcPr>
            <w:tcW w:w="837" w:type="dxa"/>
            <w:vAlign w:val="center"/>
          </w:tcPr>
          <w:p w14:paraId="4323DF2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三级</w:t>
            </w:r>
          </w:p>
        </w:tc>
        <w:tc>
          <w:tcPr>
            <w:tcW w:w="837" w:type="dxa"/>
            <w:vAlign w:val="center"/>
          </w:tcPr>
          <w:p w14:paraId="058D65D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p>
        </w:tc>
      </w:tr>
      <w:tr w14:paraId="1880E0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atLeast"/>
          <w:jc w:val="center"/>
        </w:trPr>
        <w:tc>
          <w:tcPr>
            <w:tcW w:w="896" w:type="dxa"/>
            <w:vAlign w:val="center"/>
          </w:tcPr>
          <w:p w14:paraId="6A51F1C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不敏感</w:t>
            </w:r>
          </w:p>
        </w:tc>
        <w:tc>
          <w:tcPr>
            <w:tcW w:w="1131" w:type="dxa"/>
            <w:vAlign w:val="center"/>
          </w:tcPr>
          <w:p w14:paraId="1F8DE46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一级</w:t>
            </w:r>
          </w:p>
        </w:tc>
        <w:tc>
          <w:tcPr>
            <w:tcW w:w="1192" w:type="dxa"/>
            <w:vAlign w:val="center"/>
          </w:tcPr>
          <w:p w14:paraId="2CB4BB2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二级</w:t>
            </w:r>
          </w:p>
        </w:tc>
        <w:tc>
          <w:tcPr>
            <w:tcW w:w="838" w:type="dxa"/>
            <w:vAlign w:val="center"/>
          </w:tcPr>
          <w:p w14:paraId="3E694C5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二级</w:t>
            </w:r>
          </w:p>
        </w:tc>
        <w:tc>
          <w:tcPr>
            <w:tcW w:w="837" w:type="dxa"/>
            <w:vAlign w:val="center"/>
          </w:tcPr>
          <w:p w14:paraId="1A6B7E1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二级</w:t>
            </w:r>
          </w:p>
        </w:tc>
        <w:tc>
          <w:tcPr>
            <w:tcW w:w="837" w:type="dxa"/>
            <w:vAlign w:val="center"/>
          </w:tcPr>
          <w:p w14:paraId="1B96090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三级</w:t>
            </w:r>
          </w:p>
        </w:tc>
        <w:tc>
          <w:tcPr>
            <w:tcW w:w="837" w:type="dxa"/>
            <w:vAlign w:val="center"/>
          </w:tcPr>
          <w:p w14:paraId="4537A00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b w:val="0"/>
                <w:bCs w:val="0"/>
                <w:color w:val="000000" w:themeColor="text1"/>
                <w:highlight w:val="none"/>
                <w:u w:val="none" w:color="auto"/>
                <w14:textFill>
                  <w14:solidFill>
                    <w14:schemeClr w14:val="tx1"/>
                  </w14:solidFill>
                </w14:textFill>
              </w:rPr>
              <w:t>三级</w:t>
            </w:r>
          </w:p>
        </w:tc>
        <w:tc>
          <w:tcPr>
            <w:tcW w:w="837" w:type="dxa"/>
            <w:vAlign w:val="center"/>
          </w:tcPr>
          <w:p w14:paraId="243E855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三级</w:t>
            </w:r>
          </w:p>
        </w:tc>
        <w:tc>
          <w:tcPr>
            <w:tcW w:w="837" w:type="dxa"/>
            <w:vAlign w:val="center"/>
          </w:tcPr>
          <w:p w14:paraId="5866370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p>
        </w:tc>
        <w:tc>
          <w:tcPr>
            <w:tcW w:w="837" w:type="dxa"/>
            <w:vAlign w:val="center"/>
          </w:tcPr>
          <w:p w14:paraId="7FEBC81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p>
        </w:tc>
      </w:tr>
      <w:tr w14:paraId="2987EB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9" w:hRule="atLeast"/>
          <w:jc w:val="center"/>
        </w:trPr>
        <w:tc>
          <w:tcPr>
            <w:tcW w:w="9079" w:type="dxa"/>
            <w:gridSpan w:val="10"/>
            <w:vAlign w:val="center"/>
          </w:tcPr>
          <w:p w14:paraId="141E1D7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注：“-”表示可不开展土壤环境影响评价工作</w:t>
            </w:r>
          </w:p>
        </w:tc>
      </w:tr>
    </w:tbl>
    <w:p w14:paraId="12C1C670">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本项目于现状厂址</w:t>
      </w:r>
      <w:r>
        <w:rPr>
          <w:rFonts w:hint="eastAsia" w:cs="Times New Roman"/>
          <w:color w:val="000000" w:themeColor="text1"/>
          <w:highlight w:val="none"/>
          <w:u w:val="wave" w:color="auto"/>
          <w:lang w:val="en-US" w:eastAsia="zh-CN"/>
          <w14:textFill>
            <w14:solidFill>
              <w14:schemeClr w14:val="tx1"/>
            </w14:solidFill>
          </w14:textFill>
        </w:rPr>
        <w:t>及南侧相邻地块进行</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建设</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cs="Times New Roman"/>
          <w:color w:val="000000" w:themeColor="text1"/>
          <w:highlight w:val="none"/>
          <w:u w:val="wave" w:color="auto"/>
          <w:lang w:val="en-US" w:eastAsia="zh-CN"/>
          <w14:textFill>
            <w14:solidFill>
              <w14:schemeClr w14:val="tx1"/>
            </w14:solidFill>
          </w14:textFill>
        </w:rPr>
        <w:t>位于工业园区内，项目不涉及大气沉降，周边无耕地、园地等土壤环境敏感目标，</w:t>
      </w:r>
      <w:r>
        <w:rPr>
          <w:rFonts w:hint="default" w:ascii="Times New Roman" w:hAnsi="Times New Roman" w:cs="Times New Roman"/>
          <w:color w:val="000000" w:themeColor="text1"/>
          <w:highlight w:val="none"/>
          <w:u w:val="wave" w:color="auto"/>
          <w14:textFill>
            <w14:solidFill>
              <w14:schemeClr w14:val="tx1"/>
            </w14:solidFill>
          </w14:textFill>
        </w:rPr>
        <w:t>土壤环境环境敏感程度为</w:t>
      </w:r>
      <w:r>
        <w:rPr>
          <w:rFonts w:hint="eastAsia" w:cs="Times New Roman"/>
          <w:color w:val="000000" w:themeColor="text1"/>
          <w:highlight w:val="none"/>
          <w:u w:val="wave" w:color="auto"/>
          <w:lang w:val="en-US" w:eastAsia="zh-CN"/>
          <w14:textFill>
            <w14:solidFill>
              <w14:schemeClr w14:val="tx1"/>
            </w14:solidFill>
          </w14:textFill>
        </w:rPr>
        <w:t>较</w:t>
      </w:r>
      <w:r>
        <w:rPr>
          <w:rFonts w:hint="default" w:ascii="Times New Roman" w:hAnsi="Times New Roman" w:cs="Times New Roman"/>
          <w:color w:val="000000" w:themeColor="text1"/>
          <w:highlight w:val="none"/>
          <w:u w:val="wave" w:color="auto"/>
          <w14:textFill>
            <w14:solidFill>
              <w14:schemeClr w14:val="tx1"/>
            </w14:solidFill>
          </w14:textFill>
        </w:rPr>
        <w:t>敏感</w:t>
      </w:r>
      <w:r>
        <w:rPr>
          <w:rFonts w:hint="default" w:ascii="Times New Roman" w:hAnsi="Times New Roman" w:cs="Times New Roman"/>
          <w:color w:val="000000" w:themeColor="text1"/>
          <w:highlight w:val="none"/>
          <w:u w:val="none" w:color="auto"/>
          <w14:textFill>
            <w14:solidFill>
              <w14:schemeClr w14:val="tx1"/>
            </w14:solidFill>
          </w14:textFill>
        </w:rPr>
        <w:t>，污水处理工程属于《环境影响评价技术导则土壤环境（试行）》（HJ 964-2018）附录A中</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电力热力燃气及水生产和供应业</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中“工业废水处理”，为</w:t>
      </w:r>
      <w:r>
        <w:rPr>
          <w:rFonts w:hint="default" w:ascii="Times New Roman" w:hAnsi="Times New Roman" w:eastAsia="宋体" w:cs="Times New Roman"/>
          <w:color w:val="000000" w:themeColor="text1"/>
          <w:highlight w:val="none"/>
          <w:u w:val="none" w:color="auto"/>
          <w14:textFill>
            <w14:solidFill>
              <w14:schemeClr w14:val="tx1"/>
            </w14:solidFill>
          </w14:textFill>
        </w:rPr>
        <w:t>Ⅱ</w:t>
      </w:r>
      <w:r>
        <w:rPr>
          <w:rFonts w:hint="default" w:ascii="Times New Roman" w:hAnsi="Times New Roman" w:cs="Times New Roman"/>
          <w:color w:val="000000" w:themeColor="text1"/>
          <w:highlight w:val="none"/>
          <w:u w:val="none" w:color="auto"/>
          <w14:textFill>
            <w14:solidFill>
              <w14:schemeClr w14:val="tx1"/>
            </w14:solidFill>
          </w14:textFill>
        </w:rPr>
        <w:t>类项目，污染影响型土壤评价工作等级为三级。</w:t>
      </w:r>
    </w:p>
    <w:p w14:paraId="06FE11E2">
      <w:pPr>
        <w:pStyle w:val="4"/>
        <w:numPr>
          <w:ilvl w:val="2"/>
          <w:numId w:val="0"/>
        </w:numPr>
        <w:ind w:leftChars="0"/>
        <w:rPr>
          <w:rFonts w:hint="default" w:ascii="Times New Roman" w:hAnsi="Times New Roman" w:cs="Times New Roman"/>
          <w:color w:val="auto"/>
          <w:highlight w:val="none"/>
          <w:u w:val="none" w:color="auto"/>
        </w:rPr>
      </w:pPr>
      <w:bookmarkStart w:id="41" w:name="_Toc195"/>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2.4.7 </w:t>
      </w:r>
      <w:r>
        <w:rPr>
          <w:rFonts w:hint="default" w:ascii="Times New Roman" w:hAnsi="Times New Roman" w:cs="Times New Roman"/>
          <w:color w:val="000000" w:themeColor="text1"/>
          <w:highlight w:val="none"/>
          <w:u w:val="none" w:color="auto"/>
          <w14:textFill>
            <w14:solidFill>
              <w14:schemeClr w14:val="tx1"/>
            </w14:solidFill>
          </w14:textFill>
        </w:rPr>
        <w:t>环境风险评价等级</w:t>
      </w:r>
      <w:bookmarkEnd w:id="41"/>
    </w:p>
    <w:bookmarkEnd w:id="36"/>
    <w:bookmarkEnd w:id="37"/>
    <w:bookmarkEnd w:id="38"/>
    <w:p w14:paraId="273962BC">
      <w:pPr>
        <w:pStyle w:val="189"/>
        <w:rPr>
          <w:rFonts w:hint="default" w:ascii="Times New Roman" w:hAnsi="Times New Roman" w:cs="Times New Roman"/>
          <w:color w:val="FF0000"/>
          <w:highlight w:val="none"/>
          <w:u w:val="none" w:color="auto"/>
        </w:rPr>
      </w:pPr>
      <w:bookmarkStart w:id="42" w:name="_Toc14946_WPSOffice_Level2"/>
      <w:bookmarkStart w:id="43" w:name="_Toc21463_WPSOffice_Level2"/>
      <w:bookmarkStart w:id="44" w:name="_Toc11928_WPSOffice_Level2"/>
      <w:r>
        <w:rPr>
          <w:rFonts w:hint="default" w:ascii="Times New Roman" w:hAnsi="Times New Roman" w:cs="Times New Roman"/>
          <w:color w:val="auto"/>
          <w:highlight w:val="none"/>
          <w:u w:val="none" w:color="auto"/>
        </w:rPr>
        <w:t>根据《建设项目环境风险评价技术导则》（HJ/T169-2018），环境风险评价工作等级根据建设项目涉及的物质及工艺系统危险性和所在地的环境敏感性确定环境风险潜势；本项目Q值=0.</w:t>
      </w:r>
      <w:r>
        <w:rPr>
          <w:rFonts w:hint="default" w:ascii="Times New Roman" w:hAnsi="Times New Roman" w:cs="Times New Roman"/>
          <w:color w:val="auto"/>
          <w:highlight w:val="none"/>
          <w:u w:val="none" w:color="auto"/>
          <w:lang w:val="en-US" w:eastAsia="zh-CN"/>
        </w:rPr>
        <w:t>1388</w:t>
      </w:r>
      <w:r>
        <w:rPr>
          <w:rFonts w:hint="default" w:ascii="Times New Roman" w:hAnsi="Times New Roman" w:cs="Times New Roman"/>
          <w:color w:val="auto"/>
          <w:highlight w:val="none"/>
          <w:u w:val="none" w:color="auto"/>
        </w:rPr>
        <w:t>，属于Q＜1范围，项目环境风险潜势为I。根据风险潜势判定环境风险评价工作等级，由下表可知，本项目环境风险评价等级为简单分析。</w:t>
      </w:r>
    </w:p>
    <w:p w14:paraId="11953A19">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9</w:t>
      </w:r>
      <w:r>
        <w:rPr>
          <w:rFonts w:hint="default" w:ascii="Times New Roman" w:hAnsi="Times New Roman" w:cs="Times New Roman"/>
          <w:color w:val="auto"/>
          <w:highlight w:val="none"/>
          <w:u w:val="none" w:color="auto"/>
        </w:rPr>
        <w:t xml:space="preserve">  环境风险评价等级</w:t>
      </w:r>
    </w:p>
    <w:tbl>
      <w:tblPr>
        <w:tblStyle w:val="76"/>
        <w:tblW w:w="503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625"/>
        <w:gridCol w:w="1169"/>
        <w:gridCol w:w="2230"/>
        <w:gridCol w:w="1566"/>
        <w:gridCol w:w="1568"/>
      </w:tblGrid>
      <w:tr w14:paraId="1E6BD8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2609" w:type="dxa"/>
            <w:vAlign w:val="center"/>
          </w:tcPr>
          <w:p w14:paraId="7A3079C8">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环境风险潜势</w:t>
            </w:r>
          </w:p>
        </w:tc>
        <w:tc>
          <w:tcPr>
            <w:tcW w:w="1161" w:type="dxa"/>
            <w:vAlign w:val="center"/>
          </w:tcPr>
          <w:p w14:paraId="3D159C49">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lang w:eastAsia="zh-CN"/>
              </w:rPr>
              <w:t>Ⅲ</w:t>
            </w:r>
            <w:r>
              <w:rPr>
                <w:rFonts w:hint="default" w:ascii="Times New Roman" w:hAnsi="Times New Roman" w:cs="Times New Roman"/>
                <w:b/>
                <w:color w:val="auto"/>
                <w:highlight w:val="none"/>
                <w:u w:val="none" w:color="auto"/>
              </w:rPr>
              <w:t>、</w:t>
            </w:r>
            <w:r>
              <w:rPr>
                <w:rFonts w:hint="default" w:ascii="Times New Roman" w:hAnsi="Times New Roman" w:cs="Times New Roman"/>
                <w:b/>
                <w:color w:val="auto"/>
                <w:highlight w:val="none"/>
                <w:u w:val="none" w:color="auto"/>
                <w:lang w:eastAsia="zh-CN"/>
              </w:rPr>
              <w:t>Ⅲ</w:t>
            </w:r>
            <w:r>
              <w:rPr>
                <w:rFonts w:hint="default" w:ascii="Times New Roman" w:hAnsi="Times New Roman" w:cs="Times New Roman"/>
                <w:b/>
                <w:color w:val="auto"/>
                <w:highlight w:val="none"/>
                <w:u w:val="none" w:color="auto"/>
              </w:rPr>
              <w:t>+</w:t>
            </w:r>
          </w:p>
        </w:tc>
        <w:tc>
          <w:tcPr>
            <w:tcW w:w="2216" w:type="dxa"/>
            <w:vAlign w:val="center"/>
          </w:tcPr>
          <w:p w14:paraId="5F9B840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Ⅲ</w:t>
            </w:r>
          </w:p>
        </w:tc>
        <w:tc>
          <w:tcPr>
            <w:tcW w:w="1556" w:type="dxa"/>
            <w:vAlign w:val="center"/>
          </w:tcPr>
          <w:p w14:paraId="4EF53888">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Ⅱ</w:t>
            </w:r>
          </w:p>
        </w:tc>
        <w:tc>
          <w:tcPr>
            <w:tcW w:w="1558" w:type="dxa"/>
          </w:tcPr>
          <w:p w14:paraId="22ADA7CE">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I</w:t>
            </w:r>
          </w:p>
        </w:tc>
      </w:tr>
      <w:tr w14:paraId="1D9015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09" w:type="dxa"/>
            <w:vAlign w:val="center"/>
          </w:tcPr>
          <w:p w14:paraId="2651602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评价工作等级</w:t>
            </w:r>
          </w:p>
        </w:tc>
        <w:tc>
          <w:tcPr>
            <w:tcW w:w="1161" w:type="dxa"/>
            <w:vAlign w:val="center"/>
          </w:tcPr>
          <w:p w14:paraId="564684F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w:t>
            </w:r>
          </w:p>
        </w:tc>
        <w:tc>
          <w:tcPr>
            <w:tcW w:w="2216" w:type="dxa"/>
            <w:vAlign w:val="center"/>
          </w:tcPr>
          <w:p w14:paraId="090352F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w:t>
            </w:r>
          </w:p>
        </w:tc>
        <w:tc>
          <w:tcPr>
            <w:tcW w:w="1556" w:type="dxa"/>
            <w:vAlign w:val="center"/>
          </w:tcPr>
          <w:p w14:paraId="4818373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三</w:t>
            </w:r>
          </w:p>
        </w:tc>
        <w:tc>
          <w:tcPr>
            <w:tcW w:w="1558" w:type="dxa"/>
          </w:tcPr>
          <w:p w14:paraId="12266C9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简单分析a</w:t>
            </w:r>
          </w:p>
        </w:tc>
      </w:tr>
      <w:tr w14:paraId="626785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100" w:type="dxa"/>
            <w:gridSpan w:val="5"/>
            <w:vAlign w:val="center"/>
          </w:tcPr>
          <w:p w14:paraId="47AB54CB">
            <w:pPr>
              <w:pStyle w:val="192"/>
              <w:keepNext w:val="0"/>
              <w:keepLines w:val="0"/>
              <w:suppressLineNumbers w:val="0"/>
              <w:spacing w:before="0" w:beforeAutospacing="0" w:after="0" w:afterAutospacing="0"/>
              <w:ind w:left="0" w:right="0"/>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a  是相对于详细评价工作内容而言，在描述危险物质、环境影响途径、环境危害后果、风险防范措施等方面给出定性的说明。</w:t>
            </w:r>
          </w:p>
        </w:tc>
      </w:tr>
    </w:tbl>
    <w:p w14:paraId="31E53C5D">
      <w:pPr>
        <w:pStyle w:val="4"/>
        <w:numPr>
          <w:ilvl w:val="2"/>
          <w:numId w:val="0"/>
        </w:numPr>
        <w:ind w:leftChars="0"/>
        <w:rPr>
          <w:rFonts w:hint="default" w:ascii="Times New Roman" w:hAnsi="Times New Roman" w:cs="Times New Roman"/>
          <w:color w:val="auto"/>
          <w:highlight w:val="none"/>
          <w:u w:val="none" w:color="auto"/>
        </w:rPr>
      </w:pPr>
      <w:bookmarkStart w:id="45" w:name="_Toc30084"/>
      <w:r>
        <w:rPr>
          <w:rFonts w:hint="default" w:ascii="Times New Roman" w:hAnsi="Times New Roman" w:cs="Times New Roman"/>
          <w:color w:val="auto"/>
          <w:highlight w:val="none"/>
          <w:u w:val="none" w:color="auto"/>
          <w:lang w:val="en-US" w:eastAsia="zh-CN"/>
        </w:rPr>
        <w:t xml:space="preserve">2.4.8 </w:t>
      </w:r>
      <w:r>
        <w:rPr>
          <w:rFonts w:hint="default" w:ascii="Times New Roman" w:hAnsi="Times New Roman" w:cs="Times New Roman"/>
          <w:color w:val="auto"/>
          <w:highlight w:val="none"/>
          <w:u w:val="none" w:color="auto"/>
        </w:rPr>
        <w:t>评价范围</w:t>
      </w:r>
      <w:bookmarkEnd w:id="45"/>
    </w:p>
    <w:p w14:paraId="7998D74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本项目评价工作等级与范围见下表。</w:t>
      </w:r>
    </w:p>
    <w:p w14:paraId="0DA5A7DB">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10</w:t>
      </w:r>
      <w:r>
        <w:rPr>
          <w:rFonts w:hint="default" w:ascii="Times New Roman" w:hAnsi="Times New Roman" w:cs="Times New Roman"/>
          <w:color w:val="auto"/>
          <w:highlight w:val="none"/>
          <w:u w:val="none" w:color="auto"/>
        </w:rPr>
        <w:t xml:space="preserve">  评价工作等级与范围汇总表</w:t>
      </w:r>
    </w:p>
    <w:tbl>
      <w:tblPr>
        <w:tblStyle w:val="76"/>
        <w:tblW w:w="907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209"/>
        <w:gridCol w:w="1687"/>
        <w:gridCol w:w="4935"/>
        <w:gridCol w:w="1247"/>
      </w:tblGrid>
      <w:tr w14:paraId="6CC126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6" w:hRule="atLeast"/>
          <w:jc w:val="center"/>
        </w:trPr>
        <w:tc>
          <w:tcPr>
            <w:tcW w:w="1209" w:type="dxa"/>
            <w:shd w:val="clear" w:color="auto" w:fill="auto"/>
            <w:vAlign w:val="center"/>
          </w:tcPr>
          <w:p w14:paraId="7D94603D">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bookmarkStart w:id="46" w:name="1.6评价范围"/>
            <w:bookmarkEnd w:id="46"/>
            <w:bookmarkStart w:id="47" w:name="bookmark0"/>
            <w:bookmarkEnd w:id="47"/>
            <w:r>
              <w:rPr>
                <w:rFonts w:hint="default" w:ascii="Times New Roman" w:hAnsi="Times New Roman" w:cs="Times New Roman"/>
                <w:b/>
                <w:color w:val="auto"/>
                <w:highlight w:val="none"/>
                <w:u w:val="none" w:color="auto"/>
              </w:rPr>
              <w:t>环</w:t>
            </w:r>
            <w:r>
              <w:rPr>
                <w:rFonts w:hint="default" w:ascii="Times New Roman" w:hAnsi="Times New Roman" w:cs="Times New Roman"/>
                <w:b/>
                <w:color w:val="auto"/>
                <w:spacing w:val="2"/>
                <w:highlight w:val="none"/>
                <w:u w:val="none" w:color="auto"/>
              </w:rPr>
              <w:t>境</w:t>
            </w:r>
            <w:r>
              <w:rPr>
                <w:rFonts w:hint="default" w:ascii="Times New Roman" w:hAnsi="Times New Roman" w:cs="Times New Roman"/>
                <w:b/>
                <w:color w:val="auto"/>
                <w:highlight w:val="none"/>
                <w:u w:val="none" w:color="auto"/>
              </w:rPr>
              <w:t>要素</w:t>
            </w:r>
          </w:p>
        </w:tc>
        <w:tc>
          <w:tcPr>
            <w:tcW w:w="1687" w:type="dxa"/>
            <w:shd w:val="clear" w:color="auto" w:fill="auto"/>
            <w:vAlign w:val="center"/>
          </w:tcPr>
          <w:p w14:paraId="12543AEB">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评</w:t>
            </w:r>
            <w:r>
              <w:rPr>
                <w:rFonts w:hint="default" w:ascii="Times New Roman" w:hAnsi="Times New Roman" w:cs="Times New Roman"/>
                <w:b/>
                <w:color w:val="auto"/>
                <w:spacing w:val="2"/>
                <w:highlight w:val="none"/>
                <w:u w:val="none" w:color="auto"/>
              </w:rPr>
              <w:t>价</w:t>
            </w:r>
            <w:r>
              <w:rPr>
                <w:rFonts w:hint="default" w:ascii="Times New Roman" w:hAnsi="Times New Roman" w:cs="Times New Roman"/>
                <w:b/>
                <w:color w:val="auto"/>
                <w:highlight w:val="none"/>
                <w:u w:val="none" w:color="auto"/>
              </w:rPr>
              <w:t>等级</w:t>
            </w:r>
          </w:p>
        </w:tc>
        <w:tc>
          <w:tcPr>
            <w:tcW w:w="4935" w:type="dxa"/>
            <w:shd w:val="clear" w:color="auto" w:fill="auto"/>
            <w:vAlign w:val="center"/>
          </w:tcPr>
          <w:p w14:paraId="4953FE30">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评</w:t>
            </w:r>
            <w:r>
              <w:rPr>
                <w:rFonts w:hint="default" w:ascii="Times New Roman" w:hAnsi="Times New Roman" w:cs="Times New Roman"/>
                <w:b/>
                <w:color w:val="auto"/>
                <w:spacing w:val="2"/>
                <w:highlight w:val="none"/>
                <w:u w:val="none" w:color="auto"/>
              </w:rPr>
              <w:t>价</w:t>
            </w:r>
            <w:r>
              <w:rPr>
                <w:rFonts w:hint="default" w:ascii="Times New Roman" w:hAnsi="Times New Roman" w:cs="Times New Roman"/>
                <w:b/>
                <w:color w:val="auto"/>
                <w:highlight w:val="none"/>
                <w:u w:val="none" w:color="auto"/>
              </w:rPr>
              <w:t>范围</w:t>
            </w:r>
          </w:p>
        </w:tc>
        <w:tc>
          <w:tcPr>
            <w:tcW w:w="1247" w:type="dxa"/>
            <w:shd w:val="clear" w:color="auto" w:fill="auto"/>
            <w:vAlign w:val="center"/>
          </w:tcPr>
          <w:p w14:paraId="1A32EAE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判据</w:t>
            </w:r>
          </w:p>
        </w:tc>
      </w:tr>
      <w:tr w14:paraId="622713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9" w:hRule="atLeast"/>
          <w:jc w:val="center"/>
        </w:trPr>
        <w:tc>
          <w:tcPr>
            <w:tcW w:w="1209" w:type="dxa"/>
            <w:shd w:val="clear" w:color="auto" w:fill="auto"/>
            <w:vAlign w:val="center"/>
          </w:tcPr>
          <w:p w14:paraId="58CAA83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大</w:t>
            </w:r>
            <w:r>
              <w:rPr>
                <w:rFonts w:hint="default" w:ascii="Times New Roman" w:hAnsi="Times New Roman" w:cs="Times New Roman"/>
                <w:color w:val="000000" w:themeColor="text1"/>
                <w:spacing w:val="2"/>
                <w:highlight w:val="none"/>
                <w:u w:val="none" w:color="auto"/>
                <w14:textFill>
                  <w14:solidFill>
                    <w14:schemeClr w14:val="tx1"/>
                  </w14:solidFill>
                </w14:textFill>
              </w:rPr>
              <w:t>气</w:t>
            </w:r>
            <w:r>
              <w:rPr>
                <w:rFonts w:hint="default" w:ascii="Times New Roman" w:hAnsi="Times New Roman" w:cs="Times New Roman"/>
                <w:color w:val="000000" w:themeColor="text1"/>
                <w:highlight w:val="none"/>
                <w:u w:val="none" w:color="auto"/>
                <w14:textFill>
                  <w14:solidFill>
                    <w14:schemeClr w14:val="tx1"/>
                  </w14:solidFill>
                </w14:textFill>
              </w:rPr>
              <w:t>环境</w:t>
            </w:r>
          </w:p>
        </w:tc>
        <w:tc>
          <w:tcPr>
            <w:tcW w:w="1687" w:type="dxa"/>
            <w:shd w:val="clear" w:color="auto" w:fill="auto"/>
            <w:vAlign w:val="center"/>
          </w:tcPr>
          <w:p w14:paraId="3FCD10F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pacing w:val="2"/>
                <w:highlight w:val="none"/>
                <w:u w:val="none" w:color="auto"/>
                <w14:textFill>
                  <w14:solidFill>
                    <w14:schemeClr w14:val="tx1"/>
                  </w14:solidFill>
                </w14:textFill>
              </w:rPr>
              <w:t>二</w:t>
            </w:r>
            <w:r>
              <w:rPr>
                <w:rFonts w:hint="default" w:ascii="Times New Roman" w:hAnsi="Times New Roman" w:cs="Times New Roman"/>
                <w:color w:val="000000" w:themeColor="text1"/>
                <w:highlight w:val="none"/>
                <w:u w:val="none" w:color="auto"/>
                <w14:textFill>
                  <w14:solidFill>
                    <w14:schemeClr w14:val="tx1"/>
                  </w14:solidFill>
                </w14:textFill>
              </w:rPr>
              <w:t>级</w:t>
            </w:r>
          </w:p>
        </w:tc>
        <w:tc>
          <w:tcPr>
            <w:tcW w:w="4935" w:type="dxa"/>
            <w:shd w:val="clear" w:color="auto" w:fill="auto"/>
            <w:vAlign w:val="center"/>
          </w:tcPr>
          <w:p w14:paraId="7F6476A7">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以</w:t>
            </w:r>
            <w:r>
              <w:rPr>
                <w:rFonts w:hint="default" w:ascii="Times New Roman" w:hAnsi="Times New Roman" w:cs="Times New Roman"/>
                <w:color w:val="000000" w:themeColor="text1"/>
                <w:spacing w:val="2"/>
                <w:highlight w:val="none"/>
                <w:u w:val="none" w:color="auto"/>
                <w14:textFill>
                  <w14:solidFill>
                    <w14:schemeClr w14:val="tx1"/>
                  </w14:solidFill>
                </w14:textFill>
              </w:rPr>
              <w:t>项</w:t>
            </w:r>
            <w:r>
              <w:rPr>
                <w:rFonts w:hint="default" w:ascii="Times New Roman" w:hAnsi="Times New Roman" w:cs="Times New Roman"/>
                <w:color w:val="000000" w:themeColor="text1"/>
                <w:highlight w:val="none"/>
                <w:u w:val="none" w:color="auto"/>
                <w14:textFill>
                  <w14:solidFill>
                    <w14:schemeClr w14:val="tx1"/>
                  </w14:solidFill>
                </w14:textFill>
              </w:rPr>
              <w:t>目厂</w:t>
            </w:r>
            <w:r>
              <w:rPr>
                <w:rFonts w:hint="default" w:ascii="Times New Roman" w:hAnsi="Times New Roman" w:cs="Times New Roman"/>
                <w:color w:val="000000" w:themeColor="text1"/>
                <w:spacing w:val="2"/>
                <w:highlight w:val="none"/>
                <w:u w:val="none" w:color="auto"/>
                <w14:textFill>
                  <w14:solidFill>
                    <w14:schemeClr w14:val="tx1"/>
                  </w14:solidFill>
                </w14:textFill>
              </w:rPr>
              <w:t>址为</w:t>
            </w:r>
            <w:r>
              <w:rPr>
                <w:rFonts w:hint="default" w:ascii="Times New Roman" w:hAnsi="Times New Roman" w:cs="Times New Roman"/>
                <w:color w:val="000000" w:themeColor="text1"/>
                <w:highlight w:val="none"/>
                <w:u w:val="none" w:color="auto"/>
                <w14:textFill>
                  <w14:solidFill>
                    <w14:schemeClr w14:val="tx1"/>
                  </w14:solidFill>
                </w14:textFill>
              </w:rPr>
              <w:t>中</w:t>
            </w:r>
            <w:r>
              <w:rPr>
                <w:rFonts w:hint="default" w:ascii="Times New Roman" w:hAnsi="Times New Roman" w:cs="Times New Roman"/>
                <w:color w:val="000000" w:themeColor="text1"/>
                <w:spacing w:val="2"/>
                <w:highlight w:val="none"/>
                <w:u w:val="none" w:color="auto"/>
                <w14:textFill>
                  <w14:solidFill>
                    <w14:schemeClr w14:val="tx1"/>
                  </w14:solidFill>
                </w14:textFill>
              </w:rPr>
              <w:t>心</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spacing w:val="2"/>
                <w:highlight w:val="none"/>
                <w:u w:val="none" w:color="auto"/>
                <w14:textFill>
                  <w14:solidFill>
                    <w14:schemeClr w14:val="tx1"/>
                  </w14:solidFill>
                </w14:textFill>
              </w:rPr>
              <w:t>边</w:t>
            </w:r>
            <w:r>
              <w:rPr>
                <w:rFonts w:hint="default" w:ascii="Times New Roman" w:hAnsi="Times New Roman" w:cs="Times New Roman"/>
                <w:color w:val="000000" w:themeColor="text1"/>
                <w:highlight w:val="none"/>
                <w:u w:val="none" w:color="auto"/>
                <w14:textFill>
                  <w14:solidFill>
                    <w14:schemeClr w14:val="tx1"/>
                  </w14:solidFill>
                </w14:textFill>
              </w:rPr>
              <w:t>长</w:t>
            </w:r>
            <w:r>
              <w:rPr>
                <w:rFonts w:hint="default" w:ascii="Times New Roman" w:hAnsi="Times New Roman" w:cs="Times New Roman"/>
                <w:color w:val="000000" w:themeColor="text1"/>
                <w:spacing w:val="1"/>
                <w:highlight w:val="none"/>
                <w:u w:val="none" w:color="auto"/>
                <w14:textFill>
                  <w14:solidFill>
                    <w14:schemeClr w14:val="tx1"/>
                  </w14:solidFill>
                </w14:textFill>
              </w:rPr>
              <w:t>5</w:t>
            </w:r>
            <w:r>
              <w:rPr>
                <w:rFonts w:hint="default" w:ascii="Times New Roman" w:hAnsi="Times New Roman" w:cs="Times New Roman"/>
                <w:color w:val="000000" w:themeColor="text1"/>
                <w:spacing w:val="-2"/>
                <w:highlight w:val="none"/>
                <w:u w:val="none" w:color="auto"/>
                <w14:textFill>
                  <w14:solidFill>
                    <w14:schemeClr w14:val="tx1"/>
                  </w14:solidFill>
                </w14:textFill>
              </w:rPr>
              <w:t>k</w:t>
            </w:r>
            <w:r>
              <w:rPr>
                <w:rFonts w:hint="default" w:ascii="Times New Roman" w:hAnsi="Times New Roman" w:cs="Times New Roman"/>
                <w:color w:val="000000" w:themeColor="text1"/>
                <w:spacing w:val="3"/>
                <w:highlight w:val="none"/>
                <w:u w:val="none" w:color="auto"/>
                <w14:textFill>
                  <w14:solidFill>
                    <w14:schemeClr w14:val="tx1"/>
                  </w14:solidFill>
                </w14:textFill>
              </w:rPr>
              <w:t>m</w:t>
            </w:r>
            <w:r>
              <w:rPr>
                <w:rFonts w:hint="default" w:ascii="Times New Roman" w:hAnsi="Times New Roman" w:cs="Times New Roman"/>
                <w:color w:val="000000" w:themeColor="text1"/>
                <w:highlight w:val="none"/>
                <w:u w:val="none" w:color="auto"/>
                <w14:textFill>
                  <w14:solidFill>
                    <w14:schemeClr w14:val="tx1"/>
                  </w14:solidFill>
                </w14:textFill>
              </w:rPr>
              <w:t>的</w:t>
            </w:r>
            <w:r>
              <w:rPr>
                <w:rFonts w:hint="default" w:ascii="Times New Roman" w:hAnsi="Times New Roman" w:cs="Times New Roman"/>
                <w:color w:val="000000" w:themeColor="text1"/>
                <w:spacing w:val="2"/>
                <w:highlight w:val="none"/>
                <w:u w:val="none" w:color="auto"/>
                <w14:textFill>
                  <w14:solidFill>
                    <w14:schemeClr w14:val="tx1"/>
                  </w14:solidFill>
                </w14:textFill>
              </w:rPr>
              <w:t>矩</w:t>
            </w:r>
            <w:r>
              <w:rPr>
                <w:rFonts w:hint="default" w:ascii="Times New Roman" w:hAnsi="Times New Roman" w:cs="Times New Roman"/>
                <w:color w:val="000000" w:themeColor="text1"/>
                <w:highlight w:val="none"/>
                <w:u w:val="none" w:color="auto"/>
                <w14:textFill>
                  <w14:solidFill>
                    <w14:schemeClr w14:val="tx1"/>
                  </w14:solidFill>
                </w14:textFill>
              </w:rPr>
              <w:t>形</w:t>
            </w:r>
            <w:r>
              <w:rPr>
                <w:rFonts w:hint="default" w:ascii="Times New Roman" w:hAnsi="Times New Roman" w:cs="Times New Roman"/>
                <w:color w:val="000000" w:themeColor="text1"/>
                <w:spacing w:val="2"/>
                <w:highlight w:val="none"/>
                <w:u w:val="none" w:color="auto"/>
                <w14:textFill>
                  <w14:solidFill>
                    <w14:schemeClr w14:val="tx1"/>
                  </w14:solidFill>
                </w14:textFill>
              </w:rPr>
              <w:t>区</w:t>
            </w:r>
            <w:r>
              <w:rPr>
                <w:rFonts w:hint="default" w:ascii="Times New Roman" w:hAnsi="Times New Roman" w:cs="Times New Roman"/>
                <w:color w:val="000000" w:themeColor="text1"/>
                <w:highlight w:val="none"/>
                <w:u w:val="none" w:color="auto"/>
                <w14:textFill>
                  <w14:solidFill>
                    <w14:schemeClr w14:val="tx1"/>
                  </w14:solidFill>
                </w14:textFill>
              </w:rPr>
              <w:t>域。</w:t>
            </w:r>
          </w:p>
        </w:tc>
        <w:tc>
          <w:tcPr>
            <w:tcW w:w="1247" w:type="dxa"/>
            <w:shd w:val="clear" w:color="auto" w:fill="auto"/>
            <w:vAlign w:val="center"/>
          </w:tcPr>
          <w:p w14:paraId="1E44EA4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HJ</w:t>
            </w:r>
            <w:r>
              <w:rPr>
                <w:rFonts w:hint="default" w:ascii="Times New Roman" w:hAnsi="Times New Roman" w:cs="Times New Roman"/>
                <w:color w:val="000000" w:themeColor="text1"/>
                <w:spacing w:val="1"/>
                <w:highlight w:val="none"/>
                <w:u w:val="none" w:color="auto"/>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spacing w:val="1"/>
                <w:highlight w:val="none"/>
                <w:u w:val="none" w:color="auto"/>
                <w14:textFill>
                  <w14:solidFill>
                    <w14:schemeClr w14:val="tx1"/>
                  </w14:solidFill>
                </w14:textFill>
              </w:rPr>
              <w:t>2</w:t>
            </w:r>
            <w:r>
              <w:rPr>
                <w:rFonts w:hint="default" w:ascii="Times New Roman" w:hAnsi="Times New Roman" w:cs="Times New Roman"/>
                <w:color w:val="000000" w:themeColor="text1"/>
                <w:spacing w:val="-3"/>
                <w:highlight w:val="none"/>
                <w:u w:val="none" w:color="auto"/>
                <w14:textFill>
                  <w14:solidFill>
                    <w14:schemeClr w14:val="tx1"/>
                  </w14:solidFill>
                </w14:textFill>
              </w:rPr>
              <w:t>-</w:t>
            </w:r>
            <w:r>
              <w:rPr>
                <w:rFonts w:hint="default" w:ascii="Times New Roman" w:hAnsi="Times New Roman" w:cs="Times New Roman"/>
                <w:color w:val="000000" w:themeColor="text1"/>
                <w:spacing w:val="1"/>
                <w:highlight w:val="none"/>
                <w:u w:val="none" w:color="auto"/>
                <w14:textFill>
                  <w14:solidFill>
                    <w14:schemeClr w14:val="tx1"/>
                  </w14:solidFill>
                </w14:textFill>
              </w:rPr>
              <w:t>201</w:t>
            </w:r>
            <w:r>
              <w:rPr>
                <w:rFonts w:hint="default" w:ascii="Times New Roman" w:hAnsi="Times New Roman" w:cs="Times New Roman"/>
                <w:color w:val="000000" w:themeColor="text1"/>
                <w:highlight w:val="none"/>
                <w:u w:val="none" w:color="auto"/>
                <w14:textFill>
                  <w14:solidFill>
                    <w14:schemeClr w14:val="tx1"/>
                  </w14:solidFill>
                </w14:textFill>
              </w:rPr>
              <w:t>8</w:t>
            </w:r>
          </w:p>
        </w:tc>
      </w:tr>
      <w:tr w14:paraId="54B1C3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9" w:hRule="atLeast"/>
          <w:jc w:val="center"/>
        </w:trPr>
        <w:tc>
          <w:tcPr>
            <w:tcW w:w="1209" w:type="dxa"/>
            <w:shd w:val="clear" w:color="auto" w:fill="auto"/>
            <w:vAlign w:val="center"/>
          </w:tcPr>
          <w:p w14:paraId="27327297">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地</w:t>
            </w:r>
            <w:r>
              <w:rPr>
                <w:rFonts w:hint="default" w:ascii="Times New Roman" w:hAnsi="Times New Roman" w:cs="Times New Roman"/>
                <w:color w:val="000000" w:themeColor="text1"/>
                <w:spacing w:val="2"/>
                <w:highlight w:val="none"/>
                <w:u w:val="wave" w:color="auto"/>
                <w14:textFill>
                  <w14:solidFill>
                    <w14:schemeClr w14:val="tx1"/>
                  </w14:solidFill>
                </w14:textFill>
              </w:rPr>
              <w:t>表</w:t>
            </w:r>
            <w:r>
              <w:rPr>
                <w:rFonts w:hint="default" w:ascii="Times New Roman" w:hAnsi="Times New Roman" w:cs="Times New Roman"/>
                <w:color w:val="000000" w:themeColor="text1"/>
                <w:highlight w:val="none"/>
                <w:u w:val="wave" w:color="auto"/>
                <w14:textFill>
                  <w14:solidFill>
                    <w14:schemeClr w14:val="tx1"/>
                  </w14:solidFill>
                </w14:textFill>
              </w:rPr>
              <w:t>水</w:t>
            </w:r>
            <w:r>
              <w:rPr>
                <w:rFonts w:hint="default" w:ascii="Times New Roman" w:hAnsi="Times New Roman" w:cs="Times New Roman"/>
                <w:color w:val="000000" w:themeColor="text1"/>
                <w:spacing w:val="2"/>
                <w:highlight w:val="none"/>
                <w:u w:val="wave" w:color="auto"/>
                <w14:textFill>
                  <w14:solidFill>
                    <w14:schemeClr w14:val="tx1"/>
                  </w14:solidFill>
                </w14:textFill>
              </w:rPr>
              <w:t>环</w:t>
            </w:r>
            <w:r>
              <w:rPr>
                <w:rFonts w:hint="default" w:ascii="Times New Roman" w:hAnsi="Times New Roman" w:cs="Times New Roman"/>
                <w:color w:val="000000" w:themeColor="text1"/>
                <w:highlight w:val="none"/>
                <w:u w:val="wave" w:color="auto"/>
                <w14:textFill>
                  <w14:solidFill>
                    <w14:schemeClr w14:val="tx1"/>
                  </w14:solidFill>
                </w14:textFill>
              </w:rPr>
              <w:t>境</w:t>
            </w:r>
          </w:p>
        </w:tc>
        <w:tc>
          <w:tcPr>
            <w:tcW w:w="1687" w:type="dxa"/>
            <w:shd w:val="clear" w:color="auto" w:fill="auto"/>
            <w:vAlign w:val="center"/>
          </w:tcPr>
          <w:p w14:paraId="5FDA6554">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二级</w:t>
            </w:r>
          </w:p>
        </w:tc>
        <w:tc>
          <w:tcPr>
            <w:tcW w:w="4935" w:type="dxa"/>
            <w:shd w:val="clear" w:color="auto" w:fill="auto"/>
            <w:vAlign w:val="center"/>
          </w:tcPr>
          <w:p w14:paraId="02FDAE56">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机排二十渠2.</w:t>
            </w:r>
            <w:r>
              <w:rPr>
                <w:rFonts w:hint="eastAsia" w:cs="Times New Roman"/>
                <w:color w:val="000000" w:themeColor="text1"/>
                <w:highlight w:val="none"/>
                <w:u w:val="wav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km；</w:t>
            </w:r>
            <w:r>
              <w:rPr>
                <w:rFonts w:hint="default" w:ascii="Times New Roman" w:hAnsi="Times New Roman" w:eastAsia="宋体" w:cs="Times New Roman"/>
                <w:color w:val="000000" w:themeColor="text1"/>
                <w:highlight w:val="none"/>
                <w:u w:val="wave" w:color="auto"/>
                <w14:textFill>
                  <w14:solidFill>
                    <w14:schemeClr w14:val="tx1"/>
                  </w14:solidFill>
                </w14:textFill>
              </w:rPr>
              <w:t>老三运河</w:t>
            </w: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与机排二十渠交汇处至与大通湖泄洪道交汇处3.8</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km；共计</w:t>
            </w:r>
            <w:r>
              <w:rPr>
                <w:rFonts w:hint="eastAsia" w:cs="Times New Roman"/>
                <w:color w:val="000000" w:themeColor="text1"/>
                <w:highlight w:val="none"/>
                <w:u w:val="wave" w:color="auto"/>
                <w:lang w:val="en-US" w:eastAsia="zh-CN"/>
                <w14:textFill>
                  <w14:solidFill>
                    <w14:schemeClr w14:val="tx1"/>
                  </w14:solidFill>
                </w14:textFill>
              </w:rPr>
              <w:t>6.1</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km。</w:t>
            </w:r>
          </w:p>
        </w:tc>
        <w:tc>
          <w:tcPr>
            <w:tcW w:w="1247" w:type="dxa"/>
            <w:shd w:val="clear" w:color="auto" w:fill="auto"/>
            <w:vAlign w:val="center"/>
          </w:tcPr>
          <w:p w14:paraId="7AB463C4">
            <w:pPr>
              <w:pStyle w:val="192"/>
              <w:keepNext w:val="0"/>
              <w:keepLines w:val="0"/>
              <w:suppressLineNumbers w:val="0"/>
              <w:spacing w:before="0" w:beforeAutospacing="0" w:after="0" w:afterAutospacing="0"/>
              <w:ind w:left="0" w:right="0"/>
              <w:rPr>
                <w:rFonts w:hint="default" w:ascii="Times New Roman" w:hAnsi="Times New Roman" w:cs="Times New Roman"/>
                <w:color w:val="0000FF"/>
                <w:highlight w:val="none"/>
                <w:u w:val="wave" w:color="auto"/>
              </w:rPr>
            </w:pPr>
            <w:r>
              <w:rPr>
                <w:rFonts w:hint="default" w:ascii="Times New Roman" w:hAnsi="Times New Roman" w:cs="Times New Roman"/>
                <w:color w:val="0000FF"/>
                <w:highlight w:val="none"/>
                <w:u w:val="wave" w:color="auto"/>
              </w:rPr>
              <w:t xml:space="preserve">HJ </w:t>
            </w:r>
            <w:r>
              <w:rPr>
                <w:rFonts w:hint="default" w:ascii="Times New Roman" w:hAnsi="Times New Roman" w:cs="Times New Roman"/>
                <w:color w:val="0000FF"/>
                <w:spacing w:val="1"/>
                <w:highlight w:val="none"/>
                <w:u w:val="wave" w:color="auto"/>
              </w:rPr>
              <w:t>2</w:t>
            </w:r>
            <w:r>
              <w:rPr>
                <w:rFonts w:hint="default" w:ascii="Times New Roman" w:hAnsi="Times New Roman" w:cs="Times New Roman"/>
                <w:color w:val="0000FF"/>
                <w:highlight w:val="none"/>
                <w:u w:val="wave" w:color="auto"/>
              </w:rPr>
              <w:t>.</w:t>
            </w:r>
            <w:r>
              <w:rPr>
                <w:rFonts w:hint="default" w:ascii="Times New Roman" w:hAnsi="Times New Roman" w:cs="Times New Roman"/>
                <w:color w:val="0000FF"/>
                <w:spacing w:val="1"/>
                <w:highlight w:val="none"/>
                <w:u w:val="wave" w:color="auto"/>
              </w:rPr>
              <w:t>3</w:t>
            </w:r>
            <w:r>
              <w:rPr>
                <w:rFonts w:hint="default" w:ascii="Times New Roman" w:hAnsi="Times New Roman" w:cs="Times New Roman"/>
                <w:color w:val="0000FF"/>
                <w:highlight w:val="none"/>
                <w:u w:val="wave" w:color="auto"/>
              </w:rPr>
              <w:t>-</w:t>
            </w:r>
            <w:r>
              <w:rPr>
                <w:rFonts w:hint="default" w:ascii="Times New Roman" w:hAnsi="Times New Roman" w:cs="Times New Roman"/>
                <w:color w:val="0000FF"/>
                <w:spacing w:val="1"/>
                <w:highlight w:val="none"/>
                <w:u w:val="wave" w:color="auto"/>
              </w:rPr>
              <w:t>201</w:t>
            </w:r>
            <w:r>
              <w:rPr>
                <w:rFonts w:hint="default" w:ascii="Times New Roman" w:hAnsi="Times New Roman" w:cs="Times New Roman"/>
                <w:color w:val="0000FF"/>
                <w:highlight w:val="none"/>
                <w:u w:val="wave" w:color="auto"/>
              </w:rPr>
              <w:t>8</w:t>
            </w:r>
          </w:p>
        </w:tc>
      </w:tr>
      <w:tr w14:paraId="141020F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1209" w:type="dxa"/>
            <w:shd w:val="clear" w:color="auto" w:fill="auto"/>
            <w:vAlign w:val="center"/>
          </w:tcPr>
          <w:p w14:paraId="0E63C67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w:t>
            </w:r>
            <w:r>
              <w:rPr>
                <w:rFonts w:hint="default" w:ascii="Times New Roman" w:hAnsi="Times New Roman" w:cs="Times New Roman"/>
                <w:color w:val="auto"/>
                <w:spacing w:val="2"/>
                <w:highlight w:val="none"/>
                <w:u w:val="none" w:color="auto"/>
              </w:rPr>
              <w:t>下</w:t>
            </w:r>
            <w:r>
              <w:rPr>
                <w:rFonts w:hint="default" w:ascii="Times New Roman" w:hAnsi="Times New Roman" w:cs="Times New Roman"/>
                <w:color w:val="auto"/>
                <w:highlight w:val="none"/>
                <w:u w:val="none" w:color="auto"/>
              </w:rPr>
              <w:t>水</w:t>
            </w:r>
            <w:r>
              <w:rPr>
                <w:rFonts w:hint="default" w:ascii="Times New Roman" w:hAnsi="Times New Roman" w:cs="Times New Roman"/>
                <w:color w:val="auto"/>
                <w:spacing w:val="2"/>
                <w:highlight w:val="none"/>
                <w:u w:val="none" w:color="auto"/>
              </w:rPr>
              <w:t>环</w:t>
            </w:r>
            <w:r>
              <w:rPr>
                <w:rFonts w:hint="default" w:ascii="Times New Roman" w:hAnsi="Times New Roman" w:cs="Times New Roman"/>
                <w:color w:val="auto"/>
                <w:highlight w:val="none"/>
                <w:u w:val="none" w:color="auto"/>
              </w:rPr>
              <w:t>境</w:t>
            </w:r>
          </w:p>
        </w:tc>
        <w:tc>
          <w:tcPr>
            <w:tcW w:w="1687" w:type="dxa"/>
            <w:shd w:val="clear" w:color="auto" w:fill="auto"/>
            <w:vAlign w:val="center"/>
          </w:tcPr>
          <w:p w14:paraId="405E680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二级</w:t>
            </w:r>
          </w:p>
        </w:tc>
        <w:tc>
          <w:tcPr>
            <w:tcW w:w="4935" w:type="dxa"/>
            <w:shd w:val="clear" w:color="auto" w:fill="auto"/>
            <w:vAlign w:val="center"/>
          </w:tcPr>
          <w:p w14:paraId="634D8C1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地下水评价范围采用导则推荐的查表法确定评价面积：项目所在地周边</w:t>
            </w:r>
            <w:r>
              <w:rPr>
                <w:rFonts w:hint="default" w:ascii="Times New Roman" w:hAnsi="Times New Roman" w:cs="Times New Roman"/>
                <w:color w:val="auto"/>
                <w:highlight w:val="none"/>
                <w:u w:val="none" w:color="auto"/>
                <w:lang w:eastAsia="zh-CN"/>
              </w:rPr>
              <w:t>6km</w:t>
            </w:r>
            <w:r>
              <w:rPr>
                <w:rFonts w:hint="default" w:ascii="Times New Roman" w:hAnsi="Times New Roman" w:cs="Times New Roman"/>
                <w:color w:val="auto"/>
                <w:highlight w:val="none"/>
                <w:u w:val="none" w:color="auto"/>
                <w:vertAlign w:val="superscript"/>
                <w:lang w:eastAsia="zh-CN"/>
              </w:rPr>
              <w:t>2</w:t>
            </w:r>
            <w:r>
              <w:rPr>
                <w:rFonts w:hint="default" w:ascii="Times New Roman" w:hAnsi="Times New Roman" w:cs="Times New Roman"/>
                <w:color w:val="auto"/>
                <w:highlight w:val="none"/>
                <w:u w:val="none" w:color="auto"/>
              </w:rPr>
              <w:t>。</w:t>
            </w:r>
          </w:p>
        </w:tc>
        <w:tc>
          <w:tcPr>
            <w:tcW w:w="1247" w:type="dxa"/>
            <w:shd w:val="clear" w:color="auto" w:fill="auto"/>
            <w:vAlign w:val="center"/>
          </w:tcPr>
          <w:p w14:paraId="18AAEB1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HJ</w:t>
            </w:r>
            <w:r>
              <w:rPr>
                <w:rFonts w:hint="default" w:ascii="Times New Roman" w:hAnsi="Times New Roman" w:cs="Times New Roman"/>
                <w:color w:val="auto"/>
                <w:spacing w:val="1"/>
                <w:highlight w:val="none"/>
                <w:u w:val="none" w:color="auto"/>
              </w:rPr>
              <w:t>610</w:t>
            </w:r>
            <w:r>
              <w:rPr>
                <w:rFonts w:hint="default" w:ascii="Times New Roman" w:hAnsi="Times New Roman" w:cs="Times New Roman"/>
                <w:color w:val="auto"/>
                <w:spacing w:val="-3"/>
                <w:highlight w:val="none"/>
                <w:u w:val="none" w:color="auto"/>
              </w:rPr>
              <w:t>-</w:t>
            </w:r>
            <w:r>
              <w:rPr>
                <w:rFonts w:hint="default" w:ascii="Times New Roman" w:hAnsi="Times New Roman" w:cs="Times New Roman"/>
                <w:color w:val="auto"/>
                <w:spacing w:val="1"/>
                <w:highlight w:val="none"/>
                <w:u w:val="none" w:color="auto"/>
              </w:rPr>
              <w:t>201</w:t>
            </w:r>
            <w:r>
              <w:rPr>
                <w:rFonts w:hint="default" w:ascii="Times New Roman" w:hAnsi="Times New Roman" w:cs="Times New Roman"/>
                <w:color w:val="auto"/>
                <w:highlight w:val="none"/>
                <w:u w:val="none" w:color="auto"/>
              </w:rPr>
              <w:t>6</w:t>
            </w:r>
          </w:p>
        </w:tc>
      </w:tr>
      <w:tr w14:paraId="7FFE17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9" w:hRule="atLeast"/>
          <w:jc w:val="center"/>
        </w:trPr>
        <w:tc>
          <w:tcPr>
            <w:tcW w:w="1209" w:type="dxa"/>
            <w:shd w:val="clear" w:color="auto" w:fill="auto"/>
            <w:vAlign w:val="center"/>
          </w:tcPr>
          <w:p w14:paraId="26BDC75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声</w:t>
            </w:r>
            <w:r>
              <w:rPr>
                <w:rFonts w:hint="default" w:ascii="Times New Roman" w:hAnsi="Times New Roman" w:cs="Times New Roman"/>
                <w:color w:val="auto"/>
                <w:spacing w:val="2"/>
                <w:highlight w:val="none"/>
                <w:u w:val="none" w:color="auto"/>
              </w:rPr>
              <w:t>环</w:t>
            </w:r>
            <w:r>
              <w:rPr>
                <w:rFonts w:hint="default" w:ascii="Times New Roman" w:hAnsi="Times New Roman" w:cs="Times New Roman"/>
                <w:color w:val="auto"/>
                <w:highlight w:val="none"/>
                <w:u w:val="none" w:color="auto"/>
              </w:rPr>
              <w:t>境</w:t>
            </w:r>
          </w:p>
        </w:tc>
        <w:tc>
          <w:tcPr>
            <w:tcW w:w="1687" w:type="dxa"/>
            <w:shd w:val="clear" w:color="auto" w:fill="auto"/>
            <w:vAlign w:val="center"/>
          </w:tcPr>
          <w:p w14:paraId="48C9D42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2"/>
                <w:highlight w:val="none"/>
                <w:u w:val="none" w:color="auto"/>
              </w:rPr>
              <w:t>三</w:t>
            </w:r>
            <w:r>
              <w:rPr>
                <w:rFonts w:hint="default" w:ascii="Times New Roman" w:hAnsi="Times New Roman" w:cs="Times New Roman"/>
                <w:color w:val="auto"/>
                <w:highlight w:val="none"/>
                <w:u w:val="none" w:color="auto"/>
              </w:rPr>
              <w:t>级</w:t>
            </w:r>
          </w:p>
        </w:tc>
        <w:tc>
          <w:tcPr>
            <w:tcW w:w="4935" w:type="dxa"/>
            <w:shd w:val="clear" w:color="auto" w:fill="auto"/>
            <w:vAlign w:val="center"/>
          </w:tcPr>
          <w:p w14:paraId="48ED40C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项目厂界边界外</w:t>
            </w:r>
            <w:r>
              <w:rPr>
                <w:rFonts w:hint="default" w:ascii="Times New Roman" w:hAnsi="Times New Roman" w:cs="Times New Roman"/>
                <w:color w:val="auto"/>
                <w:spacing w:val="-60"/>
                <w:highlight w:val="none"/>
                <w:u w:val="none" w:color="auto"/>
              </w:rPr>
              <w:t xml:space="preserve"> </w:t>
            </w:r>
            <w:r>
              <w:rPr>
                <w:rFonts w:hint="default" w:ascii="Times New Roman" w:hAnsi="Times New Roman" w:cs="Times New Roman"/>
                <w:color w:val="auto"/>
                <w:highlight w:val="none"/>
                <w:u w:val="none" w:color="auto"/>
              </w:rPr>
              <w:t>200m范围</w:t>
            </w:r>
          </w:p>
        </w:tc>
        <w:tc>
          <w:tcPr>
            <w:tcW w:w="1247" w:type="dxa"/>
            <w:shd w:val="clear" w:color="auto" w:fill="auto"/>
            <w:vAlign w:val="center"/>
          </w:tcPr>
          <w:p w14:paraId="428E1B5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HJ</w:t>
            </w:r>
            <w:r>
              <w:rPr>
                <w:rFonts w:hint="default" w:ascii="Times New Roman" w:hAnsi="Times New Roman" w:cs="Times New Roman"/>
                <w:color w:val="auto"/>
                <w:spacing w:val="1"/>
                <w:highlight w:val="none"/>
                <w:u w:val="none" w:color="auto"/>
              </w:rPr>
              <w:t>2</w:t>
            </w:r>
            <w:r>
              <w:rPr>
                <w:rFonts w:hint="default" w:ascii="Times New Roman" w:hAnsi="Times New Roman" w:cs="Times New Roman"/>
                <w:color w:val="auto"/>
                <w:highlight w:val="none"/>
                <w:u w:val="none" w:color="auto"/>
              </w:rPr>
              <w:t>.</w:t>
            </w:r>
            <w:r>
              <w:rPr>
                <w:rFonts w:hint="default" w:ascii="Times New Roman" w:hAnsi="Times New Roman" w:cs="Times New Roman"/>
                <w:color w:val="auto"/>
                <w:spacing w:val="1"/>
                <w:highlight w:val="none"/>
                <w:u w:val="none" w:color="auto"/>
              </w:rPr>
              <w:t>4</w:t>
            </w:r>
            <w:r>
              <w:rPr>
                <w:rFonts w:hint="default" w:ascii="Times New Roman" w:hAnsi="Times New Roman" w:cs="Times New Roman"/>
                <w:color w:val="auto"/>
                <w:spacing w:val="-3"/>
                <w:highlight w:val="none"/>
                <w:u w:val="none" w:color="auto"/>
              </w:rPr>
              <w:t>-</w:t>
            </w:r>
            <w:r>
              <w:rPr>
                <w:rFonts w:hint="default" w:ascii="Times New Roman" w:hAnsi="Times New Roman" w:cs="Times New Roman"/>
                <w:color w:val="auto"/>
                <w:spacing w:val="1"/>
                <w:highlight w:val="none"/>
                <w:u w:val="none" w:color="auto"/>
              </w:rPr>
              <w:t>20</w:t>
            </w:r>
            <w:r>
              <w:rPr>
                <w:rFonts w:hint="default" w:ascii="Times New Roman" w:hAnsi="Times New Roman" w:cs="Times New Roman"/>
                <w:color w:val="auto"/>
                <w:spacing w:val="1"/>
                <w:highlight w:val="none"/>
                <w:u w:val="none" w:color="auto"/>
                <w:lang w:val="en-US" w:eastAsia="zh-CN"/>
              </w:rPr>
              <w:t>21</w:t>
            </w:r>
          </w:p>
        </w:tc>
      </w:tr>
      <w:tr w14:paraId="354D38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9" w:hRule="atLeast"/>
          <w:jc w:val="center"/>
        </w:trPr>
        <w:tc>
          <w:tcPr>
            <w:tcW w:w="1209" w:type="dxa"/>
            <w:shd w:val="clear" w:color="auto" w:fill="auto"/>
            <w:vAlign w:val="center"/>
          </w:tcPr>
          <w:p w14:paraId="5DE4651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w:t>
            </w:r>
            <w:r>
              <w:rPr>
                <w:rFonts w:hint="default" w:ascii="Times New Roman" w:hAnsi="Times New Roman" w:cs="Times New Roman"/>
                <w:color w:val="auto"/>
                <w:spacing w:val="2"/>
                <w:highlight w:val="none"/>
                <w:u w:val="none" w:color="auto"/>
              </w:rPr>
              <w:t>态</w:t>
            </w:r>
            <w:r>
              <w:rPr>
                <w:rFonts w:hint="default" w:ascii="Times New Roman" w:hAnsi="Times New Roman" w:cs="Times New Roman"/>
                <w:color w:val="auto"/>
                <w:highlight w:val="none"/>
                <w:u w:val="none" w:color="auto"/>
              </w:rPr>
              <w:t>环境</w:t>
            </w:r>
          </w:p>
        </w:tc>
        <w:tc>
          <w:tcPr>
            <w:tcW w:w="1687" w:type="dxa"/>
            <w:shd w:val="clear" w:color="auto" w:fill="auto"/>
            <w:vAlign w:val="center"/>
          </w:tcPr>
          <w:p w14:paraId="77B96CA4">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简单分析</w:t>
            </w:r>
          </w:p>
        </w:tc>
        <w:tc>
          <w:tcPr>
            <w:tcW w:w="4935" w:type="dxa"/>
            <w:shd w:val="clear" w:color="auto" w:fill="auto"/>
            <w:vAlign w:val="center"/>
          </w:tcPr>
          <w:p w14:paraId="0009EFF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247" w:type="dxa"/>
            <w:shd w:val="clear" w:color="auto" w:fill="auto"/>
            <w:vAlign w:val="center"/>
          </w:tcPr>
          <w:p w14:paraId="54FB9480">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HJ</w:t>
            </w:r>
            <w:r>
              <w:rPr>
                <w:rFonts w:hint="default" w:ascii="Times New Roman" w:hAnsi="Times New Roman" w:cs="Times New Roman"/>
                <w:color w:val="auto"/>
                <w:spacing w:val="1"/>
                <w:highlight w:val="none"/>
                <w:u w:val="none" w:color="auto"/>
              </w:rPr>
              <w:t>19</w:t>
            </w:r>
            <w:r>
              <w:rPr>
                <w:rFonts w:hint="default" w:ascii="Times New Roman" w:hAnsi="Times New Roman" w:cs="Times New Roman"/>
                <w:color w:val="auto"/>
                <w:spacing w:val="-3"/>
                <w:highlight w:val="none"/>
                <w:u w:val="none" w:color="auto"/>
              </w:rPr>
              <w:t>-</w:t>
            </w:r>
            <w:r>
              <w:rPr>
                <w:rFonts w:hint="default" w:ascii="Times New Roman" w:hAnsi="Times New Roman" w:cs="Times New Roman"/>
                <w:color w:val="auto"/>
                <w:spacing w:val="1"/>
                <w:highlight w:val="none"/>
                <w:u w:val="none" w:color="auto"/>
              </w:rPr>
              <w:t>20</w:t>
            </w:r>
            <w:r>
              <w:rPr>
                <w:rFonts w:hint="default" w:ascii="Times New Roman" w:hAnsi="Times New Roman" w:cs="Times New Roman"/>
                <w:color w:val="auto"/>
                <w:spacing w:val="-5"/>
                <w:highlight w:val="none"/>
                <w:u w:val="none" w:color="auto"/>
                <w:lang w:val="en-US" w:eastAsia="zh-CN"/>
              </w:rPr>
              <w:t>22</w:t>
            </w:r>
          </w:p>
        </w:tc>
      </w:tr>
      <w:tr w14:paraId="021047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9" w:hRule="atLeast"/>
          <w:jc w:val="center"/>
        </w:trPr>
        <w:tc>
          <w:tcPr>
            <w:tcW w:w="1209" w:type="dxa"/>
            <w:shd w:val="clear" w:color="auto" w:fill="auto"/>
            <w:vAlign w:val="center"/>
          </w:tcPr>
          <w:p w14:paraId="6157928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土</w:t>
            </w:r>
            <w:r>
              <w:rPr>
                <w:rFonts w:hint="default" w:ascii="Times New Roman" w:hAnsi="Times New Roman" w:cs="Times New Roman"/>
                <w:color w:val="auto"/>
                <w:spacing w:val="2"/>
                <w:highlight w:val="none"/>
                <w:u w:val="none" w:color="auto"/>
              </w:rPr>
              <w:t>壤</w:t>
            </w:r>
            <w:r>
              <w:rPr>
                <w:rFonts w:hint="default" w:ascii="Times New Roman" w:hAnsi="Times New Roman" w:cs="Times New Roman"/>
                <w:color w:val="auto"/>
                <w:highlight w:val="none"/>
                <w:u w:val="none" w:color="auto"/>
              </w:rPr>
              <w:t>环境</w:t>
            </w:r>
          </w:p>
        </w:tc>
        <w:tc>
          <w:tcPr>
            <w:tcW w:w="1687" w:type="dxa"/>
            <w:shd w:val="clear" w:color="auto" w:fill="auto"/>
            <w:vAlign w:val="center"/>
          </w:tcPr>
          <w:p w14:paraId="54261A0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污染影响型/三级</w:t>
            </w:r>
          </w:p>
        </w:tc>
        <w:tc>
          <w:tcPr>
            <w:tcW w:w="4935" w:type="dxa"/>
            <w:shd w:val="clear" w:color="auto" w:fill="auto"/>
            <w:vAlign w:val="center"/>
          </w:tcPr>
          <w:p w14:paraId="504F896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项目占地范围内及项目边界50m范围内 </w:t>
            </w:r>
          </w:p>
        </w:tc>
        <w:tc>
          <w:tcPr>
            <w:tcW w:w="1247" w:type="dxa"/>
            <w:shd w:val="clear" w:color="auto" w:fill="auto"/>
            <w:vAlign w:val="center"/>
          </w:tcPr>
          <w:p w14:paraId="3E61112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HJ</w:t>
            </w:r>
            <w:r>
              <w:rPr>
                <w:rFonts w:hint="default" w:ascii="Times New Roman" w:hAnsi="Times New Roman" w:cs="Times New Roman"/>
                <w:color w:val="auto"/>
                <w:spacing w:val="-12"/>
                <w:highlight w:val="none"/>
                <w:u w:val="none" w:color="auto"/>
              </w:rPr>
              <w:t xml:space="preserve"> </w:t>
            </w:r>
            <w:r>
              <w:rPr>
                <w:rFonts w:hint="default" w:ascii="Times New Roman" w:hAnsi="Times New Roman" w:cs="Times New Roman"/>
                <w:color w:val="auto"/>
                <w:spacing w:val="1"/>
                <w:highlight w:val="none"/>
                <w:u w:val="none" w:color="auto"/>
              </w:rPr>
              <w:t>96</w:t>
            </w:r>
            <w:r>
              <w:rPr>
                <w:rFonts w:hint="default" w:ascii="Times New Roman" w:hAnsi="Times New Roman" w:cs="Times New Roman"/>
                <w:color w:val="auto"/>
                <w:spacing w:val="-2"/>
                <w:highlight w:val="none"/>
                <w:u w:val="none" w:color="auto"/>
              </w:rPr>
              <w:t>4</w:t>
            </w:r>
            <w:r>
              <w:rPr>
                <w:rFonts w:hint="default" w:ascii="Times New Roman" w:hAnsi="Times New Roman" w:cs="Times New Roman"/>
                <w:color w:val="auto"/>
                <w:highlight w:val="none"/>
                <w:u w:val="none" w:color="auto"/>
              </w:rPr>
              <w:t>-</w:t>
            </w:r>
            <w:r>
              <w:rPr>
                <w:rFonts w:hint="default" w:ascii="Times New Roman" w:hAnsi="Times New Roman" w:cs="Times New Roman"/>
                <w:color w:val="auto"/>
                <w:spacing w:val="1"/>
                <w:highlight w:val="none"/>
                <w:u w:val="none" w:color="auto"/>
              </w:rPr>
              <w:t>201</w:t>
            </w:r>
            <w:r>
              <w:rPr>
                <w:rFonts w:hint="default" w:ascii="Times New Roman" w:hAnsi="Times New Roman" w:cs="Times New Roman"/>
                <w:color w:val="auto"/>
                <w:highlight w:val="none"/>
                <w:u w:val="none" w:color="auto"/>
              </w:rPr>
              <w:t>8</w:t>
            </w:r>
          </w:p>
        </w:tc>
      </w:tr>
      <w:tr w14:paraId="6A4756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3" w:hRule="atLeast"/>
          <w:jc w:val="center"/>
        </w:trPr>
        <w:tc>
          <w:tcPr>
            <w:tcW w:w="1209" w:type="dxa"/>
            <w:shd w:val="clear" w:color="auto" w:fill="auto"/>
            <w:vAlign w:val="center"/>
          </w:tcPr>
          <w:p w14:paraId="03189DF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w:t>
            </w:r>
            <w:r>
              <w:rPr>
                <w:rFonts w:hint="default" w:ascii="Times New Roman" w:hAnsi="Times New Roman" w:cs="Times New Roman"/>
                <w:color w:val="auto"/>
                <w:spacing w:val="2"/>
                <w:highlight w:val="none"/>
                <w:u w:val="none" w:color="auto"/>
              </w:rPr>
              <w:t>境</w:t>
            </w:r>
            <w:r>
              <w:rPr>
                <w:rFonts w:hint="default" w:ascii="Times New Roman" w:hAnsi="Times New Roman" w:cs="Times New Roman"/>
                <w:color w:val="auto"/>
                <w:highlight w:val="none"/>
                <w:u w:val="none" w:color="auto"/>
              </w:rPr>
              <w:t>风险</w:t>
            </w:r>
          </w:p>
        </w:tc>
        <w:tc>
          <w:tcPr>
            <w:tcW w:w="1687" w:type="dxa"/>
            <w:shd w:val="clear" w:color="auto" w:fill="auto"/>
            <w:vAlign w:val="center"/>
          </w:tcPr>
          <w:p w14:paraId="5328A95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2"/>
                <w:highlight w:val="none"/>
                <w:u w:val="none" w:color="auto"/>
              </w:rPr>
              <w:t>简单分析</w:t>
            </w:r>
          </w:p>
        </w:tc>
        <w:tc>
          <w:tcPr>
            <w:tcW w:w="4935" w:type="dxa"/>
            <w:shd w:val="clear" w:color="auto" w:fill="auto"/>
            <w:vAlign w:val="center"/>
          </w:tcPr>
          <w:p w14:paraId="4433495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247" w:type="dxa"/>
            <w:shd w:val="clear" w:color="auto" w:fill="auto"/>
            <w:vAlign w:val="center"/>
          </w:tcPr>
          <w:p w14:paraId="3288405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HJ/</w:t>
            </w:r>
            <w:r>
              <w:rPr>
                <w:rFonts w:hint="default" w:ascii="Times New Roman" w:hAnsi="Times New Roman" w:cs="Times New Roman"/>
                <w:color w:val="auto"/>
                <w:spacing w:val="1"/>
                <w:highlight w:val="none"/>
                <w:u w:val="none" w:color="auto"/>
              </w:rPr>
              <w:t>169</w:t>
            </w:r>
            <w:r>
              <w:rPr>
                <w:rFonts w:hint="default" w:ascii="Times New Roman" w:hAnsi="Times New Roman" w:cs="Times New Roman"/>
                <w:color w:val="auto"/>
                <w:spacing w:val="-3"/>
                <w:highlight w:val="none"/>
                <w:u w:val="none" w:color="auto"/>
              </w:rPr>
              <w:t>-</w:t>
            </w:r>
            <w:r>
              <w:rPr>
                <w:rFonts w:hint="default" w:ascii="Times New Roman" w:hAnsi="Times New Roman" w:cs="Times New Roman"/>
                <w:color w:val="auto"/>
                <w:spacing w:val="1"/>
                <w:highlight w:val="none"/>
                <w:u w:val="none" w:color="auto"/>
              </w:rPr>
              <w:t>201</w:t>
            </w:r>
            <w:r>
              <w:rPr>
                <w:rFonts w:hint="default" w:ascii="Times New Roman" w:hAnsi="Times New Roman" w:cs="Times New Roman"/>
                <w:color w:val="auto"/>
                <w:highlight w:val="none"/>
                <w:u w:val="none" w:color="auto"/>
              </w:rPr>
              <w:t>8</w:t>
            </w:r>
          </w:p>
        </w:tc>
      </w:tr>
      <w:bookmarkEnd w:id="42"/>
      <w:bookmarkEnd w:id="43"/>
      <w:bookmarkEnd w:id="44"/>
    </w:tbl>
    <w:p w14:paraId="19B6B750">
      <w:pPr>
        <w:pStyle w:val="3"/>
        <w:numPr>
          <w:ilvl w:val="1"/>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bookmarkStart w:id="48" w:name="bookmark1"/>
      <w:bookmarkEnd w:id="48"/>
      <w:bookmarkStart w:id="49" w:name="1.7环境敏感点及环境保护目标"/>
      <w:bookmarkEnd w:id="49"/>
      <w:bookmarkStart w:id="50" w:name="1.7.1环境空气保护目标"/>
      <w:bookmarkEnd w:id="50"/>
      <w:bookmarkStart w:id="51" w:name="_Toc30790"/>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2.5 </w:t>
      </w:r>
      <w:r>
        <w:rPr>
          <w:rFonts w:hint="default" w:ascii="Times New Roman" w:hAnsi="Times New Roman" w:cs="Times New Roman"/>
          <w:color w:val="000000" w:themeColor="text1"/>
          <w:highlight w:val="none"/>
          <w:u w:val="none" w:color="auto"/>
          <w14:textFill>
            <w14:solidFill>
              <w14:schemeClr w14:val="tx1"/>
            </w14:solidFill>
          </w14:textFill>
        </w:rPr>
        <w:t>环境保护目标</w:t>
      </w:r>
      <w:bookmarkEnd w:id="51"/>
    </w:p>
    <w:p w14:paraId="7E25E06B">
      <w:pPr>
        <w:spacing w:beforeLines="0" w:afterLines="0"/>
        <w:ind w:firstLine="0" w:firstLineChars="0"/>
        <w:jc w:val="left"/>
        <w:rPr>
          <w:rFonts w:hint="default" w:ascii="Times New Roman" w:hAnsi="Times New Roman" w:cs="Times New Roman" w:eastAsiaTheme="minorEastAsia"/>
          <w:color w:val="000000" w:themeColor="text1"/>
          <w:sz w:val="24"/>
          <w:szCs w:val="24"/>
          <w:highlight w:val="none"/>
          <w:u w:val="none" w:color="auto"/>
          <w:lang w:val="en-US" w:eastAsia="zh-CN" w:bidi="ar-SA"/>
          <w14:textFill>
            <w14:solidFill>
              <w14:schemeClr w14:val="tx1"/>
            </w14:solidFill>
          </w14:textFill>
        </w:rPr>
        <w:sectPr>
          <w:headerReference r:id="rId12" w:type="default"/>
          <w:footerReference r:id="rId13"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cs="Times New Roman" w:eastAsiaTheme="minorEastAsia"/>
          <w:color w:val="000000" w:themeColor="text1"/>
          <w:sz w:val="24"/>
          <w:szCs w:val="24"/>
          <w:highlight w:val="none"/>
          <w:u w:val="none" w:color="auto"/>
          <w:lang w:val="en-US" w:eastAsia="zh-CN" w:bidi="ar-SA"/>
          <w14:textFill>
            <w14:solidFill>
              <w14:schemeClr w14:val="tx1"/>
            </w14:solidFill>
          </w14:textFill>
        </w:rPr>
        <w:t xml:space="preserve">   根据项目污染物排放特征和区域的水文、气象情况，结合现场踏勘和初步调查，项目主要环境保护目标分布情况见表2.5-1。</w:t>
      </w:r>
    </w:p>
    <w:p w14:paraId="17EEFB05">
      <w:pPr>
        <w:spacing w:beforeLines="0" w:afterLines="0" w:line="240" w:lineRule="auto"/>
        <w:ind w:firstLine="0" w:firstLineChars="0"/>
        <w:jc w:val="center"/>
        <w:rPr>
          <w:rFonts w:hint="default" w:ascii="Times New Roman" w:hAnsi="Times New Roman" w:eastAsia="宋体" w:cs="Times New Roman"/>
          <w:b/>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color="auto"/>
          <w14:textFill>
            <w14:solidFill>
              <w14:schemeClr w14:val="tx1"/>
            </w14:solidFill>
          </w14:textFill>
        </w:rPr>
        <w:t>表2.5</w:t>
      </w:r>
      <w:r>
        <w:rPr>
          <w:rFonts w:hint="default" w:ascii="Times New Roman" w:hAnsi="Times New Roman" w:eastAsia="Times New Roman" w:cs="Times New Roman"/>
          <w:b/>
          <w:color w:val="000000" w:themeColor="text1"/>
          <w:sz w:val="24"/>
          <w:szCs w:val="24"/>
          <w:highlight w:val="none"/>
          <w:u w:val="none" w:color="auto"/>
          <w14:textFill>
            <w14:solidFill>
              <w14:schemeClr w14:val="tx1"/>
            </w14:solidFill>
          </w14:textFill>
        </w:rPr>
        <w:t xml:space="preserve">-1 </w:t>
      </w:r>
      <w:r>
        <w:rPr>
          <w:rFonts w:hint="default" w:ascii="Times New Roman" w:hAnsi="Times New Roman" w:eastAsia="宋体" w:cs="Times New Roman"/>
          <w:b/>
          <w:color w:val="000000" w:themeColor="text1"/>
          <w:sz w:val="24"/>
          <w:szCs w:val="24"/>
          <w:highlight w:val="none"/>
          <w:u w:val="none" w:color="auto"/>
          <w14:textFill>
            <w14:solidFill>
              <w14:schemeClr w14:val="tx1"/>
            </w14:solidFill>
          </w14:textFill>
        </w:rPr>
        <w:t>主要环境保护目标一览表</w:t>
      </w:r>
    </w:p>
    <w:tbl>
      <w:tblPr>
        <w:tblStyle w:val="76"/>
        <w:tblW w:w="1439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60"/>
        <w:gridCol w:w="743"/>
        <w:gridCol w:w="1695"/>
        <w:gridCol w:w="2312"/>
        <w:gridCol w:w="2234"/>
        <w:gridCol w:w="2281"/>
        <w:gridCol w:w="2339"/>
        <w:gridCol w:w="2033"/>
      </w:tblGrid>
      <w:tr w14:paraId="18A390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760" w:type="dxa"/>
            <w:vMerge w:val="restart"/>
            <w:tcBorders>
              <w:tl2br w:val="nil"/>
              <w:tr2bl w:val="nil"/>
            </w:tcBorders>
            <w:noWrap w:val="0"/>
            <w:vAlign w:val="center"/>
          </w:tcPr>
          <w:p w14:paraId="36F9937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项目</w:t>
            </w:r>
          </w:p>
        </w:tc>
        <w:tc>
          <w:tcPr>
            <w:tcW w:w="2438" w:type="dxa"/>
            <w:gridSpan w:val="2"/>
            <w:vMerge w:val="restart"/>
            <w:tcBorders>
              <w:tl2br w:val="nil"/>
              <w:tr2bl w:val="nil"/>
            </w:tcBorders>
            <w:noWrap w:val="0"/>
            <w:vAlign w:val="center"/>
          </w:tcPr>
          <w:p w14:paraId="542AFB0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保护目标</w:t>
            </w:r>
          </w:p>
        </w:tc>
        <w:tc>
          <w:tcPr>
            <w:tcW w:w="2312" w:type="dxa"/>
            <w:vMerge w:val="restart"/>
            <w:tcBorders>
              <w:tl2br w:val="nil"/>
              <w:tr2bl w:val="nil"/>
            </w:tcBorders>
            <w:noWrap w:val="0"/>
            <w:vAlign w:val="center"/>
          </w:tcPr>
          <w:p w14:paraId="78D7AEA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与厂界距离</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m</w:t>
            </w:r>
          </w:p>
        </w:tc>
        <w:tc>
          <w:tcPr>
            <w:tcW w:w="4515" w:type="dxa"/>
            <w:gridSpan w:val="2"/>
            <w:tcBorders>
              <w:tl2br w:val="nil"/>
              <w:tr2bl w:val="nil"/>
            </w:tcBorders>
            <w:noWrap w:val="0"/>
            <w:vAlign w:val="center"/>
          </w:tcPr>
          <w:p w14:paraId="7827B8B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坐标（m）</w:t>
            </w:r>
          </w:p>
        </w:tc>
        <w:tc>
          <w:tcPr>
            <w:tcW w:w="2339" w:type="dxa"/>
            <w:vMerge w:val="restart"/>
            <w:tcBorders>
              <w:tl2br w:val="nil"/>
              <w:tr2bl w:val="nil"/>
            </w:tcBorders>
            <w:noWrap w:val="0"/>
            <w:vAlign w:val="center"/>
          </w:tcPr>
          <w:p w14:paraId="5EC811B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功能及规模</w:t>
            </w:r>
          </w:p>
        </w:tc>
        <w:tc>
          <w:tcPr>
            <w:tcW w:w="2033" w:type="dxa"/>
            <w:vMerge w:val="restart"/>
            <w:tcBorders>
              <w:tl2br w:val="nil"/>
              <w:tr2bl w:val="nil"/>
            </w:tcBorders>
            <w:noWrap w:val="0"/>
            <w:vAlign w:val="center"/>
          </w:tcPr>
          <w:p w14:paraId="62B26EF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执行</w:t>
            </w:r>
          </w:p>
          <w:p w14:paraId="084DB6F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标准</w:t>
            </w:r>
          </w:p>
        </w:tc>
      </w:tr>
      <w:tr w14:paraId="20D379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760" w:type="dxa"/>
            <w:vMerge w:val="continue"/>
            <w:tcBorders>
              <w:tl2br w:val="nil"/>
              <w:tr2bl w:val="nil"/>
            </w:tcBorders>
            <w:noWrap w:val="0"/>
            <w:vAlign w:val="center"/>
          </w:tcPr>
          <w:p w14:paraId="1D596CE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c>
          <w:tcPr>
            <w:tcW w:w="2438" w:type="dxa"/>
            <w:gridSpan w:val="2"/>
            <w:vMerge w:val="continue"/>
            <w:tcBorders>
              <w:tl2br w:val="nil"/>
              <w:tr2bl w:val="nil"/>
            </w:tcBorders>
            <w:noWrap w:val="0"/>
            <w:vAlign w:val="center"/>
          </w:tcPr>
          <w:p w14:paraId="4662E3F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c>
          <w:tcPr>
            <w:tcW w:w="2312" w:type="dxa"/>
            <w:vMerge w:val="continue"/>
            <w:tcBorders>
              <w:tl2br w:val="nil"/>
              <w:tr2bl w:val="nil"/>
            </w:tcBorders>
            <w:noWrap w:val="0"/>
            <w:vAlign w:val="center"/>
          </w:tcPr>
          <w:p w14:paraId="00A66E4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c>
          <w:tcPr>
            <w:tcW w:w="2234" w:type="dxa"/>
            <w:tcBorders>
              <w:tl2br w:val="nil"/>
              <w:tr2bl w:val="nil"/>
            </w:tcBorders>
            <w:noWrap w:val="0"/>
            <w:vAlign w:val="center"/>
          </w:tcPr>
          <w:p w14:paraId="62DABFF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X</w:t>
            </w:r>
          </w:p>
        </w:tc>
        <w:tc>
          <w:tcPr>
            <w:tcW w:w="2281" w:type="dxa"/>
            <w:tcBorders>
              <w:tl2br w:val="nil"/>
              <w:tr2bl w:val="nil"/>
            </w:tcBorders>
            <w:noWrap w:val="0"/>
            <w:vAlign w:val="center"/>
          </w:tcPr>
          <w:p w14:paraId="795B8C5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Y</w:t>
            </w:r>
          </w:p>
        </w:tc>
        <w:tc>
          <w:tcPr>
            <w:tcW w:w="2339" w:type="dxa"/>
            <w:vMerge w:val="continue"/>
            <w:tcBorders>
              <w:tl2br w:val="nil"/>
              <w:tr2bl w:val="nil"/>
            </w:tcBorders>
            <w:noWrap w:val="0"/>
            <w:vAlign w:val="center"/>
          </w:tcPr>
          <w:p w14:paraId="233357E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p>
        </w:tc>
        <w:tc>
          <w:tcPr>
            <w:tcW w:w="2033" w:type="dxa"/>
            <w:vMerge w:val="continue"/>
            <w:tcBorders>
              <w:tl2br w:val="nil"/>
              <w:tr2bl w:val="nil"/>
            </w:tcBorders>
            <w:noWrap w:val="0"/>
            <w:vAlign w:val="center"/>
          </w:tcPr>
          <w:p w14:paraId="75A763E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p>
        </w:tc>
      </w:tr>
      <w:tr w14:paraId="185D4B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760" w:type="dxa"/>
            <w:vMerge w:val="restart"/>
            <w:tcBorders>
              <w:tl2br w:val="nil"/>
              <w:tr2bl w:val="nil"/>
            </w:tcBorders>
            <w:noWrap w:val="0"/>
            <w:vAlign w:val="center"/>
          </w:tcPr>
          <w:p w14:paraId="604431A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大气环境</w:t>
            </w:r>
          </w:p>
        </w:tc>
        <w:tc>
          <w:tcPr>
            <w:tcW w:w="2438" w:type="dxa"/>
            <w:gridSpan w:val="2"/>
            <w:tcBorders>
              <w:tl2br w:val="nil"/>
              <w:tr2bl w:val="nil"/>
            </w:tcBorders>
            <w:noWrap w:val="0"/>
            <w:vAlign w:val="center"/>
          </w:tcPr>
          <w:p w14:paraId="44A6F75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1#河坝镇人民政府</w:t>
            </w:r>
          </w:p>
        </w:tc>
        <w:tc>
          <w:tcPr>
            <w:tcW w:w="2312" w:type="dxa"/>
            <w:tcBorders>
              <w:tl2br w:val="nil"/>
              <w:tr2bl w:val="nil"/>
            </w:tcBorders>
            <w:noWrap w:val="0"/>
            <w:vAlign w:val="center"/>
          </w:tcPr>
          <w:p w14:paraId="62B6D22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E</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N2</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352</w:t>
            </w:r>
          </w:p>
        </w:tc>
        <w:tc>
          <w:tcPr>
            <w:tcW w:w="2234" w:type="dxa"/>
            <w:tcBorders>
              <w:tl2br w:val="nil"/>
              <w:tr2bl w:val="nil"/>
            </w:tcBorders>
            <w:noWrap w:val="0"/>
            <w:vAlign w:val="center"/>
          </w:tcPr>
          <w:p w14:paraId="0654BF2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112°38′20.56940″</w:t>
            </w:r>
          </w:p>
        </w:tc>
        <w:tc>
          <w:tcPr>
            <w:tcW w:w="2281" w:type="dxa"/>
            <w:tcBorders>
              <w:tl2br w:val="nil"/>
              <w:tr2bl w:val="nil"/>
            </w:tcBorders>
            <w:noWrap w:val="0"/>
            <w:vAlign w:val="center"/>
          </w:tcPr>
          <w:p w14:paraId="49B783E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29°11′17.45256″</w:t>
            </w:r>
          </w:p>
        </w:tc>
        <w:tc>
          <w:tcPr>
            <w:tcW w:w="2339" w:type="dxa"/>
            <w:tcBorders>
              <w:tl2br w:val="nil"/>
              <w:tr2bl w:val="nil"/>
            </w:tcBorders>
            <w:noWrap w:val="0"/>
            <w:vAlign w:val="center"/>
          </w:tcPr>
          <w:p w14:paraId="13FF29E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机关，</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约</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人</w:t>
            </w:r>
          </w:p>
        </w:tc>
        <w:tc>
          <w:tcPr>
            <w:tcW w:w="2033" w:type="dxa"/>
            <w:vMerge w:val="restart"/>
            <w:tcBorders>
              <w:tl2br w:val="nil"/>
              <w:tr2bl w:val="nil"/>
            </w:tcBorders>
            <w:noWrap w:val="0"/>
            <w:vAlign w:val="center"/>
          </w:tcPr>
          <w:p w14:paraId="6A94C89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t>（GB3095-2012）二级标准</w:t>
            </w:r>
          </w:p>
        </w:tc>
      </w:tr>
      <w:tr w14:paraId="43A4F2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760" w:type="dxa"/>
            <w:vMerge w:val="continue"/>
            <w:tcBorders>
              <w:tl2br w:val="nil"/>
              <w:tr2bl w:val="nil"/>
            </w:tcBorders>
            <w:noWrap w:val="0"/>
            <w:vAlign w:val="center"/>
          </w:tcPr>
          <w:p w14:paraId="2B79E31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52B3E31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2#大通湖区政府</w:t>
            </w:r>
          </w:p>
        </w:tc>
        <w:tc>
          <w:tcPr>
            <w:tcW w:w="2312" w:type="dxa"/>
            <w:tcBorders>
              <w:tl2br w:val="nil"/>
              <w:tr2bl w:val="nil"/>
            </w:tcBorders>
            <w:noWrap w:val="0"/>
            <w:vAlign w:val="center"/>
          </w:tcPr>
          <w:p w14:paraId="0610D7C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E</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N2</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071</w:t>
            </w:r>
          </w:p>
        </w:tc>
        <w:tc>
          <w:tcPr>
            <w:tcW w:w="2234" w:type="dxa"/>
            <w:tcBorders>
              <w:tl2br w:val="nil"/>
              <w:tr2bl w:val="nil"/>
            </w:tcBorders>
            <w:noWrap w:val="0"/>
            <w:vAlign w:val="center"/>
          </w:tcPr>
          <w:p w14:paraId="7F7AD2C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112°38′0.48502″</w:t>
            </w:r>
          </w:p>
        </w:tc>
        <w:tc>
          <w:tcPr>
            <w:tcW w:w="2281" w:type="dxa"/>
            <w:tcBorders>
              <w:tl2br w:val="nil"/>
              <w:tr2bl w:val="nil"/>
            </w:tcBorders>
            <w:noWrap w:val="0"/>
            <w:vAlign w:val="center"/>
          </w:tcPr>
          <w:p w14:paraId="55423C6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29°11′38.30942″</w:t>
            </w:r>
          </w:p>
        </w:tc>
        <w:tc>
          <w:tcPr>
            <w:tcW w:w="2339" w:type="dxa"/>
            <w:tcBorders>
              <w:tl2br w:val="nil"/>
              <w:tr2bl w:val="nil"/>
            </w:tcBorders>
            <w:noWrap w:val="0"/>
            <w:vAlign w:val="center"/>
          </w:tcPr>
          <w:p w14:paraId="1966729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机关，约100人</w:t>
            </w:r>
          </w:p>
        </w:tc>
        <w:tc>
          <w:tcPr>
            <w:tcW w:w="2033" w:type="dxa"/>
            <w:vMerge w:val="continue"/>
            <w:tcBorders>
              <w:tl2br w:val="nil"/>
              <w:tr2bl w:val="nil"/>
            </w:tcBorders>
            <w:noWrap w:val="0"/>
            <w:vAlign w:val="center"/>
          </w:tcPr>
          <w:p w14:paraId="38BBB93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10DFDC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760" w:type="dxa"/>
            <w:vMerge w:val="continue"/>
            <w:tcBorders>
              <w:tl2br w:val="nil"/>
              <w:tr2bl w:val="nil"/>
            </w:tcBorders>
            <w:noWrap w:val="0"/>
            <w:vAlign w:val="center"/>
          </w:tcPr>
          <w:p w14:paraId="7224D7A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73EBFAF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#河坝镇中心小学</w:t>
            </w:r>
          </w:p>
        </w:tc>
        <w:tc>
          <w:tcPr>
            <w:tcW w:w="2312" w:type="dxa"/>
            <w:tcBorders>
              <w:tl2br w:val="nil"/>
              <w:tr2bl w:val="nil"/>
            </w:tcBorders>
            <w:noWrap w:val="0"/>
            <w:vAlign w:val="center"/>
          </w:tcPr>
          <w:p w14:paraId="494370C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E</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N</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1553</w:t>
            </w:r>
          </w:p>
        </w:tc>
        <w:tc>
          <w:tcPr>
            <w:tcW w:w="2234" w:type="dxa"/>
            <w:tcBorders>
              <w:tl2br w:val="nil"/>
              <w:tr2bl w:val="nil"/>
            </w:tcBorders>
            <w:noWrap w:val="0"/>
            <w:vAlign w:val="center"/>
          </w:tcPr>
          <w:p w14:paraId="5217FCA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112°37′50.71319″</w:t>
            </w:r>
          </w:p>
        </w:tc>
        <w:tc>
          <w:tcPr>
            <w:tcW w:w="2281" w:type="dxa"/>
            <w:tcBorders>
              <w:tl2br w:val="nil"/>
              <w:tr2bl w:val="nil"/>
            </w:tcBorders>
            <w:noWrap w:val="0"/>
            <w:vAlign w:val="center"/>
          </w:tcPr>
          <w:p w14:paraId="13A0013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29°11′15.17376″</w:t>
            </w:r>
          </w:p>
        </w:tc>
        <w:tc>
          <w:tcPr>
            <w:tcW w:w="2339" w:type="dxa"/>
            <w:tcBorders>
              <w:tl2br w:val="nil"/>
              <w:tr2bl w:val="nil"/>
            </w:tcBorders>
            <w:noWrap w:val="0"/>
            <w:vAlign w:val="center"/>
          </w:tcPr>
          <w:p w14:paraId="5F63F40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学校，约1000人</w:t>
            </w:r>
          </w:p>
        </w:tc>
        <w:tc>
          <w:tcPr>
            <w:tcW w:w="2033" w:type="dxa"/>
            <w:vMerge w:val="continue"/>
            <w:tcBorders>
              <w:tl2br w:val="nil"/>
              <w:tr2bl w:val="nil"/>
            </w:tcBorders>
            <w:noWrap w:val="0"/>
            <w:vAlign w:val="center"/>
          </w:tcPr>
          <w:p w14:paraId="11F024C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4A4CEB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760" w:type="dxa"/>
            <w:vMerge w:val="continue"/>
            <w:tcBorders>
              <w:tl2br w:val="nil"/>
              <w:tr2bl w:val="nil"/>
            </w:tcBorders>
            <w:noWrap w:val="0"/>
            <w:vAlign w:val="center"/>
          </w:tcPr>
          <w:p w14:paraId="392BF3D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0628C27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#大通湖区第一中学</w:t>
            </w:r>
          </w:p>
        </w:tc>
        <w:tc>
          <w:tcPr>
            <w:tcW w:w="2312" w:type="dxa"/>
            <w:tcBorders>
              <w:tl2br w:val="nil"/>
              <w:tr2bl w:val="nil"/>
            </w:tcBorders>
            <w:noWrap w:val="0"/>
            <w:vAlign w:val="center"/>
          </w:tcPr>
          <w:p w14:paraId="1F3D621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ES1478</w:t>
            </w:r>
          </w:p>
        </w:tc>
        <w:tc>
          <w:tcPr>
            <w:tcW w:w="2234" w:type="dxa"/>
            <w:tcBorders>
              <w:tl2br w:val="nil"/>
              <w:tr2bl w:val="nil"/>
            </w:tcBorders>
            <w:noWrap w:val="0"/>
            <w:vAlign w:val="center"/>
          </w:tcPr>
          <w:p w14:paraId="042856D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112°37′49.20686″</w:t>
            </w:r>
          </w:p>
        </w:tc>
        <w:tc>
          <w:tcPr>
            <w:tcW w:w="2281" w:type="dxa"/>
            <w:tcBorders>
              <w:tl2br w:val="nil"/>
              <w:tr2bl w:val="nil"/>
            </w:tcBorders>
            <w:noWrap w:val="0"/>
            <w:vAlign w:val="center"/>
          </w:tcPr>
          <w:p w14:paraId="11DAE2A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29°10′54.43277″</w:t>
            </w:r>
          </w:p>
        </w:tc>
        <w:tc>
          <w:tcPr>
            <w:tcW w:w="2339" w:type="dxa"/>
            <w:tcBorders>
              <w:tl2br w:val="nil"/>
              <w:tr2bl w:val="nil"/>
            </w:tcBorders>
            <w:noWrap w:val="0"/>
            <w:vAlign w:val="center"/>
          </w:tcPr>
          <w:p w14:paraId="49DC37C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学校，约1500人</w:t>
            </w:r>
          </w:p>
        </w:tc>
        <w:tc>
          <w:tcPr>
            <w:tcW w:w="2033" w:type="dxa"/>
            <w:vMerge w:val="continue"/>
            <w:tcBorders>
              <w:tl2br w:val="nil"/>
              <w:tr2bl w:val="nil"/>
            </w:tcBorders>
            <w:noWrap w:val="0"/>
            <w:vAlign w:val="center"/>
          </w:tcPr>
          <w:p w14:paraId="07D1B30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2D5BDC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760" w:type="dxa"/>
            <w:vMerge w:val="continue"/>
            <w:tcBorders>
              <w:tl2br w:val="nil"/>
              <w:tr2bl w:val="nil"/>
            </w:tcBorders>
            <w:noWrap w:val="0"/>
            <w:vAlign w:val="center"/>
          </w:tcPr>
          <w:p w14:paraId="4618FC7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0C954D2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5#惠民小区</w:t>
            </w:r>
          </w:p>
        </w:tc>
        <w:tc>
          <w:tcPr>
            <w:tcW w:w="2312" w:type="dxa"/>
            <w:tcBorders>
              <w:tl2br w:val="nil"/>
              <w:tr2bl w:val="nil"/>
            </w:tcBorders>
            <w:noWrap w:val="0"/>
            <w:vAlign w:val="center"/>
          </w:tcPr>
          <w:p w14:paraId="30DF88A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E</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N</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1452-1663</w:t>
            </w:r>
          </w:p>
        </w:tc>
        <w:tc>
          <w:tcPr>
            <w:tcW w:w="2234" w:type="dxa"/>
            <w:tcBorders>
              <w:tl2br w:val="nil"/>
              <w:tr2bl w:val="nil"/>
            </w:tcBorders>
            <w:noWrap w:val="0"/>
            <w:vAlign w:val="center"/>
          </w:tcPr>
          <w:p w14:paraId="79E62AA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112°37′45.30586″</w:t>
            </w:r>
          </w:p>
        </w:tc>
        <w:tc>
          <w:tcPr>
            <w:tcW w:w="2281" w:type="dxa"/>
            <w:tcBorders>
              <w:tl2br w:val="nil"/>
              <w:tr2bl w:val="nil"/>
            </w:tcBorders>
            <w:noWrap w:val="0"/>
            <w:vAlign w:val="center"/>
          </w:tcPr>
          <w:p w14:paraId="16CD545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29°11′29.69631″</w:t>
            </w:r>
          </w:p>
        </w:tc>
        <w:tc>
          <w:tcPr>
            <w:tcW w:w="2339" w:type="dxa"/>
            <w:tcBorders>
              <w:tl2br w:val="nil"/>
              <w:tr2bl w:val="nil"/>
            </w:tcBorders>
            <w:noWrap w:val="0"/>
            <w:vAlign w:val="center"/>
          </w:tcPr>
          <w:p w14:paraId="490F2CE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居民区，约500户</w:t>
            </w:r>
          </w:p>
        </w:tc>
        <w:tc>
          <w:tcPr>
            <w:tcW w:w="2033" w:type="dxa"/>
            <w:vMerge w:val="continue"/>
            <w:tcBorders>
              <w:tl2br w:val="nil"/>
              <w:tr2bl w:val="nil"/>
            </w:tcBorders>
            <w:noWrap w:val="0"/>
            <w:vAlign w:val="center"/>
          </w:tcPr>
          <w:p w14:paraId="6F2A820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2774FE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60" w:type="dxa"/>
            <w:vMerge w:val="continue"/>
            <w:tcBorders>
              <w:tl2br w:val="nil"/>
              <w:tr2bl w:val="nil"/>
            </w:tcBorders>
            <w:noWrap w:val="0"/>
            <w:vAlign w:val="center"/>
          </w:tcPr>
          <w:p w14:paraId="2E294C8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17CC16B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6#大通湖区居民</w:t>
            </w:r>
          </w:p>
        </w:tc>
        <w:tc>
          <w:tcPr>
            <w:tcW w:w="2312" w:type="dxa"/>
            <w:tcBorders>
              <w:tl2br w:val="nil"/>
              <w:tr2bl w:val="nil"/>
            </w:tcBorders>
            <w:noWrap w:val="0"/>
            <w:vAlign w:val="center"/>
          </w:tcPr>
          <w:p w14:paraId="25F13FB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EN1050-2500</w:t>
            </w:r>
          </w:p>
        </w:tc>
        <w:tc>
          <w:tcPr>
            <w:tcW w:w="2234" w:type="dxa"/>
            <w:tcBorders>
              <w:tl2br w:val="nil"/>
              <w:tr2bl w:val="nil"/>
            </w:tcBorders>
            <w:noWrap w:val="0"/>
            <w:vAlign w:val="center"/>
          </w:tcPr>
          <w:p w14:paraId="4ADF8BA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112°38′3.69079″</w:t>
            </w:r>
          </w:p>
        </w:tc>
        <w:tc>
          <w:tcPr>
            <w:tcW w:w="2281" w:type="dxa"/>
            <w:tcBorders>
              <w:tl2br w:val="nil"/>
              <w:tr2bl w:val="nil"/>
            </w:tcBorders>
            <w:noWrap w:val="0"/>
            <w:vAlign w:val="center"/>
          </w:tcPr>
          <w:p w14:paraId="05CB192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29°11′23.70962″</w:t>
            </w:r>
          </w:p>
        </w:tc>
        <w:tc>
          <w:tcPr>
            <w:tcW w:w="2339" w:type="dxa"/>
            <w:tcBorders>
              <w:tl2br w:val="nil"/>
              <w:tr2bl w:val="nil"/>
            </w:tcBorders>
            <w:noWrap w:val="0"/>
            <w:vAlign w:val="center"/>
          </w:tcPr>
          <w:p w14:paraId="56C0B16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居民区，约</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3500户</w:t>
            </w:r>
          </w:p>
        </w:tc>
        <w:tc>
          <w:tcPr>
            <w:tcW w:w="2033" w:type="dxa"/>
            <w:vMerge w:val="continue"/>
            <w:tcBorders>
              <w:tl2br w:val="nil"/>
              <w:tr2bl w:val="nil"/>
            </w:tcBorders>
            <w:noWrap w:val="0"/>
            <w:vAlign w:val="center"/>
          </w:tcPr>
          <w:p w14:paraId="153B470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673AAE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760" w:type="dxa"/>
            <w:vMerge w:val="continue"/>
            <w:tcBorders>
              <w:tl2br w:val="nil"/>
              <w:tr2bl w:val="nil"/>
            </w:tcBorders>
            <w:noWrap w:val="0"/>
            <w:vAlign w:val="center"/>
          </w:tcPr>
          <w:p w14:paraId="37910E7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6B502EA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居民散户</w:t>
            </w:r>
          </w:p>
        </w:tc>
        <w:tc>
          <w:tcPr>
            <w:tcW w:w="2312" w:type="dxa"/>
            <w:tcBorders>
              <w:tl2br w:val="nil"/>
              <w:tr2bl w:val="nil"/>
            </w:tcBorders>
            <w:noWrap w:val="0"/>
            <w:vAlign w:val="center"/>
          </w:tcPr>
          <w:p w14:paraId="32B3C31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E663-1230</w:t>
            </w:r>
          </w:p>
        </w:tc>
        <w:tc>
          <w:tcPr>
            <w:tcW w:w="2234" w:type="dxa"/>
            <w:tcBorders>
              <w:tl2br w:val="nil"/>
              <w:tr2bl w:val="nil"/>
            </w:tcBorders>
            <w:noWrap w:val="0"/>
            <w:vAlign w:val="center"/>
          </w:tcPr>
          <w:p w14:paraId="23B4D54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112°37′25.99395″</w:t>
            </w:r>
          </w:p>
        </w:tc>
        <w:tc>
          <w:tcPr>
            <w:tcW w:w="2281" w:type="dxa"/>
            <w:tcBorders>
              <w:tl2br w:val="nil"/>
              <w:tr2bl w:val="nil"/>
            </w:tcBorders>
            <w:noWrap w:val="0"/>
            <w:vAlign w:val="center"/>
          </w:tcPr>
          <w:p w14:paraId="37A0EBB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29°11′1.46230″</w:t>
            </w:r>
          </w:p>
        </w:tc>
        <w:tc>
          <w:tcPr>
            <w:tcW w:w="2339" w:type="dxa"/>
            <w:tcBorders>
              <w:tl2br w:val="nil"/>
              <w:tr2bl w:val="nil"/>
            </w:tcBorders>
            <w:noWrap w:val="0"/>
            <w:vAlign w:val="center"/>
          </w:tcPr>
          <w:p w14:paraId="4298E7D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居民区，约</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50户</w:t>
            </w:r>
          </w:p>
        </w:tc>
        <w:tc>
          <w:tcPr>
            <w:tcW w:w="2033" w:type="dxa"/>
            <w:vMerge w:val="continue"/>
            <w:tcBorders>
              <w:tl2br w:val="nil"/>
              <w:tr2bl w:val="nil"/>
            </w:tcBorders>
            <w:noWrap w:val="0"/>
            <w:vAlign w:val="center"/>
          </w:tcPr>
          <w:p w14:paraId="143C3C4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2D08AD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60" w:type="dxa"/>
            <w:vMerge w:val="continue"/>
            <w:tcBorders>
              <w:tl2br w:val="nil"/>
              <w:tr2bl w:val="nil"/>
            </w:tcBorders>
            <w:noWrap w:val="0"/>
            <w:vAlign w:val="center"/>
          </w:tcPr>
          <w:p w14:paraId="2C524B6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6A44AB3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8#河万洲居民</w:t>
            </w:r>
          </w:p>
        </w:tc>
        <w:tc>
          <w:tcPr>
            <w:tcW w:w="2312" w:type="dxa"/>
            <w:tcBorders>
              <w:tl2br w:val="nil"/>
              <w:tr2bl w:val="nil"/>
            </w:tcBorders>
            <w:noWrap w:val="0"/>
            <w:vAlign w:val="center"/>
          </w:tcPr>
          <w:p w14:paraId="3224372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ES755-1780</w:t>
            </w:r>
          </w:p>
        </w:tc>
        <w:tc>
          <w:tcPr>
            <w:tcW w:w="2234" w:type="dxa"/>
            <w:tcBorders>
              <w:tl2br w:val="nil"/>
              <w:tr2bl w:val="nil"/>
            </w:tcBorders>
            <w:noWrap w:val="0"/>
            <w:vAlign w:val="center"/>
          </w:tcPr>
          <w:p w14:paraId="4D79181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112°37′38.00596″</w:t>
            </w:r>
          </w:p>
        </w:tc>
        <w:tc>
          <w:tcPr>
            <w:tcW w:w="2281" w:type="dxa"/>
            <w:tcBorders>
              <w:tl2br w:val="nil"/>
              <w:tr2bl w:val="nil"/>
            </w:tcBorders>
            <w:noWrap w:val="0"/>
            <w:vAlign w:val="center"/>
          </w:tcPr>
          <w:p w14:paraId="24F387A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29°10′33.22830″</w:t>
            </w:r>
          </w:p>
        </w:tc>
        <w:tc>
          <w:tcPr>
            <w:tcW w:w="2339" w:type="dxa"/>
            <w:tcBorders>
              <w:tl2br w:val="nil"/>
              <w:tr2bl w:val="nil"/>
            </w:tcBorders>
            <w:noWrap w:val="0"/>
            <w:vAlign w:val="center"/>
          </w:tcPr>
          <w:p w14:paraId="69564E9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居民区，约</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70户</w:t>
            </w:r>
          </w:p>
        </w:tc>
        <w:tc>
          <w:tcPr>
            <w:tcW w:w="2033" w:type="dxa"/>
            <w:vMerge w:val="continue"/>
            <w:tcBorders>
              <w:tl2br w:val="nil"/>
              <w:tr2bl w:val="nil"/>
            </w:tcBorders>
            <w:noWrap w:val="0"/>
            <w:vAlign w:val="center"/>
          </w:tcPr>
          <w:p w14:paraId="43356E5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46405D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60" w:type="dxa"/>
            <w:vMerge w:val="continue"/>
            <w:tcBorders>
              <w:tl2br w:val="nil"/>
              <w:tr2bl w:val="nil"/>
            </w:tcBorders>
            <w:noWrap w:val="0"/>
            <w:vAlign w:val="center"/>
          </w:tcPr>
          <w:p w14:paraId="7EC2296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37DA593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9#河众村居民</w:t>
            </w:r>
          </w:p>
        </w:tc>
        <w:tc>
          <w:tcPr>
            <w:tcW w:w="2312" w:type="dxa"/>
            <w:tcBorders>
              <w:tl2br w:val="nil"/>
              <w:tr2bl w:val="nil"/>
            </w:tcBorders>
            <w:noWrap w:val="0"/>
            <w:vAlign w:val="center"/>
          </w:tcPr>
          <w:p w14:paraId="082468B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ES1922-2500</w:t>
            </w:r>
          </w:p>
        </w:tc>
        <w:tc>
          <w:tcPr>
            <w:tcW w:w="2234" w:type="dxa"/>
            <w:tcBorders>
              <w:tl2br w:val="nil"/>
              <w:tr2bl w:val="nil"/>
            </w:tcBorders>
            <w:noWrap w:val="0"/>
            <w:vAlign w:val="center"/>
          </w:tcPr>
          <w:p w14:paraId="0C3272D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112°38′21.57361″</w:t>
            </w:r>
          </w:p>
        </w:tc>
        <w:tc>
          <w:tcPr>
            <w:tcW w:w="2281" w:type="dxa"/>
            <w:tcBorders>
              <w:tl2br w:val="nil"/>
              <w:tr2bl w:val="nil"/>
            </w:tcBorders>
            <w:noWrap w:val="0"/>
            <w:vAlign w:val="center"/>
          </w:tcPr>
          <w:p w14:paraId="0BDCAF2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29°10′31.68335″</w:t>
            </w:r>
          </w:p>
        </w:tc>
        <w:tc>
          <w:tcPr>
            <w:tcW w:w="2339" w:type="dxa"/>
            <w:tcBorders>
              <w:tl2br w:val="nil"/>
              <w:tr2bl w:val="nil"/>
            </w:tcBorders>
            <w:noWrap w:val="0"/>
            <w:vAlign w:val="center"/>
          </w:tcPr>
          <w:p w14:paraId="5E68650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居民区，约</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40户</w:t>
            </w:r>
          </w:p>
        </w:tc>
        <w:tc>
          <w:tcPr>
            <w:tcW w:w="2033" w:type="dxa"/>
            <w:vMerge w:val="continue"/>
            <w:tcBorders>
              <w:tl2br w:val="nil"/>
              <w:tr2bl w:val="nil"/>
            </w:tcBorders>
            <w:noWrap w:val="0"/>
            <w:vAlign w:val="center"/>
          </w:tcPr>
          <w:p w14:paraId="57BDCF8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7E445A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60" w:type="dxa"/>
            <w:vMerge w:val="continue"/>
            <w:tcBorders>
              <w:tl2br w:val="nil"/>
              <w:tr2bl w:val="nil"/>
            </w:tcBorders>
            <w:noWrap w:val="0"/>
            <w:vAlign w:val="center"/>
          </w:tcPr>
          <w:p w14:paraId="373BE91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38BC61F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10#三分场五分队居民</w:t>
            </w:r>
          </w:p>
        </w:tc>
        <w:tc>
          <w:tcPr>
            <w:tcW w:w="2312" w:type="dxa"/>
            <w:tcBorders>
              <w:tl2br w:val="nil"/>
              <w:tr2bl w:val="nil"/>
            </w:tcBorders>
            <w:noWrap w:val="0"/>
            <w:vAlign w:val="center"/>
          </w:tcPr>
          <w:p w14:paraId="566362B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S1400-1900</w:t>
            </w:r>
          </w:p>
        </w:tc>
        <w:tc>
          <w:tcPr>
            <w:tcW w:w="2234" w:type="dxa"/>
            <w:tcBorders>
              <w:tl2br w:val="nil"/>
              <w:tr2bl w:val="nil"/>
            </w:tcBorders>
            <w:noWrap w:val="0"/>
            <w:vAlign w:val="center"/>
          </w:tcPr>
          <w:p w14:paraId="2F92028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112°37′24.87386″</w:t>
            </w:r>
          </w:p>
        </w:tc>
        <w:tc>
          <w:tcPr>
            <w:tcW w:w="2281" w:type="dxa"/>
            <w:tcBorders>
              <w:tl2br w:val="nil"/>
              <w:tr2bl w:val="nil"/>
            </w:tcBorders>
            <w:noWrap w:val="0"/>
            <w:vAlign w:val="center"/>
          </w:tcPr>
          <w:p w14:paraId="6BFB45C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29°10′10.16989″</w:t>
            </w:r>
          </w:p>
        </w:tc>
        <w:tc>
          <w:tcPr>
            <w:tcW w:w="2339" w:type="dxa"/>
            <w:tcBorders>
              <w:tl2br w:val="nil"/>
              <w:tr2bl w:val="nil"/>
            </w:tcBorders>
            <w:noWrap w:val="0"/>
            <w:vAlign w:val="center"/>
          </w:tcPr>
          <w:p w14:paraId="520907A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居民区，约</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85户</w:t>
            </w:r>
          </w:p>
        </w:tc>
        <w:tc>
          <w:tcPr>
            <w:tcW w:w="2033" w:type="dxa"/>
            <w:vMerge w:val="continue"/>
            <w:tcBorders>
              <w:tl2br w:val="nil"/>
              <w:tr2bl w:val="nil"/>
            </w:tcBorders>
            <w:noWrap w:val="0"/>
            <w:vAlign w:val="center"/>
          </w:tcPr>
          <w:p w14:paraId="6BAF813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5FD66F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60" w:type="dxa"/>
            <w:vMerge w:val="continue"/>
            <w:tcBorders>
              <w:tl2br w:val="nil"/>
              <w:tr2bl w:val="nil"/>
            </w:tcBorders>
            <w:noWrap w:val="0"/>
            <w:vAlign w:val="center"/>
          </w:tcPr>
          <w:p w14:paraId="0859580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4656FAC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11#三分场一分队居民</w:t>
            </w:r>
          </w:p>
        </w:tc>
        <w:tc>
          <w:tcPr>
            <w:tcW w:w="2312" w:type="dxa"/>
            <w:tcBorders>
              <w:tl2br w:val="nil"/>
              <w:tr2bl w:val="nil"/>
            </w:tcBorders>
            <w:noWrap w:val="0"/>
            <w:vAlign w:val="center"/>
          </w:tcPr>
          <w:p w14:paraId="11289DD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ES2230-3000</w:t>
            </w:r>
          </w:p>
        </w:tc>
        <w:tc>
          <w:tcPr>
            <w:tcW w:w="2234" w:type="dxa"/>
            <w:tcBorders>
              <w:tl2br w:val="nil"/>
              <w:tr2bl w:val="nil"/>
            </w:tcBorders>
            <w:noWrap w:val="0"/>
            <w:vAlign w:val="center"/>
          </w:tcPr>
          <w:p w14:paraId="70B2A0B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112°38′15.70280″</w:t>
            </w:r>
          </w:p>
        </w:tc>
        <w:tc>
          <w:tcPr>
            <w:tcW w:w="2281" w:type="dxa"/>
            <w:tcBorders>
              <w:tl2br w:val="nil"/>
              <w:tr2bl w:val="nil"/>
            </w:tcBorders>
            <w:noWrap w:val="0"/>
            <w:vAlign w:val="center"/>
          </w:tcPr>
          <w:p w14:paraId="4652946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29°10′</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ES</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3.83559″</w:t>
            </w:r>
          </w:p>
        </w:tc>
        <w:tc>
          <w:tcPr>
            <w:tcW w:w="2339" w:type="dxa"/>
            <w:tcBorders>
              <w:tl2br w:val="nil"/>
              <w:tr2bl w:val="nil"/>
            </w:tcBorders>
            <w:noWrap w:val="0"/>
            <w:vAlign w:val="center"/>
          </w:tcPr>
          <w:p w14:paraId="7ADD3AA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居民区，约</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20户</w:t>
            </w:r>
          </w:p>
        </w:tc>
        <w:tc>
          <w:tcPr>
            <w:tcW w:w="2033" w:type="dxa"/>
            <w:vMerge w:val="continue"/>
            <w:tcBorders>
              <w:tl2br w:val="nil"/>
              <w:tr2bl w:val="nil"/>
            </w:tcBorders>
            <w:noWrap w:val="0"/>
            <w:vAlign w:val="center"/>
          </w:tcPr>
          <w:p w14:paraId="4268A36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68E17B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760" w:type="dxa"/>
            <w:vMerge w:val="continue"/>
            <w:tcBorders>
              <w:tl2br w:val="nil"/>
              <w:tr2bl w:val="nil"/>
            </w:tcBorders>
            <w:noWrap w:val="0"/>
            <w:vAlign w:val="center"/>
          </w:tcPr>
          <w:p w14:paraId="33439AD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6F03331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12#河心洲村居民</w:t>
            </w:r>
          </w:p>
        </w:tc>
        <w:tc>
          <w:tcPr>
            <w:tcW w:w="2312" w:type="dxa"/>
            <w:tcBorders>
              <w:tl2br w:val="nil"/>
              <w:tr2bl w:val="nil"/>
            </w:tcBorders>
            <w:noWrap w:val="0"/>
            <w:vAlign w:val="center"/>
          </w:tcPr>
          <w:p w14:paraId="7D47D5B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S1902-2500</w:t>
            </w:r>
          </w:p>
        </w:tc>
        <w:tc>
          <w:tcPr>
            <w:tcW w:w="2234" w:type="dxa"/>
            <w:tcBorders>
              <w:tl2br w:val="nil"/>
              <w:tr2bl w:val="nil"/>
            </w:tcBorders>
            <w:noWrap w:val="0"/>
            <w:vAlign w:val="center"/>
          </w:tcPr>
          <w:p w14:paraId="4411700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112°37′18.23057″</w:t>
            </w:r>
          </w:p>
        </w:tc>
        <w:tc>
          <w:tcPr>
            <w:tcW w:w="2281" w:type="dxa"/>
            <w:tcBorders>
              <w:tl2br w:val="nil"/>
              <w:tr2bl w:val="nil"/>
            </w:tcBorders>
            <w:noWrap w:val="0"/>
            <w:vAlign w:val="center"/>
          </w:tcPr>
          <w:p w14:paraId="4076319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29°9′39.96607″</w:t>
            </w:r>
          </w:p>
        </w:tc>
        <w:tc>
          <w:tcPr>
            <w:tcW w:w="2339" w:type="dxa"/>
            <w:tcBorders>
              <w:tl2br w:val="nil"/>
              <w:tr2bl w:val="nil"/>
            </w:tcBorders>
            <w:noWrap w:val="0"/>
            <w:vAlign w:val="center"/>
          </w:tcPr>
          <w:p w14:paraId="2F929A2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居民区，约</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120户</w:t>
            </w:r>
          </w:p>
        </w:tc>
        <w:tc>
          <w:tcPr>
            <w:tcW w:w="2033" w:type="dxa"/>
            <w:vMerge w:val="continue"/>
            <w:tcBorders>
              <w:tl2br w:val="nil"/>
              <w:tr2bl w:val="nil"/>
            </w:tcBorders>
            <w:noWrap w:val="0"/>
            <w:vAlign w:val="center"/>
          </w:tcPr>
          <w:p w14:paraId="01920E4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22B681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60" w:type="dxa"/>
            <w:vMerge w:val="continue"/>
            <w:tcBorders>
              <w:tl2br w:val="nil"/>
              <w:tr2bl w:val="nil"/>
            </w:tcBorders>
            <w:noWrap w:val="0"/>
            <w:vAlign w:val="center"/>
          </w:tcPr>
          <w:p w14:paraId="34339E2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1252159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13#五分场一分队居民</w:t>
            </w:r>
          </w:p>
        </w:tc>
        <w:tc>
          <w:tcPr>
            <w:tcW w:w="2312" w:type="dxa"/>
            <w:tcBorders>
              <w:tl2br w:val="nil"/>
              <w:tr2bl w:val="nil"/>
            </w:tcBorders>
            <w:noWrap w:val="0"/>
            <w:vAlign w:val="center"/>
          </w:tcPr>
          <w:p w14:paraId="75D0BBD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EN2620-3300</w:t>
            </w:r>
          </w:p>
        </w:tc>
        <w:tc>
          <w:tcPr>
            <w:tcW w:w="2234" w:type="dxa"/>
            <w:tcBorders>
              <w:tl2br w:val="nil"/>
              <w:tr2bl w:val="nil"/>
            </w:tcBorders>
            <w:noWrap w:val="0"/>
            <w:vAlign w:val="center"/>
          </w:tcPr>
          <w:p w14:paraId="35A74E2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112°38′13.84885″</w:t>
            </w:r>
          </w:p>
        </w:tc>
        <w:tc>
          <w:tcPr>
            <w:tcW w:w="2281" w:type="dxa"/>
            <w:tcBorders>
              <w:tl2br w:val="nil"/>
              <w:tr2bl w:val="nil"/>
            </w:tcBorders>
            <w:noWrap w:val="0"/>
            <w:vAlign w:val="center"/>
          </w:tcPr>
          <w:p w14:paraId="5B6392C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29°12′10.44443″</w:t>
            </w:r>
          </w:p>
        </w:tc>
        <w:tc>
          <w:tcPr>
            <w:tcW w:w="2339" w:type="dxa"/>
            <w:tcBorders>
              <w:tl2br w:val="nil"/>
              <w:tr2bl w:val="nil"/>
            </w:tcBorders>
            <w:noWrap w:val="0"/>
            <w:vAlign w:val="center"/>
          </w:tcPr>
          <w:p w14:paraId="720BBD9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居民区，约</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115户</w:t>
            </w:r>
          </w:p>
        </w:tc>
        <w:tc>
          <w:tcPr>
            <w:tcW w:w="2033" w:type="dxa"/>
            <w:vMerge w:val="continue"/>
            <w:tcBorders>
              <w:tl2br w:val="nil"/>
              <w:tr2bl w:val="nil"/>
            </w:tcBorders>
            <w:noWrap w:val="0"/>
            <w:vAlign w:val="center"/>
          </w:tcPr>
          <w:p w14:paraId="291CE63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204133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760" w:type="dxa"/>
            <w:vMerge w:val="continue"/>
            <w:tcBorders>
              <w:tl2br w:val="nil"/>
              <w:tr2bl w:val="nil"/>
            </w:tcBorders>
            <w:noWrap w:val="0"/>
            <w:vAlign w:val="center"/>
          </w:tcPr>
          <w:p w14:paraId="0898979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22D0BB4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14#五分场机耕队居民</w:t>
            </w:r>
          </w:p>
        </w:tc>
        <w:tc>
          <w:tcPr>
            <w:tcW w:w="2312" w:type="dxa"/>
            <w:tcBorders>
              <w:tl2br w:val="nil"/>
              <w:tr2bl w:val="nil"/>
            </w:tcBorders>
            <w:noWrap w:val="0"/>
            <w:vAlign w:val="center"/>
          </w:tcPr>
          <w:p w14:paraId="6E307FE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EN2034-3082</w:t>
            </w:r>
          </w:p>
        </w:tc>
        <w:tc>
          <w:tcPr>
            <w:tcW w:w="2234" w:type="dxa"/>
            <w:tcBorders>
              <w:tl2br w:val="nil"/>
              <w:tr2bl w:val="nil"/>
            </w:tcBorders>
            <w:noWrap w:val="0"/>
            <w:vAlign w:val="center"/>
          </w:tcPr>
          <w:p w14:paraId="3BF9D9C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112°37′47.58466″</w:t>
            </w:r>
          </w:p>
        </w:tc>
        <w:tc>
          <w:tcPr>
            <w:tcW w:w="2281" w:type="dxa"/>
            <w:tcBorders>
              <w:tl2br w:val="nil"/>
              <w:tr2bl w:val="nil"/>
            </w:tcBorders>
            <w:noWrap w:val="0"/>
            <w:vAlign w:val="center"/>
          </w:tcPr>
          <w:p w14:paraId="183ABE4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29°12′10.13544″</w:t>
            </w:r>
          </w:p>
        </w:tc>
        <w:tc>
          <w:tcPr>
            <w:tcW w:w="2339" w:type="dxa"/>
            <w:tcBorders>
              <w:tl2br w:val="nil"/>
              <w:tr2bl w:val="nil"/>
            </w:tcBorders>
            <w:noWrap w:val="0"/>
            <w:vAlign w:val="center"/>
          </w:tcPr>
          <w:p w14:paraId="1D73AA5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42户</w:t>
            </w:r>
          </w:p>
        </w:tc>
        <w:tc>
          <w:tcPr>
            <w:tcW w:w="2033" w:type="dxa"/>
            <w:vMerge w:val="continue"/>
            <w:tcBorders>
              <w:tl2br w:val="nil"/>
              <w:tr2bl w:val="nil"/>
            </w:tcBorders>
            <w:noWrap w:val="0"/>
            <w:vAlign w:val="center"/>
          </w:tcPr>
          <w:p w14:paraId="2B5D72E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43C49D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760" w:type="dxa"/>
            <w:vMerge w:val="continue"/>
            <w:tcBorders>
              <w:tl2br w:val="nil"/>
              <w:tr2bl w:val="nil"/>
            </w:tcBorders>
            <w:noWrap w:val="0"/>
            <w:vAlign w:val="center"/>
          </w:tcPr>
          <w:p w14:paraId="3A71C4E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03A75DA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15#五分场二队居民</w:t>
            </w:r>
          </w:p>
        </w:tc>
        <w:tc>
          <w:tcPr>
            <w:tcW w:w="2312" w:type="dxa"/>
            <w:tcBorders>
              <w:tl2br w:val="nil"/>
              <w:tr2bl w:val="nil"/>
            </w:tcBorders>
            <w:noWrap w:val="0"/>
            <w:vAlign w:val="center"/>
          </w:tcPr>
          <w:p w14:paraId="0B47D7A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EN1395-2457</w:t>
            </w:r>
          </w:p>
        </w:tc>
        <w:tc>
          <w:tcPr>
            <w:tcW w:w="2234" w:type="dxa"/>
            <w:tcBorders>
              <w:tl2br w:val="nil"/>
              <w:tr2bl w:val="nil"/>
            </w:tcBorders>
            <w:noWrap w:val="0"/>
            <w:vAlign w:val="center"/>
          </w:tcPr>
          <w:p w14:paraId="0CCE347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112°37′23.09717″</w:t>
            </w:r>
          </w:p>
        </w:tc>
        <w:tc>
          <w:tcPr>
            <w:tcW w:w="2281" w:type="dxa"/>
            <w:tcBorders>
              <w:tl2br w:val="nil"/>
              <w:tr2bl w:val="nil"/>
            </w:tcBorders>
            <w:noWrap w:val="0"/>
            <w:vAlign w:val="center"/>
          </w:tcPr>
          <w:p w14:paraId="0761FBB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29°11′54.06794″</w:t>
            </w:r>
          </w:p>
        </w:tc>
        <w:tc>
          <w:tcPr>
            <w:tcW w:w="2339" w:type="dxa"/>
            <w:tcBorders>
              <w:tl2br w:val="nil"/>
              <w:tr2bl w:val="nil"/>
            </w:tcBorders>
            <w:noWrap w:val="0"/>
            <w:vAlign w:val="center"/>
          </w:tcPr>
          <w:p w14:paraId="4209B1D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25户</w:t>
            </w:r>
          </w:p>
        </w:tc>
        <w:tc>
          <w:tcPr>
            <w:tcW w:w="2033" w:type="dxa"/>
            <w:vMerge w:val="continue"/>
            <w:tcBorders>
              <w:tl2br w:val="nil"/>
              <w:tr2bl w:val="nil"/>
            </w:tcBorders>
            <w:noWrap w:val="0"/>
            <w:vAlign w:val="center"/>
          </w:tcPr>
          <w:p w14:paraId="5D86BEC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7BFC4C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760" w:type="dxa"/>
            <w:vMerge w:val="continue"/>
            <w:tcBorders>
              <w:tl2br w:val="nil"/>
              <w:tr2bl w:val="nil"/>
            </w:tcBorders>
            <w:noWrap w:val="0"/>
            <w:vAlign w:val="center"/>
          </w:tcPr>
          <w:p w14:paraId="17F7DB9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70438B2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16#</w:t>
            </w:r>
            <w:r>
              <w:rPr>
                <w:rFonts w:hint="default" w:ascii="Times New Roman" w:hAnsi="Times New Roman" w:eastAsia="宋体" w:cs="Times New Roman"/>
                <w:color w:val="auto"/>
                <w:sz w:val="21"/>
                <w:szCs w:val="21"/>
                <w:highlight w:val="none"/>
                <w:u w:val="none" w:color="auto"/>
              </w:rPr>
              <w:t>三财苑社区居民</w:t>
            </w:r>
          </w:p>
        </w:tc>
        <w:tc>
          <w:tcPr>
            <w:tcW w:w="2312" w:type="dxa"/>
            <w:tcBorders>
              <w:tl2br w:val="nil"/>
              <w:tr2bl w:val="nil"/>
            </w:tcBorders>
            <w:noWrap w:val="0"/>
            <w:vAlign w:val="center"/>
          </w:tcPr>
          <w:p w14:paraId="7BB59EF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N960-1300</w:t>
            </w:r>
          </w:p>
        </w:tc>
        <w:tc>
          <w:tcPr>
            <w:tcW w:w="2234" w:type="dxa"/>
            <w:tcBorders>
              <w:tl2br w:val="nil"/>
              <w:tr2bl w:val="nil"/>
            </w:tcBorders>
            <w:noWrap w:val="0"/>
            <w:vAlign w:val="center"/>
          </w:tcPr>
          <w:p w14:paraId="023053C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112°37′1.15884″</w:t>
            </w:r>
          </w:p>
        </w:tc>
        <w:tc>
          <w:tcPr>
            <w:tcW w:w="2281" w:type="dxa"/>
            <w:tcBorders>
              <w:tl2br w:val="nil"/>
              <w:tr2bl w:val="nil"/>
            </w:tcBorders>
            <w:noWrap w:val="0"/>
            <w:vAlign w:val="center"/>
          </w:tcPr>
          <w:p w14:paraId="2339D17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29°11′35.45126″</w:t>
            </w:r>
          </w:p>
        </w:tc>
        <w:tc>
          <w:tcPr>
            <w:tcW w:w="2339" w:type="dxa"/>
            <w:tcBorders>
              <w:tl2br w:val="nil"/>
              <w:tr2bl w:val="nil"/>
            </w:tcBorders>
            <w:noWrap w:val="0"/>
            <w:vAlign w:val="center"/>
          </w:tcPr>
          <w:p w14:paraId="4956826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20户</w:t>
            </w:r>
          </w:p>
        </w:tc>
        <w:tc>
          <w:tcPr>
            <w:tcW w:w="2033" w:type="dxa"/>
            <w:vMerge w:val="continue"/>
            <w:tcBorders>
              <w:tl2br w:val="nil"/>
              <w:tr2bl w:val="nil"/>
            </w:tcBorders>
            <w:noWrap w:val="0"/>
            <w:vAlign w:val="center"/>
          </w:tcPr>
          <w:p w14:paraId="6F93598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3814F8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3D63C40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60405EA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17#五分场五队居民</w:t>
            </w:r>
          </w:p>
        </w:tc>
        <w:tc>
          <w:tcPr>
            <w:tcW w:w="2312" w:type="dxa"/>
            <w:tcBorders>
              <w:tl2br w:val="nil"/>
              <w:tr2bl w:val="nil"/>
            </w:tcBorders>
            <w:noWrap w:val="0"/>
            <w:vAlign w:val="center"/>
          </w:tcPr>
          <w:p w14:paraId="274985B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N349-925</w:t>
            </w:r>
          </w:p>
        </w:tc>
        <w:tc>
          <w:tcPr>
            <w:tcW w:w="2234" w:type="dxa"/>
            <w:tcBorders>
              <w:tl2br w:val="nil"/>
              <w:tr2bl w:val="nil"/>
            </w:tcBorders>
            <w:noWrap w:val="0"/>
            <w:vAlign w:val="center"/>
          </w:tcPr>
          <w:p w14:paraId="484C3FE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112°36′54.51555″</w:t>
            </w:r>
          </w:p>
        </w:tc>
        <w:tc>
          <w:tcPr>
            <w:tcW w:w="2281" w:type="dxa"/>
            <w:tcBorders>
              <w:tl2br w:val="nil"/>
              <w:tr2bl w:val="nil"/>
            </w:tcBorders>
            <w:noWrap w:val="0"/>
            <w:vAlign w:val="center"/>
          </w:tcPr>
          <w:p w14:paraId="4E13201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29°11′23.16889″</w:t>
            </w:r>
          </w:p>
        </w:tc>
        <w:tc>
          <w:tcPr>
            <w:tcW w:w="2339" w:type="dxa"/>
            <w:tcBorders>
              <w:tl2br w:val="nil"/>
              <w:tr2bl w:val="nil"/>
            </w:tcBorders>
            <w:noWrap w:val="0"/>
            <w:vAlign w:val="center"/>
          </w:tcPr>
          <w:p w14:paraId="612D06C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30户</w:t>
            </w:r>
          </w:p>
        </w:tc>
        <w:tc>
          <w:tcPr>
            <w:tcW w:w="2033" w:type="dxa"/>
            <w:vMerge w:val="continue"/>
            <w:tcBorders>
              <w:tl2br w:val="nil"/>
              <w:tr2bl w:val="nil"/>
            </w:tcBorders>
            <w:noWrap w:val="0"/>
            <w:vAlign w:val="center"/>
          </w:tcPr>
          <w:p w14:paraId="33621E1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39DB5C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3A0A3E8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0C76705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18#新胜村居民</w:t>
            </w:r>
          </w:p>
        </w:tc>
        <w:tc>
          <w:tcPr>
            <w:tcW w:w="2312" w:type="dxa"/>
            <w:tcBorders>
              <w:tl2br w:val="nil"/>
              <w:tr2bl w:val="nil"/>
            </w:tcBorders>
            <w:noWrap w:val="0"/>
            <w:vAlign w:val="center"/>
          </w:tcPr>
          <w:p w14:paraId="287DB7B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N1160-2500</w:t>
            </w:r>
          </w:p>
        </w:tc>
        <w:tc>
          <w:tcPr>
            <w:tcW w:w="2234" w:type="dxa"/>
            <w:tcBorders>
              <w:tl2br w:val="nil"/>
              <w:tr2bl w:val="nil"/>
            </w:tcBorders>
            <w:noWrap w:val="0"/>
            <w:vAlign w:val="center"/>
          </w:tcPr>
          <w:p w14:paraId="3EA689D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112°36′52.97059″</w:t>
            </w:r>
          </w:p>
        </w:tc>
        <w:tc>
          <w:tcPr>
            <w:tcW w:w="2281" w:type="dxa"/>
            <w:tcBorders>
              <w:tl2br w:val="nil"/>
              <w:tr2bl w:val="nil"/>
            </w:tcBorders>
            <w:noWrap w:val="0"/>
            <w:vAlign w:val="center"/>
          </w:tcPr>
          <w:p w14:paraId="339D328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29°11′50.43730″</w:t>
            </w:r>
          </w:p>
        </w:tc>
        <w:tc>
          <w:tcPr>
            <w:tcW w:w="2339" w:type="dxa"/>
            <w:tcBorders>
              <w:tl2br w:val="nil"/>
              <w:tr2bl w:val="nil"/>
            </w:tcBorders>
            <w:noWrap w:val="0"/>
            <w:vAlign w:val="center"/>
          </w:tcPr>
          <w:p w14:paraId="13134C3F">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60户</w:t>
            </w:r>
          </w:p>
        </w:tc>
        <w:tc>
          <w:tcPr>
            <w:tcW w:w="2033" w:type="dxa"/>
            <w:vMerge w:val="continue"/>
            <w:tcBorders>
              <w:tl2br w:val="nil"/>
              <w:tr2bl w:val="nil"/>
            </w:tcBorders>
            <w:noWrap w:val="0"/>
            <w:vAlign w:val="center"/>
          </w:tcPr>
          <w:p w14:paraId="36F3A74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514A87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58D5D06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0B9CF5F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19#</w:t>
            </w:r>
            <w:r>
              <w:rPr>
                <w:rFonts w:hint="default" w:ascii="Times New Roman" w:hAnsi="Times New Roman" w:eastAsia="宋体" w:cs="Times New Roman"/>
                <w:color w:val="auto"/>
                <w:sz w:val="21"/>
                <w:szCs w:val="21"/>
                <w:highlight w:val="none"/>
                <w:u w:val="none" w:color="auto"/>
              </w:rPr>
              <w:t>东浃村</w:t>
            </w:r>
            <w:r>
              <w:rPr>
                <w:rFonts w:hint="default" w:ascii="Times New Roman" w:hAnsi="Times New Roman" w:eastAsia="宋体" w:cs="Times New Roman"/>
                <w:color w:val="auto"/>
                <w:sz w:val="21"/>
                <w:szCs w:val="21"/>
                <w:highlight w:val="none"/>
                <w:u w:val="none" w:color="auto"/>
                <w:lang w:val="en-US" w:eastAsia="zh-CN"/>
              </w:rPr>
              <w:t>居民</w:t>
            </w:r>
          </w:p>
        </w:tc>
        <w:tc>
          <w:tcPr>
            <w:tcW w:w="2312" w:type="dxa"/>
            <w:tcBorders>
              <w:tl2br w:val="nil"/>
              <w:tr2bl w:val="nil"/>
            </w:tcBorders>
            <w:noWrap w:val="0"/>
            <w:vAlign w:val="center"/>
          </w:tcPr>
          <w:p w14:paraId="56710BE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NW1770-2872</w:t>
            </w:r>
          </w:p>
        </w:tc>
        <w:tc>
          <w:tcPr>
            <w:tcW w:w="2234" w:type="dxa"/>
            <w:tcBorders>
              <w:tl2br w:val="nil"/>
              <w:tr2bl w:val="nil"/>
            </w:tcBorders>
            <w:noWrap w:val="0"/>
            <w:vAlign w:val="center"/>
          </w:tcPr>
          <w:p w14:paraId="7DD1671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112°36′21.14457″</w:t>
            </w:r>
          </w:p>
        </w:tc>
        <w:tc>
          <w:tcPr>
            <w:tcW w:w="2281" w:type="dxa"/>
            <w:tcBorders>
              <w:tl2br w:val="nil"/>
              <w:tr2bl w:val="nil"/>
            </w:tcBorders>
            <w:noWrap w:val="0"/>
            <w:vAlign w:val="center"/>
          </w:tcPr>
          <w:p w14:paraId="290E37B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29°12′19.01892″</w:t>
            </w:r>
          </w:p>
        </w:tc>
        <w:tc>
          <w:tcPr>
            <w:tcW w:w="2339" w:type="dxa"/>
            <w:tcBorders>
              <w:tl2br w:val="nil"/>
              <w:tr2bl w:val="nil"/>
            </w:tcBorders>
            <w:noWrap w:val="0"/>
            <w:vAlign w:val="center"/>
          </w:tcPr>
          <w:p w14:paraId="45D2C191">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66户</w:t>
            </w:r>
          </w:p>
        </w:tc>
        <w:tc>
          <w:tcPr>
            <w:tcW w:w="2033" w:type="dxa"/>
            <w:vMerge w:val="continue"/>
            <w:tcBorders>
              <w:tl2br w:val="nil"/>
              <w:tr2bl w:val="nil"/>
            </w:tcBorders>
            <w:noWrap w:val="0"/>
            <w:vAlign w:val="center"/>
          </w:tcPr>
          <w:p w14:paraId="2582C74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36AA63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3F849A9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4951A05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20#中洲子村居民</w:t>
            </w:r>
          </w:p>
        </w:tc>
        <w:tc>
          <w:tcPr>
            <w:tcW w:w="2312" w:type="dxa"/>
            <w:tcBorders>
              <w:tl2br w:val="nil"/>
              <w:tr2bl w:val="nil"/>
            </w:tcBorders>
            <w:noWrap w:val="0"/>
            <w:vAlign w:val="center"/>
          </w:tcPr>
          <w:p w14:paraId="1BE6524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NW2700-3284</w:t>
            </w:r>
          </w:p>
        </w:tc>
        <w:tc>
          <w:tcPr>
            <w:tcW w:w="2234" w:type="dxa"/>
            <w:tcBorders>
              <w:tl2br w:val="nil"/>
              <w:tr2bl w:val="nil"/>
            </w:tcBorders>
            <w:noWrap w:val="0"/>
            <w:vAlign w:val="center"/>
          </w:tcPr>
          <w:p w14:paraId="6C561A5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112°35′49.47305″</w:t>
            </w:r>
          </w:p>
        </w:tc>
        <w:tc>
          <w:tcPr>
            <w:tcW w:w="2281" w:type="dxa"/>
            <w:tcBorders>
              <w:tl2br w:val="nil"/>
              <w:tr2bl w:val="nil"/>
            </w:tcBorders>
            <w:noWrap w:val="0"/>
            <w:vAlign w:val="center"/>
          </w:tcPr>
          <w:p w14:paraId="2174A39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29°12′22.57231″</w:t>
            </w:r>
          </w:p>
        </w:tc>
        <w:tc>
          <w:tcPr>
            <w:tcW w:w="2339" w:type="dxa"/>
            <w:tcBorders>
              <w:tl2br w:val="nil"/>
              <w:tr2bl w:val="nil"/>
            </w:tcBorders>
            <w:noWrap w:val="0"/>
            <w:vAlign w:val="center"/>
          </w:tcPr>
          <w:p w14:paraId="5CFC4902">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65户</w:t>
            </w:r>
          </w:p>
        </w:tc>
        <w:tc>
          <w:tcPr>
            <w:tcW w:w="2033" w:type="dxa"/>
            <w:vMerge w:val="continue"/>
            <w:tcBorders>
              <w:tl2br w:val="nil"/>
              <w:tr2bl w:val="nil"/>
            </w:tcBorders>
            <w:noWrap w:val="0"/>
            <w:vAlign w:val="center"/>
          </w:tcPr>
          <w:p w14:paraId="5E960AA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4F9008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74AB7CD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0353A5A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21#五分场四队居民</w:t>
            </w:r>
          </w:p>
        </w:tc>
        <w:tc>
          <w:tcPr>
            <w:tcW w:w="2312" w:type="dxa"/>
            <w:tcBorders>
              <w:tl2br w:val="nil"/>
              <w:tr2bl w:val="nil"/>
            </w:tcBorders>
            <w:noWrap w:val="0"/>
            <w:vAlign w:val="center"/>
          </w:tcPr>
          <w:p w14:paraId="14BA0E7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NW783-1977</w:t>
            </w:r>
          </w:p>
        </w:tc>
        <w:tc>
          <w:tcPr>
            <w:tcW w:w="2234" w:type="dxa"/>
            <w:tcBorders>
              <w:tl2br w:val="nil"/>
              <w:tr2bl w:val="nil"/>
            </w:tcBorders>
            <w:noWrap w:val="0"/>
            <w:vAlign w:val="center"/>
          </w:tcPr>
          <w:p w14:paraId="5985270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112°36′23.46200″</w:t>
            </w:r>
          </w:p>
        </w:tc>
        <w:tc>
          <w:tcPr>
            <w:tcW w:w="2281" w:type="dxa"/>
            <w:tcBorders>
              <w:tl2br w:val="nil"/>
              <w:tr2bl w:val="nil"/>
            </w:tcBorders>
            <w:noWrap w:val="0"/>
            <w:vAlign w:val="center"/>
          </w:tcPr>
          <w:p w14:paraId="14BCDBF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29°11′51.51877″</w:t>
            </w:r>
          </w:p>
        </w:tc>
        <w:tc>
          <w:tcPr>
            <w:tcW w:w="2339" w:type="dxa"/>
            <w:tcBorders>
              <w:tl2br w:val="nil"/>
              <w:tr2bl w:val="nil"/>
            </w:tcBorders>
            <w:noWrap w:val="0"/>
            <w:vAlign w:val="center"/>
          </w:tcPr>
          <w:p w14:paraId="3487D0C9">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FF0000"/>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45户</w:t>
            </w:r>
          </w:p>
        </w:tc>
        <w:tc>
          <w:tcPr>
            <w:tcW w:w="2033" w:type="dxa"/>
            <w:vMerge w:val="continue"/>
            <w:tcBorders>
              <w:tl2br w:val="nil"/>
              <w:tr2bl w:val="nil"/>
            </w:tcBorders>
            <w:noWrap w:val="0"/>
            <w:vAlign w:val="center"/>
          </w:tcPr>
          <w:p w14:paraId="0FC4290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7AF286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017D8CF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743DFC9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22#一分场六队居民</w:t>
            </w:r>
          </w:p>
        </w:tc>
        <w:tc>
          <w:tcPr>
            <w:tcW w:w="2312" w:type="dxa"/>
            <w:tcBorders>
              <w:tl2br w:val="nil"/>
              <w:tr2bl w:val="nil"/>
            </w:tcBorders>
            <w:noWrap w:val="0"/>
            <w:vAlign w:val="center"/>
          </w:tcPr>
          <w:p w14:paraId="7EAEC38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WN1867-2528</w:t>
            </w:r>
          </w:p>
        </w:tc>
        <w:tc>
          <w:tcPr>
            <w:tcW w:w="2234" w:type="dxa"/>
            <w:tcBorders>
              <w:tl2br w:val="nil"/>
              <w:tr2bl w:val="nil"/>
            </w:tcBorders>
            <w:noWrap w:val="0"/>
            <w:vAlign w:val="center"/>
          </w:tcPr>
          <w:p w14:paraId="6E1EEB6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112°35′45.76516″</w:t>
            </w:r>
          </w:p>
        </w:tc>
        <w:tc>
          <w:tcPr>
            <w:tcW w:w="2281" w:type="dxa"/>
            <w:tcBorders>
              <w:tl2br w:val="nil"/>
              <w:tr2bl w:val="nil"/>
            </w:tcBorders>
            <w:noWrap w:val="0"/>
            <w:vAlign w:val="center"/>
          </w:tcPr>
          <w:p w14:paraId="4B86DAF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29°11′35.29677″</w:t>
            </w:r>
          </w:p>
        </w:tc>
        <w:tc>
          <w:tcPr>
            <w:tcW w:w="2339" w:type="dxa"/>
            <w:tcBorders>
              <w:tl2br w:val="nil"/>
              <w:tr2bl w:val="nil"/>
            </w:tcBorders>
            <w:noWrap w:val="0"/>
            <w:vAlign w:val="center"/>
          </w:tcPr>
          <w:p w14:paraId="5114AF91">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35户</w:t>
            </w:r>
          </w:p>
        </w:tc>
        <w:tc>
          <w:tcPr>
            <w:tcW w:w="2033" w:type="dxa"/>
            <w:vMerge w:val="continue"/>
            <w:tcBorders>
              <w:tl2br w:val="nil"/>
              <w:tr2bl w:val="nil"/>
            </w:tcBorders>
            <w:noWrap w:val="0"/>
            <w:vAlign w:val="center"/>
          </w:tcPr>
          <w:p w14:paraId="38002E4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7335E9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760" w:type="dxa"/>
            <w:vMerge w:val="continue"/>
            <w:tcBorders>
              <w:tl2br w:val="nil"/>
              <w:tr2bl w:val="nil"/>
            </w:tcBorders>
            <w:noWrap w:val="0"/>
            <w:vAlign w:val="center"/>
          </w:tcPr>
          <w:p w14:paraId="1480DBF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0A7BD3E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23#五分场畜牧队居民</w:t>
            </w:r>
          </w:p>
        </w:tc>
        <w:tc>
          <w:tcPr>
            <w:tcW w:w="2312" w:type="dxa"/>
            <w:tcBorders>
              <w:tl2br w:val="nil"/>
              <w:tr2bl w:val="nil"/>
            </w:tcBorders>
            <w:noWrap w:val="0"/>
            <w:vAlign w:val="center"/>
          </w:tcPr>
          <w:p w14:paraId="1850E43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NW708-1425</w:t>
            </w:r>
          </w:p>
        </w:tc>
        <w:tc>
          <w:tcPr>
            <w:tcW w:w="2234" w:type="dxa"/>
            <w:tcBorders>
              <w:tl2br w:val="nil"/>
              <w:tr2bl w:val="nil"/>
            </w:tcBorders>
            <w:noWrap w:val="0"/>
            <w:vAlign w:val="center"/>
          </w:tcPr>
          <w:p w14:paraId="1D481B1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112°36′25.62494″</w:t>
            </w:r>
          </w:p>
        </w:tc>
        <w:tc>
          <w:tcPr>
            <w:tcW w:w="2281" w:type="dxa"/>
            <w:tcBorders>
              <w:tl2br w:val="nil"/>
              <w:tr2bl w:val="nil"/>
            </w:tcBorders>
            <w:noWrap w:val="0"/>
            <w:vAlign w:val="center"/>
          </w:tcPr>
          <w:p w14:paraId="49BCD23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29°11′22.93715″</w:t>
            </w:r>
          </w:p>
        </w:tc>
        <w:tc>
          <w:tcPr>
            <w:tcW w:w="2339" w:type="dxa"/>
            <w:tcBorders>
              <w:tl2br w:val="nil"/>
              <w:tr2bl w:val="nil"/>
            </w:tcBorders>
            <w:noWrap w:val="0"/>
            <w:vAlign w:val="center"/>
          </w:tcPr>
          <w:p w14:paraId="6E62720A">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20户</w:t>
            </w:r>
          </w:p>
        </w:tc>
        <w:tc>
          <w:tcPr>
            <w:tcW w:w="2033" w:type="dxa"/>
            <w:vMerge w:val="continue"/>
            <w:tcBorders>
              <w:tl2br w:val="nil"/>
              <w:tr2bl w:val="nil"/>
            </w:tcBorders>
            <w:noWrap w:val="0"/>
            <w:vAlign w:val="center"/>
          </w:tcPr>
          <w:p w14:paraId="06FEFB5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6894E5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1C5CDFD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0147F49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24#一分场九队居民</w:t>
            </w:r>
          </w:p>
        </w:tc>
        <w:tc>
          <w:tcPr>
            <w:tcW w:w="2312" w:type="dxa"/>
            <w:tcBorders>
              <w:tl2br w:val="nil"/>
              <w:tr2bl w:val="nil"/>
            </w:tcBorders>
            <w:noWrap w:val="0"/>
            <w:vAlign w:val="center"/>
          </w:tcPr>
          <w:p w14:paraId="3EE5F55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WN816-2227</w:t>
            </w:r>
          </w:p>
        </w:tc>
        <w:tc>
          <w:tcPr>
            <w:tcW w:w="2234" w:type="dxa"/>
            <w:tcBorders>
              <w:tl2br w:val="nil"/>
              <w:tr2bl w:val="nil"/>
            </w:tcBorders>
            <w:noWrap w:val="0"/>
            <w:vAlign w:val="center"/>
          </w:tcPr>
          <w:p w14:paraId="15B967D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112°36′9.82780″</w:t>
            </w:r>
          </w:p>
        </w:tc>
        <w:tc>
          <w:tcPr>
            <w:tcW w:w="2281" w:type="dxa"/>
            <w:tcBorders>
              <w:tl2br w:val="nil"/>
              <w:tr2bl w:val="nil"/>
            </w:tcBorders>
            <w:noWrap w:val="0"/>
            <w:vAlign w:val="center"/>
          </w:tcPr>
          <w:p w14:paraId="3F80573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29°11′14.53646″</w:t>
            </w:r>
          </w:p>
        </w:tc>
        <w:tc>
          <w:tcPr>
            <w:tcW w:w="2339" w:type="dxa"/>
            <w:tcBorders>
              <w:tl2br w:val="nil"/>
              <w:tr2bl w:val="nil"/>
            </w:tcBorders>
            <w:noWrap w:val="0"/>
            <w:vAlign w:val="center"/>
          </w:tcPr>
          <w:p w14:paraId="3E993A06">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54户</w:t>
            </w:r>
          </w:p>
        </w:tc>
        <w:tc>
          <w:tcPr>
            <w:tcW w:w="2033" w:type="dxa"/>
            <w:vMerge w:val="continue"/>
            <w:tcBorders>
              <w:tl2br w:val="nil"/>
              <w:tr2bl w:val="nil"/>
            </w:tcBorders>
            <w:noWrap w:val="0"/>
            <w:vAlign w:val="center"/>
          </w:tcPr>
          <w:p w14:paraId="5071984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37A1D4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30A8B48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4E4C2C1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25#一分场七队居民</w:t>
            </w:r>
          </w:p>
        </w:tc>
        <w:tc>
          <w:tcPr>
            <w:tcW w:w="2312" w:type="dxa"/>
            <w:tcBorders>
              <w:tl2br w:val="nil"/>
              <w:tr2bl w:val="nil"/>
            </w:tcBorders>
            <w:noWrap w:val="0"/>
            <w:vAlign w:val="center"/>
          </w:tcPr>
          <w:p w14:paraId="77B9B11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W45-2500</w:t>
            </w:r>
          </w:p>
        </w:tc>
        <w:tc>
          <w:tcPr>
            <w:tcW w:w="2234" w:type="dxa"/>
            <w:tcBorders>
              <w:tl2br w:val="nil"/>
              <w:tr2bl w:val="nil"/>
            </w:tcBorders>
            <w:noWrap w:val="0"/>
            <w:vAlign w:val="center"/>
          </w:tcPr>
          <w:p w14:paraId="559918C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112°36′8.97808″</w:t>
            </w:r>
          </w:p>
        </w:tc>
        <w:tc>
          <w:tcPr>
            <w:tcW w:w="2281" w:type="dxa"/>
            <w:tcBorders>
              <w:tl2br w:val="nil"/>
              <w:tr2bl w:val="nil"/>
            </w:tcBorders>
            <w:noWrap w:val="0"/>
            <w:vAlign w:val="center"/>
          </w:tcPr>
          <w:p w14:paraId="3A20F45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29°10′49.89447</w:t>
            </w:r>
          </w:p>
        </w:tc>
        <w:tc>
          <w:tcPr>
            <w:tcW w:w="2339" w:type="dxa"/>
            <w:tcBorders>
              <w:tl2br w:val="nil"/>
              <w:tr2bl w:val="nil"/>
            </w:tcBorders>
            <w:noWrap w:val="0"/>
            <w:vAlign w:val="center"/>
          </w:tcPr>
          <w:p w14:paraId="70303BE0">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85户</w:t>
            </w:r>
          </w:p>
        </w:tc>
        <w:tc>
          <w:tcPr>
            <w:tcW w:w="2033" w:type="dxa"/>
            <w:vMerge w:val="continue"/>
            <w:tcBorders>
              <w:tl2br w:val="nil"/>
              <w:tr2bl w:val="nil"/>
            </w:tcBorders>
            <w:noWrap w:val="0"/>
            <w:vAlign w:val="center"/>
          </w:tcPr>
          <w:p w14:paraId="7C69D44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753F17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569434D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5E2C045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26#一分场八队居民</w:t>
            </w:r>
          </w:p>
        </w:tc>
        <w:tc>
          <w:tcPr>
            <w:tcW w:w="2312" w:type="dxa"/>
            <w:tcBorders>
              <w:tl2br w:val="nil"/>
              <w:tr2bl w:val="nil"/>
            </w:tcBorders>
            <w:noWrap w:val="0"/>
            <w:vAlign w:val="center"/>
          </w:tcPr>
          <w:p w14:paraId="7AF5AE1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SW</w:t>
            </w:r>
            <w:r>
              <w:rPr>
                <w:rFonts w:hint="default" w:ascii="Times New Roman" w:hAnsi="Times New Roman" w:eastAsia="宋体" w:cs="Times New Roman"/>
                <w:color w:val="auto"/>
                <w:sz w:val="21"/>
                <w:szCs w:val="21"/>
                <w:highlight w:val="none"/>
                <w:u w:val="none" w:color="auto"/>
                <w:lang w:val="en-US" w:eastAsia="zh-CN"/>
              </w:rPr>
              <w:t>140-1665</w:t>
            </w:r>
          </w:p>
        </w:tc>
        <w:tc>
          <w:tcPr>
            <w:tcW w:w="2234" w:type="dxa"/>
            <w:tcBorders>
              <w:tl2br w:val="nil"/>
              <w:tr2bl w:val="nil"/>
            </w:tcBorders>
            <w:noWrap w:val="0"/>
            <w:vAlign w:val="center"/>
          </w:tcPr>
          <w:p w14:paraId="06116F1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112°36′46.82941″</w:t>
            </w:r>
          </w:p>
        </w:tc>
        <w:tc>
          <w:tcPr>
            <w:tcW w:w="2281" w:type="dxa"/>
            <w:tcBorders>
              <w:tl2br w:val="nil"/>
              <w:tr2bl w:val="nil"/>
            </w:tcBorders>
            <w:noWrap w:val="0"/>
            <w:vAlign w:val="center"/>
          </w:tcPr>
          <w:p w14:paraId="7CB1F16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29°10′39.54329″</w:t>
            </w:r>
          </w:p>
        </w:tc>
        <w:tc>
          <w:tcPr>
            <w:tcW w:w="2339" w:type="dxa"/>
            <w:tcBorders>
              <w:tl2br w:val="nil"/>
              <w:tr2bl w:val="nil"/>
            </w:tcBorders>
            <w:noWrap w:val="0"/>
            <w:vAlign w:val="center"/>
          </w:tcPr>
          <w:p w14:paraId="32AECCC5">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75户</w:t>
            </w:r>
          </w:p>
        </w:tc>
        <w:tc>
          <w:tcPr>
            <w:tcW w:w="2033" w:type="dxa"/>
            <w:vMerge w:val="continue"/>
            <w:tcBorders>
              <w:tl2br w:val="nil"/>
              <w:tr2bl w:val="nil"/>
            </w:tcBorders>
            <w:noWrap w:val="0"/>
            <w:vAlign w:val="center"/>
          </w:tcPr>
          <w:p w14:paraId="554FAC9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6F4430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6471992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0404C27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27#老河口村居民</w:t>
            </w:r>
          </w:p>
        </w:tc>
        <w:tc>
          <w:tcPr>
            <w:tcW w:w="2312" w:type="dxa"/>
            <w:tcBorders>
              <w:tl2br w:val="nil"/>
              <w:tr2bl w:val="nil"/>
            </w:tcBorders>
            <w:noWrap w:val="0"/>
            <w:vAlign w:val="center"/>
          </w:tcPr>
          <w:p w14:paraId="1EB7488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WS1810-2898</w:t>
            </w:r>
          </w:p>
        </w:tc>
        <w:tc>
          <w:tcPr>
            <w:tcW w:w="2234" w:type="dxa"/>
            <w:tcBorders>
              <w:tl2br w:val="nil"/>
              <w:tr2bl w:val="nil"/>
            </w:tcBorders>
            <w:noWrap w:val="0"/>
            <w:vAlign w:val="center"/>
          </w:tcPr>
          <w:p w14:paraId="377C571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112°35′35.76160″</w:t>
            </w:r>
          </w:p>
        </w:tc>
        <w:tc>
          <w:tcPr>
            <w:tcW w:w="2281" w:type="dxa"/>
            <w:tcBorders>
              <w:tl2br w:val="nil"/>
              <w:tr2bl w:val="nil"/>
            </w:tcBorders>
            <w:noWrap w:val="0"/>
            <w:vAlign w:val="center"/>
          </w:tcPr>
          <w:p w14:paraId="3438681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w:t>
            </w:r>
            <w:r>
              <w:rPr>
                <w:rFonts w:hint="default" w:ascii="Times New Roman" w:hAnsi="Times New Roman" w:eastAsia="宋体" w:cs="Times New Roman"/>
                <w:color w:val="auto"/>
                <w:sz w:val="21"/>
                <w:szCs w:val="21"/>
                <w:highlight w:val="none"/>
                <w:u w:val="none" w:color="auto"/>
              </w:rPr>
              <w:t>9°10′18.99543″</w:t>
            </w:r>
          </w:p>
        </w:tc>
        <w:tc>
          <w:tcPr>
            <w:tcW w:w="2339" w:type="dxa"/>
            <w:tcBorders>
              <w:tl2br w:val="nil"/>
              <w:tr2bl w:val="nil"/>
            </w:tcBorders>
            <w:noWrap w:val="0"/>
            <w:vAlign w:val="center"/>
          </w:tcPr>
          <w:p w14:paraId="09E8E979">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180户</w:t>
            </w:r>
          </w:p>
        </w:tc>
        <w:tc>
          <w:tcPr>
            <w:tcW w:w="2033" w:type="dxa"/>
            <w:vMerge w:val="continue"/>
            <w:tcBorders>
              <w:tl2br w:val="nil"/>
              <w:tr2bl w:val="nil"/>
            </w:tcBorders>
            <w:noWrap w:val="0"/>
            <w:vAlign w:val="center"/>
          </w:tcPr>
          <w:p w14:paraId="306EE81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69330E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42B005A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4B15417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28#二分场副业队居民</w:t>
            </w:r>
          </w:p>
        </w:tc>
        <w:tc>
          <w:tcPr>
            <w:tcW w:w="2312" w:type="dxa"/>
            <w:tcBorders>
              <w:tl2br w:val="nil"/>
              <w:tr2bl w:val="nil"/>
            </w:tcBorders>
            <w:noWrap w:val="0"/>
            <w:vAlign w:val="center"/>
          </w:tcPr>
          <w:p w14:paraId="7E4AD2B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WS2924-3439</w:t>
            </w:r>
          </w:p>
        </w:tc>
        <w:tc>
          <w:tcPr>
            <w:tcW w:w="2234" w:type="dxa"/>
            <w:tcBorders>
              <w:tl2br w:val="nil"/>
              <w:tr2bl w:val="nil"/>
            </w:tcBorders>
            <w:noWrap w:val="0"/>
            <w:vAlign w:val="center"/>
          </w:tcPr>
          <w:p w14:paraId="239F286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112°35′40.08747″</w:t>
            </w:r>
          </w:p>
        </w:tc>
        <w:tc>
          <w:tcPr>
            <w:tcW w:w="2281" w:type="dxa"/>
            <w:tcBorders>
              <w:tl2br w:val="nil"/>
              <w:tr2bl w:val="nil"/>
            </w:tcBorders>
            <w:noWrap w:val="0"/>
            <w:vAlign w:val="center"/>
          </w:tcPr>
          <w:p w14:paraId="4889DAA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29°9′34.80979″</w:t>
            </w:r>
          </w:p>
        </w:tc>
        <w:tc>
          <w:tcPr>
            <w:tcW w:w="2339" w:type="dxa"/>
            <w:tcBorders>
              <w:tl2br w:val="nil"/>
              <w:tr2bl w:val="nil"/>
            </w:tcBorders>
            <w:noWrap w:val="0"/>
            <w:vAlign w:val="center"/>
          </w:tcPr>
          <w:p w14:paraId="7610EBE7">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20户</w:t>
            </w:r>
          </w:p>
        </w:tc>
        <w:tc>
          <w:tcPr>
            <w:tcW w:w="2033" w:type="dxa"/>
            <w:vMerge w:val="continue"/>
            <w:tcBorders>
              <w:tl2br w:val="nil"/>
              <w:tr2bl w:val="nil"/>
            </w:tcBorders>
            <w:noWrap w:val="0"/>
            <w:vAlign w:val="center"/>
          </w:tcPr>
          <w:p w14:paraId="0047364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7CC302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760" w:type="dxa"/>
            <w:vMerge w:val="continue"/>
            <w:tcBorders>
              <w:tl2br w:val="nil"/>
              <w:tr2bl w:val="nil"/>
            </w:tcBorders>
            <w:noWrap w:val="0"/>
            <w:vAlign w:val="center"/>
          </w:tcPr>
          <w:p w14:paraId="5F3AF53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2438" w:type="dxa"/>
            <w:gridSpan w:val="2"/>
            <w:tcBorders>
              <w:tl2br w:val="nil"/>
              <w:tr2bl w:val="nil"/>
            </w:tcBorders>
            <w:noWrap w:val="0"/>
            <w:vAlign w:val="center"/>
          </w:tcPr>
          <w:p w14:paraId="1A38D95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29#二分场二队</w:t>
            </w:r>
          </w:p>
        </w:tc>
        <w:tc>
          <w:tcPr>
            <w:tcW w:w="2312" w:type="dxa"/>
            <w:tcBorders>
              <w:tl2br w:val="nil"/>
              <w:tr2bl w:val="nil"/>
            </w:tcBorders>
            <w:noWrap w:val="0"/>
            <w:vAlign w:val="center"/>
          </w:tcPr>
          <w:p w14:paraId="65177C7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SW1823-2878</w:t>
            </w:r>
          </w:p>
        </w:tc>
        <w:tc>
          <w:tcPr>
            <w:tcW w:w="2234" w:type="dxa"/>
            <w:tcBorders>
              <w:tl2br w:val="nil"/>
              <w:tr2bl w:val="nil"/>
            </w:tcBorders>
            <w:noWrap w:val="0"/>
            <w:vAlign w:val="center"/>
          </w:tcPr>
          <w:p w14:paraId="25526D6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112°36′30.80983″</w:t>
            </w:r>
          </w:p>
        </w:tc>
        <w:tc>
          <w:tcPr>
            <w:tcW w:w="2281" w:type="dxa"/>
            <w:tcBorders>
              <w:tl2br w:val="nil"/>
              <w:tr2bl w:val="nil"/>
            </w:tcBorders>
            <w:noWrap w:val="0"/>
            <w:vAlign w:val="center"/>
          </w:tcPr>
          <w:p w14:paraId="578E3A8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29°9′53.85488″</w:t>
            </w:r>
          </w:p>
        </w:tc>
        <w:tc>
          <w:tcPr>
            <w:tcW w:w="2339" w:type="dxa"/>
            <w:tcBorders>
              <w:tl2br w:val="nil"/>
              <w:tr2bl w:val="nil"/>
            </w:tcBorders>
            <w:noWrap w:val="0"/>
            <w:vAlign w:val="center"/>
          </w:tcPr>
          <w:p w14:paraId="1F84A7EF">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65户</w:t>
            </w:r>
          </w:p>
        </w:tc>
        <w:tc>
          <w:tcPr>
            <w:tcW w:w="2033" w:type="dxa"/>
            <w:tcBorders>
              <w:tl2br w:val="nil"/>
              <w:tr2bl w:val="nil"/>
            </w:tcBorders>
            <w:noWrap w:val="0"/>
            <w:vAlign w:val="center"/>
          </w:tcPr>
          <w:p w14:paraId="7AB9EE2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r>
      <w:tr w14:paraId="40A34B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3" w:hRule="atLeast"/>
          <w:jc w:val="center"/>
        </w:trPr>
        <w:tc>
          <w:tcPr>
            <w:tcW w:w="760" w:type="dxa"/>
            <w:vMerge w:val="restart"/>
            <w:tcBorders>
              <w:tl2br w:val="nil"/>
              <w:tr2bl w:val="nil"/>
            </w:tcBorders>
            <w:noWrap w:val="0"/>
            <w:vAlign w:val="center"/>
          </w:tcPr>
          <w:p w14:paraId="6FF717E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lang w:eastAsia="zh-CN"/>
              </w:rPr>
            </w:pP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声环境</w:t>
            </w:r>
          </w:p>
        </w:tc>
        <w:tc>
          <w:tcPr>
            <w:tcW w:w="2438" w:type="dxa"/>
            <w:gridSpan w:val="2"/>
            <w:tcBorders>
              <w:tl2br w:val="nil"/>
              <w:tr2bl w:val="nil"/>
            </w:tcBorders>
            <w:noWrap w:val="0"/>
            <w:vAlign w:val="center"/>
          </w:tcPr>
          <w:p w14:paraId="04DE0DF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一分场八队居民散户</w:t>
            </w:r>
          </w:p>
        </w:tc>
        <w:tc>
          <w:tcPr>
            <w:tcW w:w="2312" w:type="dxa"/>
            <w:tcBorders>
              <w:tl2br w:val="nil"/>
              <w:tr2bl w:val="nil"/>
            </w:tcBorders>
            <w:noWrap w:val="0"/>
            <w:vAlign w:val="center"/>
          </w:tcPr>
          <w:p w14:paraId="0E549EF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S140</w:t>
            </w:r>
          </w:p>
        </w:tc>
        <w:tc>
          <w:tcPr>
            <w:tcW w:w="2234" w:type="dxa"/>
            <w:tcBorders>
              <w:tl2br w:val="nil"/>
              <w:tr2bl w:val="nil"/>
            </w:tcBorders>
            <w:noWrap w:val="0"/>
            <w:vAlign w:val="center"/>
          </w:tcPr>
          <w:p w14:paraId="1FC2D4F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112°36′56.48536″</w:t>
            </w:r>
          </w:p>
        </w:tc>
        <w:tc>
          <w:tcPr>
            <w:tcW w:w="2281" w:type="dxa"/>
            <w:tcBorders>
              <w:tl2br w:val="nil"/>
              <w:tr2bl w:val="nil"/>
            </w:tcBorders>
            <w:noWrap w:val="0"/>
            <w:vAlign w:val="center"/>
          </w:tcPr>
          <w:p w14:paraId="542CEFF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29°10′55.32112″</w:t>
            </w:r>
          </w:p>
        </w:tc>
        <w:tc>
          <w:tcPr>
            <w:tcW w:w="2339" w:type="dxa"/>
            <w:tcBorders>
              <w:tl2br w:val="nil"/>
              <w:tr2bl w:val="nil"/>
            </w:tcBorders>
            <w:noWrap w:val="0"/>
            <w:vAlign w:val="center"/>
          </w:tcPr>
          <w:p w14:paraId="14C6290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居民散户，</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1户</w:t>
            </w:r>
          </w:p>
        </w:tc>
        <w:tc>
          <w:tcPr>
            <w:tcW w:w="2033" w:type="dxa"/>
            <w:vMerge w:val="restart"/>
            <w:tcBorders>
              <w:tl2br w:val="nil"/>
              <w:tr2bl w:val="nil"/>
            </w:tcBorders>
            <w:noWrap w:val="0"/>
            <w:vAlign w:val="center"/>
          </w:tcPr>
          <w:p w14:paraId="2922FAB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t>声环境质量标准》（GB3096-2008）中的</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2</w:t>
            </w:r>
            <w: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t>类标准</w:t>
            </w:r>
          </w:p>
        </w:tc>
      </w:tr>
      <w:tr w14:paraId="4E9D30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760" w:type="dxa"/>
            <w:vMerge w:val="continue"/>
            <w:tcBorders>
              <w:tl2br w:val="nil"/>
              <w:tr2bl w:val="nil"/>
            </w:tcBorders>
            <w:noWrap w:val="0"/>
            <w:vAlign w:val="center"/>
          </w:tcPr>
          <w:p w14:paraId="2D14FED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c>
          <w:tcPr>
            <w:tcW w:w="2438" w:type="dxa"/>
            <w:gridSpan w:val="2"/>
            <w:tcBorders>
              <w:tl2br w:val="nil"/>
              <w:tr2bl w:val="nil"/>
            </w:tcBorders>
            <w:noWrap w:val="0"/>
            <w:vAlign w:val="center"/>
          </w:tcPr>
          <w:p w14:paraId="1DFE323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一分场七队居民散户</w:t>
            </w:r>
          </w:p>
        </w:tc>
        <w:tc>
          <w:tcPr>
            <w:tcW w:w="2312" w:type="dxa"/>
            <w:tcBorders>
              <w:tl2br w:val="nil"/>
              <w:tr2bl w:val="nil"/>
            </w:tcBorders>
            <w:noWrap w:val="0"/>
            <w:vAlign w:val="center"/>
          </w:tcPr>
          <w:p w14:paraId="0295D15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W45-180</w:t>
            </w:r>
          </w:p>
        </w:tc>
        <w:tc>
          <w:tcPr>
            <w:tcW w:w="2234" w:type="dxa"/>
            <w:tcBorders>
              <w:tl2br w:val="nil"/>
              <w:tr2bl w:val="nil"/>
            </w:tcBorders>
            <w:noWrap w:val="0"/>
            <w:vAlign w:val="center"/>
          </w:tcPr>
          <w:p w14:paraId="65062DC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112°36′50.02553″</w:t>
            </w:r>
          </w:p>
        </w:tc>
        <w:tc>
          <w:tcPr>
            <w:tcW w:w="2281" w:type="dxa"/>
            <w:tcBorders>
              <w:tl2br w:val="nil"/>
              <w:tr2bl w:val="nil"/>
            </w:tcBorders>
            <w:noWrap w:val="0"/>
            <w:vAlign w:val="center"/>
          </w:tcPr>
          <w:p w14:paraId="47E3AC4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29°10′59.20281″</w:t>
            </w:r>
          </w:p>
        </w:tc>
        <w:tc>
          <w:tcPr>
            <w:tcW w:w="2339" w:type="dxa"/>
            <w:tcBorders>
              <w:tl2br w:val="nil"/>
              <w:tr2bl w:val="nil"/>
            </w:tcBorders>
            <w:noWrap w:val="0"/>
            <w:vAlign w:val="center"/>
          </w:tcPr>
          <w:p w14:paraId="4D67024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居民散户，</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3户</w:t>
            </w:r>
          </w:p>
        </w:tc>
        <w:tc>
          <w:tcPr>
            <w:tcW w:w="2033" w:type="dxa"/>
            <w:vMerge w:val="continue"/>
            <w:tcBorders>
              <w:tl2br w:val="nil"/>
              <w:tr2bl w:val="nil"/>
            </w:tcBorders>
            <w:noWrap w:val="0"/>
            <w:vAlign w:val="center"/>
          </w:tcPr>
          <w:p w14:paraId="6B27AF0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p>
        </w:tc>
      </w:tr>
      <w:tr w14:paraId="1B0665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760" w:type="dxa"/>
            <w:vMerge w:val="restart"/>
            <w:tcBorders>
              <w:tl2br w:val="nil"/>
              <w:tr2bl w:val="nil"/>
            </w:tcBorders>
            <w:noWrap w:val="0"/>
            <w:vAlign w:val="center"/>
          </w:tcPr>
          <w:p w14:paraId="11E9B679">
            <w:pPr>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Times New Roman" w:cs="Times New Roman"/>
                <w:color w:val="FF0000"/>
                <w:sz w:val="21"/>
                <w:szCs w:val="21"/>
                <w:highlight w:val="none"/>
                <w:u w:val="none" w:color="auto"/>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水环境</w:t>
            </w:r>
          </w:p>
        </w:tc>
        <w:tc>
          <w:tcPr>
            <w:tcW w:w="743" w:type="dxa"/>
            <w:vMerge w:val="restart"/>
            <w:tcBorders>
              <w:tl2br w:val="nil"/>
              <w:tr2bl w:val="nil"/>
            </w:tcBorders>
            <w:noWrap w:val="0"/>
            <w:vAlign w:val="center"/>
          </w:tcPr>
          <w:p w14:paraId="7877CB4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地表水</w:t>
            </w:r>
          </w:p>
        </w:tc>
        <w:tc>
          <w:tcPr>
            <w:tcW w:w="1695" w:type="dxa"/>
            <w:tcBorders>
              <w:tl2br w:val="nil"/>
              <w:tr2bl w:val="nil"/>
            </w:tcBorders>
            <w:noWrap w:val="0"/>
            <w:vAlign w:val="center"/>
          </w:tcPr>
          <w:p w14:paraId="58A88F9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机排二十渠</w:t>
            </w:r>
          </w:p>
        </w:tc>
        <w:tc>
          <w:tcPr>
            <w:tcW w:w="2312" w:type="dxa"/>
            <w:tcBorders>
              <w:tl2br w:val="nil"/>
              <w:tr2bl w:val="nil"/>
            </w:tcBorders>
            <w:noWrap w:val="0"/>
            <w:vAlign w:val="center"/>
          </w:tcPr>
          <w:p w14:paraId="05C1BAA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W4</w:t>
            </w:r>
          </w:p>
        </w:tc>
        <w:tc>
          <w:tcPr>
            <w:tcW w:w="6854" w:type="dxa"/>
            <w:gridSpan w:val="3"/>
            <w:tcBorders>
              <w:tl2br w:val="nil"/>
              <w:tr2bl w:val="nil"/>
            </w:tcBorders>
            <w:noWrap w:val="0"/>
            <w:vAlign w:val="center"/>
          </w:tcPr>
          <w:p w14:paraId="3A9C8476">
            <w:pPr>
              <w:keepNext w:val="0"/>
              <w:keepLines w:val="0"/>
              <w:suppressLineNumbers w:val="0"/>
              <w:tabs>
                <w:tab w:val="left" w:pos="834"/>
                <w:tab w:val="center" w:pos="1632"/>
              </w:tabs>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wave" w:color="auto"/>
                <w:lang w:val="en-US" w:eastAsia="zh-CN"/>
                <w14:textFill>
                  <w14:solidFill>
                    <w14:schemeClr w14:val="tx1"/>
                  </w14:solidFill>
                </w14:textFill>
              </w:rPr>
              <w:t>尾水排放口所在</w:t>
            </w:r>
            <w:r>
              <w:rPr>
                <w:rFonts w:hint="eastAsia" w:cs="Times New Roman"/>
                <w:color w:val="000000" w:themeColor="text1"/>
                <w:sz w:val="21"/>
                <w:szCs w:val="21"/>
                <w:highlight w:val="none"/>
                <w:u w:val="wave" w:color="auto"/>
                <w:lang w:val="en-US" w:eastAsia="zh-CN"/>
                <w14:textFill>
                  <w14:solidFill>
                    <w14:schemeClr w14:val="tx1"/>
                  </w14:solidFill>
                </w14:textFill>
              </w:rPr>
              <w:t>河道，小河</w:t>
            </w:r>
          </w:p>
        </w:tc>
        <w:tc>
          <w:tcPr>
            <w:tcW w:w="2033" w:type="dxa"/>
            <w:tcBorders>
              <w:tl2br w:val="nil"/>
              <w:tr2bl w:val="nil"/>
            </w:tcBorders>
            <w:noWrap w:val="0"/>
            <w:vAlign w:val="center"/>
          </w:tcPr>
          <w:p w14:paraId="67309D9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wave" w:color="auto"/>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u w:val="wave" w:color="auto"/>
                <w14:textFill>
                  <w14:solidFill>
                    <w14:schemeClr w14:val="tx1"/>
                  </w14:solidFill>
                </w14:textFill>
              </w:rPr>
              <w:t>GB3838-2002</w:t>
            </w:r>
          </w:p>
          <w:p w14:paraId="5753FA9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wave" w:color="auto"/>
                <w14:textFill>
                  <w14:solidFill>
                    <w14:schemeClr w14:val="tx1"/>
                  </w14:solidFill>
                </w14:textFill>
              </w:rPr>
            </w:pPr>
            <w:r>
              <w:rPr>
                <w:rFonts w:hint="default" w:ascii="Times New Roman" w:hAnsi="Times New Roman" w:eastAsia="微软雅黑" w:cs="Times New Roman"/>
                <w:color w:val="000000" w:themeColor="text1"/>
                <w:sz w:val="21"/>
                <w:szCs w:val="21"/>
                <w:highlight w:val="none"/>
                <w:u w:val="wave" w:color="auto"/>
                <w14:textFill>
                  <w14:solidFill>
                    <w14:schemeClr w14:val="tx1"/>
                  </w14:solidFill>
                </w14:textFill>
              </w:rPr>
              <w:t>Ⅳ</w:t>
            </w:r>
            <w:r>
              <w:rPr>
                <w:rFonts w:hint="default" w:ascii="Times New Roman" w:hAnsi="Times New Roman" w:eastAsia="宋体" w:cs="Times New Roman"/>
                <w:color w:val="000000" w:themeColor="text1"/>
                <w:sz w:val="21"/>
                <w:szCs w:val="21"/>
                <w:highlight w:val="none"/>
                <w:u w:val="wave" w:color="auto"/>
                <w14:textFill>
                  <w14:solidFill>
                    <w14:schemeClr w14:val="tx1"/>
                  </w14:solidFill>
                </w14:textFill>
              </w:rPr>
              <w:t>类</w:t>
            </w:r>
          </w:p>
        </w:tc>
      </w:tr>
      <w:tr w14:paraId="430112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60" w:type="dxa"/>
            <w:vMerge w:val="continue"/>
            <w:tcBorders>
              <w:tl2br w:val="nil"/>
              <w:tr2bl w:val="nil"/>
            </w:tcBorders>
            <w:noWrap w:val="0"/>
            <w:vAlign w:val="center"/>
          </w:tcPr>
          <w:p w14:paraId="466F3C6D">
            <w:pPr>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color w:val="FF0000"/>
                <w:sz w:val="21"/>
                <w:szCs w:val="21"/>
                <w:highlight w:val="none"/>
                <w:u w:val="none" w:color="auto"/>
              </w:rPr>
            </w:pPr>
          </w:p>
        </w:tc>
        <w:tc>
          <w:tcPr>
            <w:tcW w:w="743" w:type="dxa"/>
            <w:vMerge w:val="continue"/>
            <w:tcBorders>
              <w:tl2br w:val="nil"/>
              <w:tr2bl w:val="nil"/>
            </w:tcBorders>
            <w:noWrap w:val="0"/>
            <w:vAlign w:val="center"/>
          </w:tcPr>
          <w:p w14:paraId="60EF258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sz w:val="21"/>
                <w:szCs w:val="21"/>
                <w:highlight w:val="none"/>
                <w:u w:val="none" w:color="auto"/>
              </w:rPr>
            </w:pPr>
          </w:p>
        </w:tc>
        <w:tc>
          <w:tcPr>
            <w:tcW w:w="1695" w:type="dxa"/>
            <w:tcBorders>
              <w:tl2br w:val="nil"/>
              <w:tr2bl w:val="nil"/>
            </w:tcBorders>
            <w:noWrap w:val="0"/>
            <w:vAlign w:val="center"/>
          </w:tcPr>
          <w:p w14:paraId="2052AE9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老三运河</w:t>
            </w:r>
          </w:p>
        </w:tc>
        <w:tc>
          <w:tcPr>
            <w:tcW w:w="2312" w:type="dxa"/>
            <w:tcBorders>
              <w:tl2br w:val="nil"/>
              <w:tr2bl w:val="nil"/>
            </w:tcBorders>
            <w:noWrap w:val="0"/>
            <w:vAlign w:val="center"/>
          </w:tcPr>
          <w:p w14:paraId="1A5AC03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S710</w:t>
            </w:r>
          </w:p>
        </w:tc>
        <w:tc>
          <w:tcPr>
            <w:tcW w:w="6854" w:type="dxa"/>
            <w:gridSpan w:val="3"/>
            <w:tcBorders>
              <w:tl2br w:val="nil"/>
              <w:tr2bl w:val="nil"/>
            </w:tcBorders>
            <w:noWrap w:val="0"/>
            <w:vAlign w:val="center"/>
          </w:tcPr>
          <w:p w14:paraId="2925BBFE">
            <w:pPr>
              <w:keepNext w:val="0"/>
              <w:keepLines w:val="0"/>
              <w:suppressLineNumbers w:val="0"/>
              <w:tabs>
                <w:tab w:val="left" w:pos="834"/>
                <w:tab w:val="center" w:pos="1632"/>
              </w:tabs>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大河</w:t>
            </w:r>
          </w:p>
        </w:tc>
        <w:tc>
          <w:tcPr>
            <w:tcW w:w="2033" w:type="dxa"/>
            <w:tcBorders>
              <w:tl2br w:val="nil"/>
              <w:tr2bl w:val="nil"/>
            </w:tcBorders>
            <w:noWrap w:val="0"/>
            <w:vAlign w:val="center"/>
          </w:tcPr>
          <w:p w14:paraId="131AA41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t>GB3838-2002</w:t>
            </w:r>
          </w:p>
          <w:p w14:paraId="698025E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val="0"/>
                <w:color w:val="000000"/>
                <w:kern w:val="0"/>
                <w:sz w:val="21"/>
                <w:szCs w:val="21"/>
                <w:highlight w:val="none"/>
                <w:lang w:val="en-US" w:eastAsia="zh-CN" w:bidi="ar"/>
              </w:rPr>
              <w:t>Ⅲ</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类</w:t>
            </w:r>
          </w:p>
        </w:tc>
      </w:tr>
      <w:tr w14:paraId="58091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8" w:hRule="atLeast"/>
          <w:jc w:val="center"/>
        </w:trPr>
        <w:tc>
          <w:tcPr>
            <w:tcW w:w="760" w:type="dxa"/>
            <w:vMerge w:val="continue"/>
            <w:tcBorders>
              <w:tl2br w:val="nil"/>
              <w:tr2bl w:val="nil"/>
            </w:tcBorders>
            <w:noWrap w:val="0"/>
            <w:vAlign w:val="center"/>
          </w:tcPr>
          <w:p w14:paraId="17FADBF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FF0000"/>
                <w:sz w:val="21"/>
                <w:szCs w:val="21"/>
                <w:highlight w:val="none"/>
                <w:u w:val="none" w:color="auto"/>
              </w:rPr>
            </w:pPr>
          </w:p>
        </w:tc>
        <w:tc>
          <w:tcPr>
            <w:tcW w:w="743" w:type="dxa"/>
            <w:tcBorders>
              <w:tl2br w:val="nil"/>
              <w:tr2bl w:val="nil"/>
            </w:tcBorders>
            <w:noWrap w:val="0"/>
            <w:vAlign w:val="center"/>
          </w:tcPr>
          <w:p w14:paraId="068807B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地下水</w:t>
            </w:r>
          </w:p>
        </w:tc>
        <w:tc>
          <w:tcPr>
            <w:tcW w:w="12894" w:type="dxa"/>
            <w:gridSpan w:val="6"/>
            <w:tcBorders>
              <w:tl2br w:val="nil"/>
              <w:tr2bl w:val="nil"/>
            </w:tcBorders>
            <w:noWrap w:val="0"/>
            <w:vAlign w:val="center"/>
          </w:tcPr>
          <w:p w14:paraId="3F46C13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项目周边均已通自来水管，以自来水为饮用水源；遗留有少量居民水井已废弃，无饮用水功能，项目周边不涉及地下水的环境敏感区，保护目标主要考虑项目周边潜水含水层，保护范围为项目厂址及周边区域约6km</w:t>
            </w:r>
            <w:r>
              <w:rPr>
                <w:rFonts w:hint="default" w:ascii="Times New Roman" w:hAnsi="Times New Roman" w:eastAsia="宋体" w:cs="Times New Roman"/>
                <w:color w:val="000000" w:themeColor="text1"/>
                <w:sz w:val="21"/>
                <w:szCs w:val="21"/>
                <w:highlight w:val="none"/>
                <w:u w:val="none" w:color="auto"/>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范围。</w:t>
            </w:r>
          </w:p>
        </w:tc>
      </w:tr>
      <w:tr w14:paraId="25EE64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5" w:hRule="atLeast"/>
          <w:jc w:val="center"/>
        </w:trPr>
        <w:tc>
          <w:tcPr>
            <w:tcW w:w="760" w:type="dxa"/>
            <w:tcBorders>
              <w:tl2br w:val="nil"/>
              <w:tr2bl w:val="nil"/>
            </w:tcBorders>
            <w:noWrap w:val="0"/>
            <w:vAlign w:val="center"/>
          </w:tcPr>
          <w:p w14:paraId="3D72F3C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生态</w:t>
            </w:r>
          </w:p>
          <w:p w14:paraId="5EDE23C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环境</w:t>
            </w:r>
          </w:p>
        </w:tc>
        <w:tc>
          <w:tcPr>
            <w:tcW w:w="13637" w:type="dxa"/>
            <w:gridSpan w:val="7"/>
            <w:tcBorders>
              <w:tl2br w:val="nil"/>
              <w:tr2bl w:val="nil"/>
            </w:tcBorders>
            <w:noWrap w:val="0"/>
            <w:vAlign w:val="center"/>
          </w:tcPr>
          <w:p w14:paraId="217B733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项目周边不涉及生态敏感区，保护目标主要考虑项目植被、农田等生态资源</w:t>
            </w: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保护范围主要考虑项目周边区域生态环境。</w:t>
            </w:r>
          </w:p>
        </w:tc>
      </w:tr>
    </w:tbl>
    <w:p w14:paraId="7C2C4813">
      <w:pPr>
        <w:numPr>
          <w:ilvl w:val="2"/>
          <w:numId w:val="0"/>
        </w:numPr>
        <w:tabs>
          <w:tab w:val="left" w:pos="0"/>
        </w:tabs>
        <w:ind w:leftChars="0"/>
        <w:outlineLvl w:val="9"/>
        <w:rPr>
          <w:rFonts w:hint="default" w:ascii="Times New Roman" w:hAnsi="Times New Roman" w:cs="Times New Roman"/>
          <w:color w:val="FF0000"/>
          <w:highlight w:val="none"/>
          <w:u w:val="none" w:color="auto"/>
          <w:lang w:val="en-US" w:eastAsia="zh-CN"/>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312" w:charSpace="0"/>
        </w:sectPr>
      </w:pPr>
    </w:p>
    <w:p w14:paraId="426B293C">
      <w:pPr>
        <w:pStyle w:val="2"/>
        <w:numPr>
          <w:ilvl w:val="1"/>
          <w:numId w:val="0"/>
        </w:numPr>
        <w:ind w:leftChars="0"/>
        <w:outlineLvl w:val="0"/>
        <w:rPr>
          <w:rFonts w:hint="default" w:ascii="Times New Roman" w:hAnsi="Times New Roman" w:eastAsia="宋体" w:cs="Times New Roman"/>
          <w:color w:val="auto"/>
          <w:sz w:val="32"/>
          <w:szCs w:val="36"/>
          <w:highlight w:val="none"/>
          <w:u w:val="none" w:color="auto"/>
          <w:lang w:eastAsia="zh-CN"/>
        </w:rPr>
      </w:pPr>
      <w:bookmarkStart w:id="52" w:name="1.7.2地表水环境保护目标"/>
      <w:bookmarkEnd w:id="52"/>
      <w:bookmarkStart w:id="53" w:name="bookmark10"/>
      <w:bookmarkEnd w:id="53"/>
      <w:bookmarkStart w:id="54" w:name="_Toc326"/>
      <w:r>
        <w:rPr>
          <w:rFonts w:hint="default" w:ascii="Times New Roman" w:hAnsi="Times New Roman" w:cs="Times New Roman"/>
          <w:color w:val="auto"/>
          <w:sz w:val="32"/>
          <w:szCs w:val="36"/>
          <w:highlight w:val="none"/>
          <w:u w:val="none" w:color="auto"/>
          <w:lang w:val="en-US" w:eastAsia="zh-CN"/>
        </w:rPr>
        <w:t xml:space="preserve">3 </w:t>
      </w:r>
      <w:r>
        <w:rPr>
          <w:rFonts w:hint="default" w:ascii="Times New Roman" w:hAnsi="Times New Roman" w:cs="Times New Roman"/>
          <w:color w:val="auto"/>
          <w:sz w:val="32"/>
          <w:szCs w:val="36"/>
          <w:highlight w:val="none"/>
          <w:u w:val="none" w:color="auto"/>
          <w:lang w:eastAsia="zh-CN"/>
        </w:rPr>
        <w:t>建设项目</w:t>
      </w:r>
      <w:r>
        <w:rPr>
          <w:rFonts w:hint="default" w:ascii="Times New Roman" w:hAnsi="Times New Roman" w:cs="Times New Roman"/>
          <w:color w:val="auto"/>
          <w:sz w:val="32"/>
          <w:szCs w:val="36"/>
          <w:highlight w:val="none"/>
          <w:u w:val="none" w:color="auto"/>
        </w:rPr>
        <w:t>工程</w:t>
      </w:r>
      <w:r>
        <w:rPr>
          <w:rFonts w:hint="default" w:ascii="Times New Roman" w:hAnsi="Times New Roman" w:cs="Times New Roman"/>
          <w:color w:val="auto"/>
          <w:sz w:val="32"/>
          <w:szCs w:val="36"/>
          <w:highlight w:val="none"/>
          <w:u w:val="none" w:color="auto"/>
          <w:lang w:eastAsia="zh-CN"/>
        </w:rPr>
        <w:t>分析</w:t>
      </w:r>
      <w:bookmarkEnd w:id="54"/>
    </w:p>
    <w:p w14:paraId="037E99AA">
      <w:pPr>
        <w:pStyle w:val="4"/>
        <w:numPr>
          <w:ilvl w:val="2"/>
          <w:numId w:val="0"/>
        </w:numPr>
        <w:ind w:leftChars="0"/>
        <w:outlineLvl w:val="1"/>
        <w:rPr>
          <w:rFonts w:hint="default" w:ascii="Times New Roman" w:hAnsi="Times New Roman" w:cs="Times New Roman"/>
          <w:color w:val="auto"/>
          <w:sz w:val="30"/>
          <w:szCs w:val="30"/>
          <w:highlight w:val="none"/>
          <w:u w:val="none" w:color="auto"/>
          <w:lang w:val="en-US" w:eastAsia="zh-CN"/>
        </w:rPr>
      </w:pPr>
      <w:bookmarkStart w:id="55" w:name="_Toc24176"/>
      <w:r>
        <w:rPr>
          <w:rFonts w:hint="default" w:ascii="Times New Roman" w:hAnsi="Times New Roman" w:cs="Times New Roman"/>
          <w:color w:val="auto"/>
          <w:sz w:val="30"/>
          <w:szCs w:val="30"/>
          <w:highlight w:val="none"/>
          <w:u w:val="none" w:color="auto"/>
          <w:lang w:val="en-US" w:eastAsia="zh-CN"/>
        </w:rPr>
        <w:t>3.1 现有工程回顾性分析</w:t>
      </w:r>
      <w:bookmarkEnd w:id="55"/>
    </w:p>
    <w:p w14:paraId="681D54F1">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以下内容主要根据《湖南大通湖洞庭食品工业园废水处理工程变更环境影响报告书》（批复文号益环审（书）[2020]4号）、《湖南大通湖洞庭食品工业园废水处理工程建设项目竣工验收环境保护监测报告》（2020年2月）和现状实际运营情况进行回顾性分析。</w:t>
      </w:r>
    </w:p>
    <w:p w14:paraId="42B92F83">
      <w:pPr>
        <w:ind w:left="0" w:leftChars="0" w:firstLine="0" w:firstLineChars="0"/>
        <w:outlineLvl w:val="2"/>
        <w:rPr>
          <w:rFonts w:hint="default" w:ascii="Times New Roman" w:hAnsi="Times New Roman" w:cs="Times New Roman"/>
          <w:b/>
          <w:bCs/>
          <w:color w:val="auto"/>
          <w:sz w:val="28"/>
          <w:szCs w:val="28"/>
          <w:highlight w:val="none"/>
          <w:u w:val="none" w:color="auto"/>
          <w:lang w:val="en-US" w:eastAsia="zh-CN"/>
        </w:rPr>
      </w:pPr>
      <w:r>
        <w:rPr>
          <w:rFonts w:hint="default" w:ascii="Times New Roman" w:hAnsi="Times New Roman" w:cs="Times New Roman"/>
          <w:b/>
          <w:bCs/>
          <w:color w:val="auto"/>
          <w:sz w:val="28"/>
          <w:szCs w:val="28"/>
          <w:highlight w:val="none"/>
          <w:u w:val="none" w:color="auto"/>
          <w:lang w:val="en-US" w:eastAsia="zh-CN"/>
        </w:rPr>
        <w:t>3.1.1 现有工程基本情况</w:t>
      </w:r>
    </w:p>
    <w:p w14:paraId="2DEA817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项目名称：</w:t>
      </w:r>
      <w:r>
        <w:rPr>
          <w:rFonts w:hint="default" w:ascii="Times New Roman" w:hAnsi="Times New Roman" w:cs="Times New Roman"/>
          <w:color w:val="auto"/>
          <w:highlight w:val="none"/>
          <w:u w:val="none" w:color="auto"/>
          <w:lang w:eastAsia="zh-CN"/>
        </w:rPr>
        <w:t>湖南大通湖洞庭食品工业园废水处理工程</w:t>
      </w:r>
      <w:r>
        <w:rPr>
          <w:rFonts w:hint="default" w:ascii="Times New Roman" w:hAnsi="Times New Roman" w:cs="Times New Roman"/>
          <w:color w:val="auto"/>
          <w:highlight w:val="none"/>
          <w:u w:val="none" w:color="auto"/>
        </w:rPr>
        <w:t>；</w:t>
      </w:r>
    </w:p>
    <w:p w14:paraId="6606505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建设单位：</w:t>
      </w:r>
      <w:r>
        <w:rPr>
          <w:rFonts w:hint="default" w:ascii="Times New Roman" w:hAnsi="Times New Roman" w:eastAsia="宋体" w:cs="Times New Roman"/>
          <w:color w:val="auto"/>
          <w:highlight w:val="none"/>
          <w:u w:val="none" w:color="auto"/>
          <w:lang w:eastAsia="zh-CN" w:bidi="ar"/>
        </w:rPr>
        <w:t>益阳市大通湖区工业园管理委员会</w:t>
      </w:r>
      <w:r>
        <w:rPr>
          <w:rFonts w:hint="default" w:ascii="Times New Roman" w:hAnsi="Times New Roman" w:cs="Times New Roman"/>
          <w:color w:val="auto"/>
          <w:highlight w:val="none"/>
          <w:u w:val="none" w:color="auto"/>
        </w:rPr>
        <w:t>；</w:t>
      </w:r>
    </w:p>
    <w:p w14:paraId="0FA801A3">
      <w:pPr>
        <w:pStyle w:val="189"/>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建设</w:t>
      </w:r>
      <w:r>
        <w:rPr>
          <w:rFonts w:hint="default" w:ascii="Times New Roman" w:hAnsi="Times New Roman" w:cs="Times New Roman"/>
          <w:color w:val="auto"/>
          <w:highlight w:val="none"/>
          <w:u w:val="none" w:color="auto"/>
        </w:rPr>
        <w:t>地点：</w:t>
      </w:r>
      <w:r>
        <w:rPr>
          <w:rFonts w:hint="default" w:ascii="Times New Roman" w:hAnsi="Times New Roman" w:cs="Times New Roman"/>
          <w:color w:val="auto"/>
          <w:highlight w:val="none"/>
          <w:u w:val="none" w:color="auto"/>
          <w:lang w:val="en-US" w:eastAsia="zh-CN"/>
        </w:rPr>
        <w:t>位</w:t>
      </w:r>
      <w:r>
        <w:rPr>
          <w:rFonts w:hint="default" w:ascii="Times New Roman" w:hAnsi="Times New Roman" w:cs="Times New Roman"/>
          <w:color w:val="auto"/>
          <w:highlight w:val="none"/>
          <w:u w:val="none" w:color="auto"/>
          <w:lang w:eastAsia="zh-CN"/>
        </w:rPr>
        <w:t>于大通湖区工业园内</w:t>
      </w:r>
      <w:r>
        <w:rPr>
          <w:rFonts w:hint="default" w:ascii="Times New Roman" w:hAnsi="Times New Roman" w:cs="Times New Roman"/>
          <w:color w:val="auto"/>
          <w:highlight w:val="none"/>
          <w:u w:val="none" w:color="auto"/>
          <w:lang w:val="en-US" w:eastAsia="zh-CN"/>
        </w:rPr>
        <w:t>机排二十渠旁</w:t>
      </w:r>
    </w:p>
    <w:p w14:paraId="1AB50A1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建设性质：新建；</w:t>
      </w:r>
    </w:p>
    <w:p w14:paraId="22383370">
      <w:pPr>
        <w:pStyle w:val="189"/>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处理规模</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1200</w:t>
      </w:r>
      <w:r>
        <w:rPr>
          <w:rFonts w:hint="default" w:ascii="Times New Roman" w:hAnsi="Times New Roman" w:cs="Times New Roman"/>
          <w:color w:val="auto"/>
          <w:highlight w:val="none"/>
          <w:u w:val="none" w:color="auto"/>
        </w:rPr>
        <w:t>m</w:t>
      </w:r>
      <w:r>
        <w:rPr>
          <w:rFonts w:hint="default" w:ascii="Times New Roman" w:hAnsi="Times New Roman" w:cs="Times New Roman"/>
          <w:color w:val="auto"/>
          <w:highlight w:val="none"/>
          <w:u w:val="none" w:color="auto"/>
          <w:vertAlign w:val="superscript"/>
          <w:lang w:val="en-US" w:eastAsia="zh-CN"/>
        </w:rPr>
        <w:t>3</w:t>
      </w:r>
      <w:r>
        <w:rPr>
          <w:rFonts w:hint="default" w:ascii="Times New Roman" w:hAnsi="Times New Roman" w:cs="Times New Roman"/>
          <w:color w:val="auto"/>
          <w:highlight w:val="none"/>
          <w:u w:val="none" w:color="auto"/>
          <w:vertAlign w:val="baseline"/>
          <w:lang w:val="en-US" w:eastAsia="zh-CN"/>
        </w:rPr>
        <w:t>/d；</w:t>
      </w:r>
    </w:p>
    <w:p w14:paraId="1AB48FF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服务范围：湖南</w:t>
      </w:r>
      <w:r>
        <w:rPr>
          <w:rFonts w:hint="default" w:ascii="Times New Roman" w:hAnsi="Times New Roman" w:cs="Times New Roman"/>
          <w:color w:val="auto"/>
          <w:highlight w:val="none"/>
          <w:u w:val="none" w:color="auto"/>
          <w:lang w:eastAsia="zh-CN"/>
        </w:rPr>
        <w:t>大通湖工业园；</w:t>
      </w:r>
    </w:p>
    <w:p w14:paraId="61E8F630">
      <w:pPr>
        <w:keepNext w:val="0"/>
        <w:keepLines w:val="0"/>
        <w:widowControl/>
        <w:suppressLineNumbers w:val="0"/>
        <w:jc w:val="left"/>
        <w:rPr>
          <w:rFonts w:hint="default" w:ascii="Times New Roman" w:hAnsi="Times New Roman" w:cs="Times New Roman"/>
          <w:highlight w:val="none"/>
          <w:lang w:val="en-US"/>
        </w:rPr>
      </w:pPr>
      <w:r>
        <w:rPr>
          <w:rFonts w:hint="default" w:ascii="Times New Roman" w:hAnsi="Times New Roman" w:cs="Times New Roman"/>
          <w:color w:val="auto"/>
          <w:highlight w:val="none"/>
          <w:u w:val="none" w:color="auto"/>
          <w:lang w:val="en-US" w:eastAsia="zh-CN"/>
        </w:rPr>
        <w:t>建设运行情况</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项目于2020年1月开工建设，2020年2月主体设备、环保设备等安装完成，并于2020年2月通过竣工环境保护验收。</w:t>
      </w:r>
    </w:p>
    <w:p w14:paraId="499E534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工程总投资：</w:t>
      </w:r>
      <w:r>
        <w:rPr>
          <w:rFonts w:hint="default" w:ascii="Times New Roman" w:hAnsi="Times New Roman" w:cs="Times New Roman"/>
          <w:color w:val="auto"/>
          <w:highlight w:val="none"/>
          <w:u w:val="none" w:color="auto"/>
          <w:lang w:val="en-US" w:eastAsia="zh-CN"/>
        </w:rPr>
        <w:t>1390</w:t>
      </w:r>
      <w:r>
        <w:rPr>
          <w:rFonts w:hint="default" w:ascii="Times New Roman" w:hAnsi="Times New Roman" w:cs="Times New Roman"/>
          <w:color w:val="auto"/>
          <w:highlight w:val="none"/>
          <w:u w:val="none" w:color="auto"/>
          <w:lang w:eastAsia="zh-CN"/>
        </w:rPr>
        <w:t>万</w:t>
      </w:r>
      <w:r>
        <w:rPr>
          <w:rFonts w:hint="default" w:ascii="Times New Roman" w:hAnsi="Times New Roman" w:cs="Times New Roman"/>
          <w:color w:val="auto"/>
          <w:highlight w:val="none"/>
          <w:u w:val="none" w:color="auto"/>
        </w:rPr>
        <w:t>元。</w:t>
      </w:r>
    </w:p>
    <w:p w14:paraId="23F3B60C">
      <w:pPr>
        <w:pStyle w:val="4"/>
        <w:numPr>
          <w:ilvl w:val="2"/>
          <w:numId w:val="0"/>
        </w:numPr>
        <w:ind w:leftChars="0"/>
        <w:rPr>
          <w:rFonts w:hint="default" w:ascii="Times New Roman" w:hAnsi="Times New Roman" w:eastAsia="宋体" w:cs="Times New Roman"/>
          <w:b/>
          <w:bCs/>
          <w:color w:val="auto"/>
          <w:sz w:val="28"/>
          <w:szCs w:val="28"/>
          <w:highlight w:val="none"/>
          <w:u w:val="none" w:color="auto"/>
          <w:lang w:val="en-US" w:eastAsia="zh-CN" w:bidi="ar-SA"/>
        </w:rPr>
      </w:pPr>
      <w:r>
        <w:rPr>
          <w:rFonts w:hint="default" w:ascii="Times New Roman" w:hAnsi="Times New Roman" w:eastAsia="宋体" w:cs="Times New Roman"/>
          <w:b/>
          <w:bCs/>
          <w:color w:val="auto"/>
          <w:sz w:val="28"/>
          <w:szCs w:val="28"/>
          <w:highlight w:val="none"/>
          <w:u w:val="none" w:color="auto"/>
          <w:lang w:val="en-US" w:eastAsia="zh-CN" w:bidi="ar-SA"/>
        </w:rPr>
        <w:t>3.1.2</w:t>
      </w:r>
      <w:r>
        <w:rPr>
          <w:rFonts w:hint="default" w:ascii="Times New Roman" w:hAnsi="Times New Roman" w:cs="Times New Roman"/>
          <w:b/>
          <w:bCs/>
          <w:color w:val="auto"/>
          <w:sz w:val="28"/>
          <w:szCs w:val="28"/>
          <w:highlight w:val="none"/>
          <w:u w:val="none" w:color="auto"/>
          <w:lang w:val="en-US" w:eastAsia="zh-CN" w:bidi="ar-SA"/>
        </w:rPr>
        <w:t xml:space="preserve"> 进出水水质及尾水排放方案</w:t>
      </w:r>
    </w:p>
    <w:p w14:paraId="1772802E">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根据现有工程环评及批复，污水处理厂进出水水质详见表3.1-1。</w:t>
      </w:r>
    </w:p>
    <w:p w14:paraId="50C6F399">
      <w:pPr>
        <w:pStyle w:val="194"/>
        <w:spacing w:line="240" w:lineRule="auto"/>
        <w:rPr>
          <w:rFonts w:hint="default" w:ascii="Times New Roman" w:hAnsi="Times New Roman" w:cs="Times New Roman"/>
          <w:color w:val="auto"/>
          <w:sz w:val="13"/>
          <w:szCs w:val="13"/>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lang w:val="en-US" w:eastAsia="zh-CN"/>
        </w:rPr>
        <w:t>3.1</w:t>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rPr>
        <w:t xml:space="preserve">   </w:t>
      </w:r>
      <w:r>
        <w:rPr>
          <w:rFonts w:hint="default" w:ascii="Times New Roman" w:hAnsi="Times New Roman" w:cs="Times New Roman"/>
          <w:color w:val="auto"/>
          <w:highlight w:val="none"/>
          <w:u w:val="none" w:color="auto"/>
          <w:lang w:val="en-US" w:eastAsia="zh-CN"/>
        </w:rPr>
        <w:t>现有工程</w:t>
      </w:r>
      <w:r>
        <w:rPr>
          <w:rFonts w:hint="default" w:ascii="Times New Roman" w:hAnsi="Times New Roman" w:cs="Times New Roman"/>
          <w:color w:val="auto"/>
          <w:highlight w:val="none"/>
          <w:u w:val="none" w:color="auto"/>
        </w:rPr>
        <w:t>设计进出水水质  mg/L</w:t>
      </w:r>
    </w:p>
    <w:tbl>
      <w:tblPr>
        <w:tblStyle w:val="76"/>
        <w:tblW w:w="945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63"/>
        <w:gridCol w:w="1192"/>
        <w:gridCol w:w="943"/>
        <w:gridCol w:w="1035"/>
        <w:gridCol w:w="1087"/>
        <w:gridCol w:w="1140"/>
        <w:gridCol w:w="848"/>
        <w:gridCol w:w="847"/>
        <w:gridCol w:w="1197"/>
      </w:tblGrid>
      <w:tr w14:paraId="3AFF39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72" w:hRule="exact"/>
          <w:jc w:val="center"/>
        </w:trPr>
        <w:tc>
          <w:tcPr>
            <w:tcW w:w="1163" w:type="dxa"/>
            <w:vAlign w:val="center"/>
          </w:tcPr>
          <w:p w14:paraId="15408D71">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水质指标</w:t>
            </w:r>
          </w:p>
        </w:tc>
        <w:tc>
          <w:tcPr>
            <w:tcW w:w="1192" w:type="dxa"/>
            <w:vAlign w:val="center"/>
          </w:tcPr>
          <w:p w14:paraId="0E66665E">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pH</w:t>
            </w:r>
          </w:p>
          <w:p w14:paraId="30DA3E58">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(无量纲)</w:t>
            </w:r>
          </w:p>
        </w:tc>
        <w:tc>
          <w:tcPr>
            <w:tcW w:w="943" w:type="dxa"/>
            <w:vAlign w:val="center"/>
          </w:tcPr>
          <w:p w14:paraId="4B9AD1BF">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6"/>
                <w:szCs w:val="16"/>
                <w:highlight w:val="none"/>
                <w:u w:val="none" w:color="auto"/>
              </w:rPr>
            </w:pPr>
            <w:r>
              <w:rPr>
                <w:rFonts w:hint="default" w:ascii="Times New Roman" w:hAnsi="Times New Roman" w:cs="Times New Roman"/>
                <w:b/>
                <w:bCs/>
                <w:color w:val="auto"/>
                <w:highlight w:val="none"/>
                <w:u w:val="none" w:color="auto"/>
              </w:rPr>
              <w:t>COD</w:t>
            </w:r>
            <w:r>
              <w:rPr>
                <w:rFonts w:hint="default" w:ascii="Times New Roman" w:hAnsi="Times New Roman" w:cs="Times New Roman"/>
                <w:b/>
                <w:bCs/>
                <w:color w:val="auto"/>
                <w:sz w:val="16"/>
                <w:szCs w:val="16"/>
                <w:highlight w:val="none"/>
                <w:u w:val="none" w:color="auto"/>
              </w:rPr>
              <w:t>cr</w:t>
            </w:r>
          </w:p>
        </w:tc>
        <w:tc>
          <w:tcPr>
            <w:tcW w:w="1035" w:type="dxa"/>
            <w:vAlign w:val="center"/>
          </w:tcPr>
          <w:p w14:paraId="048BD281">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6"/>
                <w:szCs w:val="16"/>
                <w:highlight w:val="none"/>
                <w:u w:val="none" w:color="auto"/>
              </w:rPr>
            </w:pPr>
            <w:r>
              <w:rPr>
                <w:rFonts w:hint="default" w:ascii="Times New Roman" w:hAnsi="Times New Roman" w:cs="Times New Roman"/>
                <w:b/>
                <w:bCs/>
                <w:color w:val="auto"/>
                <w:highlight w:val="none"/>
                <w:u w:val="none" w:color="auto"/>
              </w:rPr>
              <w:t>BOD</w:t>
            </w:r>
            <w:r>
              <w:rPr>
                <w:rFonts w:hint="default" w:ascii="Times New Roman" w:hAnsi="Times New Roman" w:cs="Times New Roman"/>
                <w:b/>
                <w:bCs/>
                <w:color w:val="auto"/>
                <w:sz w:val="16"/>
                <w:szCs w:val="16"/>
                <w:highlight w:val="none"/>
                <w:u w:val="none" w:color="auto"/>
              </w:rPr>
              <w:t>5</w:t>
            </w:r>
          </w:p>
        </w:tc>
        <w:tc>
          <w:tcPr>
            <w:tcW w:w="1087" w:type="dxa"/>
            <w:vAlign w:val="center"/>
          </w:tcPr>
          <w:p w14:paraId="2AB4CE63">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SS</w:t>
            </w:r>
          </w:p>
        </w:tc>
        <w:tc>
          <w:tcPr>
            <w:tcW w:w="1140" w:type="dxa"/>
            <w:vAlign w:val="center"/>
          </w:tcPr>
          <w:p w14:paraId="53CAB38E">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NH</w:t>
            </w:r>
            <w:r>
              <w:rPr>
                <w:rFonts w:hint="default" w:ascii="Times New Roman" w:hAnsi="Times New Roman" w:cs="Times New Roman"/>
                <w:b/>
                <w:bCs/>
                <w:color w:val="auto"/>
                <w:highlight w:val="none"/>
                <w:u w:val="none" w:color="auto"/>
                <w:vertAlign w:val="subscript"/>
                <w:lang w:val="en-US" w:eastAsia="zh-CN"/>
              </w:rPr>
              <w:t>3</w:t>
            </w:r>
            <w:r>
              <w:rPr>
                <w:rFonts w:hint="default" w:ascii="Times New Roman" w:hAnsi="Times New Roman" w:cs="Times New Roman"/>
                <w:b/>
                <w:bCs/>
                <w:color w:val="auto"/>
                <w:highlight w:val="none"/>
                <w:u w:val="none" w:color="auto"/>
              </w:rPr>
              <w:t>-N</w:t>
            </w:r>
          </w:p>
        </w:tc>
        <w:tc>
          <w:tcPr>
            <w:tcW w:w="848" w:type="dxa"/>
            <w:vAlign w:val="center"/>
          </w:tcPr>
          <w:p w14:paraId="4F77D83F">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TN</w:t>
            </w:r>
          </w:p>
        </w:tc>
        <w:tc>
          <w:tcPr>
            <w:tcW w:w="847" w:type="dxa"/>
            <w:vAlign w:val="center"/>
          </w:tcPr>
          <w:p w14:paraId="70C22C0F">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bCs/>
                <w:color w:val="auto"/>
                <w:highlight w:val="none"/>
                <w:u w:val="none" w:color="auto"/>
              </w:rPr>
              <w:t>TP</w:t>
            </w:r>
          </w:p>
        </w:tc>
        <w:tc>
          <w:tcPr>
            <w:tcW w:w="1197" w:type="dxa"/>
            <w:vAlign w:val="center"/>
          </w:tcPr>
          <w:p w14:paraId="71F36C9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粪大肠菌群数(个/L)</w:t>
            </w:r>
          </w:p>
        </w:tc>
      </w:tr>
      <w:tr w14:paraId="701F36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8" w:hRule="exact"/>
          <w:jc w:val="center"/>
        </w:trPr>
        <w:tc>
          <w:tcPr>
            <w:tcW w:w="1163" w:type="dxa"/>
            <w:vAlign w:val="center"/>
          </w:tcPr>
          <w:p w14:paraId="799D83D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进水水质</w:t>
            </w:r>
          </w:p>
        </w:tc>
        <w:tc>
          <w:tcPr>
            <w:tcW w:w="1192" w:type="dxa"/>
            <w:vAlign w:val="center"/>
          </w:tcPr>
          <w:p w14:paraId="47ACEA9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6.5-9.5</w:t>
            </w:r>
          </w:p>
        </w:tc>
        <w:tc>
          <w:tcPr>
            <w:tcW w:w="943" w:type="dxa"/>
            <w:vAlign w:val="center"/>
          </w:tcPr>
          <w:p w14:paraId="4F8C2E9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highlight w:val="none"/>
                <w:u w:val="none" w:color="auto"/>
                <w:lang w:val="en-US" w:eastAsia="zh-CN"/>
              </w:rPr>
              <w:t>500</w:t>
            </w:r>
          </w:p>
        </w:tc>
        <w:tc>
          <w:tcPr>
            <w:tcW w:w="1035" w:type="dxa"/>
            <w:vAlign w:val="center"/>
          </w:tcPr>
          <w:p w14:paraId="56ADB7E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highlight w:val="none"/>
                <w:u w:val="none" w:color="auto"/>
                <w:lang w:val="en-US" w:eastAsia="zh-CN"/>
              </w:rPr>
              <w:t>350</w:t>
            </w:r>
          </w:p>
        </w:tc>
        <w:tc>
          <w:tcPr>
            <w:tcW w:w="1087" w:type="dxa"/>
            <w:vAlign w:val="center"/>
          </w:tcPr>
          <w:p w14:paraId="348582C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highlight w:val="none"/>
                <w:u w:val="none" w:color="auto"/>
                <w:lang w:val="en-US" w:eastAsia="zh-CN"/>
              </w:rPr>
              <w:t>400</w:t>
            </w:r>
          </w:p>
        </w:tc>
        <w:tc>
          <w:tcPr>
            <w:tcW w:w="1140" w:type="dxa"/>
            <w:vAlign w:val="center"/>
          </w:tcPr>
          <w:p w14:paraId="69B542D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highlight w:val="none"/>
                <w:u w:val="none" w:color="auto"/>
                <w:lang w:val="en-US" w:eastAsia="zh-CN"/>
              </w:rPr>
              <w:t>45</w:t>
            </w:r>
          </w:p>
        </w:tc>
        <w:tc>
          <w:tcPr>
            <w:tcW w:w="848" w:type="dxa"/>
            <w:vAlign w:val="center"/>
          </w:tcPr>
          <w:p w14:paraId="3E1125A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highlight w:val="none"/>
                <w:u w:val="none" w:color="auto"/>
                <w:lang w:val="en-US" w:eastAsia="zh-CN"/>
              </w:rPr>
              <w:t>70</w:t>
            </w:r>
          </w:p>
        </w:tc>
        <w:tc>
          <w:tcPr>
            <w:tcW w:w="847" w:type="dxa"/>
            <w:vAlign w:val="center"/>
          </w:tcPr>
          <w:p w14:paraId="48E0EC7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spacing w:val="-1"/>
                <w:highlight w:val="none"/>
                <w:u w:val="none" w:color="auto"/>
                <w:lang w:val="en-US" w:eastAsia="zh-CN"/>
              </w:rPr>
              <w:t>8</w:t>
            </w:r>
          </w:p>
        </w:tc>
        <w:tc>
          <w:tcPr>
            <w:tcW w:w="1197" w:type="dxa"/>
            <w:vAlign w:val="center"/>
          </w:tcPr>
          <w:p w14:paraId="7C90D5D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w:t>
            </w:r>
          </w:p>
        </w:tc>
      </w:tr>
      <w:tr w14:paraId="632168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0" w:hRule="exact"/>
          <w:jc w:val="center"/>
        </w:trPr>
        <w:tc>
          <w:tcPr>
            <w:tcW w:w="1163" w:type="dxa"/>
            <w:vAlign w:val="center"/>
          </w:tcPr>
          <w:p w14:paraId="1FF5342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出水</w:t>
            </w:r>
            <w:r>
              <w:rPr>
                <w:rFonts w:hint="default" w:ascii="Times New Roman" w:hAnsi="Times New Roman" w:cs="Times New Roman"/>
                <w:color w:val="auto"/>
                <w:spacing w:val="-3"/>
                <w:highlight w:val="none"/>
                <w:u w:val="none" w:color="auto"/>
              </w:rPr>
              <w:t>水</w:t>
            </w:r>
            <w:r>
              <w:rPr>
                <w:rFonts w:hint="default" w:ascii="Times New Roman" w:hAnsi="Times New Roman" w:cs="Times New Roman"/>
                <w:color w:val="auto"/>
                <w:highlight w:val="none"/>
                <w:u w:val="none" w:color="auto"/>
              </w:rPr>
              <w:t>质</w:t>
            </w:r>
          </w:p>
        </w:tc>
        <w:tc>
          <w:tcPr>
            <w:tcW w:w="1192" w:type="dxa"/>
            <w:vAlign w:val="center"/>
          </w:tcPr>
          <w:p w14:paraId="17FD811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6-9</w:t>
            </w:r>
          </w:p>
        </w:tc>
        <w:tc>
          <w:tcPr>
            <w:tcW w:w="943" w:type="dxa"/>
            <w:vAlign w:val="center"/>
          </w:tcPr>
          <w:p w14:paraId="5711B4C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highlight w:val="none"/>
                <w:u w:val="none" w:color="auto"/>
                <w:lang w:val="en-US" w:eastAsia="zh-CN"/>
              </w:rPr>
              <w:t>50</w:t>
            </w:r>
          </w:p>
        </w:tc>
        <w:tc>
          <w:tcPr>
            <w:tcW w:w="1035" w:type="dxa"/>
            <w:vAlign w:val="center"/>
          </w:tcPr>
          <w:p w14:paraId="58DB53C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highlight w:val="none"/>
                <w:u w:val="none" w:color="auto"/>
                <w:lang w:val="en-US" w:eastAsia="zh-CN"/>
              </w:rPr>
              <w:t>10</w:t>
            </w:r>
          </w:p>
        </w:tc>
        <w:tc>
          <w:tcPr>
            <w:tcW w:w="1087" w:type="dxa"/>
            <w:vAlign w:val="center"/>
          </w:tcPr>
          <w:p w14:paraId="2CF47AC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highlight w:val="none"/>
                <w:u w:val="none" w:color="auto"/>
                <w:lang w:val="en-US" w:eastAsia="zh-CN"/>
              </w:rPr>
              <w:t>10</w:t>
            </w:r>
          </w:p>
        </w:tc>
        <w:tc>
          <w:tcPr>
            <w:tcW w:w="1140" w:type="dxa"/>
            <w:vAlign w:val="center"/>
          </w:tcPr>
          <w:p w14:paraId="2EC6910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spacing w:val="-1"/>
                <w:highlight w:val="none"/>
                <w:u w:val="none" w:color="auto"/>
                <w:lang w:val="en-US" w:eastAsia="zh-CN"/>
              </w:rPr>
              <w:t>5</w:t>
            </w:r>
          </w:p>
        </w:tc>
        <w:tc>
          <w:tcPr>
            <w:tcW w:w="848" w:type="dxa"/>
            <w:vAlign w:val="center"/>
          </w:tcPr>
          <w:p w14:paraId="14DF97E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highlight w:val="none"/>
                <w:u w:val="none" w:color="auto"/>
                <w:lang w:val="en-US" w:eastAsia="zh-CN"/>
              </w:rPr>
              <w:t>15</w:t>
            </w:r>
          </w:p>
        </w:tc>
        <w:tc>
          <w:tcPr>
            <w:tcW w:w="847" w:type="dxa"/>
            <w:vAlign w:val="center"/>
          </w:tcPr>
          <w:p w14:paraId="0F2743A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spacing w:val="-1"/>
                <w:highlight w:val="none"/>
                <w:u w:val="none" w:color="auto"/>
                <w:lang w:val="en-US" w:eastAsia="zh-CN"/>
              </w:rPr>
              <w:t>0.5</w:t>
            </w:r>
          </w:p>
        </w:tc>
        <w:tc>
          <w:tcPr>
            <w:tcW w:w="1197" w:type="dxa"/>
            <w:vAlign w:val="center"/>
          </w:tcPr>
          <w:p w14:paraId="0964055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spacing w:val="-1"/>
                <w:highlight w:val="none"/>
                <w:u w:val="none" w:color="auto"/>
                <w:lang w:val="en-US"/>
              </w:rPr>
            </w:pPr>
            <w:r>
              <w:rPr>
                <w:rFonts w:hint="default" w:ascii="Times New Roman" w:hAnsi="Times New Roman" w:cs="Times New Roman"/>
                <w:color w:val="auto"/>
                <w:spacing w:val="-1"/>
                <w:highlight w:val="none"/>
                <w:u w:val="none" w:color="auto"/>
              </w:rPr>
              <w:t>≤</w:t>
            </w:r>
            <w:r>
              <w:rPr>
                <w:rFonts w:hint="default" w:ascii="Times New Roman" w:hAnsi="Times New Roman" w:cs="Times New Roman"/>
                <w:color w:val="auto"/>
                <w:highlight w:val="none"/>
                <w:u w:val="none" w:color="auto"/>
                <w:lang w:val="en-US" w:eastAsia="zh-CN"/>
              </w:rPr>
              <w:t>1000</w:t>
            </w:r>
          </w:p>
        </w:tc>
      </w:tr>
    </w:tbl>
    <w:p w14:paraId="25164AA3">
      <w:pPr>
        <w:pStyle w:val="189"/>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auto"/>
          <w:highlight w:val="none"/>
          <w:u w:val="none" w:color="auto"/>
          <w:lang w:val="en-US" w:eastAsia="zh-CN"/>
        </w:rPr>
        <w:t>污水经本项目处理后出水水质达《城镇污水处理厂污染物排放标</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准》</w:t>
      </w:r>
      <w:r>
        <w:rPr>
          <w:rFonts w:hint="eastAsia" w:cs="Times New Roman"/>
          <w:color w:val="000000" w:themeColor="text1"/>
          <w:highlight w:val="none"/>
          <w:u w:val="none" w:color="auto"/>
          <w:lang w:val="en-US" w:eastAsia="zh-CN"/>
          <w14:textFill>
            <w14:solidFill>
              <w14:schemeClr w14:val="tx1"/>
            </w14:solidFill>
          </w14:textFill>
        </w:rPr>
        <w:t>GB18918-2002）修改单</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一级A标后经机排二十渠排入老三运河。</w:t>
      </w:r>
    </w:p>
    <w:p w14:paraId="42DBF05B">
      <w:pPr>
        <w:pStyle w:val="4"/>
        <w:numPr>
          <w:ilvl w:val="2"/>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u w:val="none" w:color="auto"/>
          <w:lang w:val="en-US" w:eastAsia="zh-CN" w:bidi="ar-SA"/>
          <w14:textFill>
            <w14:solidFill>
              <w14:schemeClr w14:val="tx1"/>
            </w14:solidFill>
          </w14:textFill>
        </w:rPr>
        <w:t>3.1.3</w:t>
      </w:r>
      <w:r>
        <w:rPr>
          <w:rFonts w:hint="default" w:ascii="Times New Roman" w:hAnsi="Times New Roman" w:cs="Times New Roman"/>
          <w:b/>
          <w:bCs/>
          <w:color w:val="000000" w:themeColor="text1"/>
          <w:sz w:val="28"/>
          <w:szCs w:val="28"/>
          <w:highlight w:val="none"/>
          <w:u w:val="none" w:color="auto"/>
          <w:lang w:val="en-US" w:eastAsia="zh-CN" w:bidi="ar-SA"/>
          <w14:textFill>
            <w14:solidFill>
              <w14:schemeClr w14:val="tx1"/>
            </w14:solidFill>
          </w14:textFill>
        </w:rPr>
        <w:t xml:space="preserve"> 主要建设内容</w:t>
      </w:r>
    </w:p>
    <w:p w14:paraId="49A840A7">
      <w:pPr>
        <w:pStyle w:val="21"/>
        <w:spacing w:line="240" w:lineRule="auto"/>
        <w:ind w:firstLine="482"/>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表 </w:t>
      </w:r>
      <w:r>
        <w:rPr>
          <w:rFonts w:hint="default" w:ascii="Times New Roman" w:hAnsi="Times New Roman" w:cs="Times New Roman"/>
          <w:color w:val="000000" w:themeColor="text1"/>
          <w:highlight w:val="none"/>
          <w:u w:val="wave" w:color="auto"/>
          <w14:textFill>
            <w14:solidFill>
              <w14:schemeClr w14:val="tx1"/>
            </w14:solidFill>
          </w14:textFill>
        </w:rPr>
        <w:fldChar w:fldCharType="begin"/>
      </w:r>
      <w:r>
        <w:rPr>
          <w:rFonts w:hint="default" w:ascii="Times New Roman" w:hAnsi="Times New Roman" w:cs="Times New Roman"/>
          <w:color w:val="000000" w:themeColor="text1"/>
          <w:highlight w:val="none"/>
          <w:u w:val="wav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wave" w:color="auto"/>
          <w14:textFill>
            <w14:solidFill>
              <w14:schemeClr w14:val="tx1"/>
            </w14:solidFill>
          </w14:textFill>
        </w:rPr>
        <w:fldChar w:fldCharType="separate"/>
      </w:r>
      <w:r>
        <w:rPr>
          <w:rFonts w:hint="default" w:ascii="Times New Roman" w:hAnsi="Times New Roman" w:cs="Times New Roman"/>
          <w:color w:val="000000" w:themeColor="text1"/>
          <w:highlight w:val="none"/>
          <w:u w:val="wave" w:color="auto"/>
          <w14:textFill>
            <w14:solidFill>
              <w14:schemeClr w14:val="tx1"/>
            </w14:solidFill>
          </w14:textFill>
        </w:rPr>
        <w:t>3.1</w:t>
      </w:r>
      <w:r>
        <w:rPr>
          <w:rFonts w:hint="default" w:ascii="Times New Roman" w:hAnsi="Times New Roman" w:cs="Times New Roman"/>
          <w:color w:val="000000" w:themeColor="text1"/>
          <w:highlight w:val="none"/>
          <w:u w:val="wave" w:color="auto"/>
          <w14:textFill>
            <w14:solidFill>
              <w14:schemeClr w14:val="tx1"/>
            </w14:solidFill>
          </w14:textFill>
        </w:rPr>
        <w:fldChar w:fldCharType="end"/>
      </w:r>
      <w:r>
        <w:rPr>
          <w:rFonts w:hint="default" w:ascii="Times New Roman" w:hAnsi="Times New Roman" w:cs="Times New Roman"/>
          <w:color w:val="000000" w:themeColor="text1"/>
          <w:highlight w:val="none"/>
          <w:u w:val="wave" w:color="auto"/>
          <w14:textFill>
            <w14:solidFill>
              <w14:schemeClr w14:val="tx1"/>
            </w14:solidFill>
          </w14:textFill>
        </w:rPr>
        <w:noBreakHyphen/>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 xml:space="preserve">  </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现有</w:t>
      </w:r>
      <w:r>
        <w:rPr>
          <w:rFonts w:hint="default" w:ascii="Times New Roman" w:hAnsi="Times New Roman" w:cs="Times New Roman"/>
          <w:color w:val="000000" w:themeColor="text1"/>
          <w:highlight w:val="none"/>
          <w:u w:val="wave" w:color="auto"/>
          <w14:textFill>
            <w14:solidFill>
              <w14:schemeClr w14:val="tx1"/>
            </w14:solidFill>
          </w14:textFill>
        </w:rPr>
        <w:t>工程主要建设内容一览表</w:t>
      </w:r>
    </w:p>
    <w:tbl>
      <w:tblPr>
        <w:tblStyle w:val="7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13"/>
        <w:gridCol w:w="712"/>
        <w:gridCol w:w="2058"/>
        <w:gridCol w:w="3357"/>
        <w:gridCol w:w="2278"/>
      </w:tblGrid>
      <w:tr w14:paraId="7A99C8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8" w:hRule="atLeast"/>
          <w:tblHeader/>
          <w:jc w:val="center"/>
        </w:trPr>
        <w:tc>
          <w:tcPr>
            <w:tcW w:w="713" w:type="dxa"/>
            <w:vAlign w:val="center"/>
          </w:tcPr>
          <w:p w14:paraId="0FEA3700">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序号</w:t>
            </w:r>
          </w:p>
        </w:tc>
        <w:tc>
          <w:tcPr>
            <w:tcW w:w="2770" w:type="dxa"/>
            <w:gridSpan w:val="2"/>
            <w:tcBorders>
              <w:right w:val="single" w:color="auto" w:sz="4" w:space="0"/>
            </w:tcBorders>
            <w:vAlign w:val="center"/>
          </w:tcPr>
          <w:p w14:paraId="46D7EB0B">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项目</w:t>
            </w:r>
          </w:p>
        </w:tc>
        <w:tc>
          <w:tcPr>
            <w:tcW w:w="3357" w:type="dxa"/>
            <w:tcBorders>
              <w:left w:val="single" w:color="auto" w:sz="4" w:space="0"/>
              <w:right w:val="single" w:color="auto" w:sz="4" w:space="0"/>
            </w:tcBorders>
            <w:vAlign w:val="center"/>
          </w:tcPr>
          <w:p w14:paraId="088D5DA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b/>
                <w:color w:val="000000" w:themeColor="text1"/>
                <w:highlight w:val="none"/>
                <w:u w:val="wave" w:color="auto"/>
                <w:lang w:val="en-US" w:eastAsia="zh-CN"/>
                <w14:textFill>
                  <w14:solidFill>
                    <w14:schemeClr w14:val="tx1"/>
                  </w14:solidFill>
                </w14:textFill>
              </w:rPr>
              <w:t>规模/内容</w:t>
            </w:r>
          </w:p>
        </w:tc>
        <w:tc>
          <w:tcPr>
            <w:tcW w:w="2278" w:type="dxa"/>
            <w:tcBorders>
              <w:left w:val="single" w:color="auto" w:sz="4" w:space="0"/>
            </w:tcBorders>
            <w:vAlign w:val="center"/>
          </w:tcPr>
          <w:p w14:paraId="3CCA3932">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备注</w:t>
            </w:r>
          </w:p>
        </w:tc>
      </w:tr>
      <w:tr w14:paraId="001098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5" w:hRule="atLeast"/>
          <w:jc w:val="center"/>
        </w:trPr>
        <w:tc>
          <w:tcPr>
            <w:tcW w:w="713" w:type="dxa"/>
            <w:vMerge w:val="restart"/>
            <w:vAlign w:val="center"/>
          </w:tcPr>
          <w:p w14:paraId="4CDBE62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1</w:t>
            </w:r>
          </w:p>
        </w:tc>
        <w:tc>
          <w:tcPr>
            <w:tcW w:w="712" w:type="dxa"/>
            <w:vMerge w:val="restart"/>
            <w:vAlign w:val="center"/>
          </w:tcPr>
          <w:p w14:paraId="3702243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主体工程</w:t>
            </w:r>
          </w:p>
        </w:tc>
        <w:tc>
          <w:tcPr>
            <w:tcW w:w="2058" w:type="dxa"/>
            <w:tcBorders>
              <w:right w:val="single" w:color="auto" w:sz="4" w:space="0"/>
            </w:tcBorders>
            <w:vAlign w:val="center"/>
          </w:tcPr>
          <w:p w14:paraId="6B424B0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调节池</w:t>
            </w:r>
          </w:p>
        </w:tc>
        <w:tc>
          <w:tcPr>
            <w:tcW w:w="3357" w:type="dxa"/>
            <w:tcBorders>
              <w:left w:val="single" w:color="auto" w:sz="4" w:space="0"/>
              <w:right w:val="single" w:color="auto" w:sz="4" w:space="0"/>
            </w:tcBorders>
            <w:vAlign w:val="center"/>
          </w:tcPr>
          <w:p w14:paraId="09B020E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18.1×7.5×4.0</w:t>
            </w:r>
          </w:p>
        </w:tc>
        <w:tc>
          <w:tcPr>
            <w:tcW w:w="2278" w:type="dxa"/>
            <w:tcBorders>
              <w:left w:val="single" w:color="auto" w:sz="4" w:space="0"/>
            </w:tcBorders>
            <w:vAlign w:val="center"/>
          </w:tcPr>
          <w:p w14:paraId="72823C4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p>
        </w:tc>
      </w:tr>
      <w:tr w14:paraId="54789B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5" w:hRule="atLeast"/>
          <w:jc w:val="center"/>
        </w:trPr>
        <w:tc>
          <w:tcPr>
            <w:tcW w:w="713" w:type="dxa"/>
            <w:vMerge w:val="continue"/>
            <w:vAlign w:val="center"/>
          </w:tcPr>
          <w:p w14:paraId="0A7F341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3EAAF4F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7743DFE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生化池+沉淀池</w:t>
            </w:r>
          </w:p>
        </w:tc>
        <w:tc>
          <w:tcPr>
            <w:tcW w:w="3357" w:type="dxa"/>
            <w:tcBorders>
              <w:left w:val="single" w:color="auto" w:sz="4" w:space="0"/>
              <w:right w:val="single" w:color="auto" w:sz="4" w:space="0"/>
            </w:tcBorders>
            <w:vAlign w:val="center"/>
          </w:tcPr>
          <w:p w14:paraId="200BDC1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40.7×14.1×5.0</w:t>
            </w:r>
          </w:p>
        </w:tc>
        <w:tc>
          <w:tcPr>
            <w:tcW w:w="2278" w:type="dxa"/>
            <w:tcBorders>
              <w:left w:val="single" w:color="auto" w:sz="4" w:space="0"/>
            </w:tcBorders>
            <w:vAlign w:val="center"/>
          </w:tcPr>
          <w:p w14:paraId="3088EA9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分两组建设，每组处理量600m</w:t>
            </w:r>
            <w:r>
              <w:rPr>
                <w:rFonts w:hint="default" w:ascii="Times New Roman" w:hAnsi="Times New Roman" w:cs="Times New Roman"/>
                <w:color w:val="000000" w:themeColor="text1"/>
                <w:highlight w:val="none"/>
                <w:u w:val="wav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/d</w:t>
            </w:r>
          </w:p>
        </w:tc>
      </w:tr>
      <w:tr w14:paraId="3EF8E5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2" w:hRule="atLeast"/>
          <w:jc w:val="center"/>
        </w:trPr>
        <w:tc>
          <w:tcPr>
            <w:tcW w:w="713" w:type="dxa"/>
            <w:vMerge w:val="continue"/>
            <w:vAlign w:val="center"/>
          </w:tcPr>
          <w:p w14:paraId="1E7D7C6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274C425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56C12B4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清水池+污泥浓缩池</w:t>
            </w:r>
          </w:p>
        </w:tc>
        <w:tc>
          <w:tcPr>
            <w:tcW w:w="3357" w:type="dxa"/>
            <w:tcBorders>
              <w:left w:val="single" w:color="auto" w:sz="4" w:space="0"/>
              <w:right w:val="single" w:color="auto" w:sz="4" w:space="0"/>
            </w:tcBorders>
            <w:vAlign w:val="center"/>
          </w:tcPr>
          <w:p w14:paraId="14D8B9E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eastAsia="zh-CN"/>
                <w14:textFill>
                  <w14:solidFill>
                    <w14:schemeClr w14:val="tx1"/>
                  </w14:solidFill>
                </w14:textFill>
              </w:rPr>
              <w:t>12.7×4.5×5.0</w:t>
            </w:r>
          </w:p>
        </w:tc>
        <w:tc>
          <w:tcPr>
            <w:tcW w:w="2278" w:type="dxa"/>
            <w:tcBorders>
              <w:left w:val="single" w:color="auto" w:sz="4" w:space="0"/>
            </w:tcBorders>
            <w:vAlign w:val="center"/>
          </w:tcPr>
          <w:p w14:paraId="6DF3C3E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p>
        </w:tc>
      </w:tr>
      <w:tr w14:paraId="19951F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6" w:hRule="atLeast"/>
          <w:jc w:val="center"/>
        </w:trPr>
        <w:tc>
          <w:tcPr>
            <w:tcW w:w="713" w:type="dxa"/>
            <w:vMerge w:val="continue"/>
            <w:vAlign w:val="center"/>
          </w:tcPr>
          <w:p w14:paraId="3E133A5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45B3996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1B2E578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标准排放口</w:t>
            </w:r>
          </w:p>
        </w:tc>
        <w:tc>
          <w:tcPr>
            <w:tcW w:w="3357" w:type="dxa"/>
            <w:tcBorders>
              <w:left w:val="single" w:color="auto" w:sz="4" w:space="0"/>
              <w:right w:val="single" w:color="auto" w:sz="4" w:space="0"/>
            </w:tcBorders>
            <w:vAlign w:val="center"/>
          </w:tcPr>
          <w:p w14:paraId="79CCA70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lang w:eastAsia="zh-CN"/>
                <w14:textFill>
                  <w14:solidFill>
                    <w14:schemeClr w14:val="tx1"/>
                  </w14:solidFill>
                </w14:textFill>
              </w:rPr>
              <w:t>4.5×1.2×1.8</w:t>
            </w:r>
          </w:p>
        </w:tc>
        <w:tc>
          <w:tcPr>
            <w:tcW w:w="2278" w:type="dxa"/>
            <w:tcBorders>
              <w:left w:val="single" w:color="auto" w:sz="4" w:space="0"/>
            </w:tcBorders>
            <w:vAlign w:val="center"/>
          </w:tcPr>
          <w:p w14:paraId="501B4EF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p>
        </w:tc>
      </w:tr>
      <w:tr w14:paraId="12484A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5" w:hRule="atLeast"/>
          <w:jc w:val="center"/>
        </w:trPr>
        <w:tc>
          <w:tcPr>
            <w:tcW w:w="713" w:type="dxa"/>
            <w:vMerge w:val="continue"/>
            <w:vAlign w:val="center"/>
          </w:tcPr>
          <w:p w14:paraId="040A57B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28CAC63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1DE2D4F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风机房及污泥脱水机房</w:t>
            </w:r>
          </w:p>
        </w:tc>
        <w:tc>
          <w:tcPr>
            <w:tcW w:w="3357" w:type="dxa"/>
            <w:tcBorders>
              <w:left w:val="single" w:color="auto" w:sz="4" w:space="0"/>
              <w:right w:val="single" w:color="auto" w:sz="4" w:space="0"/>
            </w:tcBorders>
            <w:vAlign w:val="center"/>
          </w:tcPr>
          <w:p w14:paraId="30C23DD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eastAsia="zh-CN"/>
                <w14:textFill>
                  <w14:solidFill>
                    <w14:schemeClr w14:val="tx1"/>
                  </w14:solidFill>
                </w14:textFill>
              </w:rPr>
              <w:t>14.2×7.5×8.4</w:t>
            </w:r>
          </w:p>
        </w:tc>
        <w:tc>
          <w:tcPr>
            <w:tcW w:w="2278" w:type="dxa"/>
            <w:tcBorders>
              <w:left w:val="single" w:color="auto" w:sz="4" w:space="0"/>
            </w:tcBorders>
            <w:vAlign w:val="center"/>
          </w:tcPr>
          <w:p w14:paraId="6217DA9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火灾危险性：戊，耐火等级：二级</w:t>
            </w:r>
          </w:p>
        </w:tc>
      </w:tr>
      <w:tr w14:paraId="016C96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0" w:hRule="atLeast"/>
          <w:jc w:val="center"/>
        </w:trPr>
        <w:tc>
          <w:tcPr>
            <w:tcW w:w="713" w:type="dxa"/>
            <w:vMerge w:val="continue"/>
            <w:vAlign w:val="center"/>
          </w:tcPr>
          <w:p w14:paraId="7A2EB8B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0BAD50F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6333B01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综合管理用房</w:t>
            </w:r>
          </w:p>
        </w:tc>
        <w:tc>
          <w:tcPr>
            <w:tcW w:w="3357" w:type="dxa"/>
            <w:tcBorders>
              <w:left w:val="single" w:color="auto" w:sz="4" w:space="0"/>
              <w:right w:val="single" w:color="auto" w:sz="4" w:space="0"/>
            </w:tcBorders>
            <w:vAlign w:val="center"/>
          </w:tcPr>
          <w:p w14:paraId="22EA8EF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15.2×6.5×6.6</w:t>
            </w:r>
          </w:p>
        </w:tc>
        <w:tc>
          <w:tcPr>
            <w:tcW w:w="2278" w:type="dxa"/>
            <w:tcBorders>
              <w:left w:val="single" w:color="auto" w:sz="4" w:space="0"/>
            </w:tcBorders>
            <w:vAlign w:val="center"/>
          </w:tcPr>
          <w:p w14:paraId="53DB34F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火灾危险性：戊，耐火等级：二级</w:t>
            </w:r>
          </w:p>
        </w:tc>
      </w:tr>
      <w:tr w14:paraId="326256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5" w:hRule="atLeast"/>
          <w:jc w:val="center"/>
        </w:trPr>
        <w:tc>
          <w:tcPr>
            <w:tcW w:w="713" w:type="dxa"/>
            <w:vMerge w:val="continue"/>
            <w:vAlign w:val="center"/>
          </w:tcPr>
          <w:p w14:paraId="5098213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6BC110D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62C7159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在线监控室</w:t>
            </w:r>
          </w:p>
        </w:tc>
        <w:tc>
          <w:tcPr>
            <w:tcW w:w="3357" w:type="dxa"/>
            <w:tcBorders>
              <w:left w:val="single" w:color="auto" w:sz="4" w:space="0"/>
              <w:right w:val="single" w:color="auto" w:sz="4" w:space="0"/>
            </w:tcBorders>
            <w:vAlign w:val="center"/>
          </w:tcPr>
          <w:p w14:paraId="75D4FFA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5.0×3.0×4.6</w:t>
            </w:r>
          </w:p>
        </w:tc>
        <w:tc>
          <w:tcPr>
            <w:tcW w:w="2278" w:type="dxa"/>
            <w:tcBorders>
              <w:left w:val="single" w:color="auto" w:sz="4" w:space="0"/>
            </w:tcBorders>
            <w:vAlign w:val="center"/>
          </w:tcPr>
          <w:p w14:paraId="622E74C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火灾危险性：戊，耐火等级：二级</w:t>
            </w:r>
          </w:p>
        </w:tc>
      </w:tr>
      <w:tr w14:paraId="048300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76" w:hRule="atLeast"/>
          <w:jc w:val="center"/>
        </w:trPr>
        <w:tc>
          <w:tcPr>
            <w:tcW w:w="713" w:type="dxa"/>
            <w:vMerge w:val="continue"/>
            <w:vAlign w:val="center"/>
          </w:tcPr>
          <w:p w14:paraId="36C1209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0440DD5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4AB76E8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加药间</w:t>
            </w:r>
          </w:p>
        </w:tc>
        <w:tc>
          <w:tcPr>
            <w:tcW w:w="3357" w:type="dxa"/>
            <w:tcBorders>
              <w:left w:val="single" w:color="auto" w:sz="4" w:space="0"/>
              <w:right w:val="single" w:color="auto" w:sz="4" w:space="0"/>
            </w:tcBorders>
            <w:vAlign w:val="center"/>
          </w:tcPr>
          <w:p w14:paraId="7018138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6.0×9.0×6.8</w:t>
            </w:r>
          </w:p>
        </w:tc>
        <w:tc>
          <w:tcPr>
            <w:tcW w:w="2278" w:type="dxa"/>
            <w:tcBorders>
              <w:left w:val="single" w:color="auto" w:sz="4" w:space="0"/>
            </w:tcBorders>
            <w:vAlign w:val="center"/>
          </w:tcPr>
          <w:p w14:paraId="1DE8A93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p>
        </w:tc>
      </w:tr>
      <w:tr w14:paraId="3E8830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0" w:hRule="atLeast"/>
          <w:jc w:val="center"/>
        </w:trPr>
        <w:tc>
          <w:tcPr>
            <w:tcW w:w="713" w:type="dxa"/>
            <w:vMerge w:val="continue"/>
            <w:vAlign w:val="center"/>
          </w:tcPr>
          <w:p w14:paraId="3A539BB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7BC1E06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66FB0E0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砂滤罐</w:t>
            </w:r>
          </w:p>
        </w:tc>
        <w:tc>
          <w:tcPr>
            <w:tcW w:w="3357" w:type="dxa"/>
            <w:tcBorders>
              <w:left w:val="single" w:color="auto" w:sz="4" w:space="0"/>
              <w:right w:val="single" w:color="auto" w:sz="4" w:space="0"/>
            </w:tcBorders>
            <w:vAlign w:val="center"/>
          </w:tcPr>
          <w:p w14:paraId="0345D6B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lang w:eastAsia="zh-CN"/>
                <w14:textFill>
                  <w14:solidFill>
                    <w14:schemeClr w14:val="tx1"/>
                  </w14:solidFill>
                </w14:textFill>
              </w:rPr>
              <w:t>Φ1.92×6.0</w:t>
            </w:r>
          </w:p>
        </w:tc>
        <w:tc>
          <w:tcPr>
            <w:tcW w:w="2278" w:type="dxa"/>
            <w:tcBorders>
              <w:left w:val="single" w:color="auto" w:sz="4" w:space="0"/>
            </w:tcBorders>
            <w:vAlign w:val="center"/>
          </w:tcPr>
          <w:p w14:paraId="54B3083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p>
        </w:tc>
      </w:tr>
      <w:tr w14:paraId="159D01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0" w:hRule="atLeast"/>
          <w:jc w:val="center"/>
        </w:trPr>
        <w:tc>
          <w:tcPr>
            <w:tcW w:w="713" w:type="dxa"/>
            <w:vMerge w:val="continue"/>
            <w:vAlign w:val="center"/>
          </w:tcPr>
          <w:p w14:paraId="2F3C7D9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0D6C0F8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0B5E204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中间提升泵站</w:t>
            </w:r>
          </w:p>
        </w:tc>
        <w:tc>
          <w:tcPr>
            <w:tcW w:w="3357" w:type="dxa"/>
            <w:tcBorders>
              <w:left w:val="single" w:color="auto" w:sz="4" w:space="0"/>
              <w:right w:val="single" w:color="auto" w:sz="4" w:space="0"/>
            </w:tcBorders>
            <w:vAlign w:val="center"/>
          </w:tcPr>
          <w:p w14:paraId="09FC717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5.55×5.05×3.2</w:t>
            </w:r>
          </w:p>
        </w:tc>
        <w:tc>
          <w:tcPr>
            <w:tcW w:w="2278" w:type="dxa"/>
            <w:tcBorders>
              <w:left w:val="single" w:color="auto" w:sz="4" w:space="0"/>
            </w:tcBorders>
            <w:vAlign w:val="center"/>
          </w:tcPr>
          <w:p w14:paraId="33DD1AB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p>
        </w:tc>
      </w:tr>
      <w:tr w14:paraId="094757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0" w:hRule="atLeast"/>
          <w:jc w:val="center"/>
        </w:trPr>
        <w:tc>
          <w:tcPr>
            <w:tcW w:w="713" w:type="dxa"/>
            <w:vMerge w:val="continue"/>
            <w:vAlign w:val="center"/>
          </w:tcPr>
          <w:p w14:paraId="14093C6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3AC732C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40377E9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在线监测室（进水）</w:t>
            </w:r>
          </w:p>
        </w:tc>
        <w:tc>
          <w:tcPr>
            <w:tcW w:w="3357" w:type="dxa"/>
            <w:tcBorders>
              <w:left w:val="single" w:color="auto" w:sz="4" w:space="0"/>
              <w:right w:val="single" w:color="auto" w:sz="4" w:space="0"/>
            </w:tcBorders>
            <w:vAlign w:val="center"/>
          </w:tcPr>
          <w:p w14:paraId="3A40FB6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6.0×2.4</w:t>
            </w:r>
          </w:p>
        </w:tc>
        <w:tc>
          <w:tcPr>
            <w:tcW w:w="2278" w:type="dxa"/>
            <w:tcBorders>
              <w:left w:val="single" w:color="auto" w:sz="4" w:space="0"/>
            </w:tcBorders>
            <w:vAlign w:val="center"/>
          </w:tcPr>
          <w:p w14:paraId="650B318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p>
        </w:tc>
      </w:tr>
      <w:tr w14:paraId="43EE67F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2" w:hRule="atLeast"/>
          <w:jc w:val="center"/>
        </w:trPr>
        <w:tc>
          <w:tcPr>
            <w:tcW w:w="713" w:type="dxa"/>
            <w:vMerge w:val="restart"/>
            <w:vAlign w:val="center"/>
          </w:tcPr>
          <w:p w14:paraId="28C87FD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2</w:t>
            </w:r>
          </w:p>
        </w:tc>
        <w:tc>
          <w:tcPr>
            <w:tcW w:w="712" w:type="dxa"/>
            <w:vMerge w:val="restart"/>
            <w:vAlign w:val="center"/>
          </w:tcPr>
          <w:p w14:paraId="1AD943D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管网</w:t>
            </w:r>
            <w:r>
              <w:rPr>
                <w:rFonts w:hint="default" w:ascii="Times New Roman" w:hAnsi="Times New Roman" w:cs="Times New Roman"/>
                <w:color w:val="000000" w:themeColor="text1"/>
                <w:highlight w:val="none"/>
                <w:u w:val="wave" w:color="auto"/>
                <w14:textFill>
                  <w14:solidFill>
                    <w14:schemeClr w14:val="tx1"/>
                  </w14:solidFill>
                </w14:textFill>
              </w:rPr>
              <w:t>工程</w:t>
            </w:r>
          </w:p>
        </w:tc>
        <w:tc>
          <w:tcPr>
            <w:tcW w:w="2058" w:type="dxa"/>
            <w:tcBorders>
              <w:right w:val="single" w:color="auto" w:sz="4" w:space="0"/>
            </w:tcBorders>
            <w:vAlign w:val="center"/>
          </w:tcPr>
          <w:p w14:paraId="2621A96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工业污水收集干管</w:t>
            </w:r>
          </w:p>
        </w:tc>
        <w:tc>
          <w:tcPr>
            <w:tcW w:w="3357" w:type="dxa"/>
            <w:tcBorders>
              <w:left w:val="single" w:color="auto" w:sz="4" w:space="0"/>
              <w:right w:val="single" w:color="auto" w:sz="4" w:space="0"/>
            </w:tcBorders>
            <w:vAlign w:val="center"/>
          </w:tcPr>
          <w:p w14:paraId="107E7F0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2215m</w:t>
            </w:r>
          </w:p>
        </w:tc>
        <w:tc>
          <w:tcPr>
            <w:tcW w:w="2278" w:type="dxa"/>
            <w:tcBorders>
              <w:left w:val="single" w:color="auto" w:sz="4" w:space="0"/>
            </w:tcBorders>
            <w:vAlign w:val="center"/>
          </w:tcPr>
          <w:p w14:paraId="6EF1507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D400</w:t>
            </w:r>
          </w:p>
        </w:tc>
      </w:tr>
      <w:tr w14:paraId="06CC36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713" w:type="dxa"/>
            <w:vMerge w:val="continue"/>
            <w:vAlign w:val="center"/>
          </w:tcPr>
          <w:p w14:paraId="2B19D29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5E4FEA7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4B915F7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工业污水收集支管</w:t>
            </w:r>
          </w:p>
        </w:tc>
        <w:tc>
          <w:tcPr>
            <w:tcW w:w="3357" w:type="dxa"/>
            <w:tcBorders>
              <w:left w:val="single" w:color="auto" w:sz="4" w:space="0"/>
              <w:right w:val="single" w:color="auto" w:sz="4" w:space="0"/>
            </w:tcBorders>
            <w:vAlign w:val="center"/>
          </w:tcPr>
          <w:p w14:paraId="732A86C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4565m</w:t>
            </w:r>
          </w:p>
        </w:tc>
        <w:tc>
          <w:tcPr>
            <w:tcW w:w="2278" w:type="dxa"/>
            <w:tcBorders>
              <w:left w:val="single" w:color="auto" w:sz="4" w:space="0"/>
            </w:tcBorders>
            <w:vAlign w:val="center"/>
          </w:tcPr>
          <w:p w14:paraId="536740C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D300</w:t>
            </w:r>
          </w:p>
        </w:tc>
      </w:tr>
      <w:tr w14:paraId="0CA9DA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713" w:type="dxa"/>
            <w:vMerge w:val="continue"/>
            <w:vAlign w:val="center"/>
          </w:tcPr>
          <w:p w14:paraId="67E243F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712" w:type="dxa"/>
            <w:vMerge w:val="continue"/>
            <w:vAlign w:val="center"/>
          </w:tcPr>
          <w:p w14:paraId="2B6588C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p>
        </w:tc>
        <w:tc>
          <w:tcPr>
            <w:tcW w:w="2058" w:type="dxa"/>
            <w:tcBorders>
              <w:right w:val="single" w:color="auto" w:sz="4" w:space="0"/>
            </w:tcBorders>
            <w:vAlign w:val="center"/>
          </w:tcPr>
          <w:p w14:paraId="233C30D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检查井</w:t>
            </w:r>
          </w:p>
        </w:tc>
        <w:tc>
          <w:tcPr>
            <w:tcW w:w="3357" w:type="dxa"/>
            <w:tcBorders>
              <w:left w:val="single" w:color="auto" w:sz="4" w:space="0"/>
              <w:right w:val="single" w:color="auto" w:sz="4" w:space="0"/>
            </w:tcBorders>
            <w:vAlign w:val="center"/>
          </w:tcPr>
          <w:p w14:paraId="628BCBF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val="en-US"/>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198座</w:t>
            </w:r>
          </w:p>
        </w:tc>
        <w:tc>
          <w:tcPr>
            <w:tcW w:w="2278" w:type="dxa"/>
            <w:tcBorders>
              <w:left w:val="single" w:color="auto" w:sz="4" w:space="0"/>
            </w:tcBorders>
            <w:vAlign w:val="center"/>
          </w:tcPr>
          <w:p w14:paraId="5CF7A8C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Φ700</w:t>
            </w:r>
          </w:p>
        </w:tc>
      </w:tr>
      <w:tr w14:paraId="217771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0" w:hRule="atLeast"/>
          <w:jc w:val="center"/>
        </w:trPr>
        <w:tc>
          <w:tcPr>
            <w:tcW w:w="713" w:type="dxa"/>
            <w:vMerge w:val="restart"/>
            <w:vAlign w:val="center"/>
          </w:tcPr>
          <w:p w14:paraId="48417E2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w:t>
            </w:r>
          </w:p>
        </w:tc>
        <w:tc>
          <w:tcPr>
            <w:tcW w:w="712" w:type="dxa"/>
            <w:vMerge w:val="restart"/>
            <w:vAlign w:val="center"/>
          </w:tcPr>
          <w:p w14:paraId="43EC635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公用工程</w:t>
            </w:r>
          </w:p>
        </w:tc>
        <w:tc>
          <w:tcPr>
            <w:tcW w:w="2058" w:type="dxa"/>
            <w:tcBorders>
              <w:right w:val="single" w:color="auto" w:sz="4" w:space="0"/>
            </w:tcBorders>
            <w:vAlign w:val="center"/>
          </w:tcPr>
          <w:p w14:paraId="2E1A7F1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给水系统</w:t>
            </w:r>
          </w:p>
        </w:tc>
        <w:tc>
          <w:tcPr>
            <w:tcW w:w="3357" w:type="dxa"/>
            <w:tcBorders>
              <w:left w:val="single" w:color="auto" w:sz="4" w:space="0"/>
              <w:right w:val="single" w:color="auto" w:sz="4" w:space="0"/>
            </w:tcBorders>
            <w:vAlign w:val="center"/>
          </w:tcPr>
          <w:p w14:paraId="57F9693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生产、生活合用系统</w:t>
            </w:r>
          </w:p>
        </w:tc>
        <w:tc>
          <w:tcPr>
            <w:tcW w:w="2278" w:type="dxa"/>
            <w:tcBorders>
              <w:left w:val="single" w:color="auto" w:sz="4" w:space="0"/>
            </w:tcBorders>
            <w:vAlign w:val="center"/>
          </w:tcPr>
          <w:p w14:paraId="21D43C2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水源为园区供水管网</w:t>
            </w:r>
          </w:p>
        </w:tc>
      </w:tr>
      <w:tr w14:paraId="466B3B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713" w:type="dxa"/>
            <w:vMerge w:val="continue"/>
            <w:vAlign w:val="center"/>
          </w:tcPr>
          <w:p w14:paraId="54BA6EF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712" w:type="dxa"/>
            <w:vMerge w:val="continue"/>
            <w:vAlign w:val="center"/>
          </w:tcPr>
          <w:p w14:paraId="3AE5736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058" w:type="dxa"/>
            <w:vMerge w:val="restart"/>
            <w:tcBorders>
              <w:right w:val="single" w:color="auto" w:sz="4" w:space="0"/>
            </w:tcBorders>
            <w:vAlign w:val="center"/>
          </w:tcPr>
          <w:p w14:paraId="7BF0056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排水</w:t>
            </w:r>
            <w:r>
              <w:rPr>
                <w:rFonts w:hint="default" w:ascii="Times New Roman" w:hAnsi="Times New Roman" w:cs="Times New Roman"/>
                <w:color w:val="auto"/>
                <w:highlight w:val="none"/>
                <w:u w:val="none" w:color="auto"/>
                <w:lang w:val="en-US" w:eastAsia="zh-CN"/>
              </w:rPr>
              <w:t>系统</w:t>
            </w:r>
          </w:p>
        </w:tc>
        <w:tc>
          <w:tcPr>
            <w:tcW w:w="3357" w:type="dxa"/>
            <w:tcBorders>
              <w:left w:val="single" w:color="auto" w:sz="4" w:space="0"/>
              <w:right w:val="single" w:color="auto" w:sz="4" w:space="0"/>
            </w:tcBorders>
            <w:vAlign w:val="center"/>
          </w:tcPr>
          <w:p w14:paraId="04457F1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雨水导排系统</w:t>
            </w:r>
          </w:p>
        </w:tc>
        <w:tc>
          <w:tcPr>
            <w:tcW w:w="2278" w:type="dxa"/>
            <w:tcBorders>
              <w:left w:val="single" w:color="auto" w:sz="4" w:space="0"/>
            </w:tcBorders>
            <w:vAlign w:val="center"/>
          </w:tcPr>
          <w:p w14:paraId="3225F05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排入园区雨水管网</w:t>
            </w:r>
          </w:p>
        </w:tc>
      </w:tr>
      <w:tr w14:paraId="360BFF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713" w:type="dxa"/>
            <w:vMerge w:val="continue"/>
            <w:vAlign w:val="center"/>
          </w:tcPr>
          <w:p w14:paraId="534A8EC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712" w:type="dxa"/>
            <w:vMerge w:val="continue"/>
            <w:vAlign w:val="center"/>
          </w:tcPr>
          <w:p w14:paraId="7A62059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058" w:type="dxa"/>
            <w:vMerge w:val="continue"/>
            <w:tcBorders>
              <w:right w:val="single" w:color="auto" w:sz="4" w:space="0"/>
            </w:tcBorders>
            <w:vAlign w:val="center"/>
          </w:tcPr>
          <w:p w14:paraId="7561A87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3357" w:type="dxa"/>
            <w:tcBorders>
              <w:left w:val="single" w:color="auto" w:sz="4" w:space="0"/>
              <w:right w:val="single" w:color="auto" w:sz="4" w:space="0"/>
            </w:tcBorders>
            <w:vAlign w:val="center"/>
          </w:tcPr>
          <w:p w14:paraId="37D2512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生活污水收集系统</w:t>
            </w:r>
          </w:p>
        </w:tc>
        <w:tc>
          <w:tcPr>
            <w:tcW w:w="2278" w:type="dxa"/>
            <w:tcBorders>
              <w:left w:val="single" w:color="auto" w:sz="4" w:space="0"/>
            </w:tcBorders>
            <w:vAlign w:val="center"/>
          </w:tcPr>
          <w:p w14:paraId="443834E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经化粪池预处理，进入污水处理厂处理</w:t>
            </w:r>
          </w:p>
        </w:tc>
      </w:tr>
      <w:tr w14:paraId="6158CB9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713" w:type="dxa"/>
            <w:vMerge w:val="continue"/>
            <w:vAlign w:val="center"/>
          </w:tcPr>
          <w:p w14:paraId="3893440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712" w:type="dxa"/>
            <w:vMerge w:val="continue"/>
            <w:vAlign w:val="center"/>
          </w:tcPr>
          <w:p w14:paraId="3B5AFAC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058" w:type="dxa"/>
            <w:vMerge w:val="continue"/>
            <w:tcBorders>
              <w:right w:val="single" w:color="auto" w:sz="4" w:space="0"/>
            </w:tcBorders>
            <w:vAlign w:val="center"/>
          </w:tcPr>
          <w:p w14:paraId="18417DE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3357" w:type="dxa"/>
            <w:tcBorders>
              <w:left w:val="single" w:color="auto" w:sz="4" w:space="0"/>
              <w:right w:val="single" w:color="auto" w:sz="4" w:space="0"/>
            </w:tcBorders>
            <w:vAlign w:val="center"/>
          </w:tcPr>
          <w:p w14:paraId="5C8D0A3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生产废水收集系统</w:t>
            </w:r>
          </w:p>
        </w:tc>
        <w:tc>
          <w:tcPr>
            <w:tcW w:w="2278" w:type="dxa"/>
            <w:tcBorders>
              <w:left w:val="single" w:color="auto" w:sz="4" w:space="0"/>
            </w:tcBorders>
            <w:vAlign w:val="center"/>
          </w:tcPr>
          <w:p w14:paraId="1FC6544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收集后进污水处理厂处理</w:t>
            </w:r>
          </w:p>
        </w:tc>
      </w:tr>
      <w:tr w14:paraId="76A6D8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713" w:type="dxa"/>
            <w:vMerge w:val="continue"/>
            <w:vAlign w:val="center"/>
          </w:tcPr>
          <w:p w14:paraId="403D62B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712" w:type="dxa"/>
            <w:vMerge w:val="continue"/>
            <w:vAlign w:val="center"/>
          </w:tcPr>
          <w:p w14:paraId="2920723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058" w:type="dxa"/>
            <w:tcBorders>
              <w:right w:val="single" w:color="auto" w:sz="4" w:space="0"/>
            </w:tcBorders>
            <w:vAlign w:val="center"/>
          </w:tcPr>
          <w:p w14:paraId="230D263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水质监测系统</w:t>
            </w:r>
          </w:p>
        </w:tc>
        <w:tc>
          <w:tcPr>
            <w:tcW w:w="3357" w:type="dxa"/>
            <w:tcBorders>
              <w:left w:val="single" w:color="auto" w:sz="4" w:space="0"/>
              <w:right w:val="single" w:color="auto" w:sz="4" w:space="0"/>
            </w:tcBorders>
            <w:vAlign w:val="center"/>
          </w:tcPr>
          <w:p w14:paraId="42BAEC4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自动在线监测设施</w:t>
            </w:r>
          </w:p>
        </w:tc>
        <w:tc>
          <w:tcPr>
            <w:tcW w:w="2278" w:type="dxa"/>
            <w:tcBorders>
              <w:left w:val="single" w:color="auto" w:sz="4" w:space="0"/>
            </w:tcBorders>
            <w:vAlign w:val="center"/>
          </w:tcPr>
          <w:p w14:paraId="476DC72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56BA11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713" w:type="dxa"/>
            <w:vMerge w:val="continue"/>
            <w:vAlign w:val="center"/>
          </w:tcPr>
          <w:p w14:paraId="5854FA9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712" w:type="dxa"/>
            <w:vMerge w:val="continue"/>
            <w:vAlign w:val="center"/>
          </w:tcPr>
          <w:p w14:paraId="52A9FB2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058" w:type="dxa"/>
            <w:tcBorders>
              <w:right w:val="single" w:color="auto" w:sz="4" w:space="0"/>
            </w:tcBorders>
            <w:vAlign w:val="center"/>
          </w:tcPr>
          <w:p w14:paraId="08A0E71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供电系统</w:t>
            </w:r>
          </w:p>
        </w:tc>
        <w:tc>
          <w:tcPr>
            <w:tcW w:w="3357" w:type="dxa"/>
            <w:tcBorders>
              <w:left w:val="single" w:color="auto" w:sz="4" w:space="0"/>
              <w:right w:val="single" w:color="auto" w:sz="4" w:space="0"/>
            </w:tcBorders>
            <w:vAlign w:val="center"/>
          </w:tcPr>
          <w:p w14:paraId="5BE6560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双回路10kV电源</w:t>
            </w:r>
          </w:p>
        </w:tc>
        <w:tc>
          <w:tcPr>
            <w:tcW w:w="2278" w:type="dxa"/>
            <w:tcBorders>
              <w:left w:val="single" w:color="auto" w:sz="4" w:space="0"/>
            </w:tcBorders>
            <w:vAlign w:val="center"/>
          </w:tcPr>
          <w:p w14:paraId="142FC56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由工业园110kV变电站引入</w:t>
            </w:r>
          </w:p>
        </w:tc>
      </w:tr>
      <w:tr w14:paraId="055343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713" w:type="dxa"/>
            <w:vMerge w:val="continue"/>
            <w:vAlign w:val="center"/>
          </w:tcPr>
          <w:p w14:paraId="6BCB020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712" w:type="dxa"/>
            <w:vMerge w:val="continue"/>
            <w:vAlign w:val="center"/>
          </w:tcPr>
          <w:p w14:paraId="5333CBF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058" w:type="dxa"/>
            <w:tcBorders>
              <w:right w:val="single" w:color="auto" w:sz="4" w:space="0"/>
            </w:tcBorders>
            <w:vAlign w:val="center"/>
          </w:tcPr>
          <w:p w14:paraId="104FE24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供热供冷系统</w:t>
            </w:r>
          </w:p>
        </w:tc>
        <w:tc>
          <w:tcPr>
            <w:tcW w:w="3357" w:type="dxa"/>
            <w:tcBorders>
              <w:left w:val="single" w:color="auto" w:sz="4" w:space="0"/>
              <w:right w:val="single" w:color="auto" w:sz="4" w:space="0"/>
            </w:tcBorders>
            <w:vAlign w:val="center"/>
          </w:tcPr>
          <w:p w14:paraId="2C90631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电分体空调</w:t>
            </w:r>
          </w:p>
        </w:tc>
        <w:tc>
          <w:tcPr>
            <w:tcW w:w="2278" w:type="dxa"/>
            <w:tcBorders>
              <w:left w:val="single" w:color="auto" w:sz="4" w:space="0"/>
            </w:tcBorders>
            <w:vAlign w:val="center"/>
          </w:tcPr>
          <w:p w14:paraId="23D94B0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综合管理楼</w:t>
            </w:r>
          </w:p>
        </w:tc>
      </w:tr>
      <w:tr w14:paraId="21974F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713" w:type="dxa"/>
            <w:vMerge w:val="continue"/>
            <w:vAlign w:val="center"/>
          </w:tcPr>
          <w:p w14:paraId="0A4C78E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712" w:type="dxa"/>
            <w:vMerge w:val="continue"/>
            <w:vAlign w:val="center"/>
          </w:tcPr>
          <w:p w14:paraId="6203E47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058" w:type="dxa"/>
            <w:tcBorders>
              <w:right w:val="single" w:color="auto" w:sz="4" w:space="0"/>
            </w:tcBorders>
            <w:vAlign w:val="center"/>
          </w:tcPr>
          <w:p w14:paraId="31D068E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消防</w:t>
            </w:r>
          </w:p>
        </w:tc>
        <w:tc>
          <w:tcPr>
            <w:tcW w:w="3357" w:type="dxa"/>
            <w:tcBorders>
              <w:left w:val="single" w:color="auto" w:sz="4" w:space="0"/>
              <w:right w:val="single" w:color="auto" w:sz="4" w:space="0"/>
            </w:tcBorders>
            <w:vAlign w:val="center"/>
          </w:tcPr>
          <w:p w14:paraId="3A2B2AB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厂内根据消防要求布置</w:t>
            </w:r>
          </w:p>
        </w:tc>
        <w:tc>
          <w:tcPr>
            <w:tcW w:w="2278" w:type="dxa"/>
            <w:tcBorders>
              <w:left w:val="single" w:color="auto" w:sz="4" w:space="0"/>
            </w:tcBorders>
            <w:vAlign w:val="center"/>
          </w:tcPr>
          <w:p w14:paraId="044B476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780833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713" w:type="dxa"/>
            <w:vMerge w:val="restart"/>
            <w:vAlign w:val="center"/>
          </w:tcPr>
          <w:p w14:paraId="6BE5FAB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w:t>
            </w:r>
          </w:p>
        </w:tc>
        <w:tc>
          <w:tcPr>
            <w:tcW w:w="712" w:type="dxa"/>
            <w:vMerge w:val="restart"/>
            <w:vAlign w:val="center"/>
          </w:tcPr>
          <w:p w14:paraId="6223332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环保工程</w:t>
            </w:r>
          </w:p>
        </w:tc>
        <w:tc>
          <w:tcPr>
            <w:tcW w:w="2058" w:type="dxa"/>
            <w:tcBorders>
              <w:right w:val="single" w:color="auto" w:sz="4" w:space="0"/>
            </w:tcBorders>
            <w:vAlign w:val="center"/>
          </w:tcPr>
          <w:p w14:paraId="024776B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噪声</w:t>
            </w:r>
          </w:p>
        </w:tc>
        <w:tc>
          <w:tcPr>
            <w:tcW w:w="3357" w:type="dxa"/>
            <w:tcBorders>
              <w:left w:val="single" w:color="auto" w:sz="4" w:space="0"/>
              <w:right w:val="single" w:color="auto" w:sz="4" w:space="0"/>
            </w:tcBorders>
            <w:vAlign w:val="center"/>
          </w:tcPr>
          <w:p w14:paraId="0D7DE3C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建筑内安装，消声、基础减振等</w:t>
            </w:r>
          </w:p>
        </w:tc>
        <w:tc>
          <w:tcPr>
            <w:tcW w:w="2278" w:type="dxa"/>
            <w:tcBorders>
              <w:left w:val="single" w:color="auto" w:sz="4" w:space="0"/>
            </w:tcBorders>
            <w:vAlign w:val="center"/>
          </w:tcPr>
          <w:p w14:paraId="116951C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2D64F1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61" w:hRule="atLeast"/>
          <w:jc w:val="center"/>
        </w:trPr>
        <w:tc>
          <w:tcPr>
            <w:tcW w:w="713" w:type="dxa"/>
            <w:vMerge w:val="continue"/>
            <w:vAlign w:val="center"/>
          </w:tcPr>
          <w:p w14:paraId="0E17766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712" w:type="dxa"/>
            <w:vMerge w:val="continue"/>
            <w:vAlign w:val="center"/>
          </w:tcPr>
          <w:p w14:paraId="189157B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058" w:type="dxa"/>
            <w:vMerge w:val="restart"/>
            <w:tcBorders>
              <w:right w:val="single" w:color="auto" w:sz="6" w:space="0"/>
            </w:tcBorders>
            <w:vAlign w:val="center"/>
          </w:tcPr>
          <w:p w14:paraId="4C6ED71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固废</w:t>
            </w:r>
          </w:p>
        </w:tc>
        <w:tc>
          <w:tcPr>
            <w:tcW w:w="3357" w:type="dxa"/>
            <w:tcBorders>
              <w:left w:val="single" w:color="auto" w:sz="6" w:space="0"/>
              <w:right w:val="single" w:color="auto" w:sz="4" w:space="0"/>
            </w:tcBorders>
            <w:vAlign w:val="center"/>
          </w:tcPr>
          <w:p w14:paraId="6872ECE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生活垃圾</w:t>
            </w:r>
            <w:r>
              <w:rPr>
                <w:rFonts w:hint="default" w:ascii="Times New Roman" w:hAnsi="Times New Roman" w:cs="Times New Roman"/>
                <w:color w:val="auto"/>
                <w:highlight w:val="none"/>
                <w:u w:val="none" w:color="auto"/>
                <w:lang w:eastAsia="zh-CN"/>
              </w:rPr>
              <w:t>经垃圾</w:t>
            </w:r>
            <w:r>
              <w:rPr>
                <w:rFonts w:hint="default" w:ascii="Times New Roman" w:hAnsi="Times New Roman" w:cs="Times New Roman"/>
                <w:color w:val="auto"/>
                <w:highlight w:val="none"/>
                <w:u w:val="none" w:color="auto"/>
              </w:rPr>
              <w:t>收集桶</w:t>
            </w:r>
            <w:r>
              <w:rPr>
                <w:rFonts w:hint="default" w:ascii="Times New Roman" w:hAnsi="Times New Roman" w:cs="Times New Roman"/>
                <w:color w:val="auto"/>
                <w:highlight w:val="none"/>
                <w:u w:val="none" w:color="auto"/>
                <w:lang w:eastAsia="zh-CN"/>
              </w:rPr>
              <w:t>收集后统一由环卫部门清运</w:t>
            </w:r>
          </w:p>
        </w:tc>
        <w:tc>
          <w:tcPr>
            <w:tcW w:w="2278" w:type="dxa"/>
            <w:tcBorders>
              <w:left w:val="single" w:color="auto" w:sz="4" w:space="0"/>
            </w:tcBorders>
            <w:vAlign w:val="center"/>
          </w:tcPr>
          <w:p w14:paraId="5377545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67A617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61" w:hRule="atLeast"/>
          <w:jc w:val="center"/>
        </w:trPr>
        <w:tc>
          <w:tcPr>
            <w:tcW w:w="713" w:type="dxa"/>
            <w:vMerge w:val="continue"/>
            <w:vAlign w:val="center"/>
          </w:tcPr>
          <w:p w14:paraId="5438ED5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712" w:type="dxa"/>
            <w:vMerge w:val="continue"/>
            <w:vAlign w:val="center"/>
          </w:tcPr>
          <w:p w14:paraId="4CBF0A6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058" w:type="dxa"/>
            <w:vMerge w:val="continue"/>
            <w:tcBorders>
              <w:right w:val="single" w:color="auto" w:sz="6" w:space="0"/>
            </w:tcBorders>
            <w:vAlign w:val="center"/>
          </w:tcPr>
          <w:p w14:paraId="0FB0811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3357" w:type="dxa"/>
            <w:tcBorders>
              <w:left w:val="single" w:color="auto" w:sz="6" w:space="0"/>
              <w:right w:val="single" w:color="auto" w:sz="4" w:space="0"/>
            </w:tcBorders>
            <w:vAlign w:val="center"/>
          </w:tcPr>
          <w:p w14:paraId="03DF870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污泥压缩机</w:t>
            </w:r>
            <w:r>
              <w:rPr>
                <w:rFonts w:hint="default" w:ascii="Times New Roman" w:hAnsi="Times New Roman" w:cs="Times New Roman"/>
                <w:color w:val="auto"/>
                <w:highlight w:val="none"/>
                <w:u w:val="none" w:color="auto"/>
                <w:lang w:eastAsia="zh-CN"/>
              </w:rPr>
              <w:t>；</w:t>
            </w:r>
          </w:p>
        </w:tc>
        <w:tc>
          <w:tcPr>
            <w:tcW w:w="2278" w:type="dxa"/>
            <w:tcBorders>
              <w:left w:val="single" w:color="auto" w:sz="4" w:space="0"/>
            </w:tcBorders>
            <w:vAlign w:val="center"/>
          </w:tcPr>
          <w:p w14:paraId="36D951E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lang w:val="en-US" w:eastAsia="zh-CN"/>
              </w:rPr>
              <w:t>污泥压缩干化后外运，送至益阳海螺环保科技有限责任公司</w:t>
            </w:r>
          </w:p>
        </w:tc>
      </w:tr>
    </w:tbl>
    <w:p w14:paraId="1B22E1FA">
      <w:pPr>
        <w:pStyle w:val="4"/>
        <w:numPr>
          <w:ilvl w:val="2"/>
          <w:numId w:val="0"/>
        </w:numPr>
        <w:ind w:leftChars="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3.1.4 现有工程</w:t>
      </w:r>
      <w:r>
        <w:rPr>
          <w:rFonts w:hint="default" w:ascii="Times New Roman" w:hAnsi="Times New Roman" w:cs="Times New Roman"/>
          <w:color w:val="auto"/>
          <w:highlight w:val="none"/>
          <w:u w:val="none" w:color="auto"/>
        </w:rPr>
        <w:t>污水处理</w:t>
      </w:r>
      <w:r>
        <w:rPr>
          <w:rFonts w:hint="default" w:ascii="Times New Roman" w:hAnsi="Times New Roman" w:cs="Times New Roman"/>
          <w:color w:val="auto"/>
          <w:highlight w:val="none"/>
          <w:u w:val="none" w:color="auto"/>
          <w:lang w:val="en-US" w:eastAsia="zh-CN"/>
        </w:rPr>
        <w:t>工艺</w:t>
      </w:r>
    </w:p>
    <w:p w14:paraId="47E7DD55">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现有工程污水处理厂工艺流程见图3.1-1。</w:t>
      </w:r>
    </w:p>
    <w:p w14:paraId="7EA33FAA">
      <w:pPr>
        <w:pStyle w:val="189"/>
        <w:ind w:left="0" w:leftChars="0" w:firstLine="0" w:firstLine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highlight w:val="none"/>
        </w:rPr>
        <w:drawing>
          <wp:inline distT="0" distB="0" distL="114300" distR="114300">
            <wp:extent cx="6086475" cy="2369820"/>
            <wp:effectExtent l="0" t="0" r="0" b="190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7"/>
                    <a:stretch>
                      <a:fillRect/>
                    </a:stretch>
                  </pic:blipFill>
                  <pic:spPr>
                    <a:xfrm>
                      <a:off x="0" y="0"/>
                      <a:ext cx="6086475" cy="2369820"/>
                    </a:xfrm>
                    <a:prstGeom prst="rect">
                      <a:avLst/>
                    </a:prstGeom>
                    <a:noFill/>
                    <a:ln>
                      <a:noFill/>
                    </a:ln>
                  </pic:spPr>
                </pic:pic>
              </a:graphicData>
            </a:graphic>
          </wp:inline>
        </w:drawing>
      </w:r>
    </w:p>
    <w:p w14:paraId="2264B5E2">
      <w:pPr>
        <w:pStyle w:val="189"/>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图3.1-1 现有污水处理厂工艺流程图</w:t>
      </w:r>
    </w:p>
    <w:p w14:paraId="6F10D61C">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项目现有污水</w:t>
      </w:r>
      <w:r>
        <w:rPr>
          <w:rFonts w:hint="default" w:ascii="Times New Roman" w:hAnsi="Times New Roman" w:cs="Times New Roman"/>
          <w:color w:val="000000" w:themeColor="text1"/>
          <w:highlight w:val="none"/>
          <w:u w:val="wave" w:color="auto"/>
          <w14:textFill>
            <w14:solidFill>
              <w14:schemeClr w14:val="tx1"/>
            </w14:solidFill>
          </w14:textFill>
        </w:rPr>
        <w:t>处理工艺采用“预处理+水解酸化+生物接触氧化+水解酸化+生物接</w:t>
      </w:r>
    </w:p>
    <w:p w14:paraId="63F52A51">
      <w:pPr>
        <w:pStyle w:val="189"/>
        <w:ind w:left="0" w:lef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触氧化+混絮凝池+二沉池+砂滤罐+接触消毒”组合工艺</w:t>
      </w:r>
      <w:r>
        <w:rPr>
          <w:rFonts w:hint="eastAsia" w:cs="Times New Roman"/>
          <w:color w:val="000000" w:themeColor="text1"/>
          <w:highlight w:val="none"/>
          <w:u w:val="wave" w:color="auto"/>
          <w:lang w:eastAsia="zh-CN"/>
          <w14:textFill>
            <w14:solidFill>
              <w14:schemeClr w14:val="tx1"/>
            </w14:solidFill>
          </w14:textFill>
        </w:rPr>
        <w:t>，</w:t>
      </w:r>
      <w:r>
        <w:rPr>
          <w:rFonts w:hint="eastAsia" w:cs="Times New Roman"/>
          <w:color w:val="000000" w:themeColor="text1"/>
          <w:highlight w:val="none"/>
          <w:u w:val="wave" w:color="auto"/>
          <w:lang w:val="en-US" w:eastAsia="zh-CN"/>
          <w14:textFill>
            <w14:solidFill>
              <w14:schemeClr w14:val="tx1"/>
            </w14:solidFill>
          </w14:textFill>
        </w:rPr>
        <w:t>采用加氯消毒。</w:t>
      </w:r>
      <w:r>
        <w:rPr>
          <w:rFonts w:hint="default" w:ascii="Times New Roman" w:hAnsi="Times New Roman" w:cs="Times New Roman"/>
          <w:color w:val="000000" w:themeColor="text1"/>
          <w:highlight w:val="none"/>
          <w:u w:val="wave" w:color="auto"/>
          <w14:textFill>
            <w14:solidFill>
              <w14:schemeClr w14:val="tx1"/>
            </w14:solidFill>
          </w14:textFill>
        </w:rPr>
        <w:t>工业园的工业废水经场外管网收集汇聚于成品泵站，再由成品泵站抽至隔油调节池，废水经调节池均化水质水量后由提升泵抽至混絮凝沉淀池、pH调节池，依次投加PAC、PAM和NaOH等药剂，经过充分搅拌后进入初沉池，在水中投加混凝剂后，其中悬浮物的胶体及分散颗粒在分子力的相互作用下生成絮状体且在沉降过程中它们互相碰撞凝聚，其尺寸和质量不断变大，沉速不断增加。在初沉池中进行初步沉淀后溢流至水解酸化池（A段），在大量水解细菌、酸化菌作用下将不溶性有机物水解为溶性有机物，将难生物降解的大分子物质转化为易生物降解的小分子物质。水解酸化池出水自流入生物接触氧化池（O段），自上向下流动，运行中废水与填料接触，微生物附着在填料上，水中的有机物被微生物吸附，氧化分解部分转化为新的生物膜，废水得以净化。在缺氧段（A段），异养菌将蛋白质、脂肪等污染物进行氨化（有机链上的 N 或氨基酸中的氨基）游离出氨（NH</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3</w:t>
      </w:r>
      <w:r>
        <w:rPr>
          <w:rFonts w:hint="default" w:ascii="Times New Roman" w:hAnsi="Times New Roman" w:cs="Times New Roman"/>
          <w:color w:val="000000" w:themeColor="text1"/>
          <w:highlight w:val="none"/>
          <w:u w:val="wave" w:color="auto"/>
          <w14:textFill>
            <w14:solidFill>
              <w14:schemeClr w14:val="tx1"/>
            </w14:solidFill>
          </w14:textFill>
        </w:rPr>
        <w:t>、NH</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4</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w:t>
      </w:r>
      <w:r>
        <w:rPr>
          <w:rFonts w:hint="default" w:ascii="Times New Roman" w:hAnsi="Times New Roman" w:cs="Times New Roman"/>
          <w:color w:val="000000" w:themeColor="text1"/>
          <w:highlight w:val="none"/>
          <w:u w:val="wave" w:color="auto"/>
          <w14:textFill>
            <w14:solidFill>
              <w14:schemeClr w14:val="tx1"/>
            </w14:solidFill>
          </w14:textFill>
        </w:rPr>
        <w:t>），在充足供氧条件下（O段），自养菌的硝化作用将 NH</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3</w:t>
      </w:r>
      <w:r>
        <w:rPr>
          <w:rFonts w:hint="default" w:ascii="Times New Roman" w:hAnsi="Times New Roman" w:cs="Times New Roman"/>
          <w:color w:val="000000" w:themeColor="text1"/>
          <w:highlight w:val="none"/>
          <w:u w:val="wave" w:color="auto"/>
          <w14:textFill>
            <w14:solidFill>
              <w14:schemeClr w14:val="tx1"/>
            </w14:solidFill>
          </w14:textFill>
        </w:rPr>
        <w:t>-N（NH</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4</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w:t>
      </w:r>
      <w:r>
        <w:rPr>
          <w:rFonts w:hint="default" w:ascii="Times New Roman" w:hAnsi="Times New Roman" w:cs="Times New Roman"/>
          <w:color w:val="000000" w:themeColor="text1"/>
          <w:highlight w:val="none"/>
          <w:u w:val="wave" w:color="auto"/>
          <w14:textFill>
            <w14:solidFill>
              <w14:schemeClr w14:val="tx1"/>
            </w14:solidFill>
          </w14:textFill>
        </w:rPr>
        <w:t>）氧化为 NO</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3</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w:t>
      </w:r>
      <w:r>
        <w:rPr>
          <w:rFonts w:hint="default" w:ascii="Times New Roman" w:hAnsi="Times New Roman" w:cs="Times New Roman"/>
          <w:color w:val="000000" w:themeColor="text1"/>
          <w:highlight w:val="none"/>
          <w:u w:val="wave" w:color="auto"/>
          <w14:textFill>
            <w14:solidFill>
              <w14:schemeClr w14:val="tx1"/>
            </w14:solidFill>
          </w14:textFill>
        </w:rPr>
        <w:t>，通过回流控制返回至A池，在缺氧条件下，异氧菌的反硝化作用将NO</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3</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w:t>
      </w:r>
      <w:r>
        <w:rPr>
          <w:rFonts w:hint="default" w:ascii="Times New Roman" w:hAnsi="Times New Roman" w:cs="Times New Roman"/>
          <w:color w:val="000000" w:themeColor="text1"/>
          <w:highlight w:val="none"/>
          <w:u w:val="wave" w:color="auto"/>
          <w14:textFill>
            <w14:solidFill>
              <w14:schemeClr w14:val="tx1"/>
            </w14:solidFill>
          </w14:textFill>
        </w:rPr>
        <w:t>还原为分子态氮（N</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）完成 C、N、O 在生态中的循环，实现污水无害化处理。经过两级AO后出水自流至中沉池，进行泥水分离，部分污泥通过管道离心泵回流至水解酸化池。中沉池出水自流至混絮凝沉淀池，依次投加 PAC、PAM 等药剂。混絮凝沉淀池出水自流至斜板二沉池，进行污泥沉淀，上层清液溢流至中间提升泵站，由提升泵泵入砂滤罐，经过滤后流入消毒池，采用次氯酸钠消毒后达标排放。沉淀池与生化处理池都设置了排泥管道，底泥定期排入集泥池，再经提升泵抽至污泥浓缩池进行沉淀、重力浓缩，下层污泥抽至板框压滤机进行压缩，泥饼定期清运，浓缩池上清液及板框压滤机滤液回流至调节池</w:t>
      </w:r>
      <w:r>
        <w:rPr>
          <w:rFonts w:hint="default" w:ascii="Times New Roman" w:hAnsi="Times New Roman" w:cs="Times New Roman"/>
          <w:color w:val="000000" w:themeColor="text1"/>
          <w:highlight w:val="none"/>
          <w:u w:val="none" w:color="auto"/>
          <w14:textFill>
            <w14:solidFill>
              <w14:schemeClr w14:val="tx1"/>
            </w14:solidFill>
          </w14:textFill>
        </w:rPr>
        <w:t>。</w:t>
      </w:r>
    </w:p>
    <w:p w14:paraId="6F10A45D">
      <w:pPr>
        <w:pStyle w:val="4"/>
        <w:numPr>
          <w:ilvl w:val="2"/>
          <w:numId w:val="0"/>
        </w:numPr>
        <w:ind w:leftChars="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eastAsia" w:cs="Times New Roman"/>
          <w:color w:val="000000" w:themeColor="text1"/>
          <w:highlight w:val="none"/>
          <w:u w:val="wave" w:color="auto"/>
          <w:lang w:val="en-US" w:eastAsia="zh-CN"/>
          <w14:textFill>
            <w14:solidFill>
              <w14:schemeClr w14:val="tx1"/>
            </w14:solidFill>
          </w14:textFill>
        </w:rPr>
        <w:t>3.1</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r>
        <w:rPr>
          <w:rFonts w:hint="eastAsia" w:cs="Times New Roman"/>
          <w:color w:val="000000" w:themeColor="text1"/>
          <w:highlight w:val="none"/>
          <w:u w:val="wav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污水处理厂建设及运营情况</w:t>
      </w:r>
    </w:p>
    <w:p w14:paraId="7EDE9779">
      <w:pPr>
        <w:widowControl w:val="0"/>
        <w:numPr>
          <w:ilvl w:val="0"/>
          <w:numId w:val="0"/>
        </w:numPr>
        <w:adjustRightInd w:val="0"/>
        <w:snapToGrid w:val="0"/>
        <w:spacing w:line="336" w:lineRule="auto"/>
        <w:ind w:leftChars="0" w:firstLine="420" w:firstLineChars="0"/>
        <w:jc w:val="left"/>
        <w:outlineLvl w:val="9"/>
        <w:rPr>
          <w:rFonts w:hint="default" w:ascii="Times New Roman" w:hAnsi="Times New Roman" w:eastAsia="宋体" w:cs="Times New Roman"/>
          <w:b w:val="0"/>
          <w:color w:val="000000" w:themeColor="text1"/>
          <w:kern w:val="2"/>
          <w:sz w:val="24"/>
          <w:szCs w:val="24"/>
          <w:highlight w:val="none"/>
          <w:u w:val="wav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4"/>
          <w:highlight w:val="none"/>
          <w:u w:val="wave" w:color="auto"/>
          <w:lang w:val="en-US" w:eastAsia="zh-CN" w:bidi="ar-SA"/>
          <w14:textFill>
            <w14:solidFill>
              <w14:schemeClr w14:val="tx1"/>
            </w14:solidFill>
          </w14:textFill>
        </w:rPr>
        <w:t>为了解污水处理厂现状运行情况，本次评价收集了污水处理厂2025年9~10月份在线监测及2025年1~9月（其中4、5月停产）委托国检测试控股集团湖南华科科技有限公司对本污水厂废水总排口进行的自行检测数据，检测结果详见表</w:t>
      </w:r>
      <w:r>
        <w:rPr>
          <w:rFonts w:hint="eastAsia" w:cs="Times New Roman"/>
          <w:b w:val="0"/>
          <w:color w:val="000000" w:themeColor="text1"/>
          <w:kern w:val="2"/>
          <w:sz w:val="24"/>
          <w:szCs w:val="24"/>
          <w:highlight w:val="none"/>
          <w:u w:val="wave" w:color="auto"/>
          <w:lang w:val="en-US" w:eastAsia="zh-CN" w:bidi="ar-SA"/>
          <w14:textFill>
            <w14:solidFill>
              <w14:schemeClr w14:val="tx1"/>
            </w14:solidFill>
          </w14:textFill>
        </w:rPr>
        <w:t>3.1</w:t>
      </w:r>
      <w:r>
        <w:rPr>
          <w:rFonts w:hint="default" w:ascii="Times New Roman" w:hAnsi="Times New Roman" w:cs="Times New Roman"/>
          <w:b w:val="0"/>
          <w:color w:val="000000" w:themeColor="text1"/>
          <w:kern w:val="2"/>
          <w:sz w:val="24"/>
          <w:szCs w:val="24"/>
          <w:highlight w:val="none"/>
          <w:u w:val="wave" w:color="auto"/>
          <w:lang w:val="en-US" w:eastAsia="zh-CN" w:bidi="ar-SA"/>
          <w14:textFill>
            <w14:solidFill>
              <w14:schemeClr w14:val="tx1"/>
            </w14:solidFill>
          </w14:textFill>
        </w:rPr>
        <w:t>-</w:t>
      </w:r>
      <w:r>
        <w:rPr>
          <w:rFonts w:hint="eastAsia" w:cs="Times New Roman"/>
          <w:b w:val="0"/>
          <w:color w:val="000000" w:themeColor="text1"/>
          <w:kern w:val="2"/>
          <w:sz w:val="24"/>
          <w:szCs w:val="24"/>
          <w:highlight w:val="none"/>
          <w:u w:val="wave" w:color="auto"/>
          <w:lang w:val="en-US" w:eastAsia="zh-CN" w:bidi="ar-SA"/>
          <w14:textFill>
            <w14:solidFill>
              <w14:schemeClr w14:val="tx1"/>
            </w14:solidFill>
          </w14:textFill>
        </w:rPr>
        <w:t>3</w:t>
      </w:r>
      <w:r>
        <w:rPr>
          <w:rFonts w:hint="default" w:ascii="Times New Roman" w:hAnsi="Times New Roman" w:cs="Times New Roman"/>
          <w:b w:val="0"/>
          <w:color w:val="000000" w:themeColor="text1"/>
          <w:kern w:val="2"/>
          <w:sz w:val="24"/>
          <w:szCs w:val="24"/>
          <w:highlight w:val="none"/>
          <w:u w:val="wave" w:color="auto"/>
          <w:lang w:val="en-US" w:eastAsia="zh-CN" w:bidi="ar-SA"/>
          <w14:textFill>
            <w14:solidFill>
              <w14:schemeClr w14:val="tx1"/>
            </w14:solidFill>
          </w14:textFill>
        </w:rPr>
        <w:t>，</w:t>
      </w:r>
      <w:r>
        <w:rPr>
          <w:rFonts w:hint="eastAsia" w:cs="Times New Roman"/>
          <w:b w:val="0"/>
          <w:color w:val="000000" w:themeColor="text1"/>
          <w:kern w:val="2"/>
          <w:sz w:val="24"/>
          <w:szCs w:val="24"/>
          <w:highlight w:val="none"/>
          <w:u w:val="wave" w:color="auto"/>
          <w:lang w:val="en-US" w:eastAsia="zh-CN" w:bidi="ar-SA"/>
          <w14:textFill>
            <w14:solidFill>
              <w14:schemeClr w14:val="tx1"/>
            </w14:solidFill>
          </w14:textFill>
        </w:rPr>
        <w:t>3.1</w:t>
      </w:r>
      <w:r>
        <w:rPr>
          <w:rFonts w:hint="default" w:ascii="Times New Roman" w:hAnsi="Times New Roman" w:cs="Times New Roman"/>
          <w:b w:val="0"/>
          <w:color w:val="000000" w:themeColor="text1"/>
          <w:kern w:val="2"/>
          <w:sz w:val="24"/>
          <w:szCs w:val="24"/>
          <w:highlight w:val="none"/>
          <w:u w:val="wave" w:color="auto"/>
          <w:lang w:val="en-US" w:eastAsia="zh-CN" w:bidi="ar-SA"/>
          <w14:textFill>
            <w14:solidFill>
              <w14:schemeClr w14:val="tx1"/>
            </w14:solidFill>
          </w14:textFill>
        </w:rPr>
        <w:t>-</w:t>
      </w:r>
      <w:r>
        <w:rPr>
          <w:rFonts w:hint="eastAsia" w:cs="Times New Roman"/>
          <w:b w:val="0"/>
          <w:color w:val="000000" w:themeColor="text1"/>
          <w:kern w:val="2"/>
          <w:sz w:val="24"/>
          <w:szCs w:val="24"/>
          <w:highlight w:val="none"/>
          <w:u w:val="wave" w:color="auto"/>
          <w:lang w:val="en-US" w:eastAsia="zh-CN" w:bidi="ar-SA"/>
          <w14:textFill>
            <w14:solidFill>
              <w14:schemeClr w14:val="tx1"/>
            </w14:solidFill>
          </w14:textFill>
        </w:rPr>
        <w:t>4</w:t>
      </w:r>
      <w:r>
        <w:rPr>
          <w:rFonts w:hint="default" w:ascii="Times New Roman" w:hAnsi="Times New Roman" w:eastAsia="宋体" w:cs="Times New Roman"/>
          <w:b w:val="0"/>
          <w:color w:val="000000" w:themeColor="text1"/>
          <w:kern w:val="2"/>
          <w:sz w:val="24"/>
          <w:szCs w:val="24"/>
          <w:highlight w:val="none"/>
          <w:u w:val="wave" w:color="auto"/>
          <w:lang w:val="en-US" w:eastAsia="zh-CN" w:bidi="ar-SA"/>
          <w14:textFill>
            <w14:solidFill>
              <w14:schemeClr w14:val="tx1"/>
            </w14:solidFill>
          </w14:textFill>
        </w:rPr>
        <w:t>。</w:t>
      </w:r>
    </w:p>
    <w:p w14:paraId="77AB0C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themeColor="text1"/>
          <w:kern w:val="2"/>
          <w:sz w:val="24"/>
          <w:szCs w:val="24"/>
          <w:highlight w:val="none"/>
          <w:u w:val="wav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u w:val="wave" w:color="auto"/>
          <w:lang w:val="en-US" w:eastAsia="zh-CN" w:bidi="ar"/>
          <w14:textFill>
            <w14:solidFill>
              <w14:schemeClr w14:val="tx1"/>
            </w14:solidFill>
          </w14:textFill>
        </w:rPr>
        <w:t xml:space="preserve">表 </w:t>
      </w:r>
      <w:r>
        <w:rPr>
          <w:rFonts w:hint="eastAsia" w:cs="Times New Roman"/>
          <w:b/>
          <w:bCs/>
          <w:color w:val="000000" w:themeColor="text1"/>
          <w:kern w:val="0"/>
          <w:sz w:val="24"/>
          <w:szCs w:val="24"/>
          <w:highlight w:val="none"/>
          <w:u w:val="wave" w:color="auto"/>
          <w:lang w:val="en-US" w:eastAsia="zh-CN" w:bidi="ar"/>
          <w14:textFill>
            <w14:solidFill>
              <w14:schemeClr w14:val="tx1"/>
            </w14:solidFill>
          </w14:textFill>
        </w:rPr>
        <w:t>3.1</w:t>
      </w:r>
      <w:r>
        <w:rPr>
          <w:rFonts w:hint="default" w:ascii="Times New Roman" w:hAnsi="Times New Roman" w:eastAsia="宋体" w:cs="Times New Roman"/>
          <w:b/>
          <w:bCs/>
          <w:color w:val="000000" w:themeColor="text1"/>
          <w:kern w:val="0"/>
          <w:sz w:val="24"/>
          <w:szCs w:val="24"/>
          <w:highlight w:val="none"/>
          <w:u w:val="wave" w:color="auto"/>
          <w:lang w:val="en-US" w:eastAsia="zh-CN" w:bidi="ar"/>
          <w14:textFill>
            <w14:solidFill>
              <w14:schemeClr w14:val="tx1"/>
            </w14:solidFill>
          </w14:textFill>
        </w:rPr>
        <w:t>-</w:t>
      </w:r>
      <w:r>
        <w:rPr>
          <w:rFonts w:hint="eastAsia" w:cs="Times New Roman"/>
          <w:b/>
          <w:bCs/>
          <w:color w:val="000000" w:themeColor="text1"/>
          <w:kern w:val="0"/>
          <w:sz w:val="24"/>
          <w:szCs w:val="24"/>
          <w:highlight w:val="none"/>
          <w:u w:val="wave" w:color="auto"/>
          <w:lang w:val="en-US" w:eastAsia="zh-CN" w:bidi="ar"/>
          <w14:textFill>
            <w14:solidFill>
              <w14:schemeClr w14:val="tx1"/>
            </w14:solidFill>
          </w14:textFill>
        </w:rPr>
        <w:t xml:space="preserve">3 </w:t>
      </w:r>
      <w:r>
        <w:rPr>
          <w:rFonts w:hint="default" w:ascii="Times New Roman" w:hAnsi="Times New Roman" w:eastAsia="宋体" w:cs="Times New Roman"/>
          <w:b/>
          <w:bCs/>
          <w:color w:val="000000" w:themeColor="text1"/>
          <w:kern w:val="0"/>
          <w:sz w:val="24"/>
          <w:szCs w:val="24"/>
          <w:highlight w:val="none"/>
          <w:u w:val="wave" w:color="auto"/>
          <w:lang w:val="en-US" w:eastAsia="zh-CN" w:bidi="ar"/>
          <w14:textFill>
            <w14:solidFill>
              <w14:schemeClr w14:val="tx1"/>
            </w14:solidFill>
          </w14:textFill>
        </w:rPr>
        <w:t>污水处理厂在线监测数据</w:t>
      </w:r>
    </w:p>
    <w:tbl>
      <w:tblPr>
        <w:tblStyle w:val="76"/>
        <w:tblW w:w="493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1531"/>
        <w:gridCol w:w="1199"/>
        <w:gridCol w:w="1565"/>
        <w:gridCol w:w="1418"/>
        <w:gridCol w:w="1126"/>
        <w:gridCol w:w="1595"/>
      </w:tblGrid>
      <w:tr w14:paraId="097F0E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395" w:type="pct"/>
            <w:vMerge w:val="restart"/>
            <w:tcBorders>
              <w:tl2br w:val="nil"/>
              <w:tr2bl w:val="nil"/>
            </w:tcBorders>
            <w:noWrap w:val="0"/>
            <w:vAlign w:val="center"/>
          </w:tcPr>
          <w:p w14:paraId="2A60F10A">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t>采样点位</w:t>
            </w:r>
          </w:p>
        </w:tc>
        <w:tc>
          <w:tcPr>
            <w:tcW w:w="835" w:type="pct"/>
            <w:vMerge w:val="restart"/>
            <w:tcBorders>
              <w:tl2br w:val="nil"/>
              <w:tr2bl w:val="nil"/>
            </w:tcBorders>
            <w:noWrap w:val="0"/>
            <w:vAlign w:val="center"/>
          </w:tcPr>
          <w:p w14:paraId="5A81AC25">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t>采样日期</w:t>
            </w:r>
          </w:p>
        </w:tc>
        <w:tc>
          <w:tcPr>
            <w:tcW w:w="3768" w:type="pct"/>
            <w:gridSpan w:val="5"/>
            <w:tcBorders>
              <w:tl2br w:val="nil"/>
              <w:tr2bl w:val="nil"/>
            </w:tcBorders>
            <w:noWrap w:val="0"/>
            <w:vAlign w:val="center"/>
          </w:tcPr>
          <w:p w14:paraId="0584D920">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t>检测结果（mg/L，pH：无量纲）</w:t>
            </w:r>
          </w:p>
        </w:tc>
      </w:tr>
      <w:tr w14:paraId="3D18B7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395" w:type="pct"/>
            <w:vMerge w:val="continue"/>
            <w:tcBorders>
              <w:tl2br w:val="nil"/>
              <w:tr2bl w:val="nil"/>
            </w:tcBorders>
            <w:noWrap w:val="0"/>
            <w:vAlign w:val="center"/>
          </w:tcPr>
          <w:p w14:paraId="3BBD21DA">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p>
        </w:tc>
        <w:tc>
          <w:tcPr>
            <w:tcW w:w="835" w:type="pct"/>
            <w:vMerge w:val="continue"/>
            <w:tcBorders>
              <w:tl2br w:val="nil"/>
              <w:tr2bl w:val="nil"/>
            </w:tcBorders>
            <w:noWrap w:val="0"/>
            <w:vAlign w:val="center"/>
          </w:tcPr>
          <w:p w14:paraId="202BEE34">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p>
        </w:tc>
        <w:tc>
          <w:tcPr>
            <w:tcW w:w="654" w:type="pct"/>
            <w:tcBorders>
              <w:tl2br w:val="nil"/>
              <w:tr2bl w:val="nil"/>
            </w:tcBorders>
            <w:noWrap w:val="0"/>
            <w:vAlign w:val="center"/>
          </w:tcPr>
          <w:p w14:paraId="74E0B183">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t>pH</w:t>
            </w:r>
          </w:p>
        </w:tc>
        <w:tc>
          <w:tcPr>
            <w:tcW w:w="854" w:type="pct"/>
            <w:tcBorders>
              <w:tl2br w:val="nil"/>
              <w:tr2bl w:val="nil"/>
            </w:tcBorders>
            <w:noWrap w:val="0"/>
            <w:vAlign w:val="center"/>
          </w:tcPr>
          <w:p w14:paraId="1C0A6A54">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t>CODcr</w:t>
            </w:r>
          </w:p>
        </w:tc>
        <w:tc>
          <w:tcPr>
            <w:tcW w:w="774" w:type="pct"/>
            <w:tcBorders>
              <w:tl2br w:val="nil"/>
              <w:tr2bl w:val="nil"/>
            </w:tcBorders>
            <w:noWrap w:val="0"/>
            <w:vAlign w:val="center"/>
          </w:tcPr>
          <w:p w14:paraId="4F8AC900">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t>氨氮</w:t>
            </w:r>
          </w:p>
        </w:tc>
        <w:tc>
          <w:tcPr>
            <w:tcW w:w="614" w:type="pct"/>
            <w:tcBorders>
              <w:tl2br w:val="nil"/>
              <w:tr2bl w:val="nil"/>
            </w:tcBorders>
            <w:noWrap w:val="0"/>
            <w:vAlign w:val="center"/>
          </w:tcPr>
          <w:p w14:paraId="03753720">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t>总氮</w:t>
            </w:r>
          </w:p>
        </w:tc>
        <w:tc>
          <w:tcPr>
            <w:tcW w:w="870" w:type="pct"/>
            <w:tcBorders>
              <w:tl2br w:val="nil"/>
              <w:tr2bl w:val="nil"/>
            </w:tcBorders>
            <w:noWrap w:val="0"/>
            <w:vAlign w:val="center"/>
          </w:tcPr>
          <w:p w14:paraId="0540D41F">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t>总磷</w:t>
            </w:r>
          </w:p>
        </w:tc>
      </w:tr>
      <w:tr w14:paraId="1A5DCE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395" w:type="pct"/>
            <w:vMerge w:val="restart"/>
            <w:tcBorders>
              <w:tl2br w:val="nil"/>
              <w:tr2bl w:val="nil"/>
            </w:tcBorders>
            <w:noWrap w:val="0"/>
            <w:vAlign w:val="center"/>
          </w:tcPr>
          <w:p w14:paraId="6F4F43E0">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废水总排口</w:t>
            </w:r>
          </w:p>
        </w:tc>
        <w:tc>
          <w:tcPr>
            <w:tcW w:w="835" w:type="pct"/>
            <w:tcBorders>
              <w:tl2br w:val="nil"/>
              <w:tr2bl w:val="nil"/>
            </w:tcBorders>
            <w:noWrap w:val="0"/>
            <w:vAlign w:val="center"/>
          </w:tcPr>
          <w:p w14:paraId="161B89B5">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2025.9</w:t>
            </w:r>
          </w:p>
        </w:tc>
        <w:tc>
          <w:tcPr>
            <w:tcW w:w="654" w:type="pct"/>
            <w:tcBorders>
              <w:tl2br w:val="nil"/>
              <w:tr2bl w:val="nil"/>
            </w:tcBorders>
            <w:noWrap w:val="0"/>
            <w:vAlign w:val="center"/>
          </w:tcPr>
          <w:p w14:paraId="0521C428">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7.70~8.76</w:t>
            </w:r>
          </w:p>
        </w:tc>
        <w:tc>
          <w:tcPr>
            <w:tcW w:w="854" w:type="pct"/>
            <w:tcBorders>
              <w:tl2br w:val="nil"/>
              <w:tr2bl w:val="nil"/>
            </w:tcBorders>
            <w:noWrap w:val="0"/>
            <w:vAlign w:val="center"/>
          </w:tcPr>
          <w:p w14:paraId="38496D96">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21.09~40.28</w:t>
            </w:r>
          </w:p>
        </w:tc>
        <w:tc>
          <w:tcPr>
            <w:tcW w:w="774" w:type="pct"/>
            <w:tcBorders>
              <w:tl2br w:val="nil"/>
              <w:tr2bl w:val="nil"/>
            </w:tcBorders>
            <w:noWrap w:val="0"/>
            <w:vAlign w:val="center"/>
          </w:tcPr>
          <w:p w14:paraId="70ADA5C0">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0.001~0.34</w:t>
            </w:r>
          </w:p>
        </w:tc>
        <w:tc>
          <w:tcPr>
            <w:tcW w:w="614" w:type="pct"/>
            <w:tcBorders>
              <w:tl2br w:val="nil"/>
              <w:tr2bl w:val="nil"/>
            </w:tcBorders>
            <w:noWrap w:val="0"/>
            <w:vAlign w:val="center"/>
          </w:tcPr>
          <w:p w14:paraId="61F08680">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3.19~6.11</w:t>
            </w:r>
          </w:p>
        </w:tc>
        <w:tc>
          <w:tcPr>
            <w:tcW w:w="870" w:type="pct"/>
            <w:tcBorders>
              <w:tl2br w:val="nil"/>
              <w:tr2bl w:val="nil"/>
            </w:tcBorders>
            <w:noWrap w:val="0"/>
            <w:vAlign w:val="center"/>
          </w:tcPr>
          <w:p w14:paraId="34F14235">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0.15~0.23</w:t>
            </w:r>
          </w:p>
        </w:tc>
      </w:tr>
      <w:tr w14:paraId="25677C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9" w:hRule="atLeast"/>
          <w:jc w:val="center"/>
        </w:trPr>
        <w:tc>
          <w:tcPr>
            <w:tcW w:w="395" w:type="pct"/>
            <w:vMerge w:val="continue"/>
            <w:tcBorders>
              <w:tl2br w:val="nil"/>
              <w:tr2bl w:val="nil"/>
            </w:tcBorders>
            <w:noWrap w:val="0"/>
            <w:vAlign w:val="center"/>
          </w:tcPr>
          <w:p w14:paraId="5BB66B77">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835" w:type="pct"/>
            <w:tcBorders>
              <w:tl2br w:val="nil"/>
              <w:tr2bl w:val="nil"/>
            </w:tcBorders>
            <w:noWrap w:val="0"/>
            <w:vAlign w:val="center"/>
          </w:tcPr>
          <w:p w14:paraId="336AF5A3">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2025.10</w:t>
            </w:r>
          </w:p>
        </w:tc>
        <w:tc>
          <w:tcPr>
            <w:tcW w:w="654" w:type="pct"/>
            <w:tcBorders>
              <w:tl2br w:val="nil"/>
              <w:tr2bl w:val="nil"/>
            </w:tcBorders>
            <w:noWrap w:val="0"/>
            <w:vAlign w:val="center"/>
          </w:tcPr>
          <w:p w14:paraId="1C703D35">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7.26~8.79</w:t>
            </w:r>
          </w:p>
        </w:tc>
        <w:tc>
          <w:tcPr>
            <w:tcW w:w="854" w:type="pct"/>
            <w:tcBorders>
              <w:tl2br w:val="nil"/>
              <w:tr2bl w:val="nil"/>
            </w:tcBorders>
            <w:noWrap w:val="0"/>
            <w:vAlign w:val="center"/>
          </w:tcPr>
          <w:p w14:paraId="79DEF35F">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14.01~34.67</w:t>
            </w:r>
          </w:p>
        </w:tc>
        <w:tc>
          <w:tcPr>
            <w:tcW w:w="774" w:type="pct"/>
            <w:tcBorders>
              <w:tl2br w:val="nil"/>
              <w:tr2bl w:val="nil"/>
            </w:tcBorders>
            <w:noWrap w:val="0"/>
            <w:vAlign w:val="center"/>
          </w:tcPr>
          <w:p w14:paraId="3C16A426">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0.001~0.18</w:t>
            </w:r>
          </w:p>
        </w:tc>
        <w:tc>
          <w:tcPr>
            <w:tcW w:w="614" w:type="pct"/>
            <w:tcBorders>
              <w:tl2br w:val="nil"/>
              <w:tr2bl w:val="nil"/>
            </w:tcBorders>
            <w:noWrap w:val="0"/>
            <w:vAlign w:val="center"/>
          </w:tcPr>
          <w:p w14:paraId="443081EC">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1.40~3.82</w:t>
            </w:r>
          </w:p>
        </w:tc>
        <w:tc>
          <w:tcPr>
            <w:tcW w:w="870" w:type="pct"/>
            <w:tcBorders>
              <w:tl2br w:val="nil"/>
              <w:tr2bl w:val="nil"/>
            </w:tcBorders>
            <w:noWrap w:val="0"/>
            <w:vAlign w:val="center"/>
          </w:tcPr>
          <w:p w14:paraId="358C5FB7">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0.16~0.43</w:t>
            </w:r>
          </w:p>
        </w:tc>
      </w:tr>
      <w:tr w14:paraId="632A09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30" w:hRule="atLeast"/>
          <w:jc w:val="center"/>
        </w:trPr>
        <w:tc>
          <w:tcPr>
            <w:tcW w:w="1231" w:type="pct"/>
            <w:gridSpan w:val="2"/>
            <w:tcBorders>
              <w:tl2br w:val="nil"/>
              <w:tr2bl w:val="nil"/>
            </w:tcBorders>
            <w:noWrap w:val="0"/>
            <w:vAlign w:val="center"/>
          </w:tcPr>
          <w:p w14:paraId="77B71639">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《城镇污水处理厂污染物排放标准》</w:t>
            </w:r>
            <w:r>
              <w:rPr>
                <w:rFonts w:hint="eastAsia" w:eastAsia="宋体" w:cs="Times New Roman"/>
                <w:color w:val="000000" w:themeColor="text1"/>
                <w:sz w:val="21"/>
                <w:szCs w:val="21"/>
                <w:highlight w:val="none"/>
                <w:u w:val="wave" w:color="auto"/>
                <w:lang w:val="en-US" w:eastAsia="zh-CN"/>
                <w14:textFill>
                  <w14:solidFill>
                    <w14:schemeClr w14:val="tx1"/>
                  </w14:solidFill>
                </w14:textFill>
              </w:rPr>
              <w:t>（GB18918-2002）修改单</w:t>
            </w: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一级标准中A标准</w:t>
            </w:r>
          </w:p>
        </w:tc>
        <w:tc>
          <w:tcPr>
            <w:tcW w:w="654" w:type="pct"/>
            <w:tcBorders>
              <w:tl2br w:val="nil"/>
              <w:tr2bl w:val="nil"/>
            </w:tcBorders>
            <w:noWrap w:val="0"/>
            <w:vAlign w:val="center"/>
          </w:tcPr>
          <w:p w14:paraId="59E1D173">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6~9</w:t>
            </w:r>
          </w:p>
        </w:tc>
        <w:tc>
          <w:tcPr>
            <w:tcW w:w="854" w:type="pct"/>
            <w:tcBorders>
              <w:tl2br w:val="nil"/>
              <w:tr2bl w:val="nil"/>
            </w:tcBorders>
            <w:noWrap w:val="0"/>
            <w:vAlign w:val="center"/>
          </w:tcPr>
          <w:p w14:paraId="34283BEE">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50</w:t>
            </w:r>
          </w:p>
        </w:tc>
        <w:tc>
          <w:tcPr>
            <w:tcW w:w="774" w:type="pct"/>
            <w:tcBorders>
              <w:tl2br w:val="nil"/>
              <w:tr2bl w:val="nil"/>
            </w:tcBorders>
            <w:noWrap w:val="0"/>
            <w:vAlign w:val="center"/>
          </w:tcPr>
          <w:p w14:paraId="735C69F7">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5</w:t>
            </w:r>
          </w:p>
        </w:tc>
        <w:tc>
          <w:tcPr>
            <w:tcW w:w="614" w:type="pct"/>
            <w:tcBorders>
              <w:tl2br w:val="nil"/>
              <w:tr2bl w:val="nil"/>
            </w:tcBorders>
            <w:noWrap w:val="0"/>
            <w:vAlign w:val="center"/>
          </w:tcPr>
          <w:p w14:paraId="7F7EE3E2">
            <w:pPr>
              <w:pStyle w:val="96"/>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15</w:t>
            </w:r>
          </w:p>
        </w:tc>
        <w:tc>
          <w:tcPr>
            <w:tcW w:w="870" w:type="pct"/>
            <w:tcBorders>
              <w:tl2br w:val="nil"/>
              <w:tr2bl w:val="nil"/>
            </w:tcBorders>
            <w:noWrap w:val="0"/>
            <w:vAlign w:val="center"/>
          </w:tcPr>
          <w:p w14:paraId="17FF2EA0">
            <w:pPr>
              <w:pStyle w:val="96"/>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0.5</w:t>
            </w:r>
          </w:p>
        </w:tc>
      </w:tr>
    </w:tbl>
    <w:p w14:paraId="3FB74B4E">
      <w:pPr>
        <w:widowControl w:val="0"/>
        <w:numPr>
          <w:ilvl w:val="0"/>
          <w:numId w:val="0"/>
        </w:numPr>
        <w:adjustRightInd w:val="0"/>
        <w:snapToGrid w:val="0"/>
        <w:spacing w:line="336" w:lineRule="auto"/>
        <w:ind w:leftChars="0" w:firstLine="420" w:firstLineChars="0"/>
        <w:jc w:val="left"/>
        <w:outlineLvl w:val="1"/>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sectPr>
          <w:footerReference r:id="rId14"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5CA2B40B">
      <w:pPr>
        <w:keepNext w:val="0"/>
        <w:keepLines w:val="0"/>
        <w:widowControl/>
        <w:suppressLineNumbers w:val="0"/>
        <w:spacing w:line="240" w:lineRule="auto"/>
        <w:jc w:val="center"/>
        <w:rPr>
          <w:rFonts w:hint="default" w:ascii="Times New Roman" w:hAnsi="Times New Roman" w:eastAsia="宋体" w:cs="Times New Roman"/>
          <w:b/>
          <w:bCs/>
          <w:color w:val="000000" w:themeColor="text1"/>
          <w:kern w:val="0"/>
          <w:sz w:val="24"/>
          <w:szCs w:val="24"/>
          <w:highlight w:val="none"/>
          <w:u w:val="wav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u w:val="wave"/>
          <w:lang w:val="en-US" w:eastAsia="zh-CN" w:bidi="ar"/>
          <w14:textFill>
            <w14:solidFill>
              <w14:schemeClr w14:val="tx1"/>
            </w14:solidFill>
          </w14:textFill>
        </w:rPr>
        <w:t>表</w:t>
      </w:r>
      <w:r>
        <w:rPr>
          <w:rFonts w:hint="eastAsia" w:cs="Times New Roman"/>
          <w:b/>
          <w:bCs/>
          <w:color w:val="000000" w:themeColor="text1"/>
          <w:kern w:val="0"/>
          <w:sz w:val="24"/>
          <w:szCs w:val="24"/>
          <w:highlight w:val="none"/>
          <w:u w:val="wave"/>
          <w:lang w:val="en-US" w:eastAsia="zh-CN" w:bidi="ar"/>
          <w14:textFill>
            <w14:solidFill>
              <w14:schemeClr w14:val="tx1"/>
            </w14:solidFill>
          </w14:textFill>
        </w:rPr>
        <w:t>3.1</w:t>
      </w:r>
      <w:r>
        <w:rPr>
          <w:rFonts w:hint="default" w:ascii="Times New Roman" w:hAnsi="Times New Roman" w:eastAsia="宋体" w:cs="Times New Roman"/>
          <w:b/>
          <w:bCs/>
          <w:color w:val="000000" w:themeColor="text1"/>
          <w:kern w:val="0"/>
          <w:sz w:val="24"/>
          <w:szCs w:val="24"/>
          <w:highlight w:val="none"/>
          <w:u w:val="wave"/>
          <w:lang w:val="en-US" w:eastAsia="zh-CN" w:bidi="ar"/>
          <w14:textFill>
            <w14:solidFill>
              <w14:schemeClr w14:val="tx1"/>
            </w14:solidFill>
          </w14:textFill>
        </w:rPr>
        <w:t>-</w:t>
      </w:r>
      <w:r>
        <w:rPr>
          <w:rFonts w:hint="eastAsia" w:cs="Times New Roman"/>
          <w:b/>
          <w:bCs/>
          <w:color w:val="000000" w:themeColor="text1"/>
          <w:kern w:val="0"/>
          <w:sz w:val="24"/>
          <w:szCs w:val="24"/>
          <w:highlight w:val="none"/>
          <w:u w:val="wave"/>
          <w:lang w:val="en-US" w:eastAsia="zh-CN" w:bidi="ar"/>
          <w14:textFill>
            <w14:solidFill>
              <w14:schemeClr w14:val="tx1"/>
            </w14:solidFill>
          </w14:textFill>
        </w:rPr>
        <w:t xml:space="preserve">4 </w:t>
      </w:r>
      <w:r>
        <w:rPr>
          <w:rFonts w:hint="default" w:ascii="Times New Roman" w:hAnsi="Times New Roman" w:eastAsia="宋体" w:cs="Times New Roman"/>
          <w:b/>
          <w:bCs/>
          <w:color w:val="000000" w:themeColor="text1"/>
          <w:kern w:val="0"/>
          <w:sz w:val="24"/>
          <w:szCs w:val="24"/>
          <w:highlight w:val="none"/>
          <w:u w:val="wave"/>
          <w:lang w:val="en-US" w:eastAsia="zh-CN" w:bidi="ar"/>
          <w14:textFill>
            <w14:solidFill>
              <w14:schemeClr w14:val="tx1"/>
            </w14:solidFill>
          </w14:textFill>
        </w:rPr>
        <w:t>污水处理厂总排口检测结果</w:t>
      </w:r>
    </w:p>
    <w:tbl>
      <w:tblPr>
        <w:tblStyle w:val="76"/>
        <w:tblW w:w="5091" w:type="pct"/>
        <w:tblInd w:w="-39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660"/>
        <w:gridCol w:w="1064"/>
        <w:gridCol w:w="672"/>
        <w:gridCol w:w="511"/>
        <w:gridCol w:w="840"/>
        <w:gridCol w:w="793"/>
        <w:gridCol w:w="854"/>
        <w:gridCol w:w="719"/>
        <w:gridCol w:w="960"/>
        <w:gridCol w:w="894"/>
        <w:gridCol w:w="765"/>
        <w:gridCol w:w="840"/>
        <w:gridCol w:w="885"/>
        <w:gridCol w:w="1099"/>
        <w:gridCol w:w="759"/>
        <w:gridCol w:w="735"/>
        <w:gridCol w:w="735"/>
      </w:tblGrid>
      <w:tr w14:paraId="09E03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238" w:type="pct"/>
            <w:vMerge w:val="restart"/>
            <w:tcBorders>
              <w:tl2br w:val="nil"/>
              <w:tr2bl w:val="nil"/>
            </w:tcBorders>
            <w:noWrap w:val="0"/>
            <w:vAlign w:val="center"/>
          </w:tcPr>
          <w:p w14:paraId="6D1B9644">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采样     点位</w:t>
            </w:r>
          </w:p>
        </w:tc>
        <w:tc>
          <w:tcPr>
            <w:tcW w:w="227" w:type="pct"/>
            <w:vMerge w:val="restart"/>
            <w:tcBorders>
              <w:tl2br w:val="nil"/>
              <w:tr2bl w:val="nil"/>
            </w:tcBorders>
            <w:noWrap w:val="0"/>
            <w:vAlign w:val="center"/>
          </w:tcPr>
          <w:p w14:paraId="1EE3C1B1">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采样       日期</w:t>
            </w:r>
          </w:p>
        </w:tc>
        <w:tc>
          <w:tcPr>
            <w:tcW w:w="367" w:type="pct"/>
            <w:vMerge w:val="restart"/>
            <w:tcBorders>
              <w:tl2br w:val="nil"/>
              <w:tr2bl w:val="nil"/>
            </w:tcBorders>
            <w:noWrap w:val="0"/>
            <w:vAlign w:val="center"/>
          </w:tcPr>
          <w:p w14:paraId="2862325C">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样品状态</w:t>
            </w:r>
          </w:p>
        </w:tc>
        <w:tc>
          <w:tcPr>
            <w:tcW w:w="4166" w:type="pct"/>
            <w:gridSpan w:val="15"/>
            <w:tcBorders>
              <w:tl2br w:val="nil"/>
              <w:tr2bl w:val="nil"/>
            </w:tcBorders>
            <w:noWrap w:val="0"/>
            <w:vAlign w:val="center"/>
          </w:tcPr>
          <w:p w14:paraId="7F43088B">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检测结果（mg/L，色度：倍，粪大肠菌群：MPN/L）</w:t>
            </w:r>
          </w:p>
        </w:tc>
      </w:tr>
      <w:tr w14:paraId="6BA7D2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2" w:hRule="atLeast"/>
        </w:trPr>
        <w:tc>
          <w:tcPr>
            <w:tcW w:w="238" w:type="pct"/>
            <w:vMerge w:val="continue"/>
            <w:tcBorders>
              <w:tl2br w:val="nil"/>
              <w:tr2bl w:val="nil"/>
            </w:tcBorders>
            <w:noWrap w:val="0"/>
            <w:vAlign w:val="center"/>
          </w:tcPr>
          <w:p w14:paraId="205DDF9E">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p>
        </w:tc>
        <w:tc>
          <w:tcPr>
            <w:tcW w:w="227" w:type="pct"/>
            <w:vMerge w:val="continue"/>
            <w:tcBorders>
              <w:tl2br w:val="nil"/>
              <w:tr2bl w:val="nil"/>
            </w:tcBorders>
            <w:noWrap w:val="0"/>
            <w:vAlign w:val="center"/>
          </w:tcPr>
          <w:p w14:paraId="0BBDB71F">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p>
        </w:tc>
        <w:tc>
          <w:tcPr>
            <w:tcW w:w="367" w:type="pct"/>
            <w:vMerge w:val="continue"/>
            <w:tcBorders>
              <w:tl2br w:val="nil"/>
              <w:tr2bl w:val="nil"/>
            </w:tcBorders>
            <w:noWrap w:val="0"/>
            <w:vAlign w:val="center"/>
          </w:tcPr>
          <w:p w14:paraId="5FA6CD36">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p>
        </w:tc>
        <w:tc>
          <w:tcPr>
            <w:tcW w:w="232" w:type="pct"/>
            <w:tcBorders>
              <w:tl2br w:val="nil"/>
              <w:tr2bl w:val="nil"/>
            </w:tcBorders>
            <w:noWrap w:val="0"/>
            <w:vAlign w:val="center"/>
          </w:tcPr>
          <w:p w14:paraId="44C4A703">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色度</w:t>
            </w:r>
          </w:p>
        </w:tc>
        <w:tc>
          <w:tcPr>
            <w:tcW w:w="176" w:type="pct"/>
            <w:tcBorders>
              <w:tl2br w:val="nil"/>
              <w:tr2bl w:val="nil"/>
            </w:tcBorders>
            <w:noWrap w:val="0"/>
            <w:vAlign w:val="center"/>
          </w:tcPr>
          <w:p w14:paraId="4FD8E6E4">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SS</w:t>
            </w:r>
          </w:p>
        </w:tc>
        <w:tc>
          <w:tcPr>
            <w:tcW w:w="290" w:type="pct"/>
            <w:tcBorders>
              <w:tl2br w:val="nil"/>
              <w:tr2bl w:val="nil"/>
            </w:tcBorders>
            <w:noWrap w:val="0"/>
            <w:vAlign w:val="center"/>
          </w:tcPr>
          <w:p w14:paraId="44AF418E">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eastAsia" w:eastAsia="宋体" w:cs="Times New Roman"/>
                <w:b/>
                <w:bCs/>
                <w:color w:val="000000" w:themeColor="text1"/>
                <w:sz w:val="21"/>
                <w:szCs w:val="21"/>
                <w:highlight w:val="none"/>
                <w:u w:val="wave"/>
                <w:lang w:val="en-US" w:eastAsia="zh-CN"/>
                <w14:textFill>
                  <w14:solidFill>
                    <w14:schemeClr w14:val="tx1"/>
                  </w14:solidFill>
                </w14:textFill>
              </w:rPr>
              <w:t>B</w:t>
            </w: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OD</w:t>
            </w:r>
            <w:r>
              <w:rPr>
                <w:rFonts w:hint="default" w:ascii="Times New Roman" w:hAnsi="Times New Roman" w:eastAsia="宋体" w:cs="Times New Roman"/>
                <w:b/>
                <w:bCs/>
                <w:color w:val="000000" w:themeColor="text1"/>
                <w:sz w:val="21"/>
                <w:szCs w:val="21"/>
                <w:highlight w:val="none"/>
                <w:u w:val="wave"/>
                <w:vertAlign w:val="subscript"/>
                <w:lang w:val="en-US" w:eastAsia="zh-CN"/>
                <w14:textFill>
                  <w14:solidFill>
                    <w14:schemeClr w14:val="tx1"/>
                  </w14:solidFill>
                </w14:textFill>
              </w:rPr>
              <w:t>5</w:t>
            </w:r>
          </w:p>
        </w:tc>
        <w:tc>
          <w:tcPr>
            <w:tcW w:w="274" w:type="pct"/>
            <w:tcBorders>
              <w:tl2br w:val="nil"/>
              <w:tr2bl w:val="nil"/>
            </w:tcBorders>
            <w:noWrap w:val="0"/>
            <w:vAlign w:val="center"/>
          </w:tcPr>
          <w:p w14:paraId="57272162">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汞</w:t>
            </w:r>
          </w:p>
        </w:tc>
        <w:tc>
          <w:tcPr>
            <w:tcW w:w="294" w:type="pct"/>
            <w:tcBorders>
              <w:tl2br w:val="nil"/>
              <w:tr2bl w:val="nil"/>
            </w:tcBorders>
            <w:noWrap w:val="0"/>
            <w:vAlign w:val="center"/>
          </w:tcPr>
          <w:p w14:paraId="1490011B">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镉</w:t>
            </w:r>
          </w:p>
        </w:tc>
        <w:tc>
          <w:tcPr>
            <w:tcW w:w="248" w:type="pct"/>
            <w:tcBorders>
              <w:tl2br w:val="nil"/>
              <w:tr2bl w:val="nil"/>
            </w:tcBorders>
            <w:noWrap w:val="0"/>
            <w:vAlign w:val="center"/>
          </w:tcPr>
          <w:p w14:paraId="7AE908CD">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铬</w:t>
            </w:r>
          </w:p>
        </w:tc>
        <w:tc>
          <w:tcPr>
            <w:tcW w:w="331" w:type="pct"/>
            <w:tcBorders>
              <w:tl2br w:val="nil"/>
              <w:tr2bl w:val="nil"/>
            </w:tcBorders>
            <w:noWrap w:val="0"/>
            <w:vAlign w:val="center"/>
          </w:tcPr>
          <w:p w14:paraId="0846561D">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六价铬</w:t>
            </w:r>
          </w:p>
        </w:tc>
        <w:tc>
          <w:tcPr>
            <w:tcW w:w="309" w:type="pct"/>
            <w:tcBorders>
              <w:tl2br w:val="nil"/>
              <w:tr2bl w:val="nil"/>
            </w:tcBorders>
            <w:noWrap w:val="0"/>
            <w:vAlign w:val="center"/>
          </w:tcPr>
          <w:p w14:paraId="6198CC8F">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砷</w:t>
            </w:r>
          </w:p>
        </w:tc>
        <w:tc>
          <w:tcPr>
            <w:tcW w:w="264" w:type="pct"/>
            <w:tcBorders>
              <w:tl2br w:val="nil"/>
              <w:tr2bl w:val="nil"/>
            </w:tcBorders>
            <w:noWrap w:val="0"/>
            <w:vAlign w:val="center"/>
          </w:tcPr>
          <w:p w14:paraId="0BADB429">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铅</w:t>
            </w:r>
          </w:p>
        </w:tc>
        <w:tc>
          <w:tcPr>
            <w:tcW w:w="290" w:type="pct"/>
            <w:tcBorders>
              <w:tl2br w:val="nil"/>
              <w:tr2bl w:val="nil"/>
            </w:tcBorders>
            <w:noWrap w:val="0"/>
            <w:vAlign w:val="center"/>
          </w:tcPr>
          <w:p w14:paraId="1B6B621F">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石油类</w:t>
            </w:r>
          </w:p>
        </w:tc>
        <w:tc>
          <w:tcPr>
            <w:tcW w:w="305" w:type="pct"/>
            <w:tcBorders>
              <w:tl2br w:val="nil"/>
              <w:tr2bl w:val="nil"/>
            </w:tcBorders>
            <w:noWrap w:val="0"/>
            <w:vAlign w:val="center"/>
          </w:tcPr>
          <w:p w14:paraId="47CD47D5">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粪大肠菌群</w:t>
            </w:r>
          </w:p>
        </w:tc>
        <w:tc>
          <w:tcPr>
            <w:tcW w:w="379" w:type="pct"/>
            <w:tcBorders>
              <w:tl2br w:val="nil"/>
              <w:tr2bl w:val="nil"/>
            </w:tcBorders>
            <w:noWrap w:val="0"/>
            <w:vAlign w:val="center"/>
          </w:tcPr>
          <w:p w14:paraId="1DF04F31">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阴离子表面活性剂</w:t>
            </w:r>
          </w:p>
        </w:tc>
        <w:tc>
          <w:tcPr>
            <w:tcW w:w="262" w:type="pct"/>
            <w:tcBorders>
              <w:tl2br w:val="nil"/>
              <w:tr2bl w:val="nil"/>
            </w:tcBorders>
            <w:noWrap w:val="0"/>
            <w:vAlign w:val="center"/>
          </w:tcPr>
          <w:p w14:paraId="7F8BDAE1">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动植物油</w:t>
            </w:r>
          </w:p>
        </w:tc>
        <w:tc>
          <w:tcPr>
            <w:tcW w:w="253" w:type="pct"/>
            <w:tcBorders>
              <w:tl2br w:val="nil"/>
              <w:tr2bl w:val="nil"/>
            </w:tcBorders>
            <w:noWrap w:val="0"/>
            <w:vAlign w:val="center"/>
          </w:tcPr>
          <w:p w14:paraId="4E53AB39">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甲基汞</w:t>
            </w:r>
          </w:p>
        </w:tc>
        <w:tc>
          <w:tcPr>
            <w:tcW w:w="253" w:type="pct"/>
            <w:tcBorders>
              <w:tl2br w:val="nil"/>
              <w:tr2bl w:val="nil"/>
            </w:tcBorders>
            <w:noWrap w:val="0"/>
            <w:vAlign w:val="center"/>
          </w:tcPr>
          <w:p w14:paraId="34A18063">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lang w:val="en-US" w:eastAsia="zh-CN"/>
                <w14:textFill>
                  <w14:solidFill>
                    <w14:schemeClr w14:val="tx1"/>
                  </w14:solidFill>
                </w14:textFill>
              </w:rPr>
              <w:t>乙基汞</w:t>
            </w:r>
          </w:p>
        </w:tc>
      </w:tr>
      <w:tr w14:paraId="7DF6CC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238" w:type="pct"/>
            <w:vMerge w:val="restart"/>
            <w:tcBorders>
              <w:tl2br w:val="nil"/>
              <w:tr2bl w:val="nil"/>
            </w:tcBorders>
            <w:noWrap w:val="0"/>
            <w:vAlign w:val="center"/>
          </w:tcPr>
          <w:p w14:paraId="4D8CEA9E">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废水总排口</w:t>
            </w:r>
          </w:p>
        </w:tc>
        <w:tc>
          <w:tcPr>
            <w:tcW w:w="227" w:type="pct"/>
            <w:tcBorders>
              <w:tl2br w:val="nil"/>
              <w:tr2bl w:val="nil"/>
            </w:tcBorders>
            <w:noWrap w:val="0"/>
            <w:vAlign w:val="center"/>
          </w:tcPr>
          <w:p w14:paraId="1F7FB7B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2025.1.22</w:t>
            </w:r>
          </w:p>
        </w:tc>
        <w:tc>
          <w:tcPr>
            <w:tcW w:w="367" w:type="pct"/>
            <w:tcBorders>
              <w:tl2br w:val="nil"/>
              <w:tr2bl w:val="nil"/>
            </w:tcBorders>
            <w:noWrap w:val="0"/>
            <w:vAlign w:val="center"/>
          </w:tcPr>
          <w:p w14:paraId="7B6DF26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微黄透明无异味</w:t>
            </w:r>
          </w:p>
        </w:tc>
        <w:tc>
          <w:tcPr>
            <w:tcW w:w="232" w:type="pct"/>
            <w:tcBorders>
              <w:tl2br w:val="nil"/>
              <w:tr2bl w:val="nil"/>
            </w:tcBorders>
            <w:noWrap w:val="0"/>
            <w:vAlign w:val="center"/>
          </w:tcPr>
          <w:p w14:paraId="28C775C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5</w:t>
            </w:r>
          </w:p>
        </w:tc>
        <w:tc>
          <w:tcPr>
            <w:tcW w:w="176" w:type="pct"/>
            <w:tcBorders>
              <w:tl2br w:val="nil"/>
              <w:tr2bl w:val="nil"/>
            </w:tcBorders>
            <w:noWrap w:val="0"/>
            <w:vAlign w:val="center"/>
          </w:tcPr>
          <w:p w14:paraId="7D5A97A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7</w:t>
            </w:r>
          </w:p>
        </w:tc>
        <w:tc>
          <w:tcPr>
            <w:tcW w:w="290" w:type="pct"/>
            <w:tcBorders>
              <w:tl2br w:val="nil"/>
              <w:tr2bl w:val="nil"/>
            </w:tcBorders>
            <w:noWrap w:val="0"/>
            <w:vAlign w:val="center"/>
          </w:tcPr>
          <w:p w14:paraId="3C0755D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9.3</w:t>
            </w:r>
          </w:p>
        </w:tc>
        <w:tc>
          <w:tcPr>
            <w:tcW w:w="274" w:type="pct"/>
            <w:tcBorders>
              <w:tl2br w:val="nil"/>
              <w:tr2bl w:val="nil"/>
            </w:tcBorders>
            <w:noWrap w:val="0"/>
            <w:vAlign w:val="center"/>
          </w:tcPr>
          <w:p w14:paraId="05A9F10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 xml:space="preserve">0.0002 </w:t>
            </w:r>
          </w:p>
        </w:tc>
        <w:tc>
          <w:tcPr>
            <w:tcW w:w="294" w:type="pct"/>
            <w:tcBorders>
              <w:tl2br w:val="nil"/>
              <w:tr2bl w:val="nil"/>
            </w:tcBorders>
            <w:noWrap w:val="0"/>
            <w:vAlign w:val="center"/>
          </w:tcPr>
          <w:p w14:paraId="6B4C2BE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0.005L</w:t>
            </w:r>
          </w:p>
        </w:tc>
        <w:tc>
          <w:tcPr>
            <w:tcW w:w="248" w:type="pct"/>
            <w:tcBorders>
              <w:tl2br w:val="nil"/>
              <w:tr2bl w:val="nil"/>
            </w:tcBorders>
            <w:noWrap/>
            <w:vAlign w:val="center"/>
          </w:tcPr>
          <w:p w14:paraId="6787145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0.03L</w:t>
            </w:r>
          </w:p>
        </w:tc>
        <w:tc>
          <w:tcPr>
            <w:tcW w:w="331" w:type="pct"/>
            <w:tcBorders>
              <w:tl2br w:val="nil"/>
              <w:tr2bl w:val="nil"/>
            </w:tcBorders>
            <w:noWrap/>
            <w:vAlign w:val="center"/>
          </w:tcPr>
          <w:p w14:paraId="14AA1CB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0.004L</w:t>
            </w:r>
          </w:p>
        </w:tc>
        <w:tc>
          <w:tcPr>
            <w:tcW w:w="309" w:type="pct"/>
            <w:tcBorders>
              <w:tl2br w:val="nil"/>
              <w:tr2bl w:val="nil"/>
            </w:tcBorders>
            <w:noWrap/>
            <w:vAlign w:val="center"/>
          </w:tcPr>
          <w:p w14:paraId="0E42E25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0.0008</w:t>
            </w:r>
          </w:p>
        </w:tc>
        <w:tc>
          <w:tcPr>
            <w:tcW w:w="264" w:type="pct"/>
            <w:tcBorders>
              <w:tl2br w:val="nil"/>
              <w:tr2bl w:val="nil"/>
            </w:tcBorders>
            <w:noWrap/>
            <w:vAlign w:val="center"/>
          </w:tcPr>
          <w:p w14:paraId="47C6CE8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0.07L</w:t>
            </w:r>
          </w:p>
        </w:tc>
        <w:tc>
          <w:tcPr>
            <w:tcW w:w="290" w:type="pct"/>
            <w:tcBorders>
              <w:tl2br w:val="nil"/>
              <w:tr2bl w:val="nil"/>
            </w:tcBorders>
            <w:noWrap/>
            <w:vAlign w:val="center"/>
          </w:tcPr>
          <w:p w14:paraId="6BA3E99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0.06L</w:t>
            </w:r>
          </w:p>
        </w:tc>
        <w:tc>
          <w:tcPr>
            <w:tcW w:w="305" w:type="pct"/>
            <w:tcBorders>
              <w:tl2br w:val="nil"/>
              <w:tr2bl w:val="nil"/>
            </w:tcBorders>
            <w:noWrap/>
            <w:vAlign w:val="center"/>
          </w:tcPr>
          <w:p w14:paraId="485B1C2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379" w:type="pct"/>
            <w:tcBorders>
              <w:tl2br w:val="nil"/>
              <w:tr2bl w:val="nil"/>
            </w:tcBorders>
            <w:noWrap/>
            <w:vAlign w:val="center"/>
          </w:tcPr>
          <w:p w14:paraId="34CD439F">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62" w:type="pct"/>
            <w:tcBorders>
              <w:tl2br w:val="nil"/>
              <w:tr2bl w:val="nil"/>
            </w:tcBorders>
            <w:noWrap/>
            <w:vAlign w:val="center"/>
          </w:tcPr>
          <w:p w14:paraId="282FD4A4">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53" w:type="pct"/>
            <w:tcBorders>
              <w:tl2br w:val="nil"/>
              <w:tr2bl w:val="nil"/>
            </w:tcBorders>
            <w:noWrap/>
            <w:vAlign w:val="center"/>
          </w:tcPr>
          <w:p w14:paraId="165D5199">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53" w:type="pct"/>
            <w:tcBorders>
              <w:tl2br w:val="nil"/>
              <w:tr2bl w:val="nil"/>
            </w:tcBorders>
            <w:noWrap/>
            <w:vAlign w:val="center"/>
          </w:tcPr>
          <w:p w14:paraId="61781F82">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r>
      <w:tr w14:paraId="333E75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5" w:hRule="atLeast"/>
        </w:trPr>
        <w:tc>
          <w:tcPr>
            <w:tcW w:w="238" w:type="pct"/>
            <w:vMerge w:val="continue"/>
            <w:tcBorders>
              <w:tl2br w:val="nil"/>
              <w:tr2bl w:val="nil"/>
            </w:tcBorders>
            <w:noWrap w:val="0"/>
            <w:vAlign w:val="center"/>
          </w:tcPr>
          <w:p w14:paraId="207A3B41">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p>
        </w:tc>
        <w:tc>
          <w:tcPr>
            <w:tcW w:w="227" w:type="pct"/>
            <w:tcBorders>
              <w:tl2br w:val="nil"/>
              <w:tr2bl w:val="nil"/>
            </w:tcBorders>
            <w:noWrap w:val="0"/>
            <w:vAlign w:val="center"/>
          </w:tcPr>
          <w:p w14:paraId="3034DF4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2025.2.28</w:t>
            </w:r>
          </w:p>
        </w:tc>
        <w:tc>
          <w:tcPr>
            <w:tcW w:w="367" w:type="pct"/>
            <w:tcBorders>
              <w:tl2br w:val="nil"/>
              <w:tr2bl w:val="nil"/>
            </w:tcBorders>
            <w:noWrap w:val="0"/>
            <w:vAlign w:val="center"/>
          </w:tcPr>
          <w:p w14:paraId="639835F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微黄透明无异味</w:t>
            </w:r>
          </w:p>
        </w:tc>
        <w:tc>
          <w:tcPr>
            <w:tcW w:w="232" w:type="pct"/>
            <w:tcBorders>
              <w:tl2br w:val="nil"/>
              <w:tr2bl w:val="nil"/>
            </w:tcBorders>
            <w:noWrap w:val="0"/>
            <w:vAlign w:val="center"/>
          </w:tcPr>
          <w:p w14:paraId="45E447D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 xml:space="preserve">2 </w:t>
            </w:r>
          </w:p>
        </w:tc>
        <w:tc>
          <w:tcPr>
            <w:tcW w:w="176" w:type="pct"/>
            <w:tcBorders>
              <w:tl2br w:val="nil"/>
              <w:tr2bl w:val="nil"/>
            </w:tcBorders>
            <w:noWrap w:val="0"/>
            <w:vAlign w:val="center"/>
          </w:tcPr>
          <w:p w14:paraId="2499590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8</w:t>
            </w:r>
          </w:p>
        </w:tc>
        <w:tc>
          <w:tcPr>
            <w:tcW w:w="290" w:type="pct"/>
            <w:tcBorders>
              <w:tl2br w:val="nil"/>
              <w:tr2bl w:val="nil"/>
            </w:tcBorders>
            <w:noWrap w:val="0"/>
            <w:vAlign w:val="center"/>
          </w:tcPr>
          <w:p w14:paraId="3420748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 xml:space="preserve">8.9 </w:t>
            </w:r>
          </w:p>
        </w:tc>
        <w:tc>
          <w:tcPr>
            <w:tcW w:w="274" w:type="pct"/>
            <w:tcBorders>
              <w:tl2br w:val="nil"/>
              <w:tr2bl w:val="nil"/>
            </w:tcBorders>
            <w:noWrap w:val="0"/>
            <w:vAlign w:val="center"/>
          </w:tcPr>
          <w:p w14:paraId="469865D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0.00004L</w:t>
            </w:r>
          </w:p>
        </w:tc>
        <w:tc>
          <w:tcPr>
            <w:tcW w:w="294" w:type="pct"/>
            <w:tcBorders>
              <w:tl2br w:val="nil"/>
              <w:tr2bl w:val="nil"/>
            </w:tcBorders>
            <w:noWrap w:val="0"/>
            <w:vAlign w:val="center"/>
          </w:tcPr>
          <w:p w14:paraId="3EB4357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0.005L</w:t>
            </w:r>
          </w:p>
        </w:tc>
        <w:tc>
          <w:tcPr>
            <w:tcW w:w="248" w:type="pct"/>
            <w:tcBorders>
              <w:tl2br w:val="nil"/>
              <w:tr2bl w:val="nil"/>
            </w:tcBorders>
            <w:noWrap/>
            <w:vAlign w:val="center"/>
          </w:tcPr>
          <w:p w14:paraId="1EFA4EE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0.03L</w:t>
            </w:r>
          </w:p>
        </w:tc>
        <w:tc>
          <w:tcPr>
            <w:tcW w:w="331" w:type="pct"/>
            <w:tcBorders>
              <w:tl2br w:val="nil"/>
              <w:tr2bl w:val="nil"/>
            </w:tcBorders>
            <w:noWrap/>
            <w:vAlign w:val="center"/>
          </w:tcPr>
          <w:p w14:paraId="3EB5FD8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0.004L</w:t>
            </w:r>
          </w:p>
        </w:tc>
        <w:tc>
          <w:tcPr>
            <w:tcW w:w="309" w:type="pct"/>
            <w:tcBorders>
              <w:tl2br w:val="nil"/>
              <w:tr2bl w:val="nil"/>
            </w:tcBorders>
            <w:noWrap/>
            <w:vAlign w:val="center"/>
          </w:tcPr>
          <w:p w14:paraId="3312F66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0.0023</w:t>
            </w:r>
          </w:p>
        </w:tc>
        <w:tc>
          <w:tcPr>
            <w:tcW w:w="264" w:type="pct"/>
            <w:tcBorders>
              <w:tl2br w:val="nil"/>
              <w:tr2bl w:val="nil"/>
            </w:tcBorders>
            <w:noWrap/>
            <w:vAlign w:val="center"/>
          </w:tcPr>
          <w:p w14:paraId="3CCD5EA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0.07L</w:t>
            </w:r>
          </w:p>
        </w:tc>
        <w:tc>
          <w:tcPr>
            <w:tcW w:w="290" w:type="pct"/>
            <w:tcBorders>
              <w:tl2br w:val="nil"/>
              <w:tr2bl w:val="nil"/>
            </w:tcBorders>
            <w:noWrap/>
            <w:vAlign w:val="center"/>
          </w:tcPr>
          <w:p w14:paraId="2FA8824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0.06L</w:t>
            </w:r>
          </w:p>
        </w:tc>
        <w:tc>
          <w:tcPr>
            <w:tcW w:w="305" w:type="pct"/>
            <w:tcBorders>
              <w:tl2br w:val="nil"/>
              <w:tr2bl w:val="nil"/>
            </w:tcBorders>
            <w:noWrap/>
            <w:vAlign w:val="center"/>
          </w:tcPr>
          <w:p w14:paraId="6813F38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379" w:type="pct"/>
            <w:tcBorders>
              <w:tl2br w:val="nil"/>
              <w:tr2bl w:val="nil"/>
            </w:tcBorders>
            <w:noWrap/>
            <w:vAlign w:val="center"/>
          </w:tcPr>
          <w:p w14:paraId="1567FFB2">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18"/>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62" w:type="pct"/>
            <w:tcBorders>
              <w:tl2br w:val="nil"/>
              <w:tr2bl w:val="nil"/>
            </w:tcBorders>
            <w:noWrap/>
            <w:vAlign w:val="center"/>
          </w:tcPr>
          <w:p w14:paraId="7F47FFD4">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53" w:type="pct"/>
            <w:tcBorders>
              <w:tl2br w:val="nil"/>
              <w:tr2bl w:val="nil"/>
            </w:tcBorders>
            <w:noWrap/>
            <w:vAlign w:val="center"/>
          </w:tcPr>
          <w:p w14:paraId="64B07CAD">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53" w:type="pct"/>
            <w:tcBorders>
              <w:tl2br w:val="nil"/>
              <w:tr2bl w:val="nil"/>
            </w:tcBorders>
            <w:noWrap/>
            <w:vAlign w:val="center"/>
          </w:tcPr>
          <w:p w14:paraId="4A8951C8">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r>
      <w:tr w14:paraId="7FEF87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38" w:type="pct"/>
            <w:vMerge w:val="continue"/>
            <w:tcBorders>
              <w:tl2br w:val="nil"/>
              <w:tr2bl w:val="nil"/>
            </w:tcBorders>
            <w:noWrap w:val="0"/>
            <w:vAlign w:val="center"/>
          </w:tcPr>
          <w:p w14:paraId="7D82EEA8">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p>
        </w:tc>
        <w:tc>
          <w:tcPr>
            <w:tcW w:w="227" w:type="pct"/>
            <w:tcBorders>
              <w:tl2br w:val="nil"/>
              <w:tr2bl w:val="nil"/>
            </w:tcBorders>
            <w:noWrap w:val="0"/>
            <w:vAlign w:val="center"/>
          </w:tcPr>
          <w:p w14:paraId="5B16512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2025.3.24</w:t>
            </w:r>
          </w:p>
        </w:tc>
        <w:tc>
          <w:tcPr>
            <w:tcW w:w="367" w:type="pct"/>
            <w:tcBorders>
              <w:tl2br w:val="nil"/>
              <w:tr2bl w:val="nil"/>
            </w:tcBorders>
            <w:noWrap w:val="0"/>
            <w:vAlign w:val="center"/>
          </w:tcPr>
          <w:p w14:paraId="6D89BF1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微黄微浊无味</w:t>
            </w:r>
          </w:p>
        </w:tc>
        <w:tc>
          <w:tcPr>
            <w:tcW w:w="232" w:type="pct"/>
            <w:tcBorders>
              <w:tl2br w:val="nil"/>
              <w:tr2bl w:val="nil"/>
            </w:tcBorders>
            <w:noWrap w:val="0"/>
            <w:vAlign w:val="center"/>
          </w:tcPr>
          <w:p w14:paraId="4D53145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 xml:space="preserve">4 </w:t>
            </w:r>
          </w:p>
        </w:tc>
        <w:tc>
          <w:tcPr>
            <w:tcW w:w="176" w:type="pct"/>
            <w:tcBorders>
              <w:tl2br w:val="nil"/>
              <w:tr2bl w:val="nil"/>
            </w:tcBorders>
            <w:noWrap w:val="0"/>
            <w:vAlign w:val="center"/>
          </w:tcPr>
          <w:p w14:paraId="74B0143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9</w:t>
            </w:r>
          </w:p>
        </w:tc>
        <w:tc>
          <w:tcPr>
            <w:tcW w:w="290" w:type="pct"/>
            <w:tcBorders>
              <w:tl2br w:val="nil"/>
              <w:tr2bl w:val="nil"/>
            </w:tcBorders>
            <w:noWrap w:val="0"/>
            <w:vAlign w:val="center"/>
          </w:tcPr>
          <w:p w14:paraId="05572AF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9.0</w:t>
            </w:r>
          </w:p>
        </w:tc>
        <w:tc>
          <w:tcPr>
            <w:tcW w:w="274" w:type="pct"/>
            <w:tcBorders>
              <w:tl2br w:val="nil"/>
              <w:tr2bl w:val="nil"/>
            </w:tcBorders>
            <w:noWrap w:val="0"/>
            <w:vAlign w:val="center"/>
          </w:tcPr>
          <w:p w14:paraId="1204663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0.00004L</w:t>
            </w:r>
          </w:p>
        </w:tc>
        <w:tc>
          <w:tcPr>
            <w:tcW w:w="294" w:type="pct"/>
            <w:tcBorders>
              <w:tl2br w:val="nil"/>
              <w:tr2bl w:val="nil"/>
            </w:tcBorders>
            <w:noWrap w:val="0"/>
            <w:vAlign w:val="center"/>
          </w:tcPr>
          <w:p w14:paraId="7735372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0.005L</w:t>
            </w:r>
          </w:p>
        </w:tc>
        <w:tc>
          <w:tcPr>
            <w:tcW w:w="248" w:type="pct"/>
            <w:tcBorders>
              <w:tl2br w:val="nil"/>
              <w:tr2bl w:val="nil"/>
            </w:tcBorders>
            <w:noWrap/>
            <w:vAlign w:val="center"/>
          </w:tcPr>
          <w:p w14:paraId="037CAF1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0.03L</w:t>
            </w:r>
          </w:p>
        </w:tc>
        <w:tc>
          <w:tcPr>
            <w:tcW w:w="331" w:type="pct"/>
            <w:tcBorders>
              <w:tl2br w:val="nil"/>
              <w:tr2bl w:val="nil"/>
            </w:tcBorders>
            <w:noWrap/>
            <w:vAlign w:val="center"/>
          </w:tcPr>
          <w:p w14:paraId="11A65D9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0.004L</w:t>
            </w:r>
          </w:p>
        </w:tc>
        <w:tc>
          <w:tcPr>
            <w:tcW w:w="309" w:type="pct"/>
            <w:tcBorders>
              <w:tl2br w:val="nil"/>
              <w:tr2bl w:val="nil"/>
            </w:tcBorders>
            <w:noWrap/>
            <w:vAlign w:val="center"/>
          </w:tcPr>
          <w:p w14:paraId="770D216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0.0006</w:t>
            </w:r>
          </w:p>
        </w:tc>
        <w:tc>
          <w:tcPr>
            <w:tcW w:w="264" w:type="pct"/>
            <w:tcBorders>
              <w:tl2br w:val="nil"/>
              <w:tr2bl w:val="nil"/>
            </w:tcBorders>
            <w:noWrap/>
            <w:vAlign w:val="center"/>
          </w:tcPr>
          <w:p w14:paraId="356BA8C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0.07L</w:t>
            </w:r>
          </w:p>
        </w:tc>
        <w:tc>
          <w:tcPr>
            <w:tcW w:w="290" w:type="pct"/>
            <w:tcBorders>
              <w:tl2br w:val="nil"/>
              <w:tr2bl w:val="nil"/>
            </w:tcBorders>
            <w:noWrap/>
            <w:vAlign w:val="center"/>
          </w:tcPr>
          <w:p w14:paraId="08199F3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0.06L</w:t>
            </w:r>
          </w:p>
        </w:tc>
        <w:tc>
          <w:tcPr>
            <w:tcW w:w="305" w:type="pct"/>
            <w:tcBorders>
              <w:tl2br w:val="nil"/>
              <w:tr2bl w:val="nil"/>
            </w:tcBorders>
            <w:noWrap/>
            <w:vAlign w:val="center"/>
          </w:tcPr>
          <w:p w14:paraId="51BBBE9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4.9×10</w:t>
            </w:r>
            <w:r>
              <w:rPr>
                <w:rFonts w:hint="default" w:ascii="Times New Roman" w:hAnsi="Times New Roman" w:eastAsia="宋体" w:cs="Times New Roman"/>
                <w:color w:val="000000" w:themeColor="text1"/>
                <w:sz w:val="21"/>
                <w:szCs w:val="21"/>
                <w:highlight w:val="none"/>
                <w:u w:val="wave"/>
                <w:vertAlign w:val="superscript"/>
                <w:lang w:val="en-US" w:eastAsia="zh-CN"/>
                <w14:textFill>
                  <w14:solidFill>
                    <w14:schemeClr w14:val="tx1"/>
                  </w14:solidFill>
                </w14:textFill>
              </w:rPr>
              <w:t>2</w:t>
            </w:r>
          </w:p>
        </w:tc>
        <w:tc>
          <w:tcPr>
            <w:tcW w:w="379" w:type="pct"/>
            <w:tcBorders>
              <w:tl2br w:val="nil"/>
              <w:tr2bl w:val="nil"/>
            </w:tcBorders>
            <w:noWrap/>
            <w:vAlign w:val="center"/>
          </w:tcPr>
          <w:p w14:paraId="46992AF1">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18"/>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0.19</w:t>
            </w:r>
          </w:p>
        </w:tc>
        <w:tc>
          <w:tcPr>
            <w:tcW w:w="262" w:type="pct"/>
            <w:tcBorders>
              <w:tl2br w:val="nil"/>
              <w:tr2bl w:val="nil"/>
            </w:tcBorders>
            <w:noWrap/>
            <w:vAlign w:val="center"/>
          </w:tcPr>
          <w:p w14:paraId="32113AFD">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0.06L</w:t>
            </w:r>
          </w:p>
        </w:tc>
        <w:tc>
          <w:tcPr>
            <w:tcW w:w="253" w:type="pct"/>
            <w:tcBorders>
              <w:tl2br w:val="nil"/>
              <w:tr2bl w:val="nil"/>
            </w:tcBorders>
            <w:noWrap/>
            <w:vAlign w:val="center"/>
          </w:tcPr>
          <w:p w14:paraId="0926088E">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0.00001L</w:t>
            </w:r>
          </w:p>
        </w:tc>
        <w:tc>
          <w:tcPr>
            <w:tcW w:w="253" w:type="pct"/>
            <w:tcBorders>
              <w:tl2br w:val="nil"/>
              <w:tr2bl w:val="nil"/>
            </w:tcBorders>
            <w:noWrap/>
            <w:vAlign w:val="center"/>
          </w:tcPr>
          <w:p w14:paraId="69D73DCE">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0.00002L</w:t>
            </w:r>
          </w:p>
        </w:tc>
      </w:tr>
      <w:tr w14:paraId="50E313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7" w:hRule="atLeast"/>
        </w:trPr>
        <w:tc>
          <w:tcPr>
            <w:tcW w:w="238" w:type="pct"/>
            <w:vMerge w:val="continue"/>
            <w:tcBorders>
              <w:tl2br w:val="nil"/>
              <w:tr2bl w:val="nil"/>
            </w:tcBorders>
            <w:noWrap w:val="0"/>
            <w:vAlign w:val="center"/>
          </w:tcPr>
          <w:p w14:paraId="7B5CC352">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p>
        </w:tc>
        <w:tc>
          <w:tcPr>
            <w:tcW w:w="227" w:type="pct"/>
            <w:tcBorders>
              <w:tl2br w:val="nil"/>
              <w:tr2bl w:val="nil"/>
            </w:tcBorders>
            <w:noWrap w:val="0"/>
            <w:vAlign w:val="center"/>
          </w:tcPr>
          <w:p w14:paraId="162F37E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2025.6.11</w:t>
            </w:r>
          </w:p>
        </w:tc>
        <w:tc>
          <w:tcPr>
            <w:tcW w:w="367" w:type="pct"/>
            <w:tcBorders>
              <w:tl2br w:val="nil"/>
              <w:tr2bl w:val="nil"/>
            </w:tcBorders>
            <w:noWrap w:val="0"/>
            <w:vAlign w:val="center"/>
          </w:tcPr>
          <w:p w14:paraId="6AA18D0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微黄透明无味</w:t>
            </w:r>
          </w:p>
        </w:tc>
        <w:tc>
          <w:tcPr>
            <w:tcW w:w="232" w:type="pct"/>
            <w:tcBorders>
              <w:tl2br w:val="nil"/>
              <w:tr2bl w:val="nil"/>
            </w:tcBorders>
            <w:noWrap w:val="0"/>
            <w:vAlign w:val="center"/>
          </w:tcPr>
          <w:p w14:paraId="798EFB0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4</w:t>
            </w:r>
          </w:p>
        </w:tc>
        <w:tc>
          <w:tcPr>
            <w:tcW w:w="176" w:type="pct"/>
            <w:tcBorders>
              <w:tl2br w:val="nil"/>
              <w:tr2bl w:val="nil"/>
            </w:tcBorders>
            <w:noWrap w:val="0"/>
            <w:vAlign w:val="center"/>
          </w:tcPr>
          <w:p w14:paraId="0BB1273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7</w:t>
            </w:r>
          </w:p>
        </w:tc>
        <w:tc>
          <w:tcPr>
            <w:tcW w:w="290" w:type="pct"/>
            <w:tcBorders>
              <w:tl2br w:val="nil"/>
              <w:tr2bl w:val="nil"/>
            </w:tcBorders>
            <w:noWrap w:val="0"/>
            <w:vAlign w:val="center"/>
          </w:tcPr>
          <w:p w14:paraId="372BDBE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8.8</w:t>
            </w:r>
          </w:p>
        </w:tc>
        <w:tc>
          <w:tcPr>
            <w:tcW w:w="274" w:type="pct"/>
            <w:tcBorders>
              <w:tl2br w:val="nil"/>
              <w:tr2bl w:val="nil"/>
            </w:tcBorders>
            <w:noWrap w:val="0"/>
            <w:vAlign w:val="center"/>
          </w:tcPr>
          <w:p w14:paraId="2C6F62F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0.00004L</w:t>
            </w:r>
          </w:p>
        </w:tc>
        <w:tc>
          <w:tcPr>
            <w:tcW w:w="294" w:type="pct"/>
            <w:tcBorders>
              <w:tl2br w:val="nil"/>
              <w:tr2bl w:val="nil"/>
            </w:tcBorders>
            <w:noWrap w:val="0"/>
            <w:vAlign w:val="center"/>
          </w:tcPr>
          <w:p w14:paraId="05CF423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0.005L</w:t>
            </w:r>
          </w:p>
        </w:tc>
        <w:tc>
          <w:tcPr>
            <w:tcW w:w="248" w:type="pct"/>
            <w:tcBorders>
              <w:tl2br w:val="nil"/>
              <w:tr2bl w:val="nil"/>
            </w:tcBorders>
            <w:noWrap/>
            <w:vAlign w:val="center"/>
          </w:tcPr>
          <w:p w14:paraId="20CFBE8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0.03L</w:t>
            </w:r>
          </w:p>
        </w:tc>
        <w:tc>
          <w:tcPr>
            <w:tcW w:w="331" w:type="pct"/>
            <w:tcBorders>
              <w:tl2br w:val="nil"/>
              <w:tr2bl w:val="nil"/>
            </w:tcBorders>
            <w:noWrap/>
            <w:vAlign w:val="center"/>
          </w:tcPr>
          <w:p w14:paraId="352916B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0.004L</w:t>
            </w:r>
          </w:p>
        </w:tc>
        <w:tc>
          <w:tcPr>
            <w:tcW w:w="309" w:type="pct"/>
            <w:tcBorders>
              <w:tl2br w:val="nil"/>
              <w:tr2bl w:val="nil"/>
            </w:tcBorders>
            <w:noWrap/>
            <w:vAlign w:val="center"/>
          </w:tcPr>
          <w:p w14:paraId="01CBBF1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0.0011</w:t>
            </w:r>
          </w:p>
        </w:tc>
        <w:tc>
          <w:tcPr>
            <w:tcW w:w="264" w:type="pct"/>
            <w:tcBorders>
              <w:tl2br w:val="nil"/>
              <w:tr2bl w:val="nil"/>
            </w:tcBorders>
            <w:noWrap/>
            <w:vAlign w:val="center"/>
          </w:tcPr>
          <w:p w14:paraId="60A54C8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0.07L</w:t>
            </w:r>
          </w:p>
        </w:tc>
        <w:tc>
          <w:tcPr>
            <w:tcW w:w="290" w:type="pct"/>
            <w:tcBorders>
              <w:tl2br w:val="nil"/>
              <w:tr2bl w:val="nil"/>
            </w:tcBorders>
            <w:noWrap/>
            <w:vAlign w:val="center"/>
          </w:tcPr>
          <w:p w14:paraId="2D9CBD6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0.06L</w:t>
            </w:r>
          </w:p>
        </w:tc>
        <w:tc>
          <w:tcPr>
            <w:tcW w:w="305" w:type="pct"/>
            <w:tcBorders>
              <w:tl2br w:val="nil"/>
              <w:tr2bl w:val="nil"/>
            </w:tcBorders>
            <w:noWrap/>
            <w:vAlign w:val="center"/>
          </w:tcPr>
          <w:p w14:paraId="790A1548">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3.9×10</w:t>
            </w:r>
            <w:r>
              <w:rPr>
                <w:rFonts w:hint="default" w:ascii="Times New Roman" w:hAnsi="Times New Roman" w:eastAsia="宋体" w:cs="Times New Roman"/>
                <w:color w:val="000000" w:themeColor="text1"/>
                <w:sz w:val="21"/>
                <w:szCs w:val="21"/>
                <w:highlight w:val="none"/>
                <w:u w:val="wave"/>
                <w:vertAlign w:val="superscript"/>
                <w:lang w:val="en-US" w:eastAsia="zh-CN"/>
                <w14:textFill>
                  <w14:solidFill>
                    <w14:schemeClr w14:val="tx1"/>
                  </w14:solidFill>
                </w14:textFill>
              </w:rPr>
              <w:t>2</w:t>
            </w:r>
          </w:p>
        </w:tc>
        <w:tc>
          <w:tcPr>
            <w:tcW w:w="379" w:type="pct"/>
            <w:tcBorders>
              <w:tl2br w:val="nil"/>
              <w:tr2bl w:val="nil"/>
            </w:tcBorders>
            <w:noWrap/>
            <w:vAlign w:val="center"/>
          </w:tcPr>
          <w:p w14:paraId="79A67022">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0.32</w:t>
            </w:r>
          </w:p>
        </w:tc>
        <w:tc>
          <w:tcPr>
            <w:tcW w:w="262" w:type="pct"/>
            <w:tcBorders>
              <w:tl2br w:val="nil"/>
              <w:tr2bl w:val="nil"/>
            </w:tcBorders>
            <w:noWrap/>
            <w:vAlign w:val="center"/>
          </w:tcPr>
          <w:p w14:paraId="2BFEE6E5">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0.06L</w:t>
            </w:r>
          </w:p>
        </w:tc>
        <w:tc>
          <w:tcPr>
            <w:tcW w:w="253" w:type="pct"/>
            <w:tcBorders>
              <w:tl2br w:val="nil"/>
              <w:tr2bl w:val="nil"/>
            </w:tcBorders>
            <w:noWrap/>
            <w:vAlign w:val="center"/>
          </w:tcPr>
          <w:p w14:paraId="39C7AB61">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0.00001L</w:t>
            </w:r>
          </w:p>
        </w:tc>
        <w:tc>
          <w:tcPr>
            <w:tcW w:w="253" w:type="pct"/>
            <w:tcBorders>
              <w:tl2br w:val="nil"/>
              <w:tr2bl w:val="nil"/>
            </w:tcBorders>
            <w:noWrap/>
            <w:vAlign w:val="center"/>
          </w:tcPr>
          <w:p w14:paraId="614F88E2">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0.00002L</w:t>
            </w:r>
          </w:p>
        </w:tc>
      </w:tr>
      <w:tr w14:paraId="2E7C7B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7" w:hRule="atLeast"/>
        </w:trPr>
        <w:tc>
          <w:tcPr>
            <w:tcW w:w="238" w:type="pct"/>
            <w:vMerge w:val="continue"/>
            <w:tcBorders>
              <w:tl2br w:val="nil"/>
              <w:tr2bl w:val="nil"/>
            </w:tcBorders>
            <w:noWrap w:val="0"/>
            <w:vAlign w:val="center"/>
          </w:tcPr>
          <w:p w14:paraId="12426AD8">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p>
        </w:tc>
        <w:tc>
          <w:tcPr>
            <w:tcW w:w="227" w:type="pct"/>
            <w:tcBorders>
              <w:tl2br w:val="nil"/>
              <w:tr2bl w:val="nil"/>
            </w:tcBorders>
            <w:noWrap w:val="0"/>
            <w:vAlign w:val="center"/>
          </w:tcPr>
          <w:p w14:paraId="3E48116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2025.7.10</w:t>
            </w:r>
          </w:p>
        </w:tc>
        <w:tc>
          <w:tcPr>
            <w:tcW w:w="367" w:type="pct"/>
            <w:tcBorders>
              <w:tl2br w:val="nil"/>
              <w:tr2bl w:val="nil"/>
            </w:tcBorders>
            <w:noWrap w:val="0"/>
            <w:vAlign w:val="center"/>
          </w:tcPr>
          <w:p w14:paraId="6931B8B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微黄微浊无味</w:t>
            </w:r>
          </w:p>
        </w:tc>
        <w:tc>
          <w:tcPr>
            <w:tcW w:w="232" w:type="pct"/>
            <w:tcBorders>
              <w:tl2br w:val="nil"/>
              <w:tr2bl w:val="nil"/>
            </w:tcBorders>
            <w:noWrap w:val="0"/>
            <w:vAlign w:val="center"/>
          </w:tcPr>
          <w:p w14:paraId="3C3D300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5</w:t>
            </w:r>
          </w:p>
        </w:tc>
        <w:tc>
          <w:tcPr>
            <w:tcW w:w="176" w:type="pct"/>
            <w:tcBorders>
              <w:tl2br w:val="nil"/>
              <w:tr2bl w:val="nil"/>
            </w:tcBorders>
            <w:noWrap w:val="0"/>
            <w:vAlign w:val="center"/>
          </w:tcPr>
          <w:p w14:paraId="4D611E9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9</w:t>
            </w:r>
          </w:p>
        </w:tc>
        <w:tc>
          <w:tcPr>
            <w:tcW w:w="290" w:type="pct"/>
            <w:tcBorders>
              <w:tl2br w:val="nil"/>
              <w:tr2bl w:val="nil"/>
            </w:tcBorders>
            <w:noWrap w:val="0"/>
            <w:vAlign w:val="center"/>
          </w:tcPr>
          <w:p w14:paraId="2DAA90D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8.6</w:t>
            </w:r>
          </w:p>
        </w:tc>
        <w:tc>
          <w:tcPr>
            <w:tcW w:w="274" w:type="pct"/>
            <w:tcBorders>
              <w:tl2br w:val="nil"/>
              <w:tr2bl w:val="nil"/>
            </w:tcBorders>
            <w:noWrap w:val="0"/>
            <w:vAlign w:val="center"/>
          </w:tcPr>
          <w:p w14:paraId="20D7DEF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0.00004L</w:t>
            </w:r>
          </w:p>
        </w:tc>
        <w:tc>
          <w:tcPr>
            <w:tcW w:w="294" w:type="pct"/>
            <w:tcBorders>
              <w:tl2br w:val="nil"/>
              <w:tr2bl w:val="nil"/>
            </w:tcBorders>
            <w:noWrap w:val="0"/>
            <w:vAlign w:val="center"/>
          </w:tcPr>
          <w:p w14:paraId="0679295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0.005L</w:t>
            </w:r>
          </w:p>
        </w:tc>
        <w:tc>
          <w:tcPr>
            <w:tcW w:w="248" w:type="pct"/>
            <w:tcBorders>
              <w:tl2br w:val="nil"/>
              <w:tr2bl w:val="nil"/>
            </w:tcBorders>
            <w:noWrap/>
            <w:vAlign w:val="center"/>
          </w:tcPr>
          <w:p w14:paraId="0CC57C2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0.03L</w:t>
            </w:r>
          </w:p>
        </w:tc>
        <w:tc>
          <w:tcPr>
            <w:tcW w:w="331" w:type="pct"/>
            <w:tcBorders>
              <w:tl2br w:val="nil"/>
              <w:tr2bl w:val="nil"/>
            </w:tcBorders>
            <w:noWrap/>
            <w:vAlign w:val="center"/>
          </w:tcPr>
          <w:p w14:paraId="6E6F602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0.004L</w:t>
            </w:r>
          </w:p>
        </w:tc>
        <w:tc>
          <w:tcPr>
            <w:tcW w:w="309" w:type="pct"/>
            <w:tcBorders>
              <w:tl2br w:val="nil"/>
              <w:tr2bl w:val="nil"/>
            </w:tcBorders>
            <w:noWrap/>
            <w:vAlign w:val="center"/>
          </w:tcPr>
          <w:p w14:paraId="0D767AC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0.0007</w:t>
            </w:r>
          </w:p>
        </w:tc>
        <w:tc>
          <w:tcPr>
            <w:tcW w:w="264" w:type="pct"/>
            <w:tcBorders>
              <w:tl2br w:val="nil"/>
              <w:tr2bl w:val="nil"/>
            </w:tcBorders>
            <w:noWrap/>
            <w:vAlign w:val="center"/>
          </w:tcPr>
          <w:p w14:paraId="1405EB98">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0.07L</w:t>
            </w:r>
          </w:p>
        </w:tc>
        <w:tc>
          <w:tcPr>
            <w:tcW w:w="290" w:type="pct"/>
            <w:tcBorders>
              <w:tl2br w:val="nil"/>
              <w:tr2bl w:val="nil"/>
            </w:tcBorders>
            <w:noWrap/>
            <w:vAlign w:val="center"/>
          </w:tcPr>
          <w:p w14:paraId="1E4BB4B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0.06L</w:t>
            </w:r>
          </w:p>
        </w:tc>
        <w:tc>
          <w:tcPr>
            <w:tcW w:w="305" w:type="pct"/>
            <w:tcBorders>
              <w:tl2br w:val="nil"/>
              <w:tr2bl w:val="nil"/>
            </w:tcBorders>
            <w:noWrap/>
            <w:vAlign w:val="center"/>
          </w:tcPr>
          <w:p w14:paraId="62F8D51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2.2×10</w:t>
            </w:r>
            <w:r>
              <w:rPr>
                <w:rFonts w:hint="default" w:ascii="Times New Roman" w:hAnsi="Times New Roman" w:eastAsia="宋体" w:cs="Times New Roman"/>
                <w:color w:val="000000" w:themeColor="text1"/>
                <w:sz w:val="21"/>
                <w:szCs w:val="21"/>
                <w:highlight w:val="none"/>
                <w:u w:val="wave"/>
                <w:vertAlign w:val="superscript"/>
                <w:lang w:val="en-US" w:eastAsia="zh-CN"/>
                <w14:textFill>
                  <w14:solidFill>
                    <w14:schemeClr w14:val="tx1"/>
                  </w14:solidFill>
                </w14:textFill>
              </w:rPr>
              <w:t>2</w:t>
            </w:r>
          </w:p>
        </w:tc>
        <w:tc>
          <w:tcPr>
            <w:tcW w:w="379" w:type="pct"/>
            <w:tcBorders>
              <w:tl2br w:val="nil"/>
              <w:tr2bl w:val="nil"/>
            </w:tcBorders>
            <w:noWrap/>
            <w:vAlign w:val="center"/>
          </w:tcPr>
          <w:p w14:paraId="36F46BD8">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18"/>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0.25</w:t>
            </w:r>
          </w:p>
        </w:tc>
        <w:tc>
          <w:tcPr>
            <w:tcW w:w="262" w:type="pct"/>
            <w:tcBorders>
              <w:tl2br w:val="nil"/>
              <w:tr2bl w:val="nil"/>
            </w:tcBorders>
            <w:noWrap/>
            <w:vAlign w:val="center"/>
          </w:tcPr>
          <w:p w14:paraId="416DF4F0">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0.06L</w:t>
            </w:r>
          </w:p>
        </w:tc>
        <w:tc>
          <w:tcPr>
            <w:tcW w:w="253" w:type="pct"/>
            <w:tcBorders>
              <w:tl2br w:val="nil"/>
              <w:tr2bl w:val="nil"/>
            </w:tcBorders>
            <w:noWrap/>
            <w:vAlign w:val="center"/>
          </w:tcPr>
          <w:p w14:paraId="532C907B">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0.00001L</w:t>
            </w:r>
          </w:p>
        </w:tc>
        <w:tc>
          <w:tcPr>
            <w:tcW w:w="253" w:type="pct"/>
            <w:tcBorders>
              <w:tl2br w:val="nil"/>
              <w:tr2bl w:val="nil"/>
            </w:tcBorders>
            <w:noWrap/>
            <w:vAlign w:val="center"/>
          </w:tcPr>
          <w:p w14:paraId="4DAE039B">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0.00002L</w:t>
            </w:r>
          </w:p>
        </w:tc>
      </w:tr>
      <w:tr w14:paraId="26A16A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7" w:hRule="atLeast"/>
        </w:trPr>
        <w:tc>
          <w:tcPr>
            <w:tcW w:w="238" w:type="pct"/>
            <w:vMerge w:val="continue"/>
            <w:tcBorders>
              <w:tl2br w:val="nil"/>
              <w:tr2bl w:val="nil"/>
            </w:tcBorders>
            <w:noWrap w:val="0"/>
            <w:vAlign w:val="center"/>
          </w:tcPr>
          <w:p w14:paraId="13DA1518">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p>
        </w:tc>
        <w:tc>
          <w:tcPr>
            <w:tcW w:w="227" w:type="pct"/>
            <w:tcBorders>
              <w:tl2br w:val="nil"/>
              <w:tr2bl w:val="nil"/>
            </w:tcBorders>
            <w:noWrap w:val="0"/>
            <w:vAlign w:val="center"/>
          </w:tcPr>
          <w:p w14:paraId="64BBD12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2025.8.27</w:t>
            </w:r>
          </w:p>
        </w:tc>
        <w:tc>
          <w:tcPr>
            <w:tcW w:w="367" w:type="pct"/>
            <w:tcBorders>
              <w:tl2br w:val="nil"/>
              <w:tr2bl w:val="nil"/>
            </w:tcBorders>
            <w:noWrap w:val="0"/>
            <w:vAlign w:val="center"/>
          </w:tcPr>
          <w:p w14:paraId="08D086D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微黄透明无异味</w:t>
            </w:r>
          </w:p>
        </w:tc>
        <w:tc>
          <w:tcPr>
            <w:tcW w:w="232" w:type="pct"/>
            <w:tcBorders>
              <w:tl2br w:val="nil"/>
              <w:tr2bl w:val="nil"/>
            </w:tcBorders>
            <w:noWrap w:val="0"/>
            <w:vAlign w:val="center"/>
          </w:tcPr>
          <w:p w14:paraId="4FDB5A6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8</w:t>
            </w:r>
          </w:p>
        </w:tc>
        <w:tc>
          <w:tcPr>
            <w:tcW w:w="176" w:type="pct"/>
            <w:tcBorders>
              <w:tl2br w:val="nil"/>
              <w:tr2bl w:val="nil"/>
            </w:tcBorders>
            <w:noWrap w:val="0"/>
            <w:vAlign w:val="center"/>
          </w:tcPr>
          <w:p w14:paraId="28D70C2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7</w:t>
            </w:r>
          </w:p>
        </w:tc>
        <w:tc>
          <w:tcPr>
            <w:tcW w:w="290" w:type="pct"/>
            <w:tcBorders>
              <w:tl2br w:val="nil"/>
              <w:tr2bl w:val="nil"/>
            </w:tcBorders>
            <w:noWrap w:val="0"/>
            <w:vAlign w:val="center"/>
          </w:tcPr>
          <w:p w14:paraId="4FF85F5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8.5</w:t>
            </w:r>
          </w:p>
        </w:tc>
        <w:tc>
          <w:tcPr>
            <w:tcW w:w="274" w:type="pct"/>
            <w:tcBorders>
              <w:tl2br w:val="nil"/>
              <w:tr2bl w:val="nil"/>
            </w:tcBorders>
            <w:noWrap w:val="0"/>
            <w:vAlign w:val="center"/>
          </w:tcPr>
          <w:p w14:paraId="65F1C72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0.00004L</w:t>
            </w:r>
          </w:p>
        </w:tc>
        <w:tc>
          <w:tcPr>
            <w:tcW w:w="294" w:type="pct"/>
            <w:tcBorders>
              <w:tl2br w:val="nil"/>
              <w:tr2bl w:val="nil"/>
            </w:tcBorders>
            <w:noWrap w:val="0"/>
            <w:vAlign w:val="center"/>
          </w:tcPr>
          <w:p w14:paraId="5FA4133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0.005L</w:t>
            </w:r>
          </w:p>
        </w:tc>
        <w:tc>
          <w:tcPr>
            <w:tcW w:w="248" w:type="pct"/>
            <w:tcBorders>
              <w:tl2br w:val="nil"/>
              <w:tr2bl w:val="nil"/>
            </w:tcBorders>
            <w:noWrap/>
            <w:vAlign w:val="center"/>
          </w:tcPr>
          <w:p w14:paraId="5B1C70A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0.03L</w:t>
            </w:r>
          </w:p>
        </w:tc>
        <w:tc>
          <w:tcPr>
            <w:tcW w:w="331" w:type="pct"/>
            <w:tcBorders>
              <w:tl2br w:val="nil"/>
              <w:tr2bl w:val="nil"/>
            </w:tcBorders>
            <w:noWrap/>
            <w:vAlign w:val="center"/>
          </w:tcPr>
          <w:p w14:paraId="6B6ED80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0.004L</w:t>
            </w:r>
          </w:p>
        </w:tc>
        <w:tc>
          <w:tcPr>
            <w:tcW w:w="309" w:type="pct"/>
            <w:tcBorders>
              <w:tl2br w:val="nil"/>
              <w:tr2bl w:val="nil"/>
            </w:tcBorders>
            <w:noWrap/>
            <w:vAlign w:val="center"/>
          </w:tcPr>
          <w:p w14:paraId="16F5EB2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0.0018</w:t>
            </w:r>
          </w:p>
        </w:tc>
        <w:tc>
          <w:tcPr>
            <w:tcW w:w="264" w:type="pct"/>
            <w:tcBorders>
              <w:tl2br w:val="nil"/>
              <w:tr2bl w:val="nil"/>
            </w:tcBorders>
            <w:noWrap/>
            <w:vAlign w:val="center"/>
          </w:tcPr>
          <w:p w14:paraId="0CF483ED">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0.07L</w:t>
            </w:r>
          </w:p>
        </w:tc>
        <w:tc>
          <w:tcPr>
            <w:tcW w:w="290" w:type="pct"/>
            <w:tcBorders>
              <w:tl2br w:val="nil"/>
              <w:tr2bl w:val="nil"/>
            </w:tcBorders>
            <w:noWrap/>
            <w:vAlign w:val="center"/>
          </w:tcPr>
          <w:p w14:paraId="11E5343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0.06L</w:t>
            </w:r>
          </w:p>
        </w:tc>
        <w:tc>
          <w:tcPr>
            <w:tcW w:w="305" w:type="pct"/>
            <w:tcBorders>
              <w:tl2br w:val="nil"/>
              <w:tr2bl w:val="nil"/>
            </w:tcBorders>
            <w:noWrap/>
            <w:vAlign w:val="center"/>
          </w:tcPr>
          <w:p w14:paraId="2632820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379" w:type="pct"/>
            <w:tcBorders>
              <w:tl2br w:val="nil"/>
              <w:tr2bl w:val="nil"/>
            </w:tcBorders>
            <w:noWrap/>
            <w:vAlign w:val="center"/>
          </w:tcPr>
          <w:p w14:paraId="4A4D6E3B">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18"/>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62" w:type="pct"/>
            <w:tcBorders>
              <w:tl2br w:val="nil"/>
              <w:tr2bl w:val="nil"/>
            </w:tcBorders>
            <w:noWrap/>
            <w:vAlign w:val="center"/>
          </w:tcPr>
          <w:p w14:paraId="7787DF17">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53" w:type="pct"/>
            <w:tcBorders>
              <w:tl2br w:val="nil"/>
              <w:tr2bl w:val="nil"/>
            </w:tcBorders>
            <w:noWrap/>
            <w:vAlign w:val="center"/>
          </w:tcPr>
          <w:p w14:paraId="553137E2">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53" w:type="pct"/>
            <w:tcBorders>
              <w:tl2br w:val="nil"/>
              <w:tr2bl w:val="nil"/>
            </w:tcBorders>
            <w:noWrap/>
            <w:vAlign w:val="center"/>
          </w:tcPr>
          <w:p w14:paraId="2340B3ED">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r>
      <w:tr w14:paraId="2809CE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238" w:type="pct"/>
            <w:vMerge w:val="continue"/>
            <w:tcBorders>
              <w:tl2br w:val="nil"/>
              <w:tr2bl w:val="nil"/>
            </w:tcBorders>
            <w:noWrap w:val="0"/>
            <w:vAlign w:val="center"/>
          </w:tcPr>
          <w:p w14:paraId="7DDCD2ED">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p>
        </w:tc>
        <w:tc>
          <w:tcPr>
            <w:tcW w:w="227" w:type="pct"/>
            <w:tcBorders>
              <w:tl2br w:val="nil"/>
              <w:tr2bl w:val="nil"/>
            </w:tcBorders>
            <w:noWrap w:val="0"/>
            <w:vAlign w:val="center"/>
          </w:tcPr>
          <w:p w14:paraId="33AC98C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2025.9.18</w:t>
            </w:r>
          </w:p>
        </w:tc>
        <w:tc>
          <w:tcPr>
            <w:tcW w:w="367" w:type="pct"/>
            <w:tcBorders>
              <w:tl2br w:val="nil"/>
              <w:tr2bl w:val="nil"/>
            </w:tcBorders>
            <w:noWrap w:val="0"/>
            <w:vAlign w:val="center"/>
          </w:tcPr>
          <w:p w14:paraId="7F15B53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微黄透明无异味</w:t>
            </w:r>
          </w:p>
        </w:tc>
        <w:tc>
          <w:tcPr>
            <w:tcW w:w="232" w:type="pct"/>
            <w:tcBorders>
              <w:tl2br w:val="nil"/>
              <w:tr2bl w:val="nil"/>
            </w:tcBorders>
            <w:noWrap w:val="0"/>
            <w:vAlign w:val="center"/>
          </w:tcPr>
          <w:p w14:paraId="64CE82D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8</w:t>
            </w:r>
          </w:p>
        </w:tc>
        <w:tc>
          <w:tcPr>
            <w:tcW w:w="176" w:type="pct"/>
            <w:tcBorders>
              <w:tl2br w:val="nil"/>
              <w:tr2bl w:val="nil"/>
            </w:tcBorders>
            <w:noWrap w:val="0"/>
            <w:vAlign w:val="center"/>
          </w:tcPr>
          <w:p w14:paraId="5FC859C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8</w:t>
            </w:r>
          </w:p>
        </w:tc>
        <w:tc>
          <w:tcPr>
            <w:tcW w:w="290" w:type="pct"/>
            <w:tcBorders>
              <w:tl2br w:val="nil"/>
              <w:tr2bl w:val="nil"/>
            </w:tcBorders>
            <w:noWrap w:val="0"/>
            <w:vAlign w:val="center"/>
          </w:tcPr>
          <w:p w14:paraId="1DC4091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8.5</w:t>
            </w:r>
          </w:p>
        </w:tc>
        <w:tc>
          <w:tcPr>
            <w:tcW w:w="274" w:type="pct"/>
            <w:tcBorders>
              <w:tl2br w:val="nil"/>
              <w:tr2bl w:val="nil"/>
            </w:tcBorders>
            <w:noWrap w:val="0"/>
            <w:vAlign w:val="center"/>
          </w:tcPr>
          <w:p w14:paraId="66C2304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0.00004L</w:t>
            </w:r>
          </w:p>
        </w:tc>
        <w:tc>
          <w:tcPr>
            <w:tcW w:w="294" w:type="pct"/>
            <w:tcBorders>
              <w:tl2br w:val="nil"/>
              <w:tr2bl w:val="nil"/>
            </w:tcBorders>
            <w:noWrap w:val="0"/>
            <w:vAlign w:val="center"/>
          </w:tcPr>
          <w:p w14:paraId="1CBBC19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0.005L</w:t>
            </w:r>
          </w:p>
        </w:tc>
        <w:tc>
          <w:tcPr>
            <w:tcW w:w="248" w:type="pct"/>
            <w:tcBorders>
              <w:tl2br w:val="nil"/>
              <w:tr2bl w:val="nil"/>
            </w:tcBorders>
            <w:noWrap/>
            <w:vAlign w:val="center"/>
          </w:tcPr>
          <w:p w14:paraId="6577A3B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0.03L</w:t>
            </w:r>
          </w:p>
        </w:tc>
        <w:tc>
          <w:tcPr>
            <w:tcW w:w="331" w:type="pct"/>
            <w:tcBorders>
              <w:tl2br w:val="nil"/>
              <w:tr2bl w:val="nil"/>
            </w:tcBorders>
            <w:noWrap/>
            <w:vAlign w:val="center"/>
          </w:tcPr>
          <w:p w14:paraId="00E19AA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0.004L</w:t>
            </w:r>
          </w:p>
        </w:tc>
        <w:tc>
          <w:tcPr>
            <w:tcW w:w="309" w:type="pct"/>
            <w:tcBorders>
              <w:tl2br w:val="nil"/>
              <w:tr2bl w:val="nil"/>
            </w:tcBorders>
            <w:noWrap/>
            <w:vAlign w:val="center"/>
          </w:tcPr>
          <w:p w14:paraId="2F3D507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0.0003L</w:t>
            </w:r>
          </w:p>
        </w:tc>
        <w:tc>
          <w:tcPr>
            <w:tcW w:w="264" w:type="pct"/>
            <w:tcBorders>
              <w:tl2br w:val="nil"/>
              <w:tr2bl w:val="nil"/>
            </w:tcBorders>
            <w:noWrap/>
            <w:vAlign w:val="center"/>
          </w:tcPr>
          <w:p w14:paraId="3597537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0.07L</w:t>
            </w:r>
          </w:p>
        </w:tc>
        <w:tc>
          <w:tcPr>
            <w:tcW w:w="290" w:type="pct"/>
            <w:tcBorders>
              <w:tl2br w:val="nil"/>
              <w:tr2bl w:val="nil"/>
            </w:tcBorders>
            <w:noWrap/>
            <w:vAlign w:val="center"/>
          </w:tcPr>
          <w:p w14:paraId="57C9816A">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0.06L</w:t>
            </w:r>
          </w:p>
        </w:tc>
        <w:tc>
          <w:tcPr>
            <w:tcW w:w="305" w:type="pct"/>
            <w:tcBorders>
              <w:tl2br w:val="nil"/>
              <w:tr2bl w:val="nil"/>
            </w:tcBorders>
            <w:noWrap/>
            <w:vAlign w:val="center"/>
          </w:tcPr>
          <w:p w14:paraId="01DF4C9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379" w:type="pct"/>
            <w:tcBorders>
              <w:tl2br w:val="nil"/>
              <w:tr2bl w:val="nil"/>
            </w:tcBorders>
            <w:noWrap/>
            <w:vAlign w:val="center"/>
          </w:tcPr>
          <w:p w14:paraId="2EE47727">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62" w:type="pct"/>
            <w:tcBorders>
              <w:tl2br w:val="nil"/>
              <w:tr2bl w:val="nil"/>
            </w:tcBorders>
            <w:noWrap/>
            <w:vAlign w:val="center"/>
          </w:tcPr>
          <w:p w14:paraId="5AA026FE">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53" w:type="pct"/>
            <w:tcBorders>
              <w:tl2br w:val="nil"/>
              <w:tr2bl w:val="nil"/>
            </w:tcBorders>
            <w:noWrap/>
            <w:vAlign w:val="center"/>
          </w:tcPr>
          <w:p w14:paraId="4F00A0B8">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c>
          <w:tcPr>
            <w:tcW w:w="253" w:type="pct"/>
            <w:tcBorders>
              <w:tl2br w:val="nil"/>
              <w:tr2bl w:val="nil"/>
            </w:tcBorders>
            <w:noWrap/>
            <w:vAlign w:val="center"/>
          </w:tcPr>
          <w:p w14:paraId="1114FA1A">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w:t>
            </w:r>
          </w:p>
        </w:tc>
      </w:tr>
      <w:tr w14:paraId="50C494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7" w:hRule="atLeast"/>
        </w:trPr>
        <w:tc>
          <w:tcPr>
            <w:tcW w:w="833" w:type="pct"/>
            <w:gridSpan w:val="3"/>
            <w:tcBorders>
              <w:tl2br w:val="nil"/>
              <w:tr2bl w:val="nil"/>
            </w:tcBorders>
            <w:noWrap w:val="0"/>
            <w:vAlign w:val="center"/>
          </w:tcPr>
          <w:p w14:paraId="2328806B">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《城镇污水处理厂污染物排放标准》</w:t>
            </w:r>
            <w:r>
              <w:rPr>
                <w:rFonts w:hint="eastAsia" w:eastAsia="宋体" w:cs="Times New Roman"/>
                <w:color w:val="000000" w:themeColor="text1"/>
                <w:sz w:val="21"/>
                <w:szCs w:val="21"/>
                <w:highlight w:val="none"/>
                <w:u w:val="wave"/>
                <w:lang w:val="en-US" w:eastAsia="zh-CN"/>
                <w14:textFill>
                  <w14:solidFill>
                    <w14:schemeClr w14:val="tx1"/>
                  </w14:solidFill>
                </w14:textFill>
              </w:rPr>
              <w:t>（GB18918-2002）修改单</w:t>
            </w: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表1一级标准中A标准、表2中限值</w:t>
            </w:r>
          </w:p>
        </w:tc>
        <w:tc>
          <w:tcPr>
            <w:tcW w:w="232" w:type="pct"/>
            <w:tcBorders>
              <w:tl2br w:val="nil"/>
              <w:tr2bl w:val="nil"/>
            </w:tcBorders>
            <w:noWrap w:val="0"/>
            <w:vAlign w:val="center"/>
          </w:tcPr>
          <w:p w14:paraId="15DB1313">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30</w:t>
            </w:r>
          </w:p>
        </w:tc>
        <w:tc>
          <w:tcPr>
            <w:tcW w:w="176" w:type="pct"/>
            <w:tcBorders>
              <w:tl2br w:val="nil"/>
              <w:tr2bl w:val="nil"/>
            </w:tcBorders>
            <w:noWrap w:val="0"/>
            <w:vAlign w:val="center"/>
          </w:tcPr>
          <w:p w14:paraId="61E170B1">
            <w:pPr>
              <w:pStyle w:val="443"/>
              <w:keepNext w:val="0"/>
              <w:keepLines w:val="0"/>
              <w:suppressLineNumbers w:val="0"/>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10</w:t>
            </w:r>
          </w:p>
        </w:tc>
        <w:tc>
          <w:tcPr>
            <w:tcW w:w="290" w:type="pct"/>
            <w:tcBorders>
              <w:tl2br w:val="nil"/>
              <w:tr2bl w:val="nil"/>
            </w:tcBorders>
            <w:noWrap w:val="0"/>
            <w:vAlign w:val="center"/>
          </w:tcPr>
          <w:p w14:paraId="3416E0F7">
            <w:pPr>
              <w:pStyle w:val="96"/>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10</w:t>
            </w:r>
          </w:p>
        </w:tc>
        <w:tc>
          <w:tcPr>
            <w:tcW w:w="274" w:type="pct"/>
            <w:tcBorders>
              <w:tl2br w:val="nil"/>
              <w:tr2bl w:val="nil"/>
            </w:tcBorders>
            <w:noWrap w:val="0"/>
            <w:vAlign w:val="center"/>
          </w:tcPr>
          <w:p w14:paraId="6E290689">
            <w:pPr>
              <w:pStyle w:val="96"/>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0.001</w:t>
            </w:r>
          </w:p>
        </w:tc>
        <w:tc>
          <w:tcPr>
            <w:tcW w:w="294" w:type="pct"/>
            <w:tcBorders>
              <w:tl2br w:val="nil"/>
              <w:tr2bl w:val="nil"/>
            </w:tcBorders>
            <w:noWrap w:val="0"/>
            <w:vAlign w:val="center"/>
          </w:tcPr>
          <w:p w14:paraId="10DB49EE">
            <w:pPr>
              <w:pStyle w:val="96"/>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0.01</w:t>
            </w:r>
          </w:p>
        </w:tc>
        <w:tc>
          <w:tcPr>
            <w:tcW w:w="248" w:type="pct"/>
            <w:tcBorders>
              <w:tl2br w:val="nil"/>
              <w:tr2bl w:val="nil"/>
            </w:tcBorders>
            <w:noWrap/>
            <w:vAlign w:val="center"/>
          </w:tcPr>
          <w:p w14:paraId="526E1E36">
            <w:pPr>
              <w:pStyle w:val="96"/>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0.1</w:t>
            </w:r>
          </w:p>
        </w:tc>
        <w:tc>
          <w:tcPr>
            <w:tcW w:w="331" w:type="pct"/>
            <w:tcBorders>
              <w:tl2br w:val="nil"/>
              <w:tr2bl w:val="nil"/>
            </w:tcBorders>
            <w:noWrap/>
            <w:vAlign w:val="center"/>
          </w:tcPr>
          <w:p w14:paraId="48BDE90A">
            <w:pPr>
              <w:pStyle w:val="96"/>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0.05</w:t>
            </w:r>
          </w:p>
        </w:tc>
        <w:tc>
          <w:tcPr>
            <w:tcW w:w="309" w:type="pct"/>
            <w:tcBorders>
              <w:tl2br w:val="nil"/>
              <w:tr2bl w:val="nil"/>
            </w:tcBorders>
            <w:noWrap/>
            <w:vAlign w:val="center"/>
          </w:tcPr>
          <w:p w14:paraId="6A7344BC">
            <w:pPr>
              <w:pStyle w:val="96"/>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0.1</w:t>
            </w:r>
          </w:p>
        </w:tc>
        <w:tc>
          <w:tcPr>
            <w:tcW w:w="264" w:type="pct"/>
            <w:tcBorders>
              <w:tl2br w:val="nil"/>
              <w:tr2bl w:val="nil"/>
            </w:tcBorders>
            <w:noWrap/>
            <w:vAlign w:val="center"/>
          </w:tcPr>
          <w:p w14:paraId="2528CD9B">
            <w:pPr>
              <w:pStyle w:val="96"/>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0.1</w:t>
            </w:r>
          </w:p>
        </w:tc>
        <w:tc>
          <w:tcPr>
            <w:tcW w:w="290" w:type="pct"/>
            <w:tcBorders>
              <w:tl2br w:val="nil"/>
              <w:tr2bl w:val="nil"/>
            </w:tcBorders>
            <w:noWrap/>
            <w:vAlign w:val="center"/>
          </w:tcPr>
          <w:p w14:paraId="4B36AFC3">
            <w:pPr>
              <w:pStyle w:val="96"/>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1</w:t>
            </w:r>
          </w:p>
        </w:tc>
        <w:tc>
          <w:tcPr>
            <w:tcW w:w="305" w:type="pct"/>
            <w:tcBorders>
              <w:tl2br w:val="nil"/>
              <w:tr2bl w:val="nil"/>
            </w:tcBorders>
            <w:noWrap/>
            <w:vAlign w:val="center"/>
          </w:tcPr>
          <w:p w14:paraId="7855522A">
            <w:pPr>
              <w:pStyle w:val="96"/>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10000</w:t>
            </w:r>
          </w:p>
        </w:tc>
        <w:tc>
          <w:tcPr>
            <w:tcW w:w="379" w:type="pct"/>
            <w:tcBorders>
              <w:tl2br w:val="nil"/>
              <w:tr2bl w:val="nil"/>
            </w:tcBorders>
            <w:noWrap/>
            <w:vAlign w:val="center"/>
          </w:tcPr>
          <w:p w14:paraId="32A9B856">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0.5</w:t>
            </w:r>
          </w:p>
        </w:tc>
        <w:tc>
          <w:tcPr>
            <w:tcW w:w="262" w:type="pct"/>
            <w:tcBorders>
              <w:tl2br w:val="nil"/>
              <w:tr2bl w:val="nil"/>
            </w:tcBorders>
            <w:noWrap/>
            <w:vAlign w:val="center"/>
          </w:tcPr>
          <w:p w14:paraId="62F1C497">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1</w:t>
            </w:r>
          </w:p>
        </w:tc>
        <w:tc>
          <w:tcPr>
            <w:tcW w:w="507" w:type="pct"/>
            <w:gridSpan w:val="2"/>
            <w:tcBorders>
              <w:tl2br w:val="nil"/>
              <w:tr2bl w:val="nil"/>
            </w:tcBorders>
            <w:noWrap/>
            <w:vAlign w:val="center"/>
          </w:tcPr>
          <w:p w14:paraId="6A0C7C9F">
            <w:pPr>
              <w:pStyle w:val="443"/>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t>不得检出</w:t>
            </w:r>
          </w:p>
        </w:tc>
      </w:tr>
    </w:tbl>
    <w:p w14:paraId="106F0A24">
      <w:pPr>
        <w:widowControl w:val="0"/>
        <w:numPr>
          <w:ilvl w:val="0"/>
          <w:numId w:val="0"/>
        </w:numPr>
        <w:adjustRightInd w:val="0"/>
        <w:snapToGrid w:val="0"/>
        <w:spacing w:line="336" w:lineRule="auto"/>
        <w:ind w:leftChars="0" w:firstLine="420" w:firstLineChars="0"/>
        <w:jc w:val="left"/>
        <w:outlineLvl w:val="1"/>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5F26297A">
      <w:pPr>
        <w:pStyle w:val="4"/>
        <w:numPr>
          <w:ilvl w:val="2"/>
          <w:numId w:val="0"/>
        </w:numPr>
        <w:ind w:left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3.1.</w:t>
      </w:r>
      <w:r>
        <w:rPr>
          <w:rFonts w:hint="eastAsia" w:cs="Times New Roman"/>
          <w:color w:val="000000" w:themeColor="text1"/>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 现有工程环保设施</w:t>
      </w:r>
    </w:p>
    <w:p w14:paraId="356274E8">
      <w:pPr>
        <w:pStyle w:val="189"/>
        <w:ind w:left="0" w:leftChars="0" w:firstLine="0" w:firstLineChars="0"/>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3.1.</w:t>
      </w:r>
      <w:r>
        <w:rPr>
          <w:rFonts w:hint="eastAsia" w:cs="Times New Roman"/>
          <w:b/>
          <w:bCs/>
          <w:color w:val="000000" w:themeColor="text1"/>
          <w:highlight w:val="none"/>
          <w:u w:val="none" w:color="auto"/>
          <w:lang w:val="en-US" w:eastAsia="zh-CN"/>
          <w14:textFill>
            <w14:solidFill>
              <w14:schemeClr w14:val="tx1"/>
            </w14:solidFill>
          </w14:textFill>
        </w:rPr>
        <w:t>6</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.1 废水治理设施</w:t>
      </w:r>
    </w:p>
    <w:p w14:paraId="286A4B9F">
      <w:pPr>
        <w:pStyle w:val="189"/>
        <w:ind w:left="0" w:leftChars="0" w:firstLine="480" w:firstLineChars="20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工程运营过程中产生的污水主要是污水处理厂尾水、污泥脱水、员工生活污水。</w:t>
      </w:r>
    </w:p>
    <w:p w14:paraId="6569FD33">
      <w:pPr>
        <w:pStyle w:val="189"/>
        <w:ind w:left="0" w:leftChars="0" w:firstLine="0" w:firstLine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厂区生活污水经化粪池处理后、污泥脱水与纳污废水一起经污水管道收集后进入排水泵井，经提升后进入污水处理系统进行处理，出水水质需达到《城镇污水处理厂污染物排放标准》</w:t>
      </w:r>
      <w:r>
        <w:rPr>
          <w:rFonts w:hint="eastAsia" w:cs="Times New Roman"/>
          <w:color w:val="000000" w:themeColor="text1"/>
          <w:highlight w:val="none"/>
          <w:u w:val="wave" w:color="auto"/>
          <w:lang w:val="en-US" w:eastAsia="zh-CN"/>
          <w14:textFill>
            <w14:solidFill>
              <w14:schemeClr w14:val="tx1"/>
            </w14:solidFill>
          </w14:textFill>
        </w:rPr>
        <w:t>（GB18918-2002）修改单</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中一级A标准。其出水水质要求：COD≤50mg/L，BOD</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≤10mg/L，SS≤10mg/L，NH</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-N≤5mg/L，TN≤15mg/L，TP≤0.</w:t>
      </w:r>
      <w:r>
        <w:rPr>
          <w:rFonts w:hint="default" w:ascii="Times New Roman" w:hAnsi="Times New Roman" w:cs="Times New Roman"/>
          <w:color w:val="auto"/>
          <w:highlight w:val="none"/>
          <w:u w:val="none" w:color="auto"/>
          <w:lang w:val="en-US" w:eastAsia="zh-CN"/>
        </w:rPr>
        <w:t>5mg/L。取上限计算，每天排入农排支渠的废水及污染物量为：废水量 1200m</w:t>
      </w:r>
      <w:r>
        <w:rPr>
          <w:rFonts w:hint="default" w:ascii="Times New Roman" w:hAnsi="Times New Roman" w:cs="Times New Roman"/>
          <w:color w:val="auto"/>
          <w:highlight w:val="none"/>
          <w:u w:val="none" w:color="auto"/>
          <w:vertAlign w:val="superscript"/>
          <w:lang w:val="en-US" w:eastAsia="zh-CN"/>
        </w:rPr>
        <w:t>3</w:t>
      </w:r>
      <w:r>
        <w:rPr>
          <w:rFonts w:hint="default" w:ascii="Times New Roman" w:hAnsi="Times New Roman" w:cs="Times New Roman"/>
          <w:color w:val="auto"/>
          <w:highlight w:val="none"/>
          <w:u w:val="none" w:color="auto"/>
          <w:lang w:val="en-US" w:eastAsia="zh-CN"/>
        </w:rPr>
        <w:t>/d，COD :0.06t/d，BOD</w:t>
      </w:r>
      <w:r>
        <w:rPr>
          <w:rFonts w:hint="default" w:ascii="Times New Roman" w:hAnsi="Times New Roman" w:cs="Times New Roman"/>
          <w:color w:val="auto"/>
          <w:highlight w:val="none"/>
          <w:u w:val="none" w:color="auto"/>
          <w:vertAlign w:val="subscript"/>
          <w:lang w:val="en-US" w:eastAsia="zh-CN"/>
        </w:rPr>
        <w:t xml:space="preserve">5: </w:t>
      </w:r>
      <w:r>
        <w:rPr>
          <w:rFonts w:hint="default" w:ascii="Times New Roman" w:hAnsi="Times New Roman" w:cs="Times New Roman"/>
          <w:color w:val="auto"/>
          <w:highlight w:val="none"/>
          <w:u w:val="none" w:color="auto"/>
          <w:lang w:val="en-US" w:eastAsia="zh-CN"/>
        </w:rPr>
        <w:t>0.012t/d，SS ;0.012t/d，NH</w:t>
      </w:r>
      <w:r>
        <w:rPr>
          <w:rFonts w:hint="default" w:ascii="Times New Roman" w:hAnsi="Times New Roman" w:cs="Times New Roman"/>
          <w:color w:val="auto"/>
          <w:highlight w:val="none"/>
          <w:u w:val="none" w:color="auto"/>
          <w:vertAlign w:val="subscript"/>
          <w:lang w:val="en-US" w:eastAsia="zh-CN"/>
        </w:rPr>
        <w:t>3</w:t>
      </w:r>
      <w:r>
        <w:rPr>
          <w:rFonts w:hint="default" w:ascii="Times New Roman" w:hAnsi="Times New Roman" w:cs="Times New Roman"/>
          <w:color w:val="auto"/>
          <w:highlight w:val="none"/>
          <w:u w:val="none" w:color="auto"/>
          <w:lang w:val="en-US" w:eastAsia="zh-CN"/>
        </w:rPr>
        <w:t>-N:0.006t/d，TN: 0.018t/d，TP:0.0006t/d，处理后的尾水外排至机排十二渠再入老三运河，在进口、总排口设置了在线监测系统。</w:t>
      </w:r>
    </w:p>
    <w:p w14:paraId="54D24CA1">
      <w:pPr>
        <w:pStyle w:val="189"/>
        <w:ind w:left="0" w:leftChars="0" w:firstLine="0" w:firstLineChars="0"/>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3.1.</w:t>
      </w:r>
      <w:r>
        <w:rPr>
          <w:rFonts w:hint="eastAsia" w:cs="Times New Roman"/>
          <w:b/>
          <w:bCs/>
          <w:color w:val="auto"/>
          <w:highlight w:val="none"/>
          <w:u w:val="none" w:color="auto"/>
          <w:lang w:val="en-US" w:eastAsia="zh-CN"/>
        </w:rPr>
        <w:t>6</w:t>
      </w:r>
      <w:r>
        <w:rPr>
          <w:rFonts w:hint="default" w:ascii="Times New Roman" w:hAnsi="Times New Roman" w:cs="Times New Roman"/>
          <w:b/>
          <w:bCs/>
          <w:color w:val="auto"/>
          <w:highlight w:val="none"/>
          <w:u w:val="none" w:color="auto"/>
          <w:lang w:val="en-US" w:eastAsia="zh-CN"/>
        </w:rPr>
        <w:t>.2 废气治理设施</w:t>
      </w:r>
    </w:p>
    <w:p w14:paraId="09E6D6B6">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营运期废气主要为恶臭气体，产生臭气的主要场所为格栅、沉淀池、污泥浓缩池等。通过合理布局，将个各处理设施设置于厂区的下风向，且远离居民区的一侧，同事在厂区周围设置一定宽度的绿化带利用耐臭气的高大乔木和灌木，地被进行密植，形成有效的安全隔离带，有效降低臭气对周边环境的影响。</w:t>
      </w:r>
    </w:p>
    <w:p w14:paraId="2B26BEAA">
      <w:pPr>
        <w:pStyle w:val="189"/>
        <w:ind w:left="0" w:leftChars="0" w:firstLine="0" w:firstLineChars="0"/>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3.1.</w:t>
      </w:r>
      <w:r>
        <w:rPr>
          <w:rFonts w:hint="eastAsia" w:cs="Times New Roman"/>
          <w:b/>
          <w:bCs/>
          <w:color w:val="auto"/>
          <w:highlight w:val="none"/>
          <w:u w:val="none" w:color="auto"/>
          <w:lang w:val="en-US" w:eastAsia="zh-CN"/>
        </w:rPr>
        <w:t>6</w:t>
      </w:r>
      <w:r>
        <w:rPr>
          <w:rFonts w:hint="default" w:ascii="Times New Roman" w:hAnsi="Times New Roman" w:cs="Times New Roman"/>
          <w:b/>
          <w:bCs/>
          <w:color w:val="auto"/>
          <w:highlight w:val="none"/>
          <w:u w:val="none" w:color="auto"/>
          <w:lang w:val="en-US" w:eastAsia="zh-CN"/>
        </w:rPr>
        <w:t>.3 噪声治理设施</w:t>
      </w:r>
    </w:p>
    <w:p w14:paraId="0874C8F9">
      <w:pPr>
        <w:pStyle w:val="189"/>
        <w:ind w:left="0" w:leftChars="0" w:firstLine="420" w:firstLine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营运期噪声主要来源于鼓风机、污水泵、污泥泵、脱水机等设备运行时产生的机械噪声。项目采取一下措施降噪：对设备进行了减振处理，采取隔声、吸声等措施。鼓风机、污水提升泵设置于厂房内，厂区四周设置绿化带，有效降低设备运行对周边环境产生的影响。</w:t>
      </w:r>
    </w:p>
    <w:p w14:paraId="71DD1521">
      <w:pPr>
        <w:pStyle w:val="189"/>
        <w:ind w:left="0" w:leftChars="0" w:firstLine="0" w:firstLineChars="0"/>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3.1.</w:t>
      </w:r>
      <w:r>
        <w:rPr>
          <w:rFonts w:hint="eastAsia" w:cs="Times New Roman"/>
          <w:b/>
          <w:bCs/>
          <w:color w:val="auto"/>
          <w:highlight w:val="none"/>
          <w:u w:val="none" w:color="auto"/>
          <w:lang w:val="en-US" w:eastAsia="zh-CN"/>
        </w:rPr>
        <w:t>6</w:t>
      </w:r>
      <w:r>
        <w:rPr>
          <w:rFonts w:hint="default" w:ascii="Times New Roman" w:hAnsi="Times New Roman" w:cs="Times New Roman"/>
          <w:b/>
          <w:bCs/>
          <w:color w:val="auto"/>
          <w:highlight w:val="none"/>
          <w:u w:val="none" w:color="auto"/>
          <w:lang w:val="en-US" w:eastAsia="zh-CN"/>
        </w:rPr>
        <w:t>.4 固体废物</w:t>
      </w:r>
    </w:p>
    <w:p w14:paraId="51D7F87D">
      <w:pPr>
        <w:ind w:left="0" w:leftChars="0" w:firstLine="420" w:firstLine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项目固体废物</w:t>
      </w:r>
      <w:r>
        <w:rPr>
          <w:rFonts w:hint="eastAsia" w:cs="Times New Roman"/>
          <w:color w:val="auto"/>
          <w:highlight w:val="none"/>
          <w:u w:val="none" w:color="auto"/>
          <w:lang w:val="en-US" w:eastAsia="zh-CN"/>
        </w:rPr>
        <w:t>主要</w:t>
      </w:r>
      <w:r>
        <w:rPr>
          <w:rFonts w:hint="default" w:ascii="Times New Roman" w:hAnsi="Times New Roman" w:cs="Times New Roman"/>
          <w:color w:val="auto"/>
          <w:highlight w:val="none"/>
          <w:u w:val="none" w:color="auto"/>
          <w:lang w:val="en-US" w:eastAsia="zh-CN"/>
        </w:rPr>
        <w:t>有格栅池栅渣、沉砂池沙粒、污泥脱水间污泥及员工生活垃圾等。污水厂栅渣、沙粒、污泥为一般固废，经收集后送至益阳海螺环保科技有限责任公司进行处置；员工生活垃圾分类收集后由环卫部门清运处置。</w:t>
      </w:r>
    </w:p>
    <w:p w14:paraId="2BCF97DD">
      <w:pPr>
        <w:pStyle w:val="4"/>
        <w:numPr>
          <w:ilvl w:val="2"/>
          <w:numId w:val="0"/>
        </w:numPr>
        <w:ind w:left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3.1.</w:t>
      </w:r>
      <w:r>
        <w:rPr>
          <w:rFonts w:hint="eastAsia" w:cs="Times New Roman"/>
          <w:color w:val="auto"/>
          <w:highlight w:val="none"/>
          <w:u w:val="none" w:color="auto"/>
          <w:lang w:val="en-US" w:eastAsia="zh-CN"/>
        </w:rPr>
        <w:t>7</w:t>
      </w:r>
      <w:r>
        <w:rPr>
          <w:rFonts w:hint="default" w:ascii="Times New Roman" w:hAnsi="Times New Roman" w:cs="Times New Roman"/>
          <w:color w:val="auto"/>
          <w:highlight w:val="none"/>
          <w:u w:val="none" w:color="auto"/>
          <w:lang w:val="en-US" w:eastAsia="zh-CN"/>
        </w:rPr>
        <w:t xml:space="preserve"> 现有工程环保措施落实情况</w:t>
      </w:r>
    </w:p>
    <w:p w14:paraId="6DF9B577">
      <w:pP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结合竣工环保验收及现场踏勘情况，对照环评及其批复要求，现有工程环保措施落实情况见下表。</w:t>
      </w:r>
    </w:p>
    <w:p w14:paraId="7901407E">
      <w:pPr>
        <w:pStyle w:val="194"/>
        <w:spacing w:line="240" w:lineRule="auto"/>
        <w:rPr>
          <w:rFonts w:hint="default" w:ascii="Times New Roman" w:hAnsi="Times New Roman" w:eastAsia="宋体" w:cs="Times New Roman"/>
          <w:color w:val="auto"/>
          <w:sz w:val="13"/>
          <w:szCs w:val="13"/>
          <w:highlight w:val="none"/>
          <w:u w:val="none" w:color="auto"/>
          <w:lang w:val="en-US" w:eastAsia="zh-CN"/>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lang w:val="en-US" w:eastAsia="zh-CN"/>
        </w:rPr>
        <w:t>3.1</w:t>
      </w:r>
      <w:r>
        <w:rPr>
          <w:rFonts w:hint="default" w:ascii="Times New Roman" w:hAnsi="Times New Roman" w:cs="Times New Roman"/>
          <w:color w:val="auto"/>
          <w:highlight w:val="none"/>
          <w:u w:val="none" w:color="auto"/>
        </w:rPr>
        <w:noBreakHyphen/>
      </w:r>
      <w:r>
        <w:rPr>
          <w:rFonts w:hint="eastAsia"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 xml:space="preserve">   </w:t>
      </w:r>
      <w:r>
        <w:rPr>
          <w:rFonts w:hint="default" w:ascii="Times New Roman" w:hAnsi="Times New Roman" w:cs="Times New Roman"/>
          <w:color w:val="auto"/>
          <w:highlight w:val="none"/>
          <w:u w:val="none" w:color="auto"/>
          <w:lang w:val="en-US" w:eastAsia="zh-CN"/>
        </w:rPr>
        <w:t>现有工程环评文件及批复主要环保措施落实情况一览表</w:t>
      </w:r>
    </w:p>
    <w:tbl>
      <w:tblPr>
        <w:tblStyle w:val="76"/>
        <w:tblW w:w="919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307"/>
        <w:gridCol w:w="3739"/>
        <w:gridCol w:w="1152"/>
      </w:tblGrid>
      <w:tr w14:paraId="350A9E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34" w:hRule="exact"/>
          <w:jc w:val="center"/>
        </w:trPr>
        <w:tc>
          <w:tcPr>
            <w:tcW w:w="4307" w:type="dxa"/>
            <w:vAlign w:val="center"/>
          </w:tcPr>
          <w:p w14:paraId="1A5ED0AF">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环评及批复要求</w:t>
            </w:r>
          </w:p>
        </w:tc>
        <w:tc>
          <w:tcPr>
            <w:tcW w:w="3739" w:type="dxa"/>
            <w:vAlign w:val="center"/>
          </w:tcPr>
          <w:p w14:paraId="7BD87E6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16"/>
                <w:szCs w:val="16"/>
                <w:highlight w:val="none"/>
                <w:u w:val="none" w:color="auto"/>
                <w:lang w:val="en-US" w:eastAsia="zh-CN"/>
              </w:rPr>
            </w:pPr>
            <w:r>
              <w:rPr>
                <w:rFonts w:hint="default" w:ascii="Times New Roman" w:hAnsi="Times New Roman" w:cs="Times New Roman"/>
                <w:b/>
                <w:bCs/>
                <w:color w:val="auto"/>
                <w:highlight w:val="none"/>
                <w:u w:val="none" w:color="auto"/>
                <w:lang w:val="en-US" w:eastAsia="zh-CN"/>
              </w:rPr>
              <w:t>实际情况</w:t>
            </w:r>
          </w:p>
        </w:tc>
        <w:tc>
          <w:tcPr>
            <w:tcW w:w="1152" w:type="dxa"/>
            <w:vAlign w:val="center"/>
          </w:tcPr>
          <w:p w14:paraId="578746B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落实情况</w:t>
            </w:r>
          </w:p>
        </w:tc>
      </w:tr>
      <w:tr w14:paraId="3F4438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78" w:hRule="exact"/>
          <w:jc w:val="center"/>
        </w:trPr>
        <w:tc>
          <w:tcPr>
            <w:tcW w:w="4307" w:type="dxa"/>
            <w:vAlign w:val="center"/>
          </w:tcPr>
          <w:p w14:paraId="4789D14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加强环境管理，建立环境管理机构，配备专职环保管理人员，完善环境管理的各项规章制度，定期对各项设施进行检查和维护。</w:t>
            </w:r>
          </w:p>
        </w:tc>
        <w:tc>
          <w:tcPr>
            <w:tcW w:w="3739" w:type="dxa"/>
            <w:vAlign w:val="center"/>
          </w:tcPr>
          <w:p w14:paraId="3B04F5E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spacing w:val="-1"/>
                <w:highlight w:val="none"/>
                <w:u w:val="none" w:color="auto"/>
              </w:rPr>
              <w:t>企业已建立环境管理机构，配备专职环保管理人员，制定了环境管理的各项规章制度，安排专人定期对各项设施进行检查和维护。</w:t>
            </w:r>
          </w:p>
        </w:tc>
        <w:tc>
          <w:tcPr>
            <w:tcW w:w="1152" w:type="dxa"/>
            <w:vAlign w:val="center"/>
          </w:tcPr>
          <w:p w14:paraId="03FA904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已落实</w:t>
            </w:r>
          </w:p>
        </w:tc>
      </w:tr>
      <w:tr w14:paraId="6668AF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53" w:hRule="exact"/>
          <w:jc w:val="center"/>
        </w:trPr>
        <w:tc>
          <w:tcPr>
            <w:tcW w:w="4307" w:type="dxa"/>
            <w:vAlign w:val="center"/>
          </w:tcPr>
          <w:p w14:paraId="028A855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1"/>
                <w:highlight w:val="none"/>
                <w:u w:val="none" w:color="auto"/>
                <w:lang w:val="en-US" w:eastAsia="zh-CN"/>
              </w:rPr>
            </w:pPr>
            <w:r>
              <w:rPr>
                <w:rFonts w:hint="default" w:ascii="Times New Roman" w:hAnsi="Times New Roman" w:eastAsia="宋体" w:cs="Times New Roman"/>
                <w:color w:val="auto"/>
                <w:spacing w:val="-1"/>
                <w:highlight w:val="none"/>
                <w:u w:val="none" w:color="auto"/>
                <w:lang w:val="en-US" w:eastAsia="zh-CN"/>
              </w:rPr>
              <w:t>根据服务范围进水水质特点，加强污水处理厂的进水水质调节，满足后续水处理构筑物的设计水质水量要求；污水经处理达到《城镇污水处理厂污染物排放标准》（</w:t>
            </w:r>
            <w:r>
              <w:rPr>
                <w:rFonts w:hint="eastAsia" w:cs="Times New Roman"/>
                <w:color w:val="auto"/>
                <w:spacing w:val="-1"/>
                <w:highlight w:val="none"/>
                <w:u w:val="none" w:color="auto"/>
                <w:lang w:val="en-US" w:eastAsia="zh-CN"/>
              </w:rPr>
              <w:t>GB18918-2002</w:t>
            </w:r>
            <w:r>
              <w:rPr>
                <w:rFonts w:hint="default" w:ascii="Times New Roman" w:hAnsi="Times New Roman" w:eastAsia="宋体" w:cs="Times New Roman"/>
                <w:color w:val="auto"/>
                <w:spacing w:val="-1"/>
                <w:highlight w:val="none"/>
                <w:u w:val="none" w:color="auto"/>
                <w:lang w:val="en-US" w:eastAsia="zh-CN"/>
              </w:rPr>
              <w:t>）一级A标准后经农排支渠排入老三运河，最终进入大通湖。</w:t>
            </w:r>
          </w:p>
        </w:tc>
        <w:tc>
          <w:tcPr>
            <w:tcW w:w="3739" w:type="dxa"/>
            <w:vAlign w:val="center"/>
          </w:tcPr>
          <w:p w14:paraId="46BAD9F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
                <w:highlight w:val="none"/>
                <w:u w:val="none" w:color="auto"/>
              </w:rPr>
            </w:pPr>
            <w:r>
              <w:rPr>
                <w:rFonts w:hint="default" w:ascii="Times New Roman" w:hAnsi="Times New Roman" w:cs="Times New Roman"/>
                <w:color w:val="auto"/>
                <w:spacing w:val="-1"/>
                <w:highlight w:val="none"/>
                <w:u w:val="none" w:color="auto"/>
              </w:rPr>
              <w:t>本项目营运期产生的废水主要为污泥脱水及滤池反冲洗产生的少量生产性废水、化验室废水及职工生活污水。厂区生活污水经化粪池处理后、化验室废水经酸碱中和预处理后与纳污废水一起经污水管道收集后进入排水泵井，经提升后进入污水处理系统进行处理，处理后尾水外排至机排十二渠再入老三运河。验收监测期间，项目外排废水监测结果符合《城镇污水处理厂污染物</w:t>
            </w:r>
          </w:p>
          <w:p w14:paraId="771D802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1"/>
                <w:highlight w:val="none"/>
                <w:u w:val="none" w:color="auto"/>
              </w:rPr>
              <w:t>排放标准》（</w:t>
            </w:r>
            <w:r>
              <w:rPr>
                <w:rFonts w:hint="eastAsia" w:cs="Times New Roman"/>
                <w:color w:val="auto"/>
                <w:spacing w:val="-1"/>
                <w:highlight w:val="none"/>
                <w:u w:val="none" w:color="auto"/>
                <w:lang w:eastAsia="zh-CN"/>
              </w:rPr>
              <w:t>GB18918-20</w:t>
            </w:r>
            <w:r>
              <w:rPr>
                <w:rFonts w:hint="eastAsia" w:cs="Times New Roman"/>
                <w:color w:val="auto"/>
                <w:spacing w:val="-1"/>
                <w:highlight w:val="none"/>
                <w:u w:val="none" w:color="auto"/>
                <w:lang w:val="en-US" w:eastAsia="zh-CN"/>
              </w:rPr>
              <w:t>02</w:t>
            </w:r>
            <w:r>
              <w:rPr>
                <w:rFonts w:hint="default" w:ascii="Times New Roman" w:hAnsi="Times New Roman" w:cs="Times New Roman"/>
                <w:color w:val="auto"/>
                <w:spacing w:val="-1"/>
                <w:highlight w:val="none"/>
                <w:u w:val="none" w:color="auto"/>
              </w:rPr>
              <w:t>）表1中的一级A标准。</w:t>
            </w:r>
          </w:p>
        </w:tc>
        <w:tc>
          <w:tcPr>
            <w:tcW w:w="1152" w:type="dxa"/>
            <w:vAlign w:val="center"/>
          </w:tcPr>
          <w:p w14:paraId="76C137E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已落实</w:t>
            </w:r>
          </w:p>
        </w:tc>
      </w:tr>
      <w:tr w14:paraId="1B343C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78" w:hRule="exact"/>
          <w:jc w:val="center"/>
        </w:trPr>
        <w:tc>
          <w:tcPr>
            <w:tcW w:w="4307" w:type="dxa"/>
            <w:vAlign w:val="center"/>
          </w:tcPr>
          <w:p w14:paraId="6330702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加强厂区绿化，防止恶臭和噪声对周边环境的影响；对污泥处理系统等产生恶臭的构筑物合理布局，严格控制运行参数，采取有效的除臭措施，防止恶臭污染。</w:t>
            </w:r>
          </w:p>
        </w:tc>
        <w:tc>
          <w:tcPr>
            <w:tcW w:w="3739" w:type="dxa"/>
            <w:vAlign w:val="center"/>
          </w:tcPr>
          <w:p w14:paraId="2ABB8E2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
                <w:highlight w:val="none"/>
                <w:u w:val="none" w:color="auto"/>
              </w:rPr>
            </w:pPr>
            <w:r>
              <w:rPr>
                <w:rFonts w:hint="default" w:ascii="Times New Roman" w:hAnsi="Times New Roman" w:cs="Times New Roman"/>
                <w:color w:val="auto"/>
                <w:spacing w:val="-1"/>
                <w:highlight w:val="none"/>
                <w:u w:val="none" w:color="auto"/>
              </w:rPr>
              <w:t>厂区通过合理布局，根据主要产生恶臭的格栅、调节池、沉淀工序、曝气池、污泥浓缩和污泥处置工序，将各处理设施置于厂区的下风向，且远离居民区的一侧，同时在厂区周围设一定宽度的绿化带，利用耐臭气的高大乔木和灌木、地被进行密植，可以形成有效的安全隔离带，有效降低污水厂内的臭气对周围环境的影响；对高噪声设备进行了减振处理，采取软联接、隔声、吸声、通风等措施，有效地控制了振动传递。污水</w:t>
            </w:r>
          </w:p>
          <w:p w14:paraId="581E6B2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
                <w:highlight w:val="none"/>
                <w:u w:val="none" w:color="auto"/>
              </w:rPr>
            </w:pPr>
            <w:r>
              <w:rPr>
                <w:rFonts w:hint="default" w:ascii="Times New Roman" w:hAnsi="Times New Roman" w:cs="Times New Roman"/>
                <w:color w:val="auto"/>
                <w:spacing w:val="-1"/>
                <w:highlight w:val="none"/>
                <w:u w:val="none" w:color="auto"/>
              </w:rPr>
              <w:t>提升泵设置于厂房内，厂区四周设置绿化带，有效降低设备运行对周边环境产生的影响。</w:t>
            </w:r>
          </w:p>
        </w:tc>
        <w:tc>
          <w:tcPr>
            <w:tcW w:w="1152" w:type="dxa"/>
            <w:vAlign w:val="center"/>
          </w:tcPr>
          <w:p w14:paraId="5833784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已落实</w:t>
            </w:r>
          </w:p>
        </w:tc>
      </w:tr>
      <w:tr w14:paraId="174B5A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14" w:hRule="exact"/>
          <w:jc w:val="center"/>
        </w:trPr>
        <w:tc>
          <w:tcPr>
            <w:tcW w:w="4307" w:type="dxa"/>
            <w:vAlign w:val="center"/>
          </w:tcPr>
          <w:p w14:paraId="712ADCB6">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污水处理产生的污泥经过稳定化和脱水处理后，及时妥善处理，污泥临时堆场应采取防雨淋、防流失措施，避免产生二次污染。做好项目固废的分类收集、暂存、安全处置和综合利用工作。一般工业固体废物临时贮存场地应严格执行《一般工业固体废物贮存、处置污染控制标准》（GB18599-2001）及修改单（原环保部公告2013年第36号）要求；危险废物暂存间应严格执行《危险废物贮存污染控制标准》（GB 18597-2001）及2013年修改单要求，设置防腐、防渗漏等措施，避免造成二次污染，并定期交由有资质的单位收集处理。</w:t>
            </w:r>
          </w:p>
        </w:tc>
        <w:tc>
          <w:tcPr>
            <w:tcW w:w="3739" w:type="dxa"/>
            <w:vAlign w:val="center"/>
          </w:tcPr>
          <w:p w14:paraId="19306B2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
                <w:highlight w:val="none"/>
                <w:u w:val="none" w:color="auto"/>
              </w:rPr>
            </w:pPr>
            <w:r>
              <w:rPr>
                <w:rFonts w:hint="default" w:ascii="Times New Roman" w:hAnsi="Times New Roman" w:cs="Times New Roman"/>
                <w:color w:val="auto"/>
                <w:spacing w:val="-1"/>
                <w:highlight w:val="none"/>
                <w:u w:val="none" w:color="auto"/>
              </w:rPr>
              <w:t>厂区通过合理布局，根据主要产生恶臭的格栅、调节池、沉淀工序、曝气池、污泥浓缩和污泥处置工序，将各处理设施置于厂区的下风向，且远离居民区的一侧，同时在厂区周围设一定宽度的绿化带，利用耐臭气的高大乔木和灌木、地被进行密植，可以形成有效的安全隔离带，有效降低污水厂内的臭气对周围环境的影响；对高噪声设备进行了减振处理，采取软联接、隔声、吸声、通风等措施，有效地控制了振动传递。污水</w:t>
            </w:r>
          </w:p>
          <w:p w14:paraId="0A04AE9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
                <w:highlight w:val="none"/>
                <w:u w:val="none" w:color="auto"/>
              </w:rPr>
            </w:pPr>
            <w:r>
              <w:rPr>
                <w:rFonts w:hint="default" w:ascii="Times New Roman" w:hAnsi="Times New Roman" w:cs="Times New Roman"/>
                <w:color w:val="auto"/>
                <w:spacing w:val="-1"/>
                <w:highlight w:val="none"/>
                <w:u w:val="none" w:color="auto"/>
              </w:rPr>
              <w:t>提升泵设置于厂房内，厂区四周设置绿化带，有效降低设备运行对周边环境产生的影响。</w:t>
            </w:r>
          </w:p>
        </w:tc>
        <w:tc>
          <w:tcPr>
            <w:tcW w:w="1152" w:type="dxa"/>
            <w:vAlign w:val="center"/>
          </w:tcPr>
          <w:p w14:paraId="7D72065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已落实</w:t>
            </w:r>
          </w:p>
        </w:tc>
      </w:tr>
      <w:tr w14:paraId="2CABBA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27" w:hRule="exact"/>
          <w:jc w:val="center"/>
        </w:trPr>
        <w:tc>
          <w:tcPr>
            <w:tcW w:w="4307" w:type="dxa"/>
            <w:vAlign w:val="center"/>
          </w:tcPr>
          <w:p w14:paraId="2AA09C0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建立健全环境管理制度，落实各项环境风险防范措施。本项目的卫生防护距离为恶臭源外100m范围，建设单位应确保此范围内没有居民、学校、医院及其他与本项目不相容的行业及敏感目标。</w:t>
            </w:r>
          </w:p>
        </w:tc>
        <w:tc>
          <w:tcPr>
            <w:tcW w:w="3739" w:type="dxa"/>
            <w:vAlign w:val="center"/>
          </w:tcPr>
          <w:p w14:paraId="3429656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
                <w:highlight w:val="none"/>
                <w:u w:val="none" w:color="auto"/>
              </w:rPr>
            </w:pPr>
            <w:r>
              <w:rPr>
                <w:rFonts w:hint="default" w:ascii="Times New Roman" w:hAnsi="Times New Roman" w:cs="Times New Roman"/>
                <w:color w:val="auto"/>
                <w:spacing w:val="-1"/>
                <w:highlight w:val="none"/>
                <w:u w:val="none" w:color="auto"/>
              </w:rPr>
              <w:t>企业已建立健全环境管理制度，已建设事故应急池等环境风险防范措施，根据现场核查，本项目卫生防护距离内无新建学校、医院、规划居住区等环境敏感的公共设施。</w:t>
            </w:r>
          </w:p>
        </w:tc>
        <w:tc>
          <w:tcPr>
            <w:tcW w:w="1152" w:type="dxa"/>
            <w:vAlign w:val="center"/>
          </w:tcPr>
          <w:p w14:paraId="6E56E03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已落实</w:t>
            </w:r>
          </w:p>
        </w:tc>
      </w:tr>
      <w:tr w14:paraId="51A4AE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188" w:hRule="exact"/>
          <w:jc w:val="center"/>
        </w:trPr>
        <w:tc>
          <w:tcPr>
            <w:tcW w:w="4307" w:type="dxa"/>
            <w:vAlign w:val="center"/>
          </w:tcPr>
          <w:p w14:paraId="485DA9D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污染物排放总量控制指标为：COD≤36.5t/a，NH</w:t>
            </w:r>
            <w:r>
              <w:rPr>
                <w:rFonts w:hint="default" w:ascii="Times New Roman" w:hAnsi="Times New Roman" w:cs="Times New Roman"/>
                <w:color w:val="auto"/>
                <w:spacing w:val="-1"/>
                <w:highlight w:val="none"/>
                <w:u w:val="none" w:color="auto"/>
                <w:vertAlign w:val="subscript"/>
                <w:lang w:val="en-US" w:eastAsia="zh-CN"/>
              </w:rPr>
              <w:t>3</w:t>
            </w:r>
            <w:r>
              <w:rPr>
                <w:rFonts w:hint="default" w:ascii="Times New Roman" w:hAnsi="Times New Roman" w:cs="Times New Roman"/>
                <w:color w:val="auto"/>
                <w:spacing w:val="-1"/>
                <w:highlight w:val="none"/>
                <w:u w:val="none" w:color="auto"/>
                <w:lang w:val="en-US" w:eastAsia="zh-CN"/>
              </w:rPr>
              <w:t>-N≤3.65t/a。总量控制指标纳入益阳市生态环境局大通湖分局的总量管理。</w:t>
            </w:r>
          </w:p>
        </w:tc>
        <w:tc>
          <w:tcPr>
            <w:tcW w:w="3739" w:type="dxa"/>
            <w:vAlign w:val="center"/>
          </w:tcPr>
          <w:p w14:paraId="627BE84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
                <w:highlight w:val="none"/>
                <w:u w:val="none" w:color="auto"/>
              </w:rPr>
            </w:pPr>
            <w:r>
              <w:rPr>
                <w:rFonts w:hint="default" w:ascii="Times New Roman" w:hAnsi="Times New Roman" w:cs="Times New Roman"/>
                <w:color w:val="auto"/>
                <w:spacing w:val="-1"/>
                <w:highlight w:val="none"/>
                <w:u w:val="none" w:color="auto"/>
              </w:rPr>
              <w:t>根据验收监测期间的数据可知，化学需氧量平均排放浓度为50mg/L，氨氮平均排放浓度为8mg/L，则计算出化学需氧量的排放量为21.9t/a，氨氮的排放量为3.50t/a，满足环评报告中化学需氧量≤36.5t/a，氨氮≤3.65t/a氨氮的要求。</w:t>
            </w:r>
          </w:p>
        </w:tc>
        <w:tc>
          <w:tcPr>
            <w:tcW w:w="1152" w:type="dxa"/>
            <w:vAlign w:val="center"/>
          </w:tcPr>
          <w:p w14:paraId="1F606C1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1"/>
                <w:highlight w:val="none"/>
                <w:u w:val="none" w:color="auto"/>
                <w:lang w:val="en-US" w:eastAsia="zh-CN"/>
              </w:rPr>
            </w:pPr>
            <w:r>
              <w:rPr>
                <w:rFonts w:hint="default" w:ascii="Times New Roman" w:hAnsi="Times New Roman" w:cs="Times New Roman"/>
                <w:color w:val="auto"/>
                <w:spacing w:val="-1"/>
                <w:highlight w:val="none"/>
                <w:u w:val="none" w:color="auto"/>
                <w:lang w:val="en-US" w:eastAsia="zh-CN"/>
              </w:rPr>
              <w:t>已落实</w:t>
            </w:r>
          </w:p>
        </w:tc>
      </w:tr>
    </w:tbl>
    <w:p w14:paraId="137BEBEF">
      <w:pPr>
        <w:pStyle w:val="4"/>
        <w:numPr>
          <w:ilvl w:val="2"/>
          <w:numId w:val="0"/>
        </w:numPr>
        <w:ind w:leftChars="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3.1.</w:t>
      </w:r>
      <w:r>
        <w:rPr>
          <w:rFonts w:hint="eastAsia" w:cs="Times New Roman"/>
          <w:color w:val="auto"/>
          <w:highlight w:val="none"/>
          <w:u w:val="none" w:color="auto"/>
          <w:lang w:val="en-US" w:eastAsia="zh-CN"/>
        </w:rPr>
        <w:t>8</w:t>
      </w:r>
      <w:r>
        <w:rPr>
          <w:rFonts w:hint="default" w:ascii="Times New Roman" w:hAnsi="Times New Roman" w:cs="Times New Roman"/>
          <w:color w:val="auto"/>
          <w:highlight w:val="none"/>
          <w:u w:val="none" w:color="auto"/>
          <w:lang w:val="en-US" w:eastAsia="zh-CN"/>
        </w:rPr>
        <w:t xml:space="preserve"> 排污许可证要求执行情况</w:t>
      </w:r>
    </w:p>
    <w:p w14:paraId="73822C02">
      <w:pPr>
        <w:ind w:left="0" w:leftChars="0" w:firstLine="420" w:firstLineChars="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根据《固定污染源排污许可分类管理名录》（2019 年版），项目排污许可属于重点管理。项目排污许可证编号为9143011107919744XK001R，项目目前委托湖南为美环保技术有限公司运营，并根据排污许可证要求委托第三方有资质单位开展自行监测，填报执行报告等，并按要求完成了《全国排污许可证管理信息平台》填报，符合排污许可证要求。</w:t>
      </w:r>
    </w:p>
    <w:p w14:paraId="10DEB136">
      <w:pPr>
        <w:pStyle w:val="4"/>
        <w:numPr>
          <w:ilvl w:val="2"/>
          <w:numId w:val="0"/>
        </w:numPr>
        <w:ind w:leftChars="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3.1.</w:t>
      </w:r>
      <w:r>
        <w:rPr>
          <w:rFonts w:hint="eastAsia" w:ascii="Times New Roman" w:hAnsi="Times New Roman" w:eastAsia="宋体" w:cs="Times New Roman"/>
          <w:color w:val="000000" w:themeColor="text1"/>
          <w:highlight w:val="none"/>
          <w:u w:val="wave" w:color="auto"/>
          <w:lang w:val="en-US" w:eastAsia="zh-CN"/>
          <w14:textFill>
            <w14:solidFill>
              <w14:schemeClr w14:val="tx1"/>
            </w14:solidFill>
          </w14:textFill>
        </w:rPr>
        <w:t>9</w:t>
      </w: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 xml:space="preserve"> 存在环保问题及“以新带老”整改措施</w:t>
      </w:r>
    </w:p>
    <w:p w14:paraId="16D82F3B">
      <w:pPr>
        <w:ind w:left="0" w:leftChars="0" w:firstLine="420" w:firstLineChars="0"/>
        <w:rPr>
          <w:rFonts w:hint="default"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t>污水处理厂现状存在的</w:t>
      </w:r>
      <w:r>
        <w:rPr>
          <w:rFonts w:hint="eastAsia"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t>环保</w:t>
      </w:r>
      <w:r>
        <w:rPr>
          <w:rFonts w:hint="default"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t>问题</w:t>
      </w:r>
      <w:r>
        <w:rPr>
          <w:rFonts w:hint="eastAsia"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t>及以新带老整改措施详见表3.1-6</w:t>
      </w:r>
      <w:r>
        <w:rPr>
          <w:rFonts w:hint="default"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t>：</w:t>
      </w:r>
    </w:p>
    <w:p w14:paraId="021B9B6B">
      <w:pPr>
        <w:numPr>
          <w:ilvl w:val="0"/>
          <w:numId w:val="0"/>
        </w:numPr>
        <w:spacing w:line="240" w:lineRule="auto"/>
        <w:ind w:left="420" w:leftChars="0"/>
        <w:jc w:val="center"/>
        <w:rPr>
          <w:rFonts w:hint="default"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t>表3.1-6 现状存在的</w:t>
      </w:r>
      <w:r>
        <w:rPr>
          <w:rFonts w:hint="default"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t>环保问题及</w:t>
      </w:r>
      <w:r>
        <w:rPr>
          <w:rFonts w:hint="eastAsia"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t>以新带老</w:t>
      </w:r>
      <w:r>
        <w:rPr>
          <w:rFonts w:hint="eastAsia"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wave" w:color="auto"/>
          <w:lang w:val="en-US" w:eastAsia="zh-CN" w:bidi="ar-SA"/>
          <w14:textFill>
            <w14:solidFill>
              <w14:schemeClr w14:val="tx1"/>
            </w14:solidFill>
          </w14:textFill>
        </w:rPr>
        <w:t>整改措施</w:t>
      </w:r>
    </w:p>
    <w:tbl>
      <w:tblPr>
        <w:tblStyle w:val="76"/>
        <w:tblW w:w="865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203"/>
        <w:gridCol w:w="4456"/>
      </w:tblGrid>
      <w:tr w14:paraId="3ABB00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80" w:hRule="exact"/>
          <w:jc w:val="center"/>
        </w:trPr>
        <w:tc>
          <w:tcPr>
            <w:tcW w:w="4203" w:type="dxa"/>
            <w:vAlign w:val="center"/>
          </w:tcPr>
          <w:p w14:paraId="42D689A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环评及批复要求</w:t>
            </w:r>
          </w:p>
        </w:tc>
        <w:tc>
          <w:tcPr>
            <w:tcW w:w="4456" w:type="dxa"/>
            <w:vAlign w:val="center"/>
          </w:tcPr>
          <w:p w14:paraId="7AD49D2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以新带老整改措施</w:t>
            </w:r>
          </w:p>
        </w:tc>
      </w:tr>
      <w:tr w14:paraId="62C37B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86" w:hRule="exact"/>
          <w:jc w:val="center"/>
        </w:trPr>
        <w:tc>
          <w:tcPr>
            <w:tcW w:w="4203" w:type="dxa"/>
            <w:vAlign w:val="center"/>
          </w:tcPr>
          <w:p w14:paraId="1493ADA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厂区未配备规范化的危废暂存间</w:t>
            </w:r>
          </w:p>
        </w:tc>
        <w:tc>
          <w:tcPr>
            <w:tcW w:w="4456" w:type="dxa"/>
            <w:vAlign w:val="center"/>
          </w:tcPr>
          <w:p w14:paraId="1A34D9C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本项目将严格按《危险废物贮存污染控制标准》(GB18597-2023)要求规范化建设危废暂存间，位于厂区南侧，占地面积18.9m2</w:t>
            </w:r>
          </w:p>
        </w:tc>
      </w:tr>
      <w:tr w14:paraId="1B1B99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48" w:hRule="exact"/>
          <w:jc w:val="center"/>
        </w:trPr>
        <w:tc>
          <w:tcPr>
            <w:tcW w:w="4203" w:type="dxa"/>
            <w:vAlign w:val="center"/>
          </w:tcPr>
          <w:p w14:paraId="4B4A943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厂区恶臭通过无组织排放，为建立有效的废气收集处理系统</w:t>
            </w:r>
          </w:p>
        </w:tc>
        <w:tc>
          <w:tcPr>
            <w:tcW w:w="4456" w:type="dxa"/>
            <w:vAlign w:val="center"/>
          </w:tcPr>
          <w:p w14:paraId="7C40C18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项目建成后</w:t>
            </w:r>
            <w: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主要产臭源均加盖密封，污泥脱水间密闭，臭气</w:t>
            </w:r>
            <w:r>
              <w:rPr>
                <w:rFonts w:hint="eastAsia"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经负压</w:t>
            </w:r>
            <w: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收集后经生物除臭</w:t>
            </w:r>
            <w:r>
              <w:rPr>
                <w:rFonts w:hint="eastAsia"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塔</w:t>
            </w:r>
            <w: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处理</w:t>
            </w:r>
            <w:r>
              <w:rPr>
                <w:rFonts w:hint="eastAsia"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后通过15m高排气筒排放</w:t>
            </w:r>
          </w:p>
        </w:tc>
      </w:tr>
      <w:tr w14:paraId="231697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56" w:hRule="exact"/>
          <w:jc w:val="center"/>
        </w:trPr>
        <w:tc>
          <w:tcPr>
            <w:tcW w:w="4203" w:type="dxa"/>
            <w:vAlign w:val="center"/>
          </w:tcPr>
          <w:p w14:paraId="4EE6F16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现状污水处理厂的设施设备老旧，亟待设备更新改造，部分处理构筑物（如初沉池、砂滤罐）未正常运行</w:t>
            </w:r>
          </w:p>
        </w:tc>
        <w:tc>
          <w:tcPr>
            <w:tcW w:w="4456" w:type="dxa"/>
            <w:vAlign w:val="center"/>
          </w:tcPr>
          <w:p w14:paraId="2B74BE4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t>更换生化池老旧设施，拆除未正常运行的初沉池及砂滤罐等，新建污泥脱水间、加药间等配套设施</w:t>
            </w:r>
          </w:p>
        </w:tc>
      </w:tr>
      <w:tr w14:paraId="7E0608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411" w:hRule="exact"/>
          <w:jc w:val="center"/>
        </w:trPr>
        <w:tc>
          <w:tcPr>
            <w:tcW w:w="4203" w:type="dxa"/>
            <w:vAlign w:val="center"/>
          </w:tcPr>
          <w:p w14:paraId="5B7FC9F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bookmarkStart w:id="56" w:name="_Toc17057"/>
            <w:r>
              <w:rPr>
                <w:rFonts w:hint="eastAsia" w:cs="Times New Roman"/>
                <w:b w:val="0"/>
                <w:bCs w:val="0"/>
                <w:color w:val="000000" w:themeColor="text1"/>
                <w:sz w:val="21"/>
                <w:szCs w:val="21"/>
                <w:highlight w:val="none"/>
                <w:u w:val="wave" w:color="auto"/>
                <w:lang w:val="en-US" w:eastAsia="zh-CN" w:bidi="ar-SA"/>
                <w14:textFill>
                  <w14:solidFill>
                    <w14:schemeClr w14:val="tx1"/>
                  </w14:solidFill>
                </w14:textFill>
              </w:rPr>
              <w:t>入河排污口未设置检查井、标识牌</w:t>
            </w:r>
          </w:p>
        </w:tc>
        <w:tc>
          <w:tcPr>
            <w:tcW w:w="4456" w:type="dxa"/>
            <w:vAlign w:val="center"/>
          </w:tcPr>
          <w:p w14:paraId="4C037A6F">
            <w:pPr>
              <w:pStyle w:val="192"/>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eastAsia"/>
                <w:color w:val="000000" w:themeColor="text1"/>
                <w:sz w:val="21"/>
                <w:szCs w:val="21"/>
                <w:u w:val="wave"/>
                <w:lang w:val="en-US" w:eastAsia="zh-CN"/>
                <w14:textFill>
                  <w14:solidFill>
                    <w14:schemeClr w14:val="tx1"/>
                  </w14:solidFill>
                </w14:textFill>
              </w:rPr>
              <w:t>按照</w:t>
            </w:r>
            <w:r>
              <w:rPr>
                <w:rFonts w:hint="eastAsia"/>
                <w:color w:val="000000" w:themeColor="text1"/>
                <w:sz w:val="21"/>
                <w:szCs w:val="21"/>
                <w:u w:val="wave"/>
                <w14:textFill>
                  <w14:solidFill>
                    <w14:schemeClr w14:val="tx1"/>
                  </w14:solidFill>
                </w14:textFill>
              </w:rPr>
              <w:t>《入河入海排污口监督管理技术指南 入河排污口规范化建设》（HJ 1309-2023）中的相关要求</w:t>
            </w:r>
            <w:r>
              <w:rPr>
                <w:rFonts w:hint="eastAsia"/>
                <w:color w:val="000000" w:themeColor="text1"/>
                <w:sz w:val="21"/>
                <w:szCs w:val="21"/>
                <w:u w:val="wave"/>
                <w:lang w:eastAsia="zh-CN"/>
                <w14:textFill>
                  <w14:solidFill>
                    <w14:schemeClr w14:val="tx1"/>
                  </w14:solidFill>
                </w14:textFill>
              </w:rPr>
              <w:t>，</w:t>
            </w:r>
            <w:r>
              <w:rPr>
                <w:rFonts w:hint="eastAsia" w:ascii="Times New Roman" w:hAnsi="Times New Roman" w:eastAsia="宋体" w:cs="Times New Roman"/>
                <w:color w:val="000000" w:themeColor="text1"/>
                <w:sz w:val="21"/>
                <w:szCs w:val="21"/>
                <w:u w:val="wave"/>
                <w14:textFill>
                  <w14:solidFill>
                    <w14:schemeClr w14:val="tx1"/>
                  </w14:solidFill>
                </w14:textFill>
              </w:rPr>
              <w:t>在污水入河处或监测采样点等位置设置标识牌</w:t>
            </w:r>
            <w:r>
              <w:rPr>
                <w:rFonts w:hint="eastAsia" w:cs="Times New Roman"/>
                <w:color w:val="000000" w:themeColor="text1"/>
                <w:sz w:val="21"/>
                <w:szCs w:val="21"/>
                <w:u w:val="wave"/>
                <w:lang w:eastAsia="zh-CN"/>
                <w14:textFill>
                  <w14:solidFill>
                    <w14:schemeClr w14:val="tx1"/>
                  </w14:solidFill>
                </w14:textFill>
              </w:rPr>
              <w:t>，</w:t>
            </w:r>
            <w:r>
              <w:rPr>
                <w:rFonts w:hint="eastAsia" w:ascii="Times New Roman" w:hAnsi="Times New Roman" w:eastAsia="宋体" w:cs="Times New Roman"/>
                <w:color w:val="000000" w:themeColor="text1"/>
                <w:sz w:val="21"/>
                <w:szCs w:val="21"/>
                <w:u w:val="wave"/>
                <w14:textFill>
                  <w14:solidFill>
                    <w14:schemeClr w14:val="tx1"/>
                  </w14:solidFill>
                </w14:textFill>
              </w:rPr>
              <w:t>在</w:t>
            </w:r>
            <w:r>
              <w:rPr>
                <w:rFonts w:hint="eastAsia" w:ascii="Times New Roman" w:hAnsi="Times New Roman" w:eastAsia="宋体" w:cs="Times New Roman"/>
                <w:color w:val="000000" w:themeColor="text1"/>
                <w:sz w:val="21"/>
                <w:szCs w:val="21"/>
                <w:u w:val="wave"/>
                <w:lang w:val="en-US" w:eastAsia="zh-CN"/>
                <w14:textFill>
                  <w14:solidFill>
                    <w14:schemeClr w14:val="tx1"/>
                  </w14:solidFill>
                </w14:textFill>
              </w:rPr>
              <w:t>入河排污口</w:t>
            </w:r>
            <w:r>
              <w:rPr>
                <w:rFonts w:hint="eastAsia" w:ascii="Times New Roman" w:hAnsi="Times New Roman" w:eastAsia="宋体" w:cs="Times New Roman"/>
                <w:color w:val="000000" w:themeColor="text1"/>
                <w:sz w:val="21"/>
                <w:szCs w:val="21"/>
                <w:u w:val="wave"/>
                <w14:textFill>
                  <w14:solidFill>
                    <w14:schemeClr w14:val="tx1"/>
                  </w14:solidFill>
                </w14:textFill>
              </w:rPr>
              <w:t>附近设置检查井，</w:t>
            </w:r>
          </w:p>
        </w:tc>
      </w:tr>
    </w:tbl>
    <w:p w14:paraId="607B1104">
      <w:pPr>
        <w:pStyle w:val="4"/>
        <w:numPr>
          <w:ilvl w:val="2"/>
          <w:numId w:val="0"/>
        </w:numPr>
        <w:ind w:leftChars="0"/>
        <w:outlineLvl w:val="1"/>
        <w:rPr>
          <w:rFonts w:hint="default" w:ascii="Times New Roman" w:hAnsi="Times New Roman" w:cs="Times New Roman"/>
          <w:color w:val="auto"/>
          <w:sz w:val="30"/>
          <w:szCs w:val="30"/>
          <w:highlight w:val="none"/>
          <w:u w:val="none" w:color="auto"/>
          <w:lang w:val="en-US" w:eastAsia="zh-CN"/>
        </w:rPr>
      </w:pPr>
      <w:r>
        <w:rPr>
          <w:rFonts w:hint="default" w:ascii="Times New Roman" w:hAnsi="Times New Roman" w:cs="Times New Roman"/>
          <w:color w:val="auto"/>
          <w:sz w:val="30"/>
          <w:szCs w:val="30"/>
          <w:highlight w:val="none"/>
          <w:u w:val="none" w:color="auto"/>
          <w:lang w:val="en-US" w:eastAsia="zh-CN"/>
        </w:rPr>
        <w:t>3.2 改扩建工程概况</w:t>
      </w:r>
      <w:bookmarkEnd w:id="56"/>
    </w:p>
    <w:p w14:paraId="64D6169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项目名称：</w:t>
      </w:r>
      <w:r>
        <w:rPr>
          <w:rFonts w:hint="default" w:ascii="Times New Roman" w:hAnsi="Times New Roman" w:cs="Times New Roman"/>
          <w:color w:val="auto"/>
          <w:highlight w:val="none"/>
          <w:u w:val="none" w:color="auto"/>
          <w:lang w:eastAsia="zh-CN"/>
        </w:rPr>
        <w:t>大通湖工业园污水处理厂提质改造建设项目</w:t>
      </w:r>
      <w:r>
        <w:rPr>
          <w:rFonts w:hint="default" w:ascii="Times New Roman" w:hAnsi="Times New Roman" w:cs="Times New Roman"/>
          <w:color w:val="auto"/>
          <w:highlight w:val="none"/>
          <w:u w:val="none" w:color="auto"/>
        </w:rPr>
        <w:t>；</w:t>
      </w:r>
    </w:p>
    <w:p w14:paraId="7EA4DEE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建设单位</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大通湖产业发展中心；</w:t>
      </w:r>
    </w:p>
    <w:p w14:paraId="38A4C256">
      <w:pPr>
        <w:pStyle w:val="189"/>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建设</w:t>
      </w:r>
      <w:r>
        <w:rPr>
          <w:rFonts w:hint="default" w:ascii="Times New Roman" w:hAnsi="Times New Roman" w:cs="Times New Roman"/>
          <w:color w:val="auto"/>
          <w:highlight w:val="none"/>
          <w:u w:val="none" w:color="auto"/>
        </w:rPr>
        <w:t>地点：</w:t>
      </w:r>
      <w:r>
        <w:rPr>
          <w:rFonts w:hint="default" w:ascii="Times New Roman" w:hAnsi="Times New Roman" w:cs="Times New Roman"/>
          <w:color w:val="auto"/>
          <w:highlight w:val="none"/>
          <w:u w:val="none" w:color="auto"/>
          <w:lang w:val="en-US" w:eastAsia="zh-CN"/>
        </w:rPr>
        <w:t>大通湖区工业园内机排二十渠旁</w:t>
      </w:r>
    </w:p>
    <w:p w14:paraId="651471DB">
      <w:pPr>
        <w:pStyle w:val="189"/>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占地规模：</w:t>
      </w:r>
      <w:r>
        <w:rPr>
          <w:rFonts w:hint="default" w:ascii="Times New Roman" w:hAnsi="Times New Roman" w:cs="Times New Roman"/>
          <w:color w:val="auto"/>
          <w:sz w:val="24"/>
          <w:szCs w:val="32"/>
          <w:highlight w:val="none"/>
          <w:u w:val="none" w:color="auto"/>
          <w:lang w:val="en-US" w:eastAsia="zh-CN"/>
        </w:rPr>
        <w:t>10955.32m</w:t>
      </w:r>
      <w:r>
        <w:rPr>
          <w:rFonts w:hint="default" w:ascii="Times New Roman" w:hAnsi="Times New Roman" w:cs="Times New Roman"/>
          <w:color w:val="auto"/>
          <w:sz w:val="24"/>
          <w:szCs w:val="32"/>
          <w:highlight w:val="none"/>
          <w:u w:val="none" w:color="auto"/>
          <w:vertAlign w:val="superscript"/>
          <w:lang w:val="en-US" w:eastAsia="zh-CN"/>
        </w:rPr>
        <w:t>2</w:t>
      </w:r>
    </w:p>
    <w:p w14:paraId="204B9F4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建设性质：</w:t>
      </w:r>
      <w:r>
        <w:rPr>
          <w:rFonts w:hint="default" w:ascii="Times New Roman" w:hAnsi="Times New Roman" w:cs="Times New Roman"/>
          <w:color w:val="auto"/>
          <w:highlight w:val="none"/>
          <w:u w:val="none" w:color="auto"/>
          <w:lang w:val="en-US" w:eastAsia="zh-CN"/>
        </w:rPr>
        <w:t>改扩建</w:t>
      </w:r>
      <w:r>
        <w:rPr>
          <w:rFonts w:hint="default" w:ascii="Times New Roman" w:hAnsi="Times New Roman" w:cs="Times New Roman"/>
          <w:color w:val="auto"/>
          <w:highlight w:val="none"/>
          <w:u w:val="none" w:color="auto"/>
        </w:rPr>
        <w:t>；</w:t>
      </w:r>
    </w:p>
    <w:p w14:paraId="0AC3836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服务范围：湖南</w:t>
      </w:r>
      <w:r>
        <w:rPr>
          <w:rFonts w:hint="default" w:ascii="Times New Roman" w:hAnsi="Times New Roman" w:cs="Times New Roman"/>
          <w:color w:val="auto"/>
          <w:highlight w:val="none"/>
          <w:u w:val="none" w:color="auto"/>
          <w:lang w:eastAsia="zh-CN"/>
        </w:rPr>
        <w:t>大通湖工业园；</w:t>
      </w:r>
    </w:p>
    <w:p w14:paraId="5E674A95">
      <w:pPr>
        <w:pStyle w:val="189"/>
        <w:spacing w:line="360" w:lineRule="auto"/>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rPr>
        <w:t>工程总投资：</w:t>
      </w:r>
      <w:r>
        <w:rPr>
          <w:rFonts w:hint="default" w:ascii="Times New Roman" w:hAnsi="Times New Roman" w:cs="Times New Roman"/>
          <w:color w:val="auto"/>
          <w:highlight w:val="none"/>
          <w:u w:val="none" w:color="auto"/>
          <w:lang w:val="en-US" w:eastAsia="zh-CN"/>
        </w:rPr>
        <w:t>8000</w:t>
      </w:r>
      <w:r>
        <w:rPr>
          <w:rFonts w:hint="default" w:ascii="Times New Roman" w:hAnsi="Times New Roman" w:cs="Times New Roman"/>
          <w:color w:val="auto"/>
          <w:highlight w:val="none"/>
          <w:u w:val="none" w:color="auto"/>
          <w:lang w:eastAsia="zh-CN"/>
        </w:rPr>
        <w:t>万</w:t>
      </w:r>
      <w:r>
        <w:rPr>
          <w:rFonts w:hint="default" w:ascii="Times New Roman" w:hAnsi="Times New Roman" w:cs="Times New Roman"/>
          <w:color w:val="auto"/>
          <w:highlight w:val="none"/>
          <w:u w:val="none" w:color="auto"/>
        </w:rPr>
        <w:t>元</w:t>
      </w:r>
    </w:p>
    <w:p w14:paraId="45EADC8E">
      <w:pPr>
        <w:pStyle w:val="189"/>
        <w:spacing w:line="36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建设内容及规模</w:t>
      </w:r>
      <w:r>
        <w:rPr>
          <w:rFonts w:hint="default" w:ascii="Times New Roman" w:hAnsi="Times New Roman" w:cs="Times New Roman"/>
          <w:color w:val="auto"/>
          <w:highlight w:val="none"/>
          <w:u w:val="none" w:color="auto"/>
        </w:rPr>
        <w:t>：</w:t>
      </w:r>
    </w:p>
    <w:p w14:paraId="5AF75C00">
      <w:pPr>
        <w:pStyle w:val="189"/>
        <w:spacing w:line="360" w:lineRule="auto"/>
        <w:rPr>
          <w:rFonts w:hint="default" w:ascii="Times New Roman" w:hAnsi="Times New Roman" w:cs="Times New Roman"/>
          <w:color w:val="auto"/>
          <w:sz w:val="24"/>
          <w:szCs w:val="32"/>
          <w:highlight w:val="none"/>
          <w:u w:val="none" w:color="auto"/>
          <w:lang w:val="en-US" w:eastAsia="zh-CN"/>
        </w:rPr>
      </w:pPr>
      <w:r>
        <w:rPr>
          <w:rFonts w:hint="default" w:ascii="Times New Roman" w:hAnsi="Times New Roman" w:cs="Times New Roman"/>
          <w:color w:val="auto"/>
          <w:sz w:val="24"/>
          <w:szCs w:val="32"/>
          <w:highlight w:val="none"/>
          <w:u w:val="none" w:color="auto"/>
          <w:lang w:val="en-US" w:eastAsia="zh-CN"/>
        </w:rPr>
        <w:t>①改造工程：对现有生化处理池进行改造，更换絮凝搅拌机、沉淀池竖流筒</w:t>
      </w:r>
      <w:r>
        <w:rPr>
          <w:rFonts w:hint="eastAsia" w:cs="Times New Roman"/>
          <w:color w:val="0000FF"/>
          <w:highlight w:val="none"/>
          <w:u w:val="wave" w:color="auto"/>
          <w:lang w:val="en-US" w:eastAsia="zh-CN"/>
        </w:rPr>
        <w:t>及</w:t>
      </w:r>
      <w:r>
        <w:rPr>
          <w:rFonts w:hint="default" w:ascii="Times New Roman" w:hAnsi="Times New Roman" w:cs="Times New Roman"/>
          <w:color w:val="auto"/>
          <w:sz w:val="24"/>
          <w:szCs w:val="32"/>
          <w:highlight w:val="none"/>
          <w:u w:val="none" w:color="auto"/>
          <w:lang w:val="en-US" w:eastAsia="zh-CN"/>
        </w:rPr>
        <w:t>出水堰、潜水推流器、曝气管、曝气盘、弹性填料等及各类泵，新增设备操作箱及照明电器</w:t>
      </w:r>
    </w:p>
    <w:p w14:paraId="4E0BE290">
      <w:pPr>
        <w:pStyle w:val="189"/>
        <w:spacing w:line="360" w:lineRule="auto"/>
        <w:rPr>
          <w:rFonts w:hint="default" w:ascii="Times New Roman" w:hAnsi="Times New Roman" w:cs="Times New Roman"/>
          <w:color w:val="auto"/>
          <w:sz w:val="24"/>
          <w:szCs w:val="32"/>
          <w:highlight w:val="none"/>
          <w:u w:val="none" w:color="auto"/>
          <w:lang w:val="en-US" w:eastAsia="zh-CN"/>
        </w:rPr>
      </w:pPr>
      <w:r>
        <w:rPr>
          <w:rFonts w:hint="default" w:ascii="Times New Roman" w:hAnsi="Times New Roman" w:cs="Times New Roman"/>
          <w:color w:val="auto"/>
          <w:sz w:val="24"/>
          <w:szCs w:val="32"/>
          <w:highlight w:val="none"/>
          <w:u w:val="none" w:color="auto"/>
          <w:lang w:val="en-US" w:eastAsia="zh-CN"/>
        </w:rPr>
        <w:t>②拆除工程：拆除现有综合管理用房、调节池、污泥浓缩池、风机房及污泥脱水机房、加药间、砂滤罐锅炉器及现状围墙</w:t>
      </w:r>
    </w:p>
    <w:p w14:paraId="14CEB774">
      <w:pPr>
        <w:pStyle w:val="189"/>
        <w:spacing w:line="360" w:lineRule="auto"/>
        <w:rPr>
          <w:rFonts w:hint="default" w:ascii="Times New Roman" w:hAnsi="Times New Roman" w:cs="Times New Roman"/>
          <w:color w:val="auto"/>
          <w:sz w:val="24"/>
          <w:szCs w:val="32"/>
          <w:highlight w:val="none"/>
          <w:u w:val="none" w:color="auto"/>
          <w:lang w:val="en-US" w:eastAsia="zh-CN"/>
        </w:rPr>
      </w:pPr>
      <w:r>
        <w:rPr>
          <w:rFonts w:hint="default" w:ascii="Times New Roman" w:hAnsi="Times New Roman" w:cs="Times New Roman"/>
          <w:color w:val="auto"/>
          <w:sz w:val="24"/>
          <w:szCs w:val="32"/>
          <w:highlight w:val="none"/>
          <w:u w:val="none" w:color="auto"/>
          <w:lang w:val="en-US" w:eastAsia="zh-CN"/>
        </w:rPr>
        <w:t>③新建工程：按总规模3000m</w:t>
      </w:r>
      <w:r>
        <w:rPr>
          <w:rFonts w:hint="default" w:ascii="Times New Roman" w:hAnsi="Times New Roman" w:cs="Times New Roman"/>
          <w:color w:val="auto"/>
          <w:sz w:val="24"/>
          <w:szCs w:val="32"/>
          <w:highlight w:val="none"/>
          <w:u w:val="none" w:color="auto"/>
          <w:vertAlign w:val="superscript"/>
          <w:lang w:val="en-US" w:eastAsia="zh-CN"/>
        </w:rPr>
        <w:t>3</w:t>
      </w:r>
      <w:r>
        <w:rPr>
          <w:rFonts w:hint="default" w:ascii="Times New Roman" w:hAnsi="Times New Roman" w:cs="Times New Roman"/>
          <w:color w:val="auto"/>
          <w:sz w:val="24"/>
          <w:szCs w:val="32"/>
          <w:highlight w:val="none"/>
          <w:u w:val="none" w:color="auto"/>
          <w:lang w:val="en-US" w:eastAsia="zh-CN"/>
        </w:rPr>
        <w:t>/d新建一体化泵站、水解酸化及AAO组合池、絮凝沉淀池、精密过滤池、接触消毒池、计量渠、鼓风机房及变配电间、贮泥池、污泥脱水间及加氯间、加药间、出水监测用房、综合楼、危废间及检测房。</w:t>
      </w:r>
    </w:p>
    <w:p w14:paraId="4B763021">
      <w:pPr>
        <w:pStyle w:val="189"/>
        <w:spacing w:line="360" w:lineRule="auto"/>
        <w:rPr>
          <w:rFonts w:hint="default" w:ascii="Times New Roman" w:hAnsi="Times New Roman" w:cs="Times New Roman"/>
          <w:color w:val="auto"/>
          <w:sz w:val="24"/>
          <w:szCs w:val="32"/>
          <w:highlight w:val="none"/>
          <w:u w:val="none" w:color="auto"/>
          <w:lang w:val="en-US" w:eastAsia="zh-CN"/>
        </w:rPr>
      </w:pPr>
      <w:r>
        <w:rPr>
          <w:rFonts w:hint="default" w:ascii="Times New Roman" w:hAnsi="Times New Roman" w:cs="Times New Roman"/>
          <w:color w:val="auto"/>
          <w:sz w:val="24"/>
          <w:szCs w:val="32"/>
          <w:highlight w:val="none"/>
          <w:u w:val="none" w:color="auto"/>
          <w:lang w:val="en-US" w:eastAsia="zh-CN"/>
        </w:rPr>
        <w:t>废水处理方案：污水处理工艺采用“</w:t>
      </w: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一体化泵站+调节均质+水解酸化+AAO生化+混凝沉淀+精密过滤+接触消毒</w:t>
      </w:r>
      <w:r>
        <w:rPr>
          <w:rFonts w:hint="default" w:ascii="Times New Roman" w:hAnsi="Times New Roman" w:cs="Times New Roman"/>
          <w:color w:val="auto"/>
          <w:sz w:val="24"/>
          <w:szCs w:val="32"/>
          <w:highlight w:val="none"/>
          <w:u w:val="none" w:color="auto"/>
          <w:lang w:val="en-US" w:eastAsia="zh-CN"/>
        </w:rPr>
        <w:t>”，处理后尾水达到《城镇污水处理厂污染物排放标准》</w:t>
      </w:r>
      <w:r>
        <w:rPr>
          <w:rFonts w:hint="eastAsia" w:cs="Times New Roman"/>
          <w:color w:val="auto"/>
          <w:sz w:val="24"/>
          <w:szCs w:val="32"/>
          <w:highlight w:val="none"/>
          <w:u w:val="none" w:color="auto"/>
          <w:lang w:val="en-US" w:eastAsia="zh-CN"/>
        </w:rPr>
        <w:t>（GB18918-2002）修改单</w:t>
      </w:r>
      <w:r>
        <w:rPr>
          <w:rFonts w:hint="default" w:ascii="Times New Roman" w:hAnsi="Times New Roman" w:cs="Times New Roman"/>
          <w:color w:val="auto"/>
          <w:sz w:val="24"/>
          <w:szCs w:val="32"/>
          <w:highlight w:val="none"/>
          <w:u w:val="none" w:color="auto"/>
          <w:lang w:val="en-US" w:eastAsia="zh-CN"/>
        </w:rPr>
        <w:t>一级 A 标准后排入机排二十渠再入老三运河。</w:t>
      </w:r>
    </w:p>
    <w:p w14:paraId="11417E28">
      <w:pPr>
        <w:pStyle w:val="4"/>
        <w:numPr>
          <w:ilvl w:val="2"/>
          <w:numId w:val="0"/>
        </w:numPr>
        <w:ind w:leftChars="0"/>
        <w:outlineLvl w:val="1"/>
        <w:rPr>
          <w:rFonts w:hint="default" w:ascii="Times New Roman" w:hAnsi="Times New Roman" w:cs="Times New Roman"/>
          <w:color w:val="auto"/>
          <w:sz w:val="30"/>
          <w:szCs w:val="30"/>
          <w:highlight w:val="none"/>
          <w:u w:val="none" w:color="auto"/>
          <w:lang w:val="en-US" w:eastAsia="zh-CN"/>
        </w:rPr>
      </w:pPr>
      <w:bookmarkStart w:id="57" w:name="_Toc13938"/>
      <w:r>
        <w:rPr>
          <w:rFonts w:hint="default" w:ascii="Times New Roman" w:hAnsi="Times New Roman" w:cs="Times New Roman"/>
          <w:color w:val="auto"/>
          <w:sz w:val="30"/>
          <w:szCs w:val="30"/>
          <w:highlight w:val="none"/>
          <w:u w:val="none" w:color="auto"/>
          <w:lang w:val="en-US" w:eastAsia="zh-CN"/>
        </w:rPr>
        <w:t>3.3 项目设计方案</w:t>
      </w:r>
      <w:bookmarkEnd w:id="57"/>
    </w:p>
    <w:p w14:paraId="455294A4">
      <w:pPr>
        <w:pStyle w:val="4"/>
        <w:numPr>
          <w:ilvl w:val="2"/>
          <w:numId w:val="0"/>
        </w:numPr>
        <w:ind w:left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3.3.1 建设规模及服务范围</w:t>
      </w:r>
    </w:p>
    <w:p w14:paraId="31C09E67">
      <w:pPr>
        <w:rPr>
          <w:rFonts w:hint="default" w:ascii="Times New Roman" w:hAnsi="Times New Roman" w:cs="Times New Roman"/>
          <w:color w:val="auto"/>
          <w:sz w:val="24"/>
          <w:szCs w:val="32"/>
          <w:highlight w:val="none"/>
          <w:u w:val="none" w:color="auto"/>
          <w:lang w:val="en-US" w:eastAsia="zh-CN"/>
        </w:rPr>
      </w:pPr>
      <w:r>
        <w:rPr>
          <w:rFonts w:hint="default" w:ascii="Times New Roman" w:hAnsi="Times New Roman" w:cs="Times New Roman"/>
          <w:color w:val="auto"/>
          <w:sz w:val="24"/>
          <w:szCs w:val="32"/>
          <w:highlight w:val="none"/>
          <w:u w:val="none" w:color="auto"/>
          <w:lang w:val="en-US" w:eastAsia="zh-CN"/>
        </w:rPr>
        <w:t>污水处理厂建设总体规模为3000m</w:t>
      </w:r>
      <w:r>
        <w:rPr>
          <w:rFonts w:hint="default" w:ascii="Times New Roman" w:hAnsi="Times New Roman" w:cs="Times New Roman"/>
          <w:color w:val="auto"/>
          <w:sz w:val="24"/>
          <w:szCs w:val="32"/>
          <w:highlight w:val="none"/>
          <w:u w:val="none" w:color="auto"/>
          <w:vertAlign w:val="superscript"/>
          <w:lang w:val="en-US" w:eastAsia="zh-CN"/>
        </w:rPr>
        <w:t>3</w:t>
      </w:r>
      <w:r>
        <w:rPr>
          <w:rFonts w:hint="default" w:ascii="Times New Roman" w:hAnsi="Times New Roman" w:cs="Times New Roman"/>
          <w:color w:val="auto"/>
          <w:sz w:val="24"/>
          <w:szCs w:val="32"/>
          <w:highlight w:val="none"/>
          <w:u w:val="none" w:color="auto"/>
          <w:lang w:val="en-US" w:eastAsia="zh-CN"/>
        </w:rPr>
        <w:t>/d，本次评价仅包含污水处理设施工程，不含管网工程，收集企业的进水管网工程由园区配套进行建设。</w:t>
      </w:r>
    </w:p>
    <w:p w14:paraId="2A5F773F">
      <w:pPr>
        <w:rPr>
          <w:rFonts w:hint="default" w:ascii="Times New Roman" w:hAnsi="Times New Roman" w:cs="Times New Roman"/>
          <w:color w:val="auto"/>
          <w:sz w:val="24"/>
          <w:szCs w:val="32"/>
          <w:highlight w:val="none"/>
          <w:u w:val="none" w:color="auto"/>
          <w:lang w:val="en-US" w:eastAsia="zh-CN"/>
        </w:rPr>
      </w:pPr>
      <w:r>
        <w:rPr>
          <w:rFonts w:hint="default" w:ascii="Times New Roman" w:hAnsi="Times New Roman" w:cs="Times New Roman"/>
          <w:color w:val="auto"/>
          <w:sz w:val="24"/>
          <w:szCs w:val="32"/>
          <w:highlight w:val="none"/>
          <w:u w:val="none" w:color="auto"/>
          <w:lang w:val="en-US" w:eastAsia="zh-CN"/>
        </w:rPr>
        <w:t>本污水系统服务范围为大通湖工业园的工业污水，污水收集范围194.19hm</w:t>
      </w:r>
      <w:r>
        <w:rPr>
          <w:rFonts w:hint="default" w:ascii="Times New Roman" w:hAnsi="Times New Roman" w:cs="Times New Roman"/>
          <w:color w:val="auto"/>
          <w:sz w:val="24"/>
          <w:szCs w:val="32"/>
          <w:highlight w:val="none"/>
          <w:u w:val="none" w:color="auto"/>
          <w:vertAlign w:val="superscript"/>
          <w:lang w:val="en-US" w:eastAsia="zh-CN"/>
        </w:rPr>
        <w:t>2</w:t>
      </w:r>
      <w:r>
        <w:rPr>
          <w:rFonts w:hint="default" w:ascii="Times New Roman" w:hAnsi="Times New Roman" w:cs="Times New Roman"/>
          <w:color w:val="auto"/>
          <w:sz w:val="24"/>
          <w:szCs w:val="32"/>
          <w:highlight w:val="none"/>
          <w:u w:val="none" w:color="auto"/>
          <w:lang w:val="en-US" w:eastAsia="zh-CN"/>
        </w:rPr>
        <w:t>。工业污水收集专管沿道路布置，呈树枝状，向工业污水处理厂汇集，专管采用重力式污水管。工业污水收集专管以污水干管以及污水支管若干来组成，管网总长6779m，其中沿东西向的人民路、银海路铺设工业污水收集干管，长度2215m；沿南北向的白杨路、雨荷路、环城西路、枫杨路、通富路等铺设工业污水收集支管，长度4564m。</w:t>
      </w:r>
    </w:p>
    <w:p w14:paraId="6B558AA4">
      <w:pPr>
        <w:pStyle w:val="4"/>
        <w:numPr>
          <w:ilvl w:val="2"/>
          <w:numId w:val="0"/>
        </w:numPr>
        <w:ind w:leftChars="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3.3.</w:t>
      </w:r>
      <w:r>
        <w:rPr>
          <w:rFonts w:hint="eastAsia"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 服务范围内污水量预测</w:t>
      </w:r>
    </w:p>
    <w:p w14:paraId="69A73D52">
      <w:pPr>
        <w:numPr>
          <w:ilvl w:val="0"/>
          <w:numId w:val="13"/>
        </w:numP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现状企业排水现状</w:t>
      </w:r>
    </w:p>
    <w:p w14:paraId="3CDB3C6B">
      <w:pPr>
        <w:numPr>
          <w:ilvl w:val="0"/>
          <w:numId w:val="0"/>
        </w:numPr>
        <w:ind w:firstLine="468" w:firstLineChars="20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spacing w:val="-3"/>
          <w:highlight w:val="none"/>
          <w:u w:val="wave" w:color="auto"/>
          <w14:textFill>
            <w14:solidFill>
              <w14:schemeClr w14:val="tx1"/>
            </w14:solidFill>
          </w14:textFill>
        </w:rPr>
        <w:t>根据建设单位提供的数据，</w:t>
      </w:r>
      <w:r>
        <w:rPr>
          <w:rFonts w:hint="eastAsia" w:cs="Times New Roman"/>
          <w:color w:val="000000" w:themeColor="text1"/>
          <w:spacing w:val="-3"/>
          <w:highlight w:val="none"/>
          <w:u w:val="wave" w:color="auto"/>
          <w:lang w:val="en-US" w:eastAsia="zh-CN"/>
          <w14:textFill>
            <w14:solidFill>
              <w14:schemeClr w14:val="tx1"/>
            </w14:solidFill>
          </w14:textFill>
        </w:rPr>
        <w:t>目前</w:t>
      </w:r>
      <w:r>
        <w:rPr>
          <w:rFonts w:hint="default" w:ascii="Times New Roman" w:hAnsi="Times New Roman" w:cs="Times New Roman"/>
          <w:color w:val="000000" w:themeColor="text1"/>
          <w:spacing w:val="-3"/>
          <w:highlight w:val="none"/>
          <w:u w:val="wave" w:color="auto"/>
          <w14:textFill>
            <w14:solidFill>
              <w14:schemeClr w14:val="tx1"/>
            </w14:solidFill>
          </w14:textFill>
        </w:rPr>
        <w:t>大通湖产业开发区</w:t>
      </w:r>
      <w:r>
        <w:rPr>
          <w:rFonts w:hint="eastAsia" w:ascii="Times New Roman" w:hAnsi="Times New Roman" w:cs="Times New Roman"/>
          <w:color w:val="000000" w:themeColor="text1"/>
          <w:spacing w:val="-3"/>
          <w:highlight w:val="none"/>
          <w:u w:val="wave" w:color="auto"/>
          <w:lang w:val="en-US" w:eastAsia="zh-CN"/>
          <w14:textFill>
            <w14:solidFill>
              <w14:schemeClr w14:val="tx1"/>
            </w14:solidFill>
          </w14:textFill>
        </w:rPr>
        <w:t>已入</w:t>
      </w:r>
      <w:r>
        <w:rPr>
          <w:rFonts w:hint="default" w:ascii="Times New Roman" w:hAnsi="Times New Roman" w:cs="Times New Roman"/>
          <w:color w:val="000000" w:themeColor="text1"/>
          <w:spacing w:val="-3"/>
          <w:highlight w:val="none"/>
          <w:u w:val="wave" w:color="auto"/>
          <w:lang w:val="en-US" w:eastAsia="zh-CN"/>
          <w14:textFill>
            <w14:solidFill>
              <w14:schemeClr w14:val="tx1"/>
            </w14:solidFill>
          </w14:textFill>
        </w:rPr>
        <w:t>驻</w:t>
      </w:r>
      <w:r>
        <w:rPr>
          <w:rFonts w:hint="default" w:ascii="Times New Roman" w:hAnsi="Times New Roman" w:cs="Times New Roman"/>
          <w:color w:val="000000" w:themeColor="text1"/>
          <w:spacing w:val="-3"/>
          <w:highlight w:val="none"/>
          <w:u w:val="wave" w:color="auto"/>
          <w14:textFill>
            <w14:solidFill>
              <w14:schemeClr w14:val="tx1"/>
            </w14:solidFill>
          </w14:textFill>
        </w:rPr>
        <w:t>涉水企业有</w:t>
      </w:r>
      <w:r>
        <w:rPr>
          <w:rFonts w:hint="default" w:ascii="Times New Roman" w:hAnsi="Times New Roman" w:cs="Times New Roman"/>
          <w:color w:val="000000" w:themeColor="text1"/>
          <w:spacing w:val="-3"/>
          <w:highlight w:val="none"/>
          <w:u w:val="wave" w:color="auto"/>
          <w:lang w:val="en-US" w:eastAsia="zh-CN"/>
          <w14:textFill>
            <w14:solidFill>
              <w14:schemeClr w14:val="tx1"/>
            </w14:solidFill>
          </w14:textFill>
        </w:rPr>
        <w:t>8</w:t>
      </w:r>
      <w:r>
        <w:rPr>
          <w:rFonts w:hint="default" w:ascii="Times New Roman" w:hAnsi="Times New Roman" w:cs="Times New Roman"/>
          <w:color w:val="000000" w:themeColor="text1"/>
          <w:spacing w:val="-3"/>
          <w:highlight w:val="none"/>
          <w:u w:val="wave" w:color="auto"/>
          <w14:textFill>
            <w14:solidFill>
              <w14:schemeClr w14:val="tx1"/>
            </w14:solidFill>
          </w14:textFill>
        </w:rPr>
        <w:t>家，</w:t>
      </w:r>
      <w:r>
        <w:rPr>
          <w:rFonts w:hint="eastAsia" w:cs="Times New Roman"/>
          <w:color w:val="000000" w:themeColor="text1"/>
          <w:spacing w:val="-3"/>
          <w:highlight w:val="none"/>
          <w:u w:val="wave" w:color="auto"/>
          <w:lang w:val="en-US" w:eastAsia="zh-CN"/>
          <w14:textFill>
            <w14:solidFill>
              <w14:schemeClr w14:val="tx1"/>
            </w14:solidFill>
          </w14:textFill>
        </w:rPr>
        <w:t>拟入驻企业1家，另有3家植物提取企业正在洽谈中，</w:t>
      </w:r>
      <w:r>
        <w:rPr>
          <w:rFonts w:hint="default" w:ascii="Times New Roman" w:hAnsi="Times New Roman" w:cs="Times New Roman"/>
          <w:color w:val="000000" w:themeColor="text1"/>
          <w:spacing w:val="-3"/>
          <w:highlight w:val="none"/>
          <w:u w:val="wave" w:color="auto"/>
          <w14:textFill>
            <w14:solidFill>
              <w14:schemeClr w14:val="tx1"/>
            </w14:solidFill>
          </w14:textFill>
        </w:rPr>
        <w:t>企业废水</w:t>
      </w:r>
      <w:r>
        <w:rPr>
          <w:rFonts w:hint="default" w:ascii="Times New Roman" w:hAnsi="Times New Roman" w:cs="Times New Roman"/>
          <w:color w:val="000000" w:themeColor="text1"/>
          <w:spacing w:val="-4"/>
          <w:highlight w:val="none"/>
          <w:u w:val="wave" w:color="auto"/>
          <w14:textFill>
            <w14:solidFill>
              <w14:schemeClr w14:val="tx1"/>
            </w14:solidFill>
          </w14:textFill>
        </w:rPr>
        <w:t>排放量</w:t>
      </w:r>
      <w:r>
        <w:rPr>
          <w:rFonts w:hint="default" w:ascii="Times New Roman" w:hAnsi="Times New Roman" w:cs="Times New Roman"/>
          <w:color w:val="000000" w:themeColor="text1"/>
          <w:spacing w:val="-2"/>
          <w:highlight w:val="none"/>
          <w:u w:val="wave" w:color="auto"/>
          <w14:textFill>
            <w14:solidFill>
              <w14:schemeClr w14:val="tx1"/>
            </w14:solidFill>
          </w14:textFill>
        </w:rPr>
        <w:t>波动较大，总排水量范围为</w:t>
      </w:r>
      <w:r>
        <w:rPr>
          <w:rFonts w:hint="default" w:ascii="Times New Roman" w:hAnsi="Times New Roman" w:cs="Times New Roman"/>
          <w:color w:val="000000" w:themeColor="text1"/>
          <w:spacing w:val="-55"/>
          <w:highlight w:val="none"/>
          <w:u w:val="wave" w:color="auto"/>
          <w14:textFill>
            <w14:solidFill>
              <w14:schemeClr w14:val="tx1"/>
            </w14:solidFill>
          </w14:textFill>
        </w:rPr>
        <w:t xml:space="preserve"> </w:t>
      </w:r>
      <w:r>
        <w:rPr>
          <w:rFonts w:hint="eastAsia" w:eastAsia="宋体" w:cs="Times New Roman"/>
          <w:color w:val="000000" w:themeColor="text1"/>
          <w:spacing w:val="-2"/>
          <w:highlight w:val="none"/>
          <w:u w:val="wave" w:color="auto"/>
          <w:lang w:val="en-US" w:eastAsia="zh-CN"/>
          <w14:textFill>
            <w14:solidFill>
              <w14:schemeClr w14:val="tx1"/>
            </w14:solidFill>
          </w14:textFill>
        </w:rPr>
        <w:t>320</w:t>
      </w:r>
      <w:r>
        <w:rPr>
          <w:rFonts w:hint="default" w:ascii="Times New Roman" w:hAnsi="Times New Roman" w:eastAsia="Times New Roman" w:cs="Times New Roman"/>
          <w:color w:val="000000" w:themeColor="text1"/>
          <w:spacing w:val="-2"/>
          <w:highlight w:val="none"/>
          <w:u w:val="wave" w:color="auto"/>
          <w14:textFill>
            <w14:solidFill>
              <w14:schemeClr w14:val="tx1"/>
            </w14:solidFill>
          </w14:textFill>
        </w:rPr>
        <w:t>~1</w:t>
      </w:r>
      <w:r>
        <w:rPr>
          <w:rFonts w:hint="eastAsia" w:eastAsia="宋体" w:cs="Times New Roman"/>
          <w:color w:val="000000" w:themeColor="text1"/>
          <w:spacing w:val="-2"/>
          <w:highlight w:val="none"/>
          <w:u w:val="wave" w:color="auto"/>
          <w:lang w:val="en-US" w:eastAsia="zh-CN"/>
          <w14:textFill>
            <w14:solidFill>
              <w14:schemeClr w14:val="tx1"/>
            </w14:solidFill>
          </w14:textFill>
        </w:rPr>
        <w:t>22</w:t>
      </w:r>
      <w:r>
        <w:rPr>
          <w:rFonts w:hint="default" w:ascii="Times New Roman" w:hAnsi="Times New Roman" w:eastAsia="Times New Roman" w:cs="Times New Roman"/>
          <w:color w:val="000000" w:themeColor="text1"/>
          <w:spacing w:val="-2"/>
          <w:highlight w:val="none"/>
          <w:u w:val="wave" w:color="auto"/>
          <w14:textFill>
            <w14:solidFill>
              <w14:schemeClr w14:val="tx1"/>
            </w14:solidFill>
          </w14:textFill>
        </w:rPr>
        <w:t>0m</w:t>
      </w:r>
      <w:r>
        <w:rPr>
          <w:rFonts w:hint="default" w:ascii="Times New Roman" w:hAnsi="Times New Roman" w:eastAsia="Times New Roman" w:cs="Times New Roman"/>
          <w:color w:val="000000" w:themeColor="text1"/>
          <w:spacing w:val="-2"/>
          <w:position w:val="10"/>
          <w:sz w:val="16"/>
          <w:szCs w:val="16"/>
          <w:highlight w:val="none"/>
          <w:u w:val="wave" w:color="auto"/>
          <w14:textFill>
            <w14:solidFill>
              <w14:schemeClr w14:val="tx1"/>
            </w14:solidFill>
          </w14:textFill>
        </w:rPr>
        <w:t>3</w:t>
      </w:r>
      <w:r>
        <w:rPr>
          <w:rFonts w:hint="default" w:ascii="Times New Roman" w:hAnsi="Times New Roman" w:eastAsia="Times New Roman" w:cs="Times New Roman"/>
          <w:color w:val="000000" w:themeColor="text1"/>
          <w:spacing w:val="-2"/>
          <w:highlight w:val="none"/>
          <w:u w:val="wave" w:color="auto"/>
          <w14:textFill>
            <w14:solidFill>
              <w14:schemeClr w14:val="tx1"/>
            </w14:solidFill>
          </w14:textFill>
        </w:rPr>
        <w:t>/d</w:t>
      </w:r>
      <w:r>
        <w:rPr>
          <w:rFonts w:hint="default" w:ascii="Times New Roman" w:hAnsi="Times New Roman" w:cs="Times New Roman"/>
          <w:color w:val="000000" w:themeColor="text1"/>
          <w:spacing w:val="-3"/>
          <w:highlight w:val="none"/>
          <w:u w:val="wave" w:color="auto"/>
          <w14:textFill>
            <w14:solidFill>
              <w14:schemeClr w14:val="tx1"/>
            </w14:solidFill>
          </w14:textFill>
        </w:rPr>
        <w:t>，具体数据如下表：</w:t>
      </w:r>
    </w:p>
    <w:p w14:paraId="75D5EF19">
      <w:pPr>
        <w:spacing w:line="240" w:lineRule="auto"/>
        <w:jc w:val="center"/>
        <w:rPr>
          <w:rFonts w:hint="default" w:ascii="Times New Roman" w:hAnsi="Times New Roman" w:cs="Times New Roman"/>
          <w:b/>
          <w:bCs/>
          <w:color w:val="000000" w:themeColor="text1"/>
          <w:sz w:val="24"/>
          <w:szCs w:val="32"/>
          <w:highlight w:val="none"/>
          <w:u w:val="wave" w:color="auto"/>
          <w:lang w:val="en-US" w:eastAsia="zh-CN"/>
          <w14:textFill>
            <w14:solidFill>
              <w14:schemeClr w14:val="tx1"/>
            </w14:solidFill>
          </w14:textFill>
        </w:rPr>
      </w:pPr>
      <w:r>
        <w:rPr>
          <w:rFonts w:hint="default" w:ascii="Times New Roman" w:hAnsi="Times New Roman" w:cs="Times New Roman"/>
          <w:b/>
          <w:bCs/>
          <w:color w:val="000000" w:themeColor="text1"/>
          <w:sz w:val="24"/>
          <w:szCs w:val="32"/>
          <w:highlight w:val="none"/>
          <w:u w:val="wave" w:color="auto"/>
          <w:lang w:val="en-US" w:eastAsia="zh-CN"/>
          <w14:textFill>
            <w14:solidFill>
              <w14:schemeClr w14:val="tx1"/>
            </w14:solidFill>
          </w14:textFill>
        </w:rPr>
        <w:t>表3.3-</w:t>
      </w:r>
      <w:r>
        <w:rPr>
          <w:rFonts w:hint="eastAsia" w:cs="Times New Roman"/>
          <w:b/>
          <w:bCs/>
          <w:color w:val="000000" w:themeColor="text1"/>
          <w:sz w:val="24"/>
          <w:szCs w:val="32"/>
          <w:highlight w:val="none"/>
          <w:u w:val="wave" w:color="auto"/>
          <w:lang w:val="en-US" w:eastAsia="zh-CN"/>
          <w14:textFill>
            <w14:solidFill>
              <w14:schemeClr w14:val="tx1"/>
            </w14:solidFill>
          </w14:textFill>
        </w:rPr>
        <w:t>1</w:t>
      </w:r>
      <w:r>
        <w:rPr>
          <w:rFonts w:hint="default" w:ascii="Times New Roman" w:hAnsi="Times New Roman" w:cs="Times New Roman"/>
          <w:b/>
          <w:bCs/>
          <w:color w:val="000000" w:themeColor="text1"/>
          <w:sz w:val="24"/>
          <w:szCs w:val="32"/>
          <w:highlight w:val="none"/>
          <w:u w:val="wave" w:color="auto"/>
          <w:lang w:val="en-US" w:eastAsia="zh-CN"/>
          <w14:textFill>
            <w14:solidFill>
              <w14:schemeClr w14:val="tx1"/>
            </w14:solidFill>
          </w14:textFill>
        </w:rPr>
        <w:t xml:space="preserve"> 大通湖产业开发区涉水企业</w:t>
      </w:r>
      <w:r>
        <w:rPr>
          <w:rFonts w:hint="eastAsia" w:cs="Times New Roman"/>
          <w:b/>
          <w:bCs/>
          <w:color w:val="000000" w:themeColor="text1"/>
          <w:sz w:val="24"/>
          <w:szCs w:val="32"/>
          <w:highlight w:val="none"/>
          <w:u w:val="wave" w:color="auto"/>
          <w:lang w:val="en-US" w:eastAsia="zh-CN"/>
          <w14:textFill>
            <w14:solidFill>
              <w14:schemeClr w14:val="tx1"/>
            </w14:solidFill>
          </w14:textFill>
        </w:rPr>
        <w:t>/项目</w:t>
      </w:r>
      <w:r>
        <w:rPr>
          <w:rFonts w:hint="default" w:ascii="Times New Roman" w:hAnsi="Times New Roman" w:cs="Times New Roman"/>
          <w:b/>
          <w:bCs/>
          <w:color w:val="000000" w:themeColor="text1"/>
          <w:sz w:val="24"/>
          <w:szCs w:val="32"/>
          <w:highlight w:val="none"/>
          <w:u w:val="wave" w:color="auto"/>
          <w:lang w:val="en-US" w:eastAsia="zh-CN"/>
          <w14:textFill>
            <w14:solidFill>
              <w14:schemeClr w14:val="tx1"/>
            </w14:solidFill>
          </w14:textFill>
        </w:rPr>
        <w:t>现状工业废水排放量表</w:t>
      </w:r>
    </w:p>
    <w:tbl>
      <w:tblPr>
        <w:tblStyle w:val="402"/>
        <w:tblW w:w="881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96"/>
        <w:gridCol w:w="4299"/>
        <w:gridCol w:w="1829"/>
        <w:gridCol w:w="1994"/>
      </w:tblGrid>
      <w:tr w14:paraId="4F9080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3" w:hRule="atLeast"/>
          <w:jc w:val="center"/>
        </w:trPr>
        <w:tc>
          <w:tcPr>
            <w:tcW w:w="696" w:type="dxa"/>
            <w:tcBorders>
              <w:tl2br w:val="nil"/>
              <w:tr2bl w:val="nil"/>
            </w:tcBorders>
            <w:vAlign w:val="top"/>
          </w:tcPr>
          <w:p w14:paraId="3F5F1303">
            <w:pPr>
              <w:pStyle w:val="435"/>
              <w:widowControl w:val="0"/>
              <w:spacing w:before="194" w:line="221" w:lineRule="auto"/>
              <w:ind w:left="65"/>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3"/>
                <w:sz w:val="22"/>
                <w:szCs w:val="22"/>
                <w:highlight w:val="none"/>
                <w:u w:val="wave" w:color="auto"/>
                <w14:textFill>
                  <w14:solidFill>
                    <w14:schemeClr w14:val="tx1"/>
                  </w14:solidFill>
                </w14:textFill>
              </w:rPr>
              <w:t>序号</w:t>
            </w:r>
          </w:p>
        </w:tc>
        <w:tc>
          <w:tcPr>
            <w:tcW w:w="4299" w:type="dxa"/>
            <w:tcBorders>
              <w:tl2br w:val="nil"/>
              <w:tr2bl w:val="nil"/>
            </w:tcBorders>
            <w:vAlign w:val="top"/>
          </w:tcPr>
          <w:p w14:paraId="43309706">
            <w:pPr>
              <w:pStyle w:val="435"/>
              <w:widowControl w:val="0"/>
              <w:spacing w:before="194" w:line="222" w:lineRule="auto"/>
              <w:ind w:left="1374"/>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3"/>
                <w:sz w:val="22"/>
                <w:szCs w:val="22"/>
                <w:highlight w:val="none"/>
                <w:u w:val="wave" w:color="auto"/>
                <w14:textFill>
                  <w14:solidFill>
                    <w14:schemeClr w14:val="tx1"/>
                  </w14:solidFill>
                </w14:textFill>
              </w:rPr>
              <w:t>企业名称</w:t>
            </w:r>
          </w:p>
        </w:tc>
        <w:tc>
          <w:tcPr>
            <w:tcW w:w="1829" w:type="dxa"/>
            <w:tcBorders>
              <w:tl2br w:val="nil"/>
              <w:tr2bl w:val="nil"/>
            </w:tcBorders>
            <w:vAlign w:val="top"/>
          </w:tcPr>
          <w:p w14:paraId="614FF0BE">
            <w:pPr>
              <w:pStyle w:val="435"/>
              <w:widowControl w:val="0"/>
              <w:spacing w:before="194" w:line="220" w:lineRule="auto"/>
              <w:ind w:left="311"/>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3"/>
                <w:sz w:val="22"/>
                <w:szCs w:val="22"/>
                <w:highlight w:val="none"/>
                <w:u w:val="wave" w:color="auto"/>
                <w14:textFill>
                  <w14:solidFill>
                    <w14:schemeClr w14:val="tx1"/>
                  </w14:solidFill>
                </w14:textFill>
              </w:rPr>
              <w:t>企业性质</w:t>
            </w:r>
          </w:p>
        </w:tc>
        <w:tc>
          <w:tcPr>
            <w:tcW w:w="1994" w:type="dxa"/>
            <w:tcBorders>
              <w:tl2br w:val="nil"/>
              <w:tr2bl w:val="nil"/>
            </w:tcBorders>
            <w:vAlign w:val="top"/>
          </w:tcPr>
          <w:p w14:paraId="79F61057">
            <w:pPr>
              <w:pStyle w:val="435"/>
              <w:widowControl w:val="0"/>
              <w:spacing w:before="22" w:line="230" w:lineRule="auto"/>
              <w:ind w:right="35"/>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排放量</w:t>
            </w:r>
            <w:r>
              <w:rPr>
                <w:rFonts w:hint="default" w:ascii="Times New Roman" w:hAnsi="Times New Roman" w:cs="Times New Roman"/>
                <w:color w:val="000000" w:themeColor="text1"/>
                <w:spacing w:val="-57"/>
                <w:sz w:val="22"/>
                <w:szCs w:val="22"/>
                <w:highlight w:val="none"/>
                <w:u w:val="wave" w:color="auto"/>
                <w14:textFill>
                  <w14:solidFill>
                    <w14:schemeClr w14:val="tx1"/>
                  </w14:solidFill>
                </w14:textFill>
              </w:rPr>
              <w:t xml:space="preserve"> </w:t>
            </w: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m</w:t>
            </w:r>
            <w:r>
              <w:rPr>
                <w:rFonts w:hint="default" w:ascii="Times New Roman" w:hAnsi="Times New Roman" w:cs="Times New Roman"/>
                <w:color w:val="000000" w:themeColor="text1"/>
                <w:spacing w:val="-2"/>
                <w:position w:val="11"/>
                <w:sz w:val="10"/>
                <w:szCs w:val="10"/>
                <w:highlight w:val="none"/>
                <w:u w:val="wave" w:color="auto"/>
                <w14:textFill>
                  <w14:solidFill>
                    <w14:schemeClr w14:val="tx1"/>
                  </w14:solidFill>
                </w14:textFill>
              </w:rPr>
              <w:t>3</w:t>
            </w: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/d</w:t>
            </w:r>
          </w:p>
          <w:p w14:paraId="3DE6B86F">
            <w:pPr>
              <w:pStyle w:val="435"/>
              <w:widowControl w:val="0"/>
              <w:spacing w:before="22" w:line="230" w:lineRule="auto"/>
              <w:ind w:right="35"/>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5"/>
                <w:sz w:val="22"/>
                <w:szCs w:val="22"/>
                <w:highlight w:val="none"/>
                <w:u w:val="wave" w:color="auto"/>
                <w14:textFill>
                  <w14:solidFill>
                    <w14:schemeClr w14:val="tx1"/>
                  </w14:solidFill>
                </w14:textFill>
              </w:rPr>
              <w:t>（依产量变动）</w:t>
            </w:r>
          </w:p>
        </w:tc>
      </w:tr>
      <w:tr w14:paraId="0B3630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696" w:type="dxa"/>
            <w:tcBorders>
              <w:tl2br w:val="nil"/>
              <w:tr2bl w:val="nil"/>
            </w:tcBorders>
            <w:vAlign w:val="center"/>
          </w:tcPr>
          <w:p w14:paraId="31910808">
            <w:pPr>
              <w:pStyle w:val="435"/>
              <w:widowControl w:val="0"/>
              <w:spacing w:before="34" w:line="209"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z w:val="22"/>
                <w:szCs w:val="22"/>
                <w:highlight w:val="none"/>
                <w:u w:val="wave" w:color="auto"/>
                <w14:textFill>
                  <w14:solidFill>
                    <w14:schemeClr w14:val="tx1"/>
                  </w14:solidFill>
                </w14:textFill>
              </w:rPr>
              <w:t>1</w:t>
            </w:r>
          </w:p>
        </w:tc>
        <w:tc>
          <w:tcPr>
            <w:tcW w:w="4299" w:type="dxa"/>
            <w:tcBorders>
              <w:tl2br w:val="nil"/>
              <w:tr2bl w:val="nil"/>
            </w:tcBorders>
            <w:vAlign w:val="top"/>
          </w:tcPr>
          <w:p w14:paraId="1A78BFE4">
            <w:pPr>
              <w:pStyle w:val="435"/>
              <w:widowControl w:val="0"/>
              <w:spacing w:before="34" w:line="209" w:lineRule="auto"/>
              <w:ind w:left="4"/>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湖南湘易康制药有限公司</w:t>
            </w:r>
          </w:p>
        </w:tc>
        <w:tc>
          <w:tcPr>
            <w:tcW w:w="1829" w:type="dxa"/>
            <w:tcBorders>
              <w:tl2br w:val="nil"/>
              <w:tr2bl w:val="nil"/>
            </w:tcBorders>
            <w:vAlign w:val="top"/>
          </w:tcPr>
          <w:p w14:paraId="600DAA48">
            <w:pPr>
              <w:pStyle w:val="435"/>
              <w:widowControl w:val="0"/>
              <w:spacing w:before="34" w:line="209" w:lineRule="auto"/>
              <w:ind w:left="198"/>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4"/>
                <w:sz w:val="22"/>
                <w:szCs w:val="22"/>
                <w:highlight w:val="none"/>
                <w:u w:val="wave" w:color="auto"/>
                <w14:textFill>
                  <w14:solidFill>
                    <w14:schemeClr w14:val="tx1"/>
                  </w14:solidFill>
                </w14:textFill>
              </w:rPr>
              <w:t>医药制造业</w:t>
            </w:r>
          </w:p>
        </w:tc>
        <w:tc>
          <w:tcPr>
            <w:tcW w:w="1994" w:type="dxa"/>
            <w:tcBorders>
              <w:tl2br w:val="nil"/>
              <w:tr2bl w:val="nil"/>
            </w:tcBorders>
            <w:vAlign w:val="top"/>
          </w:tcPr>
          <w:p w14:paraId="6BFBAF1E">
            <w:pPr>
              <w:pStyle w:val="435"/>
              <w:widowControl w:val="0"/>
              <w:spacing w:before="34" w:line="209" w:lineRule="auto"/>
              <w:ind w:left="458"/>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4"/>
                <w:sz w:val="22"/>
                <w:szCs w:val="22"/>
                <w:highlight w:val="none"/>
                <w:u w:val="wave" w:color="auto"/>
                <w14:textFill>
                  <w14:solidFill>
                    <w14:schemeClr w14:val="tx1"/>
                  </w14:solidFill>
                </w14:textFill>
              </w:rPr>
              <w:t>150-900</w:t>
            </w:r>
          </w:p>
        </w:tc>
      </w:tr>
      <w:tr w14:paraId="565B8A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696" w:type="dxa"/>
            <w:tcBorders>
              <w:tl2br w:val="nil"/>
              <w:tr2bl w:val="nil"/>
            </w:tcBorders>
            <w:vAlign w:val="center"/>
          </w:tcPr>
          <w:p w14:paraId="4BCFE0A5">
            <w:pPr>
              <w:pStyle w:val="435"/>
              <w:widowControl w:val="0"/>
              <w:spacing w:before="35" w:line="208"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z w:val="22"/>
                <w:szCs w:val="22"/>
                <w:highlight w:val="none"/>
                <w:u w:val="wave" w:color="auto"/>
                <w14:textFill>
                  <w14:solidFill>
                    <w14:schemeClr w14:val="tx1"/>
                  </w14:solidFill>
                </w14:textFill>
              </w:rPr>
              <w:t>2</w:t>
            </w:r>
          </w:p>
        </w:tc>
        <w:tc>
          <w:tcPr>
            <w:tcW w:w="4299" w:type="dxa"/>
            <w:tcBorders>
              <w:tl2br w:val="nil"/>
              <w:tr2bl w:val="nil"/>
            </w:tcBorders>
            <w:vAlign w:val="top"/>
          </w:tcPr>
          <w:p w14:paraId="37E850B0">
            <w:pPr>
              <w:pStyle w:val="435"/>
              <w:widowControl w:val="0"/>
              <w:spacing w:before="35" w:line="208" w:lineRule="auto"/>
              <w:ind w:left="4"/>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湖南康玖堂生物科技有限公司</w:t>
            </w:r>
          </w:p>
        </w:tc>
        <w:tc>
          <w:tcPr>
            <w:tcW w:w="1829" w:type="dxa"/>
            <w:tcBorders>
              <w:tl2br w:val="nil"/>
              <w:tr2bl w:val="nil"/>
            </w:tcBorders>
            <w:vAlign w:val="top"/>
          </w:tcPr>
          <w:p w14:paraId="67597917">
            <w:pPr>
              <w:pStyle w:val="435"/>
              <w:widowControl w:val="0"/>
              <w:spacing w:before="35" w:line="208" w:lineRule="auto"/>
              <w:ind w:left="187"/>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食品加工业</w:t>
            </w:r>
          </w:p>
        </w:tc>
        <w:tc>
          <w:tcPr>
            <w:tcW w:w="1994" w:type="dxa"/>
            <w:tcBorders>
              <w:tl2br w:val="nil"/>
              <w:tr2bl w:val="nil"/>
            </w:tcBorders>
            <w:vAlign w:val="top"/>
          </w:tcPr>
          <w:p w14:paraId="1A5DBADA">
            <w:pPr>
              <w:pStyle w:val="435"/>
              <w:widowControl w:val="0"/>
              <w:spacing w:before="35" w:line="208" w:lineRule="auto"/>
              <w:ind w:left="578"/>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6"/>
                <w:sz w:val="22"/>
                <w:szCs w:val="22"/>
                <w:highlight w:val="none"/>
                <w:u w:val="wave" w:color="auto"/>
                <w14:textFill>
                  <w14:solidFill>
                    <w14:schemeClr w14:val="tx1"/>
                  </w14:solidFill>
                </w14:textFill>
              </w:rPr>
              <w:t>10-20</w:t>
            </w:r>
          </w:p>
        </w:tc>
      </w:tr>
      <w:tr w14:paraId="3D6E18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696" w:type="dxa"/>
            <w:tcBorders>
              <w:tl2br w:val="nil"/>
              <w:tr2bl w:val="nil"/>
            </w:tcBorders>
            <w:vAlign w:val="center"/>
          </w:tcPr>
          <w:p w14:paraId="664DB7DE">
            <w:pPr>
              <w:pStyle w:val="435"/>
              <w:widowControl w:val="0"/>
              <w:spacing w:before="35" w:line="208"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z w:val="22"/>
                <w:szCs w:val="22"/>
                <w:highlight w:val="none"/>
                <w:u w:val="wave" w:color="auto"/>
                <w14:textFill>
                  <w14:solidFill>
                    <w14:schemeClr w14:val="tx1"/>
                  </w14:solidFill>
                </w14:textFill>
              </w:rPr>
              <w:t>3</w:t>
            </w:r>
          </w:p>
        </w:tc>
        <w:tc>
          <w:tcPr>
            <w:tcW w:w="4299" w:type="dxa"/>
            <w:tcBorders>
              <w:tl2br w:val="nil"/>
              <w:tr2bl w:val="nil"/>
            </w:tcBorders>
            <w:vAlign w:val="top"/>
          </w:tcPr>
          <w:p w14:paraId="2A148CBC">
            <w:pPr>
              <w:pStyle w:val="435"/>
              <w:widowControl w:val="0"/>
              <w:spacing w:before="35" w:line="208" w:lineRule="auto"/>
              <w:ind w:left="4"/>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湖南禹健生物科技有限公司</w:t>
            </w:r>
          </w:p>
        </w:tc>
        <w:tc>
          <w:tcPr>
            <w:tcW w:w="1829" w:type="dxa"/>
            <w:tcBorders>
              <w:tl2br w:val="nil"/>
              <w:tr2bl w:val="nil"/>
            </w:tcBorders>
            <w:vAlign w:val="top"/>
          </w:tcPr>
          <w:p w14:paraId="1482D5E6">
            <w:pPr>
              <w:pStyle w:val="435"/>
              <w:widowControl w:val="0"/>
              <w:spacing w:before="35" w:line="208" w:lineRule="auto"/>
              <w:ind w:left="187"/>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食品加工业</w:t>
            </w:r>
          </w:p>
        </w:tc>
        <w:tc>
          <w:tcPr>
            <w:tcW w:w="1994" w:type="dxa"/>
            <w:tcBorders>
              <w:tl2br w:val="nil"/>
              <w:tr2bl w:val="nil"/>
            </w:tcBorders>
            <w:vAlign w:val="top"/>
          </w:tcPr>
          <w:p w14:paraId="3F8BEAEF">
            <w:pPr>
              <w:pStyle w:val="435"/>
              <w:widowControl w:val="0"/>
              <w:spacing w:before="35" w:line="208" w:lineRule="auto"/>
              <w:ind w:left="578"/>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6"/>
                <w:sz w:val="22"/>
                <w:szCs w:val="22"/>
                <w:highlight w:val="none"/>
                <w:u w:val="wave" w:color="auto"/>
                <w14:textFill>
                  <w14:solidFill>
                    <w14:schemeClr w14:val="tx1"/>
                  </w14:solidFill>
                </w14:textFill>
              </w:rPr>
              <w:t>10-20</w:t>
            </w:r>
          </w:p>
        </w:tc>
      </w:tr>
      <w:tr w14:paraId="2BBF50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696" w:type="dxa"/>
            <w:tcBorders>
              <w:tl2br w:val="nil"/>
              <w:tr2bl w:val="nil"/>
            </w:tcBorders>
            <w:vAlign w:val="center"/>
          </w:tcPr>
          <w:p w14:paraId="7705F2AB">
            <w:pPr>
              <w:pStyle w:val="435"/>
              <w:widowControl w:val="0"/>
              <w:spacing w:before="36" w:line="207"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z w:val="22"/>
                <w:szCs w:val="22"/>
                <w:highlight w:val="none"/>
                <w:u w:val="wave" w:color="auto"/>
                <w14:textFill>
                  <w14:solidFill>
                    <w14:schemeClr w14:val="tx1"/>
                  </w14:solidFill>
                </w14:textFill>
              </w:rPr>
              <w:t>4</w:t>
            </w:r>
          </w:p>
        </w:tc>
        <w:tc>
          <w:tcPr>
            <w:tcW w:w="4299" w:type="dxa"/>
            <w:tcBorders>
              <w:tl2br w:val="nil"/>
              <w:tr2bl w:val="nil"/>
            </w:tcBorders>
            <w:vAlign w:val="top"/>
          </w:tcPr>
          <w:p w14:paraId="0685454A">
            <w:pPr>
              <w:pStyle w:val="435"/>
              <w:widowControl w:val="0"/>
              <w:spacing w:before="36" w:line="207" w:lineRule="auto"/>
              <w:ind w:left="4"/>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湖南才广生物科技有限公司</w:t>
            </w:r>
          </w:p>
        </w:tc>
        <w:tc>
          <w:tcPr>
            <w:tcW w:w="1829" w:type="dxa"/>
            <w:tcBorders>
              <w:tl2br w:val="nil"/>
              <w:tr2bl w:val="nil"/>
            </w:tcBorders>
            <w:vAlign w:val="top"/>
          </w:tcPr>
          <w:p w14:paraId="739AE89C">
            <w:pPr>
              <w:pStyle w:val="435"/>
              <w:widowControl w:val="0"/>
              <w:spacing w:before="36" w:line="207" w:lineRule="auto"/>
              <w:ind w:left="187"/>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食品加工业</w:t>
            </w:r>
          </w:p>
        </w:tc>
        <w:tc>
          <w:tcPr>
            <w:tcW w:w="1994" w:type="dxa"/>
            <w:tcBorders>
              <w:tl2br w:val="nil"/>
              <w:tr2bl w:val="nil"/>
            </w:tcBorders>
            <w:vAlign w:val="top"/>
          </w:tcPr>
          <w:p w14:paraId="049962BC">
            <w:pPr>
              <w:pStyle w:val="435"/>
              <w:widowControl w:val="0"/>
              <w:spacing w:before="36" w:line="207" w:lineRule="auto"/>
              <w:ind w:left="578"/>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6"/>
                <w:sz w:val="22"/>
                <w:szCs w:val="22"/>
                <w:highlight w:val="none"/>
                <w:u w:val="wave" w:color="auto"/>
                <w14:textFill>
                  <w14:solidFill>
                    <w14:schemeClr w14:val="tx1"/>
                  </w14:solidFill>
                </w14:textFill>
              </w:rPr>
              <w:t>10-20</w:t>
            </w:r>
          </w:p>
        </w:tc>
      </w:tr>
      <w:tr w14:paraId="291EC0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696" w:type="dxa"/>
            <w:tcBorders>
              <w:tl2br w:val="nil"/>
              <w:tr2bl w:val="nil"/>
            </w:tcBorders>
            <w:vAlign w:val="center"/>
          </w:tcPr>
          <w:p w14:paraId="495BA9E2">
            <w:pPr>
              <w:pStyle w:val="435"/>
              <w:widowControl w:val="0"/>
              <w:spacing w:before="37" w:line="205"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z w:val="22"/>
                <w:szCs w:val="22"/>
                <w:highlight w:val="none"/>
                <w:u w:val="wave" w:color="auto"/>
                <w14:textFill>
                  <w14:solidFill>
                    <w14:schemeClr w14:val="tx1"/>
                  </w14:solidFill>
                </w14:textFill>
              </w:rPr>
              <w:t>5</w:t>
            </w:r>
          </w:p>
        </w:tc>
        <w:tc>
          <w:tcPr>
            <w:tcW w:w="4299" w:type="dxa"/>
            <w:tcBorders>
              <w:tl2br w:val="nil"/>
              <w:tr2bl w:val="nil"/>
            </w:tcBorders>
            <w:vAlign w:val="top"/>
          </w:tcPr>
          <w:p w14:paraId="7216C333">
            <w:pPr>
              <w:pStyle w:val="435"/>
              <w:widowControl w:val="0"/>
              <w:spacing w:before="37" w:line="205" w:lineRule="auto"/>
              <w:ind w:left="4"/>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湖南丁达尔生物科技有限公司</w:t>
            </w:r>
          </w:p>
        </w:tc>
        <w:tc>
          <w:tcPr>
            <w:tcW w:w="1829" w:type="dxa"/>
            <w:tcBorders>
              <w:tl2br w:val="nil"/>
              <w:tr2bl w:val="nil"/>
            </w:tcBorders>
            <w:vAlign w:val="top"/>
          </w:tcPr>
          <w:p w14:paraId="5A858078">
            <w:pPr>
              <w:pStyle w:val="435"/>
              <w:widowControl w:val="0"/>
              <w:spacing w:before="37" w:line="205" w:lineRule="auto"/>
              <w:ind w:left="187"/>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食品加工业</w:t>
            </w:r>
          </w:p>
        </w:tc>
        <w:tc>
          <w:tcPr>
            <w:tcW w:w="1994" w:type="dxa"/>
            <w:tcBorders>
              <w:tl2br w:val="nil"/>
              <w:tr2bl w:val="nil"/>
            </w:tcBorders>
            <w:vAlign w:val="top"/>
          </w:tcPr>
          <w:p w14:paraId="5E1E575D">
            <w:pPr>
              <w:pStyle w:val="435"/>
              <w:widowControl w:val="0"/>
              <w:spacing w:before="37" w:line="205" w:lineRule="auto"/>
              <w:ind w:left="578"/>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6"/>
                <w:sz w:val="22"/>
                <w:szCs w:val="22"/>
                <w:highlight w:val="none"/>
                <w:u w:val="wave" w:color="auto"/>
                <w14:textFill>
                  <w14:solidFill>
                    <w14:schemeClr w14:val="tx1"/>
                  </w14:solidFill>
                </w14:textFill>
              </w:rPr>
              <w:t>10-20</w:t>
            </w:r>
          </w:p>
        </w:tc>
      </w:tr>
      <w:tr w14:paraId="5BB857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696" w:type="dxa"/>
            <w:tcBorders>
              <w:tl2br w:val="nil"/>
              <w:tr2bl w:val="nil"/>
            </w:tcBorders>
            <w:vAlign w:val="center"/>
          </w:tcPr>
          <w:p w14:paraId="230CEA7D">
            <w:pPr>
              <w:pStyle w:val="435"/>
              <w:widowControl w:val="0"/>
              <w:spacing w:before="39" w:line="205"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z w:val="22"/>
                <w:szCs w:val="22"/>
                <w:highlight w:val="none"/>
                <w:u w:val="wave" w:color="auto"/>
                <w14:textFill>
                  <w14:solidFill>
                    <w14:schemeClr w14:val="tx1"/>
                  </w14:solidFill>
                </w14:textFill>
              </w:rPr>
              <w:t>6</w:t>
            </w:r>
          </w:p>
        </w:tc>
        <w:tc>
          <w:tcPr>
            <w:tcW w:w="4299" w:type="dxa"/>
            <w:tcBorders>
              <w:tl2br w:val="nil"/>
              <w:tr2bl w:val="nil"/>
            </w:tcBorders>
            <w:vAlign w:val="top"/>
          </w:tcPr>
          <w:p w14:paraId="42F30130">
            <w:pPr>
              <w:pStyle w:val="435"/>
              <w:widowControl w:val="0"/>
              <w:spacing w:before="39" w:line="205" w:lineRule="auto"/>
              <w:ind w:left="7"/>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益阳市大通湖区顺丰塑业有限公司</w:t>
            </w:r>
          </w:p>
        </w:tc>
        <w:tc>
          <w:tcPr>
            <w:tcW w:w="1829" w:type="dxa"/>
            <w:tcBorders>
              <w:tl2br w:val="nil"/>
              <w:tr2bl w:val="nil"/>
            </w:tcBorders>
            <w:vAlign w:val="top"/>
          </w:tcPr>
          <w:p w14:paraId="1A4CD1C8">
            <w:pPr>
              <w:pStyle w:val="435"/>
              <w:widowControl w:val="0"/>
              <w:spacing w:before="39" w:line="205" w:lineRule="auto"/>
              <w:ind w:left="72"/>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塑料回收加工</w:t>
            </w:r>
          </w:p>
        </w:tc>
        <w:tc>
          <w:tcPr>
            <w:tcW w:w="1994" w:type="dxa"/>
            <w:tcBorders>
              <w:tl2br w:val="nil"/>
              <w:tr2bl w:val="nil"/>
            </w:tcBorders>
            <w:vAlign w:val="top"/>
          </w:tcPr>
          <w:p w14:paraId="7914ED88">
            <w:pPr>
              <w:pStyle w:val="435"/>
              <w:widowControl w:val="0"/>
              <w:spacing w:before="39" w:line="205" w:lineRule="auto"/>
              <w:ind w:left="578"/>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6"/>
                <w:sz w:val="22"/>
                <w:szCs w:val="22"/>
                <w:highlight w:val="none"/>
                <w:u w:val="wave" w:color="auto"/>
                <w14:textFill>
                  <w14:solidFill>
                    <w14:schemeClr w14:val="tx1"/>
                  </w14:solidFill>
                </w14:textFill>
              </w:rPr>
              <w:t>10-30</w:t>
            </w:r>
          </w:p>
        </w:tc>
      </w:tr>
      <w:tr w14:paraId="64182A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696" w:type="dxa"/>
            <w:tcBorders>
              <w:tl2br w:val="nil"/>
              <w:tr2bl w:val="nil"/>
            </w:tcBorders>
            <w:vAlign w:val="center"/>
          </w:tcPr>
          <w:p w14:paraId="58B302D1">
            <w:pPr>
              <w:pStyle w:val="435"/>
              <w:widowControl w:val="0"/>
              <w:spacing w:before="38" w:line="206"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z w:val="22"/>
                <w:szCs w:val="22"/>
                <w:highlight w:val="none"/>
                <w:u w:val="wave" w:color="auto"/>
                <w14:textFill>
                  <w14:solidFill>
                    <w14:schemeClr w14:val="tx1"/>
                  </w14:solidFill>
                </w14:textFill>
              </w:rPr>
              <w:t>7</w:t>
            </w:r>
          </w:p>
        </w:tc>
        <w:tc>
          <w:tcPr>
            <w:tcW w:w="4299" w:type="dxa"/>
            <w:tcBorders>
              <w:tl2br w:val="nil"/>
              <w:tr2bl w:val="nil"/>
            </w:tcBorders>
            <w:vAlign w:val="top"/>
          </w:tcPr>
          <w:p w14:paraId="5171F0C4">
            <w:pPr>
              <w:pStyle w:val="435"/>
              <w:widowControl w:val="0"/>
              <w:spacing w:before="38" w:line="206" w:lineRule="auto"/>
              <w:ind w:left="4"/>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湖南省华益生物科技有限公司</w:t>
            </w:r>
          </w:p>
        </w:tc>
        <w:tc>
          <w:tcPr>
            <w:tcW w:w="1829" w:type="dxa"/>
            <w:tcBorders>
              <w:tl2br w:val="nil"/>
              <w:tr2bl w:val="nil"/>
            </w:tcBorders>
            <w:vAlign w:val="top"/>
          </w:tcPr>
          <w:p w14:paraId="4FE6C90B">
            <w:pPr>
              <w:pStyle w:val="435"/>
              <w:widowControl w:val="0"/>
              <w:spacing w:before="38" w:line="206" w:lineRule="auto"/>
              <w:ind w:left="187"/>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食品加工业</w:t>
            </w:r>
          </w:p>
        </w:tc>
        <w:tc>
          <w:tcPr>
            <w:tcW w:w="1994" w:type="dxa"/>
            <w:tcBorders>
              <w:tl2br w:val="nil"/>
              <w:tr2bl w:val="nil"/>
            </w:tcBorders>
            <w:vAlign w:val="top"/>
          </w:tcPr>
          <w:p w14:paraId="710E05FC">
            <w:pPr>
              <w:pStyle w:val="435"/>
              <w:widowControl w:val="0"/>
              <w:spacing w:before="38" w:line="206" w:lineRule="auto"/>
              <w:ind w:left="565"/>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3"/>
                <w:sz w:val="22"/>
                <w:szCs w:val="22"/>
                <w:highlight w:val="none"/>
                <w:u w:val="wave" w:color="auto"/>
                <w14:textFill>
                  <w14:solidFill>
                    <w14:schemeClr w14:val="tx1"/>
                  </w14:solidFill>
                </w14:textFill>
              </w:rPr>
              <w:t>50-90</w:t>
            </w:r>
          </w:p>
        </w:tc>
      </w:tr>
      <w:tr w14:paraId="0A02C4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696" w:type="dxa"/>
            <w:tcBorders>
              <w:tl2br w:val="nil"/>
              <w:tr2bl w:val="nil"/>
            </w:tcBorders>
            <w:vAlign w:val="center"/>
          </w:tcPr>
          <w:p w14:paraId="18A4DC29">
            <w:pPr>
              <w:pStyle w:val="435"/>
              <w:widowControl w:val="0"/>
              <w:spacing w:before="34" w:line="240"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eastAsia" w:ascii="Times New Roman" w:hAnsi="Times New Roman" w:cs="Times New Roman"/>
                <w:color w:val="000000" w:themeColor="text1"/>
                <w:sz w:val="22"/>
                <w:szCs w:val="22"/>
                <w:highlight w:val="none"/>
                <w:u w:val="wave" w:color="auto"/>
                <w:lang w:val="en-US" w:eastAsia="zh-CN"/>
                <w14:textFill>
                  <w14:solidFill>
                    <w14:schemeClr w14:val="tx1"/>
                  </w14:solidFill>
                </w14:textFill>
              </w:rPr>
              <w:t>8</w:t>
            </w:r>
          </w:p>
        </w:tc>
        <w:tc>
          <w:tcPr>
            <w:tcW w:w="4299" w:type="dxa"/>
            <w:tcBorders>
              <w:tl2br w:val="nil"/>
              <w:tr2bl w:val="nil"/>
            </w:tcBorders>
            <w:vAlign w:val="top"/>
          </w:tcPr>
          <w:p w14:paraId="4F418602">
            <w:pPr>
              <w:pStyle w:val="435"/>
              <w:widowControl w:val="0"/>
              <w:spacing w:before="38" w:line="206" w:lineRule="auto"/>
              <w:ind w:left="4"/>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pPr>
            <w:r>
              <w:rPr>
                <w:rFonts w:hint="eastAsia" w:ascii="Times New Roman" w:hAnsi="Times New Roman" w:cs="Times New Roman"/>
                <w:color w:val="000000" w:themeColor="text1"/>
                <w:spacing w:val="-1"/>
                <w:sz w:val="22"/>
                <w:szCs w:val="22"/>
                <w:highlight w:val="none"/>
                <w:u w:val="wave" w:color="auto"/>
                <w:lang w:val="en-US" w:eastAsia="zh-CN"/>
                <w14:textFill>
                  <w14:solidFill>
                    <w14:schemeClr w14:val="tx1"/>
                  </w14:solidFill>
                </w14:textFill>
              </w:rPr>
              <w:t>湖南通之源生物科技有限公司</w:t>
            </w:r>
          </w:p>
        </w:tc>
        <w:tc>
          <w:tcPr>
            <w:tcW w:w="1829" w:type="dxa"/>
            <w:tcBorders>
              <w:tl2br w:val="nil"/>
              <w:tr2bl w:val="nil"/>
            </w:tcBorders>
            <w:vAlign w:val="top"/>
          </w:tcPr>
          <w:p w14:paraId="5490BC85">
            <w:pPr>
              <w:pStyle w:val="435"/>
              <w:widowControl w:val="0"/>
              <w:spacing w:before="38" w:line="206" w:lineRule="auto"/>
              <w:ind w:left="187"/>
              <w:jc w:val="cente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食品加工业</w:t>
            </w:r>
          </w:p>
        </w:tc>
        <w:tc>
          <w:tcPr>
            <w:tcW w:w="1994" w:type="dxa"/>
            <w:tcBorders>
              <w:tl2br w:val="nil"/>
              <w:tr2bl w:val="nil"/>
            </w:tcBorders>
            <w:vAlign w:val="top"/>
          </w:tcPr>
          <w:p w14:paraId="34DD605C">
            <w:pPr>
              <w:pStyle w:val="435"/>
              <w:widowControl w:val="0"/>
              <w:spacing w:before="38" w:line="206" w:lineRule="auto"/>
              <w:ind w:left="565"/>
              <w:rPr>
                <w:rFonts w:hint="default" w:ascii="Times New Roman" w:hAnsi="Times New Roman" w:eastAsia="宋体" w:cs="Times New Roman"/>
                <w:color w:val="000000" w:themeColor="text1"/>
                <w:spacing w:val="-3"/>
                <w:sz w:val="22"/>
                <w:szCs w:val="22"/>
                <w:highlight w:val="none"/>
                <w:u w:val="wave" w:color="auto"/>
                <w:lang w:val="en-US" w:eastAsia="zh-CN"/>
                <w14:textFill>
                  <w14:solidFill>
                    <w14:schemeClr w14:val="tx1"/>
                  </w14:solidFill>
                </w14:textFill>
              </w:rPr>
            </w:pPr>
            <w:r>
              <w:rPr>
                <w:rFonts w:hint="eastAsia" w:ascii="Times New Roman" w:hAnsi="Times New Roman" w:cs="Times New Roman"/>
                <w:color w:val="000000" w:themeColor="text1"/>
                <w:spacing w:val="-3"/>
                <w:sz w:val="22"/>
                <w:szCs w:val="22"/>
                <w:highlight w:val="none"/>
                <w:u w:val="wave" w:color="auto"/>
                <w:lang w:val="en-US" w:eastAsia="zh-CN"/>
                <w14:textFill>
                  <w14:solidFill>
                    <w14:schemeClr w14:val="tx1"/>
                  </w14:solidFill>
                </w14:textFill>
              </w:rPr>
              <w:t>5-10</w:t>
            </w:r>
          </w:p>
        </w:tc>
      </w:tr>
      <w:tr w14:paraId="40920C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696" w:type="dxa"/>
            <w:tcBorders>
              <w:tl2br w:val="nil"/>
              <w:tr2bl w:val="nil"/>
            </w:tcBorders>
            <w:vAlign w:val="center"/>
          </w:tcPr>
          <w:p w14:paraId="44A2D411">
            <w:pPr>
              <w:pStyle w:val="435"/>
              <w:widowControl w:val="0"/>
              <w:spacing w:before="35" w:line="240" w:lineRule="auto"/>
              <w:jc w:val="center"/>
              <w:rPr>
                <w:rFonts w:hint="eastAsia" w:ascii="Times New Roman" w:hAnsi="Times New Roman" w:eastAsia="宋体" w:cs="Times New Roman"/>
                <w:color w:val="000000" w:themeColor="text1"/>
                <w:spacing w:val="-2"/>
                <w:sz w:val="22"/>
                <w:szCs w:val="22"/>
                <w:highlight w:val="none"/>
                <w:u w:val="wave" w:color="auto"/>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u w:val="wave" w:color="auto"/>
                <w:lang w:val="en-US" w:eastAsia="zh-CN"/>
                <w14:textFill>
                  <w14:solidFill>
                    <w14:schemeClr w14:val="tx1"/>
                  </w14:solidFill>
                </w14:textFill>
              </w:rPr>
              <w:t>9</w:t>
            </w:r>
          </w:p>
        </w:tc>
        <w:tc>
          <w:tcPr>
            <w:tcW w:w="4299" w:type="dxa"/>
            <w:tcBorders>
              <w:tl2br w:val="nil"/>
              <w:tr2bl w:val="nil"/>
            </w:tcBorders>
            <w:vAlign w:val="top"/>
          </w:tcPr>
          <w:p w14:paraId="1B882D4B">
            <w:pPr>
              <w:pStyle w:val="435"/>
              <w:widowControl w:val="0"/>
              <w:spacing w:before="38" w:line="206" w:lineRule="auto"/>
              <w:ind w:left="4" w:leftChars="0"/>
              <w:rPr>
                <w:rFonts w:hint="eastAsia" w:ascii="Times New Roman" w:hAnsi="Times New Roman" w:eastAsia="宋体" w:cs="Times New Roman"/>
                <w:color w:val="000000" w:themeColor="text1"/>
                <w:spacing w:val="-2"/>
                <w:sz w:val="22"/>
                <w:szCs w:val="22"/>
                <w:highlight w:val="none"/>
                <w:u w:val="wave" w:color="auto"/>
                <w:lang w:eastAsia="zh-CN"/>
                <w14:textFill>
                  <w14:solidFill>
                    <w14:schemeClr w14:val="tx1"/>
                  </w14:solidFill>
                </w14:textFill>
              </w:rPr>
            </w:pP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湖南芝因生物科技有限公司</w:t>
            </w:r>
          </w:p>
        </w:tc>
        <w:tc>
          <w:tcPr>
            <w:tcW w:w="1829" w:type="dxa"/>
            <w:tcBorders>
              <w:tl2br w:val="nil"/>
              <w:tr2bl w:val="nil"/>
            </w:tcBorders>
            <w:vAlign w:val="top"/>
          </w:tcPr>
          <w:p w14:paraId="713583FB">
            <w:pPr>
              <w:pStyle w:val="435"/>
              <w:widowControl w:val="0"/>
              <w:spacing w:before="38" w:line="206" w:lineRule="auto"/>
              <w:ind w:left="187" w:leftChars="0"/>
              <w:jc w:val="cente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lang w:val="en-US" w:eastAsia="zh-CN"/>
                <w14:textFill>
                  <w14:solidFill>
                    <w14:schemeClr w14:val="tx1"/>
                  </w14:solidFill>
                </w14:textFill>
              </w:rPr>
              <w:t>食品加工业</w:t>
            </w:r>
          </w:p>
        </w:tc>
        <w:tc>
          <w:tcPr>
            <w:tcW w:w="1994" w:type="dxa"/>
            <w:tcBorders>
              <w:tl2br w:val="nil"/>
              <w:tr2bl w:val="nil"/>
            </w:tcBorders>
            <w:vAlign w:val="top"/>
          </w:tcPr>
          <w:p w14:paraId="69ADD096">
            <w:pPr>
              <w:pStyle w:val="435"/>
              <w:widowControl w:val="0"/>
              <w:spacing w:before="38" w:line="206" w:lineRule="auto"/>
              <w:ind w:left="565" w:leftChars="0"/>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3"/>
                <w:sz w:val="22"/>
                <w:szCs w:val="22"/>
                <w:highlight w:val="none"/>
                <w:u w:val="wave" w:color="auto"/>
                <w:lang w:val="en-US" w:eastAsia="zh-CN"/>
                <w14:textFill>
                  <w14:solidFill>
                    <w14:schemeClr w14:val="tx1"/>
                  </w14:solidFill>
                </w14:textFill>
              </w:rPr>
              <w:t>40-60</w:t>
            </w:r>
          </w:p>
        </w:tc>
      </w:tr>
      <w:tr w14:paraId="0E34A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696" w:type="dxa"/>
            <w:tcBorders>
              <w:tl2br w:val="nil"/>
              <w:tr2bl w:val="nil"/>
            </w:tcBorders>
            <w:vAlign w:val="center"/>
          </w:tcPr>
          <w:p w14:paraId="163ECDC8">
            <w:pPr>
              <w:pStyle w:val="435"/>
              <w:widowControl w:val="0"/>
              <w:spacing w:before="35" w:line="240" w:lineRule="auto"/>
              <w:jc w:val="center"/>
              <w:rPr>
                <w:rFonts w:hint="default" w:ascii="Times New Roman" w:hAnsi="Times New Roman" w:eastAsia="宋体" w:cs="Times New Roman"/>
                <w:color w:val="000000" w:themeColor="text1"/>
                <w:spacing w:val="-2"/>
                <w:sz w:val="22"/>
                <w:szCs w:val="22"/>
                <w:highlight w:val="none"/>
                <w:u w:val="wave" w:color="auto"/>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u w:val="wave" w:color="auto"/>
                <w:lang w:val="en-US" w:eastAsia="zh-CN"/>
                <w14:textFill>
                  <w14:solidFill>
                    <w14:schemeClr w14:val="tx1"/>
                  </w14:solidFill>
                </w14:textFill>
              </w:rPr>
              <w:t>10</w:t>
            </w:r>
          </w:p>
        </w:tc>
        <w:tc>
          <w:tcPr>
            <w:tcW w:w="4299" w:type="dxa"/>
            <w:tcBorders>
              <w:tl2br w:val="nil"/>
              <w:tr2bl w:val="nil"/>
            </w:tcBorders>
            <w:vAlign w:val="top"/>
          </w:tcPr>
          <w:p w14:paraId="2C5F5C98">
            <w:pPr>
              <w:pStyle w:val="435"/>
              <w:widowControl w:val="0"/>
              <w:spacing w:before="39" w:line="240" w:lineRule="auto"/>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诺然生物植物提取物项目</w:t>
            </w:r>
            <w:r>
              <w:rPr>
                <w:rFonts w:hint="eastAsia" w:ascii="Times New Roman" w:hAnsi="Times New Roman" w:cs="Times New Roman"/>
                <w:color w:val="000000" w:themeColor="text1"/>
                <w:spacing w:val="-2"/>
                <w:sz w:val="22"/>
                <w:szCs w:val="22"/>
                <w:highlight w:val="none"/>
                <w:u w:val="wave" w:color="auto"/>
                <w:lang w:eastAsia="zh-CN"/>
                <w14:textFill>
                  <w14:solidFill>
                    <w14:schemeClr w14:val="tx1"/>
                  </w14:solidFill>
                </w14:textFill>
              </w:rPr>
              <w:t>（</w:t>
            </w:r>
            <w:r>
              <w:rPr>
                <w:rFonts w:hint="eastAsia" w:ascii="Times New Roman" w:hAnsi="Times New Roman" w:cs="Times New Roman"/>
                <w:color w:val="000000" w:themeColor="text1"/>
                <w:spacing w:val="-2"/>
                <w:sz w:val="22"/>
                <w:szCs w:val="22"/>
                <w:highlight w:val="none"/>
                <w:u w:val="wave" w:color="auto"/>
                <w:lang w:val="en-US" w:eastAsia="zh-CN"/>
                <w14:textFill>
                  <w14:solidFill>
                    <w14:schemeClr w14:val="tx1"/>
                  </w14:solidFill>
                </w14:textFill>
              </w:rPr>
              <w:t>洽谈中</w:t>
            </w:r>
            <w:r>
              <w:rPr>
                <w:rFonts w:hint="eastAsia" w:ascii="Times New Roman" w:hAnsi="Times New Roman" w:cs="Times New Roman"/>
                <w:color w:val="000000" w:themeColor="text1"/>
                <w:spacing w:val="-2"/>
                <w:sz w:val="22"/>
                <w:szCs w:val="22"/>
                <w:highlight w:val="none"/>
                <w:u w:val="wave" w:color="auto"/>
                <w:lang w:eastAsia="zh-CN"/>
                <w14:textFill>
                  <w14:solidFill>
                    <w14:schemeClr w14:val="tx1"/>
                  </w14:solidFill>
                </w14:textFill>
              </w:rPr>
              <w:t>）</w:t>
            </w:r>
          </w:p>
        </w:tc>
        <w:tc>
          <w:tcPr>
            <w:tcW w:w="1829" w:type="dxa"/>
            <w:tcBorders>
              <w:tl2br w:val="nil"/>
              <w:tr2bl w:val="nil"/>
            </w:tcBorders>
            <w:vAlign w:val="center"/>
          </w:tcPr>
          <w:p w14:paraId="12DEC228">
            <w:pPr>
              <w:pStyle w:val="435"/>
              <w:widowControl w:val="0"/>
              <w:spacing w:before="39" w:line="240" w:lineRule="auto"/>
              <w:ind w:left="72"/>
              <w:jc w:val="cente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pPr>
            <w:r>
              <w:rPr>
                <w:rFonts w:hint="eastAsia" w:ascii="Times New Roman" w:hAnsi="Times New Roman" w:cs="Times New Roman"/>
                <w:color w:val="000000" w:themeColor="text1"/>
                <w:spacing w:val="-2"/>
                <w:sz w:val="22"/>
                <w:szCs w:val="22"/>
                <w:highlight w:val="none"/>
                <w:u w:val="wave" w:color="auto"/>
                <w:lang w:val="en-US" w:eastAsia="zh-CN"/>
                <w14:textFill>
                  <w14:solidFill>
                    <w14:schemeClr w14:val="tx1"/>
                  </w14:solidFill>
                </w14:textFill>
              </w:rPr>
              <w:t xml:space="preserve"> </w:t>
            </w: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食品加工业</w:t>
            </w:r>
          </w:p>
        </w:tc>
        <w:tc>
          <w:tcPr>
            <w:tcW w:w="1994" w:type="dxa"/>
            <w:tcBorders>
              <w:tl2br w:val="nil"/>
              <w:tr2bl w:val="nil"/>
            </w:tcBorders>
            <w:vAlign w:val="top"/>
          </w:tcPr>
          <w:p w14:paraId="44A1AE99">
            <w:pPr>
              <w:pStyle w:val="435"/>
              <w:widowControl w:val="0"/>
              <w:spacing w:before="35" w:line="208" w:lineRule="auto"/>
              <w:ind w:left="578" w:leftChars="0"/>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6"/>
                <w:sz w:val="22"/>
                <w:szCs w:val="22"/>
                <w:highlight w:val="none"/>
                <w:u w:val="wave" w:color="auto"/>
                <w14:textFill>
                  <w14:solidFill>
                    <w14:schemeClr w14:val="tx1"/>
                  </w14:solidFill>
                </w14:textFill>
              </w:rPr>
              <w:t>10-20</w:t>
            </w:r>
          </w:p>
        </w:tc>
      </w:tr>
      <w:tr w14:paraId="07B608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696" w:type="dxa"/>
            <w:tcBorders>
              <w:tl2br w:val="nil"/>
              <w:tr2bl w:val="nil"/>
            </w:tcBorders>
            <w:vAlign w:val="center"/>
          </w:tcPr>
          <w:p w14:paraId="77CC4D22">
            <w:pPr>
              <w:pStyle w:val="435"/>
              <w:widowControl w:val="0"/>
              <w:spacing w:before="36" w:line="240" w:lineRule="auto"/>
              <w:jc w:val="center"/>
              <w:rPr>
                <w:rFonts w:hint="default" w:ascii="Times New Roman" w:hAnsi="Times New Roman" w:eastAsia="宋体" w:cs="Times New Roman"/>
                <w:color w:val="000000" w:themeColor="text1"/>
                <w:spacing w:val="-2"/>
                <w:sz w:val="22"/>
                <w:szCs w:val="22"/>
                <w:highlight w:val="none"/>
                <w:u w:val="wave" w:color="auto"/>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u w:val="wave" w:color="auto"/>
                <w:lang w:val="en-US" w:eastAsia="zh-CN"/>
                <w14:textFill>
                  <w14:solidFill>
                    <w14:schemeClr w14:val="tx1"/>
                  </w14:solidFill>
                </w14:textFill>
              </w:rPr>
              <w:t>11</w:t>
            </w:r>
          </w:p>
        </w:tc>
        <w:tc>
          <w:tcPr>
            <w:tcW w:w="4299" w:type="dxa"/>
            <w:tcBorders>
              <w:tl2br w:val="nil"/>
              <w:tr2bl w:val="nil"/>
            </w:tcBorders>
            <w:vAlign w:val="top"/>
          </w:tcPr>
          <w:p w14:paraId="428DA02D">
            <w:pPr>
              <w:pStyle w:val="435"/>
              <w:widowControl w:val="0"/>
              <w:spacing w:before="39" w:line="240" w:lineRule="auto"/>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康迈科生物植物提取物项目</w:t>
            </w:r>
            <w:r>
              <w:rPr>
                <w:rFonts w:hint="eastAsia" w:ascii="Times New Roman" w:hAnsi="Times New Roman" w:cs="Times New Roman"/>
                <w:color w:val="000000" w:themeColor="text1"/>
                <w:spacing w:val="-2"/>
                <w:sz w:val="22"/>
                <w:szCs w:val="22"/>
                <w:highlight w:val="none"/>
                <w:u w:val="wave" w:color="auto"/>
                <w:lang w:eastAsia="zh-CN"/>
                <w14:textFill>
                  <w14:solidFill>
                    <w14:schemeClr w14:val="tx1"/>
                  </w14:solidFill>
                </w14:textFill>
              </w:rPr>
              <w:t>（</w:t>
            </w:r>
            <w:r>
              <w:rPr>
                <w:rFonts w:hint="eastAsia" w:ascii="Times New Roman" w:hAnsi="Times New Roman" w:cs="Times New Roman"/>
                <w:color w:val="000000" w:themeColor="text1"/>
                <w:spacing w:val="-2"/>
                <w:sz w:val="22"/>
                <w:szCs w:val="22"/>
                <w:highlight w:val="none"/>
                <w:u w:val="wave" w:color="auto"/>
                <w:lang w:val="en-US" w:eastAsia="zh-CN"/>
                <w14:textFill>
                  <w14:solidFill>
                    <w14:schemeClr w14:val="tx1"/>
                  </w14:solidFill>
                </w14:textFill>
              </w:rPr>
              <w:t>洽谈中</w:t>
            </w:r>
            <w:r>
              <w:rPr>
                <w:rFonts w:hint="eastAsia" w:ascii="Times New Roman" w:hAnsi="Times New Roman" w:cs="Times New Roman"/>
                <w:color w:val="000000" w:themeColor="text1"/>
                <w:spacing w:val="-2"/>
                <w:sz w:val="22"/>
                <w:szCs w:val="22"/>
                <w:highlight w:val="none"/>
                <w:u w:val="wave" w:color="auto"/>
                <w:lang w:eastAsia="zh-CN"/>
                <w14:textFill>
                  <w14:solidFill>
                    <w14:schemeClr w14:val="tx1"/>
                  </w14:solidFill>
                </w14:textFill>
              </w:rPr>
              <w:t>）</w:t>
            </w:r>
          </w:p>
        </w:tc>
        <w:tc>
          <w:tcPr>
            <w:tcW w:w="1829" w:type="dxa"/>
            <w:tcBorders>
              <w:tl2br w:val="nil"/>
              <w:tr2bl w:val="nil"/>
            </w:tcBorders>
            <w:vAlign w:val="center"/>
          </w:tcPr>
          <w:p w14:paraId="35742F44">
            <w:pPr>
              <w:pStyle w:val="435"/>
              <w:widowControl w:val="0"/>
              <w:spacing w:before="39" w:line="240" w:lineRule="auto"/>
              <w:ind w:left="72"/>
              <w:jc w:val="cente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pPr>
            <w:r>
              <w:rPr>
                <w:rFonts w:hint="eastAsia" w:ascii="Times New Roman" w:hAnsi="Times New Roman" w:cs="Times New Roman"/>
                <w:color w:val="000000" w:themeColor="text1"/>
                <w:spacing w:val="-2"/>
                <w:sz w:val="22"/>
                <w:szCs w:val="22"/>
                <w:highlight w:val="none"/>
                <w:u w:val="wave" w:color="auto"/>
                <w:lang w:val="en-US" w:eastAsia="zh-CN"/>
                <w14:textFill>
                  <w14:solidFill>
                    <w14:schemeClr w14:val="tx1"/>
                  </w14:solidFill>
                </w14:textFill>
              </w:rPr>
              <w:t xml:space="preserve"> </w:t>
            </w: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食品加工业</w:t>
            </w:r>
          </w:p>
        </w:tc>
        <w:tc>
          <w:tcPr>
            <w:tcW w:w="1994" w:type="dxa"/>
            <w:tcBorders>
              <w:tl2br w:val="nil"/>
              <w:tr2bl w:val="nil"/>
            </w:tcBorders>
            <w:vAlign w:val="top"/>
          </w:tcPr>
          <w:p w14:paraId="085317AF">
            <w:pPr>
              <w:pStyle w:val="435"/>
              <w:widowControl w:val="0"/>
              <w:spacing w:before="36" w:line="207" w:lineRule="auto"/>
              <w:ind w:left="578" w:leftChars="0"/>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6"/>
                <w:sz w:val="22"/>
                <w:szCs w:val="22"/>
                <w:highlight w:val="none"/>
                <w:u w:val="wave" w:color="auto"/>
                <w14:textFill>
                  <w14:solidFill>
                    <w14:schemeClr w14:val="tx1"/>
                  </w14:solidFill>
                </w14:textFill>
              </w:rPr>
              <w:t>10-20</w:t>
            </w:r>
          </w:p>
        </w:tc>
      </w:tr>
      <w:tr w14:paraId="04A601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696" w:type="dxa"/>
            <w:tcBorders>
              <w:tl2br w:val="nil"/>
              <w:tr2bl w:val="nil"/>
            </w:tcBorders>
            <w:vAlign w:val="center"/>
          </w:tcPr>
          <w:p w14:paraId="02B49AE5">
            <w:pPr>
              <w:pStyle w:val="435"/>
              <w:widowControl w:val="0"/>
              <w:spacing w:before="36" w:line="240" w:lineRule="auto"/>
              <w:jc w:val="center"/>
              <w:rPr>
                <w:rFonts w:hint="default" w:ascii="Times New Roman" w:hAnsi="Times New Roman" w:eastAsia="宋体" w:cs="Times New Roman"/>
                <w:color w:val="000000" w:themeColor="text1"/>
                <w:sz w:val="22"/>
                <w:szCs w:val="22"/>
                <w:highlight w:val="none"/>
                <w:u w:val="wave" w:color="auto"/>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u w:val="wave" w:color="auto"/>
                <w:lang w:val="en-US" w:eastAsia="zh-CN"/>
                <w14:textFill>
                  <w14:solidFill>
                    <w14:schemeClr w14:val="tx1"/>
                  </w14:solidFill>
                </w14:textFill>
              </w:rPr>
              <w:t>12</w:t>
            </w:r>
          </w:p>
        </w:tc>
        <w:tc>
          <w:tcPr>
            <w:tcW w:w="4299" w:type="dxa"/>
            <w:tcBorders>
              <w:tl2br w:val="nil"/>
              <w:tr2bl w:val="nil"/>
            </w:tcBorders>
            <w:vAlign w:val="top"/>
          </w:tcPr>
          <w:p w14:paraId="1BB742E6">
            <w:pPr>
              <w:pStyle w:val="435"/>
              <w:widowControl w:val="0"/>
              <w:spacing w:before="39" w:line="240" w:lineRule="auto"/>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槟榔芯提取物制造加工建设项目</w:t>
            </w:r>
            <w:r>
              <w:rPr>
                <w:rFonts w:hint="eastAsia" w:ascii="Times New Roman" w:hAnsi="Times New Roman" w:cs="Times New Roman"/>
                <w:color w:val="000000" w:themeColor="text1"/>
                <w:spacing w:val="-2"/>
                <w:sz w:val="22"/>
                <w:szCs w:val="22"/>
                <w:highlight w:val="none"/>
                <w:u w:val="wave" w:color="auto"/>
                <w:lang w:eastAsia="zh-CN"/>
                <w14:textFill>
                  <w14:solidFill>
                    <w14:schemeClr w14:val="tx1"/>
                  </w14:solidFill>
                </w14:textFill>
              </w:rPr>
              <w:t>（</w:t>
            </w:r>
            <w:r>
              <w:rPr>
                <w:rFonts w:hint="eastAsia" w:ascii="Times New Roman" w:hAnsi="Times New Roman" w:cs="Times New Roman"/>
                <w:color w:val="000000" w:themeColor="text1"/>
                <w:spacing w:val="-2"/>
                <w:sz w:val="22"/>
                <w:szCs w:val="22"/>
                <w:highlight w:val="none"/>
                <w:u w:val="wave" w:color="auto"/>
                <w:lang w:val="en-US" w:eastAsia="zh-CN"/>
                <w14:textFill>
                  <w14:solidFill>
                    <w14:schemeClr w14:val="tx1"/>
                  </w14:solidFill>
                </w14:textFill>
              </w:rPr>
              <w:t>洽谈中</w:t>
            </w:r>
            <w:r>
              <w:rPr>
                <w:rFonts w:hint="eastAsia" w:ascii="Times New Roman" w:hAnsi="Times New Roman" w:cs="Times New Roman"/>
                <w:color w:val="000000" w:themeColor="text1"/>
                <w:spacing w:val="-2"/>
                <w:sz w:val="22"/>
                <w:szCs w:val="22"/>
                <w:highlight w:val="none"/>
                <w:u w:val="wave" w:color="auto"/>
                <w:lang w:eastAsia="zh-CN"/>
                <w14:textFill>
                  <w14:solidFill>
                    <w14:schemeClr w14:val="tx1"/>
                  </w14:solidFill>
                </w14:textFill>
              </w:rPr>
              <w:t>）</w:t>
            </w:r>
          </w:p>
        </w:tc>
        <w:tc>
          <w:tcPr>
            <w:tcW w:w="1829" w:type="dxa"/>
            <w:tcBorders>
              <w:tl2br w:val="nil"/>
              <w:tr2bl w:val="nil"/>
            </w:tcBorders>
            <w:vAlign w:val="center"/>
          </w:tcPr>
          <w:p w14:paraId="1DFEDFBF">
            <w:pPr>
              <w:pStyle w:val="435"/>
              <w:widowControl w:val="0"/>
              <w:spacing w:before="39" w:line="240" w:lineRule="auto"/>
              <w:ind w:left="72" w:leftChars="0"/>
              <w:jc w:val="center"/>
              <w:rPr>
                <w:rFonts w:hint="default" w:ascii="Times New Roman" w:hAnsi="Times New Roman" w:cs="Times New Roman"/>
                <w:color w:val="000000" w:themeColor="text1"/>
                <w:sz w:val="20"/>
                <w:szCs w:val="22"/>
                <w:highlight w:val="none"/>
                <w:u w:val="wave" w:color="auto"/>
                <w14:textFill>
                  <w14:solidFill>
                    <w14:schemeClr w14:val="tx1"/>
                  </w14:solidFill>
                </w14:textFill>
              </w:rPr>
            </w:pPr>
            <w:r>
              <w:rPr>
                <w:rFonts w:hint="eastAsia" w:ascii="Times New Roman" w:hAnsi="Times New Roman" w:cs="Times New Roman"/>
                <w:color w:val="000000" w:themeColor="text1"/>
                <w:spacing w:val="-2"/>
                <w:sz w:val="22"/>
                <w:szCs w:val="22"/>
                <w:highlight w:val="none"/>
                <w:u w:val="wave" w:color="auto"/>
                <w:lang w:val="en-US" w:eastAsia="zh-CN"/>
                <w14:textFill>
                  <w14:solidFill>
                    <w14:schemeClr w14:val="tx1"/>
                  </w14:solidFill>
                </w14:textFill>
              </w:rPr>
              <w:t xml:space="preserve"> </w:t>
            </w: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食品加工业</w:t>
            </w:r>
          </w:p>
        </w:tc>
        <w:tc>
          <w:tcPr>
            <w:tcW w:w="1994" w:type="dxa"/>
            <w:tcBorders>
              <w:tl2br w:val="nil"/>
              <w:tr2bl w:val="nil"/>
            </w:tcBorders>
            <w:vAlign w:val="top"/>
          </w:tcPr>
          <w:p w14:paraId="3F3E00A9">
            <w:pPr>
              <w:pStyle w:val="435"/>
              <w:widowControl w:val="0"/>
              <w:spacing w:before="35" w:line="208" w:lineRule="auto"/>
              <w:ind w:left="578" w:leftChars="0"/>
              <w:rPr>
                <w:rFonts w:hint="default" w:ascii="Times New Roman" w:hAnsi="Times New Roman" w:eastAsia="宋体" w:cs="Times New Roman"/>
                <w:color w:val="000000" w:themeColor="text1"/>
                <w:sz w:val="22"/>
                <w:szCs w:val="22"/>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pacing w:val="-6"/>
                <w:sz w:val="22"/>
                <w:szCs w:val="22"/>
                <w:highlight w:val="none"/>
                <w:u w:val="wave" w:color="auto"/>
                <w14:textFill>
                  <w14:solidFill>
                    <w14:schemeClr w14:val="tx1"/>
                  </w14:solidFill>
                </w14:textFill>
              </w:rPr>
              <w:t>10-20</w:t>
            </w:r>
          </w:p>
        </w:tc>
      </w:tr>
      <w:tr w14:paraId="44E2D6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696" w:type="dxa"/>
            <w:tcBorders>
              <w:tl2br w:val="nil"/>
              <w:tr2bl w:val="nil"/>
            </w:tcBorders>
            <w:vAlign w:val="center"/>
          </w:tcPr>
          <w:p w14:paraId="5998BCD8">
            <w:pPr>
              <w:pStyle w:val="435"/>
              <w:widowControl w:val="0"/>
              <w:spacing w:before="36" w:line="240" w:lineRule="auto"/>
              <w:jc w:val="center"/>
              <w:rPr>
                <w:rFonts w:hint="default" w:ascii="Times New Roman" w:hAnsi="Times New Roman" w:cs="Times New Roman"/>
                <w:color w:val="000000" w:themeColor="text1"/>
                <w:sz w:val="22"/>
                <w:szCs w:val="22"/>
                <w:highlight w:val="none"/>
                <w:u w:val="wave" w:color="auto"/>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u w:val="wave" w:color="auto"/>
                <w:lang w:val="en-US" w:eastAsia="zh-CN"/>
                <w14:textFill>
                  <w14:solidFill>
                    <w14:schemeClr w14:val="tx1"/>
                  </w14:solidFill>
                </w14:textFill>
              </w:rPr>
              <w:t>13</w:t>
            </w:r>
          </w:p>
        </w:tc>
        <w:tc>
          <w:tcPr>
            <w:tcW w:w="4299" w:type="dxa"/>
            <w:tcBorders>
              <w:tl2br w:val="nil"/>
              <w:tr2bl w:val="nil"/>
            </w:tcBorders>
            <w:vAlign w:val="top"/>
          </w:tcPr>
          <w:p w14:paraId="0F252D4B">
            <w:pPr>
              <w:pStyle w:val="435"/>
              <w:widowControl w:val="0"/>
              <w:spacing w:before="39" w:line="240" w:lineRule="auto"/>
              <w:ind w:left="6"/>
              <w:rPr>
                <w:rFonts w:hint="default" w:ascii="Times New Roman" w:hAnsi="Times New Roman" w:cs="Times New Roman"/>
                <w:color w:val="000000" w:themeColor="text1"/>
                <w:spacing w:val="-3"/>
                <w:sz w:val="22"/>
                <w:szCs w:val="22"/>
                <w:highlight w:val="none"/>
                <w:u w:val="wave" w:color="auto"/>
                <w14:textFill>
                  <w14:solidFill>
                    <w14:schemeClr w14:val="tx1"/>
                  </w14:solidFill>
                </w14:textFill>
              </w:rPr>
            </w:pPr>
          </w:p>
        </w:tc>
        <w:tc>
          <w:tcPr>
            <w:tcW w:w="1829" w:type="dxa"/>
            <w:tcBorders>
              <w:tl2br w:val="nil"/>
              <w:tr2bl w:val="nil"/>
            </w:tcBorders>
            <w:vAlign w:val="top"/>
          </w:tcPr>
          <w:p w14:paraId="1B9F7115">
            <w:pPr>
              <w:spacing w:line="240" w:lineRule="auto"/>
              <w:rPr>
                <w:rFonts w:hint="default" w:ascii="Times New Roman" w:hAnsi="Times New Roman" w:cs="Times New Roman"/>
                <w:color w:val="000000" w:themeColor="text1"/>
                <w:sz w:val="20"/>
                <w:szCs w:val="22"/>
                <w:highlight w:val="none"/>
                <w:u w:val="wave" w:color="auto"/>
                <w14:textFill>
                  <w14:solidFill>
                    <w14:schemeClr w14:val="tx1"/>
                  </w14:solidFill>
                </w14:textFill>
              </w:rPr>
            </w:pPr>
          </w:p>
        </w:tc>
        <w:tc>
          <w:tcPr>
            <w:tcW w:w="1994" w:type="dxa"/>
            <w:tcBorders>
              <w:tl2br w:val="nil"/>
              <w:tr2bl w:val="nil"/>
            </w:tcBorders>
            <w:vAlign w:val="top"/>
          </w:tcPr>
          <w:p w14:paraId="7B1344DB">
            <w:pPr>
              <w:pStyle w:val="435"/>
              <w:widowControl w:val="0"/>
              <w:spacing w:before="39" w:line="240" w:lineRule="auto"/>
              <w:ind w:left="383"/>
              <w:rPr>
                <w:rFonts w:hint="eastAsia" w:ascii="Times New Roman" w:hAnsi="Times New Roman" w:cs="Times New Roman"/>
                <w:color w:val="000000" w:themeColor="text1"/>
                <w:spacing w:val="-2"/>
                <w:sz w:val="22"/>
                <w:szCs w:val="22"/>
                <w:highlight w:val="none"/>
                <w:u w:val="wave" w:color="auto"/>
                <w:lang w:val="en-US" w:eastAsia="zh-CN"/>
                <w14:textFill>
                  <w14:solidFill>
                    <w14:schemeClr w14:val="tx1"/>
                  </w14:solidFill>
                </w14:textFill>
              </w:rPr>
            </w:pPr>
            <w:r>
              <w:rPr>
                <w:rFonts w:hint="eastAsia" w:ascii="Times New Roman" w:hAnsi="Times New Roman" w:cs="Times New Roman"/>
                <w:color w:val="000000" w:themeColor="text1"/>
                <w:spacing w:val="-2"/>
                <w:sz w:val="22"/>
                <w:szCs w:val="22"/>
                <w:highlight w:val="none"/>
                <w:u w:val="wave" w:color="auto"/>
                <w:lang w:val="en-US" w:eastAsia="zh-CN"/>
                <w14:textFill>
                  <w14:solidFill>
                    <w14:schemeClr w14:val="tx1"/>
                  </w14:solidFill>
                </w14:textFill>
              </w:rPr>
              <w:t>325</w:t>
            </w: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-1</w:t>
            </w:r>
            <w:r>
              <w:rPr>
                <w:rFonts w:hint="eastAsia" w:ascii="Times New Roman" w:hAnsi="Times New Roman" w:cs="Times New Roman"/>
                <w:color w:val="000000" w:themeColor="text1"/>
                <w:spacing w:val="-2"/>
                <w:sz w:val="22"/>
                <w:szCs w:val="22"/>
                <w:highlight w:val="none"/>
                <w:u w:val="wave" w:color="auto"/>
                <w:lang w:val="en-US" w:eastAsia="zh-CN"/>
                <w14:textFill>
                  <w14:solidFill>
                    <w14:schemeClr w14:val="tx1"/>
                  </w14:solidFill>
                </w14:textFill>
              </w:rPr>
              <w:t>230</w:t>
            </w:r>
          </w:p>
        </w:tc>
      </w:tr>
    </w:tbl>
    <w:p w14:paraId="20B63746">
      <w:pPr>
        <w:kinsoku w:val="0"/>
        <w:autoSpaceDE w:val="0"/>
        <w:autoSpaceDN w:val="0"/>
        <w:adjustRightInd w:val="0"/>
        <w:snapToGrid w:val="0"/>
        <w:spacing w:before="114" w:line="350" w:lineRule="auto"/>
        <w:ind w:left="39" w:firstLine="478"/>
        <w:jc w:val="left"/>
        <w:textAlignment w:val="baseline"/>
        <w:rPr>
          <w:rFonts w:hint="default" w:ascii="Times New Roman" w:hAnsi="Times New Roman" w:eastAsia="宋体" w:cs="Times New Roman"/>
          <w:color w:val="000000" w:themeColor="text1"/>
          <w:sz w:val="24"/>
          <w:szCs w:val="32"/>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32"/>
          <w:highlight w:val="none"/>
          <w:u w:val="wave" w:color="auto"/>
          <w:lang w:val="en-US" w:eastAsia="en-US" w:bidi="ar-SA"/>
          <w14:textFill>
            <w14:solidFill>
              <w14:schemeClr w14:val="tx1"/>
            </w14:solidFill>
          </w14:textFill>
        </w:rPr>
        <w:t>工业园污水处理厂服务于工业园区内的企业，收集的主要为企业的生产废水</w:t>
      </w:r>
      <w:r>
        <w:rPr>
          <w:rFonts w:hint="default" w:ascii="Times New Roman" w:hAnsi="Times New Roman" w:eastAsia="宋体" w:cs="Times New Roman"/>
          <w:color w:val="000000" w:themeColor="text1"/>
          <w:sz w:val="24"/>
          <w:szCs w:val="32"/>
          <w:highlight w:val="none"/>
          <w:u w:val="wave" w:color="auto"/>
          <w:lang w:val="en-US" w:eastAsia="zh-CN" w:bidi="ar-SA"/>
          <w14:textFill>
            <w14:solidFill>
              <w14:schemeClr w14:val="tx1"/>
            </w14:solidFill>
          </w14:textFill>
        </w:rPr>
        <w:t>。</w:t>
      </w:r>
    </w:p>
    <w:p w14:paraId="2C60052F">
      <w:pPr>
        <w:kinsoku w:val="0"/>
        <w:autoSpaceDE w:val="0"/>
        <w:autoSpaceDN w:val="0"/>
        <w:adjustRightInd w:val="0"/>
        <w:snapToGrid w:val="0"/>
        <w:spacing w:before="114" w:line="350" w:lineRule="auto"/>
        <w:ind w:left="39" w:firstLine="478"/>
        <w:jc w:val="left"/>
        <w:textAlignment w:val="baseline"/>
        <w:rPr>
          <w:rFonts w:hint="default" w:ascii="Times New Roman" w:hAnsi="Times New Roman" w:eastAsia="宋体" w:cs="Times New Roman"/>
          <w:color w:val="000000" w:themeColor="text1"/>
          <w:sz w:val="24"/>
          <w:szCs w:val="32"/>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32"/>
          <w:highlight w:val="none"/>
          <w:u w:val="wave" w:color="auto"/>
          <w:lang w:val="en-US" w:eastAsia="zh-CN" w:bidi="ar-SA"/>
          <w14:textFill>
            <w14:solidFill>
              <w14:schemeClr w14:val="tx1"/>
            </w14:solidFill>
          </w14:textFill>
        </w:rPr>
        <w:t>根据《大通湖产业开发区产业发展规划》（2023-2025），大通湖工业园定位为以植物提取物产业为主导、光电制造业为特色的“五好”园区</w:t>
      </w:r>
      <w:r>
        <w:rPr>
          <w:rFonts w:hint="eastAsia" w:cs="Times New Roman"/>
          <w:color w:val="000000" w:themeColor="text1"/>
          <w:sz w:val="24"/>
          <w:szCs w:val="32"/>
          <w:highlight w:val="none"/>
          <w:u w:val="wave" w:color="auto"/>
          <w:lang w:val="en-US" w:eastAsia="zh-CN" w:bidi="ar-SA"/>
          <w14:textFill>
            <w14:solidFill>
              <w14:schemeClr w14:val="tx1"/>
            </w14:solidFill>
          </w14:textFill>
        </w:rPr>
        <w:t>。为配套发展，拟新建一座处理规模为2000m</w:t>
      </w:r>
      <w:r>
        <w:rPr>
          <w:rFonts w:hint="eastAsia" w:cs="Times New Roman"/>
          <w:color w:val="000000" w:themeColor="text1"/>
          <w:sz w:val="24"/>
          <w:szCs w:val="32"/>
          <w:highlight w:val="none"/>
          <w:u w:val="wave" w:color="auto"/>
          <w:vertAlign w:val="superscript"/>
          <w:lang w:val="en-US" w:eastAsia="zh-CN" w:bidi="ar-SA"/>
          <w14:textFill>
            <w14:solidFill>
              <w14:schemeClr w14:val="tx1"/>
            </w14:solidFill>
          </w14:textFill>
        </w:rPr>
        <w:t>3</w:t>
      </w:r>
      <w:r>
        <w:rPr>
          <w:rFonts w:hint="eastAsia" w:cs="Times New Roman"/>
          <w:color w:val="000000" w:themeColor="text1"/>
          <w:sz w:val="24"/>
          <w:szCs w:val="32"/>
          <w:highlight w:val="none"/>
          <w:u w:val="wave" w:color="auto"/>
          <w:lang w:val="en-US" w:eastAsia="zh-CN" w:bidi="ar-SA"/>
          <w14:textFill>
            <w14:solidFill>
              <w14:schemeClr w14:val="tx1"/>
            </w14:solidFill>
          </w14:textFill>
        </w:rPr>
        <w:t>/d的植物提取产业园污水预处理厂，项目建成后主要服务于植物提取类及食品加工类企业。</w:t>
      </w:r>
    </w:p>
    <w:p w14:paraId="71A8899D">
      <w:pPr>
        <w:kinsoku w:val="0"/>
        <w:autoSpaceDE w:val="0"/>
        <w:autoSpaceDN w:val="0"/>
        <w:adjustRightInd w:val="0"/>
        <w:snapToGrid w:val="0"/>
        <w:spacing w:before="114" w:line="350" w:lineRule="auto"/>
        <w:ind w:left="39" w:firstLine="478"/>
        <w:jc w:val="left"/>
        <w:textAlignment w:val="baseline"/>
        <w:rPr>
          <w:rFonts w:hint="eastAsia" w:ascii="Times New Roman" w:hAnsi="Times New Roman" w:eastAsia="宋体" w:cs="Times New Roman"/>
          <w:snapToGrid w:val="0"/>
          <w:color w:val="000000" w:themeColor="text1"/>
          <w:kern w:val="0"/>
          <w:sz w:val="24"/>
          <w:szCs w:val="24"/>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32"/>
          <w:highlight w:val="none"/>
          <w:u w:val="wave" w:color="auto"/>
          <w:lang w:val="en-US" w:eastAsia="en-US" w:bidi="ar-SA"/>
          <w14:textFill>
            <w14:solidFill>
              <w14:schemeClr w14:val="tx1"/>
            </w14:solidFill>
          </w14:textFill>
        </w:rPr>
        <w:t>根据《大通湖产业开发区控制性详细规划》（2024年），园区远期的工业用地面积为187.68公顷，近期工业用地面积为128.89公顷。根据《城市给水工程规划规范》（GB50282-2016</w:t>
      </w:r>
      <w:r>
        <w:rPr>
          <w:rFonts w:hint="default" w:ascii="Times New Roman" w:hAnsi="Times New Roman" w:eastAsia="宋体" w:cs="Times New Roman"/>
          <w:color w:val="000000" w:themeColor="text1"/>
          <w:sz w:val="24"/>
          <w:szCs w:val="32"/>
          <w:highlight w:val="none"/>
          <w:u w:val="wave" w:color="auto"/>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2"/>
          <w:kern w:val="0"/>
          <w:sz w:val="24"/>
          <w:szCs w:val="24"/>
          <w:highlight w:val="none"/>
          <w:u w:val="wave" w:color="auto"/>
          <w:lang w:val="en-US" w:eastAsia="en-US" w:bidi="ar-SA"/>
          <w14:textFill>
            <w14:solidFill>
              <w14:schemeClr w14:val="tx1"/>
            </w14:solidFill>
          </w14:textFill>
        </w:rPr>
        <w:t>工业用地的</w:t>
      </w:r>
      <w:r>
        <w:rPr>
          <w:rFonts w:hint="default" w:ascii="Times New Roman" w:hAnsi="Times New Roman" w:eastAsia="宋体" w:cs="Times New Roman"/>
          <w:snapToGrid w:val="0"/>
          <w:color w:val="000000" w:themeColor="text1"/>
          <w:spacing w:val="-3"/>
          <w:kern w:val="0"/>
          <w:sz w:val="24"/>
          <w:szCs w:val="24"/>
          <w:highlight w:val="none"/>
          <w:u w:val="wave" w:color="auto"/>
          <w:lang w:val="en-US" w:eastAsia="en-US" w:bidi="ar-SA"/>
          <w14:textFill>
            <w14:solidFill>
              <w14:schemeClr w14:val="tx1"/>
            </w14:solidFill>
          </w14:textFill>
        </w:rPr>
        <w:t xml:space="preserve">用水量指标范围为 </w:t>
      </w:r>
      <w:r>
        <w:rPr>
          <w:rFonts w:hint="default" w:ascii="Times New Roman" w:hAnsi="Times New Roman" w:eastAsia="Times New Roman" w:cs="Times New Roman"/>
          <w:snapToGrid w:val="0"/>
          <w:color w:val="000000" w:themeColor="text1"/>
          <w:spacing w:val="-3"/>
          <w:kern w:val="0"/>
          <w:sz w:val="24"/>
          <w:szCs w:val="24"/>
          <w:highlight w:val="none"/>
          <w:u w:val="wave" w:color="auto"/>
          <w:lang w:val="en-US" w:eastAsia="en-US" w:bidi="ar-SA"/>
          <w14:textFill>
            <w14:solidFill>
              <w14:schemeClr w14:val="tx1"/>
            </w14:solidFill>
          </w14:textFill>
        </w:rPr>
        <w:t>30-150m</w:t>
      </w:r>
      <w:r>
        <w:rPr>
          <w:rFonts w:hint="default" w:ascii="Times New Roman" w:hAnsi="Times New Roman" w:eastAsia="Times New Roman" w:cs="Times New Roman"/>
          <w:snapToGrid w:val="0"/>
          <w:color w:val="000000" w:themeColor="text1"/>
          <w:spacing w:val="-3"/>
          <w:kern w:val="0"/>
          <w:position w:val="10"/>
          <w:sz w:val="16"/>
          <w:szCs w:val="16"/>
          <w:highlight w:val="none"/>
          <w:u w:val="wave" w:color="auto"/>
          <w:lang w:val="en-US" w:eastAsia="en-US" w:bidi="ar-SA"/>
          <w14:textFill>
            <w14:solidFill>
              <w14:schemeClr w14:val="tx1"/>
            </w14:solidFill>
          </w14:textFill>
        </w:rPr>
        <w:t>3</w:t>
      </w:r>
      <w:r>
        <w:rPr>
          <w:rFonts w:hint="default" w:ascii="Times New Roman" w:hAnsi="Times New Roman" w:eastAsia="Times New Roman" w:cs="Times New Roman"/>
          <w:snapToGrid w:val="0"/>
          <w:color w:val="000000" w:themeColor="text1"/>
          <w:spacing w:val="-3"/>
          <w:kern w:val="0"/>
          <w:sz w:val="24"/>
          <w:szCs w:val="24"/>
          <w:highlight w:val="none"/>
          <w:u w:val="wave" w:color="auto"/>
          <w:lang w:val="en-US" w:eastAsia="en-US" w:bidi="ar-SA"/>
          <w14:textFill>
            <w14:solidFill>
              <w14:schemeClr w14:val="tx1"/>
            </w14:solidFill>
          </w14:textFill>
        </w:rPr>
        <w:t>/(hm</w:t>
      </w:r>
      <w:r>
        <w:rPr>
          <w:rFonts w:hint="default" w:ascii="Times New Roman" w:hAnsi="Times New Roman" w:eastAsia="Times New Roman" w:cs="Times New Roman"/>
          <w:snapToGrid w:val="0"/>
          <w:color w:val="000000" w:themeColor="text1"/>
          <w:spacing w:val="-3"/>
          <w:kern w:val="0"/>
          <w:position w:val="10"/>
          <w:sz w:val="16"/>
          <w:szCs w:val="16"/>
          <w:highlight w:val="none"/>
          <w:u w:val="wave" w:color="auto"/>
          <w:lang w:val="en-US" w:eastAsia="en-US" w:bidi="ar-SA"/>
          <w14:textFill>
            <w14:solidFill>
              <w14:schemeClr w14:val="tx1"/>
            </w14:solidFill>
          </w14:textFill>
        </w:rPr>
        <w:t>2</w:t>
      </w:r>
      <w:r>
        <w:rPr>
          <w:rFonts w:hint="default" w:ascii="Times New Roman" w:hAnsi="Times New Roman" w:eastAsia="宋体" w:cs="Times New Roman"/>
          <w:snapToGrid w:val="0"/>
          <w:color w:val="000000" w:themeColor="text1"/>
          <w:spacing w:val="-3"/>
          <w:kern w:val="0"/>
          <w:sz w:val="24"/>
          <w:szCs w:val="24"/>
          <w:highlight w:val="none"/>
          <w:u w:val="wave" w:color="auto"/>
          <w:lang w:val="en-US" w:eastAsia="en-US" w:bidi="ar-SA"/>
          <w14:textFill>
            <w14:solidFill>
              <w14:schemeClr w14:val="tx1"/>
            </w14:solidFill>
          </w14:textFill>
        </w:rPr>
        <w:t>·</w:t>
      </w:r>
      <w:r>
        <w:rPr>
          <w:rFonts w:hint="default" w:ascii="Times New Roman" w:hAnsi="Times New Roman" w:eastAsia="Times New Roman" w:cs="Times New Roman"/>
          <w:snapToGrid w:val="0"/>
          <w:color w:val="000000" w:themeColor="text1"/>
          <w:spacing w:val="-3"/>
          <w:kern w:val="0"/>
          <w:sz w:val="24"/>
          <w:szCs w:val="24"/>
          <w:highlight w:val="none"/>
          <w:u w:val="wave" w:color="auto"/>
          <w:lang w:val="en-US" w:eastAsia="en-US" w:bidi="ar-SA"/>
          <w14:textFill>
            <w14:solidFill>
              <w14:schemeClr w14:val="tx1"/>
            </w14:solidFill>
          </w14:textFill>
        </w:rPr>
        <w:t>d)</w:t>
      </w:r>
      <w:r>
        <w:rPr>
          <w:rFonts w:hint="default" w:ascii="Times New Roman" w:hAnsi="Times New Roman" w:eastAsia="宋体" w:cs="Times New Roman"/>
          <w:snapToGrid w:val="0"/>
          <w:color w:val="000000" w:themeColor="text1"/>
          <w:spacing w:val="-3"/>
          <w:kern w:val="0"/>
          <w:sz w:val="24"/>
          <w:szCs w:val="24"/>
          <w:highlight w:val="none"/>
          <w:u w:val="wave" w:color="auto"/>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4"/>
          <w:szCs w:val="24"/>
          <w:highlight w:val="none"/>
          <w:u w:val="wave" w:color="auto"/>
          <w:lang w:val="en-US" w:eastAsia="en-US" w:bidi="ar-SA"/>
          <w14:textFill>
            <w14:solidFill>
              <w14:schemeClr w14:val="tx1"/>
            </w14:solidFill>
          </w14:textFill>
        </w:rPr>
        <w:t>本报告</w:t>
      </w:r>
      <w:r>
        <w:rPr>
          <w:rFonts w:hint="default" w:ascii="Times New Roman" w:hAnsi="Times New Roman" w:eastAsia="宋体" w:cs="Times New Roman"/>
          <w:snapToGrid w:val="0"/>
          <w:color w:val="000000" w:themeColor="text1"/>
          <w:spacing w:val="-5"/>
          <w:kern w:val="0"/>
          <w:sz w:val="24"/>
          <w:szCs w:val="24"/>
          <w:highlight w:val="none"/>
          <w:u w:val="wave" w:color="auto"/>
          <w:lang w:val="en-US" w:eastAsia="en-US" w:bidi="ar-SA"/>
          <w14:textFill>
            <w14:solidFill>
              <w14:schemeClr w14:val="tx1"/>
            </w14:solidFill>
          </w14:textFill>
        </w:rPr>
        <w:t>取</w:t>
      </w:r>
      <w:r>
        <w:rPr>
          <w:rFonts w:hint="default" w:ascii="Times New Roman" w:hAnsi="Times New Roman" w:eastAsia="宋体" w:cs="Times New Roman"/>
          <w:snapToGrid w:val="0"/>
          <w:color w:val="000000" w:themeColor="text1"/>
          <w:spacing w:val="-49"/>
          <w:kern w:val="0"/>
          <w:sz w:val="24"/>
          <w:szCs w:val="24"/>
          <w:highlight w:val="none"/>
          <w:u w:val="wave" w:color="auto"/>
          <w:lang w:val="en-US" w:eastAsia="en-US" w:bidi="ar-SA"/>
          <w14:textFill>
            <w14:solidFill>
              <w14:schemeClr w14:val="tx1"/>
            </w14:solidFill>
          </w14:textFill>
        </w:rPr>
        <w:t xml:space="preserve"> </w:t>
      </w:r>
      <w:r>
        <w:rPr>
          <w:rFonts w:hint="default" w:ascii="Times New Roman" w:hAnsi="Times New Roman" w:eastAsia="Times New Roman" w:cs="Times New Roman"/>
          <w:snapToGrid w:val="0"/>
          <w:color w:val="000000" w:themeColor="text1"/>
          <w:spacing w:val="-5"/>
          <w:kern w:val="0"/>
          <w:sz w:val="24"/>
          <w:szCs w:val="24"/>
          <w:highlight w:val="none"/>
          <w:u w:val="wave" w:color="auto"/>
          <w:lang w:val="en-US" w:eastAsia="en-US" w:bidi="ar-SA"/>
          <w14:textFill>
            <w14:solidFill>
              <w14:schemeClr w14:val="tx1"/>
            </w14:solidFill>
          </w14:textFill>
        </w:rPr>
        <w:t>55 m</w:t>
      </w:r>
      <w:r>
        <w:rPr>
          <w:rFonts w:hint="default" w:ascii="Times New Roman" w:hAnsi="Times New Roman" w:eastAsia="Times New Roman" w:cs="Times New Roman"/>
          <w:snapToGrid w:val="0"/>
          <w:color w:val="000000" w:themeColor="text1"/>
          <w:spacing w:val="-5"/>
          <w:kern w:val="0"/>
          <w:position w:val="10"/>
          <w:sz w:val="16"/>
          <w:szCs w:val="16"/>
          <w:highlight w:val="none"/>
          <w:u w:val="wave" w:color="auto"/>
          <w:lang w:val="en-US" w:eastAsia="en-US" w:bidi="ar-SA"/>
          <w14:textFill>
            <w14:solidFill>
              <w14:schemeClr w14:val="tx1"/>
            </w14:solidFill>
          </w14:textFill>
        </w:rPr>
        <w:t>3</w:t>
      </w:r>
      <w:r>
        <w:rPr>
          <w:rFonts w:hint="default" w:ascii="Times New Roman" w:hAnsi="Times New Roman" w:eastAsia="Times New Roman" w:cs="Times New Roman"/>
          <w:snapToGrid w:val="0"/>
          <w:color w:val="000000" w:themeColor="text1"/>
          <w:spacing w:val="-5"/>
          <w:kern w:val="0"/>
          <w:sz w:val="24"/>
          <w:szCs w:val="24"/>
          <w:highlight w:val="none"/>
          <w:u w:val="wave" w:color="auto"/>
          <w:lang w:val="en-US" w:eastAsia="en-US" w:bidi="ar-SA"/>
          <w14:textFill>
            <w14:solidFill>
              <w14:schemeClr w14:val="tx1"/>
            </w14:solidFill>
          </w14:textFill>
        </w:rPr>
        <w:t>/(hm</w:t>
      </w:r>
      <w:r>
        <w:rPr>
          <w:rFonts w:hint="default" w:ascii="Times New Roman" w:hAnsi="Times New Roman" w:eastAsia="Times New Roman" w:cs="Times New Roman"/>
          <w:snapToGrid w:val="0"/>
          <w:color w:val="000000" w:themeColor="text1"/>
          <w:spacing w:val="-5"/>
          <w:kern w:val="0"/>
          <w:position w:val="10"/>
          <w:sz w:val="16"/>
          <w:szCs w:val="16"/>
          <w:highlight w:val="none"/>
          <w:u w:val="wave" w:color="auto"/>
          <w:lang w:val="en-US" w:eastAsia="en-US" w:bidi="ar-SA"/>
          <w14:textFill>
            <w14:solidFill>
              <w14:schemeClr w14:val="tx1"/>
            </w14:solidFill>
          </w14:textFill>
        </w:rPr>
        <w:t xml:space="preserve">2 </w:t>
      </w:r>
      <w:r>
        <w:rPr>
          <w:rFonts w:hint="default" w:ascii="Times New Roman" w:hAnsi="Times New Roman" w:eastAsia="宋体" w:cs="Times New Roman"/>
          <w:snapToGrid w:val="0"/>
          <w:color w:val="000000" w:themeColor="text1"/>
          <w:spacing w:val="-5"/>
          <w:kern w:val="0"/>
          <w:sz w:val="24"/>
          <w:szCs w:val="24"/>
          <w:highlight w:val="none"/>
          <w:u w:val="wave" w:color="auto"/>
          <w:lang w:val="en-US" w:eastAsia="en-US" w:bidi="ar-SA"/>
          <w14:textFill>
            <w14:solidFill>
              <w14:schemeClr w14:val="tx1"/>
            </w14:solidFill>
          </w14:textFill>
        </w:rPr>
        <w:t>·</w:t>
      </w:r>
      <w:r>
        <w:rPr>
          <w:rFonts w:hint="default" w:ascii="Times New Roman" w:hAnsi="Times New Roman" w:eastAsia="Times New Roman" w:cs="Times New Roman"/>
          <w:snapToGrid w:val="0"/>
          <w:color w:val="000000" w:themeColor="text1"/>
          <w:spacing w:val="-5"/>
          <w:kern w:val="0"/>
          <w:sz w:val="24"/>
          <w:szCs w:val="24"/>
          <w:highlight w:val="none"/>
          <w:u w:val="wave" w:color="auto"/>
          <w:lang w:val="en-US" w:eastAsia="en-US" w:bidi="ar-SA"/>
          <w14:textFill>
            <w14:solidFill>
              <w14:schemeClr w14:val="tx1"/>
            </w14:solidFill>
          </w14:textFill>
        </w:rPr>
        <w:t>d)</w:t>
      </w:r>
      <w:r>
        <w:rPr>
          <w:rFonts w:hint="default" w:ascii="Times New Roman" w:hAnsi="Times New Roman" w:eastAsia="宋体" w:cs="Times New Roman"/>
          <w:snapToGrid w:val="0"/>
          <w:color w:val="000000" w:themeColor="text1"/>
          <w:spacing w:val="-5"/>
          <w:kern w:val="0"/>
          <w:sz w:val="24"/>
          <w:szCs w:val="24"/>
          <w:highlight w:val="none"/>
          <w:u w:val="wave" w:color="auto"/>
          <w:lang w:val="en-US" w:eastAsia="en-US" w:bidi="ar-SA"/>
          <w14:textFill>
            <w14:solidFill>
              <w14:schemeClr w14:val="tx1"/>
            </w14:solidFill>
          </w14:textFill>
        </w:rPr>
        <w:t xml:space="preserve">，给水日变化系数取 </w:t>
      </w:r>
      <w:r>
        <w:rPr>
          <w:rFonts w:hint="default" w:ascii="Times New Roman" w:hAnsi="Times New Roman" w:eastAsia="Times New Roman" w:cs="Times New Roman"/>
          <w:snapToGrid w:val="0"/>
          <w:color w:val="000000" w:themeColor="text1"/>
          <w:spacing w:val="-5"/>
          <w:kern w:val="0"/>
          <w:sz w:val="24"/>
          <w:szCs w:val="24"/>
          <w:highlight w:val="none"/>
          <w:u w:val="wave" w:color="auto"/>
          <w:lang w:val="en-US" w:eastAsia="en-US" w:bidi="ar-SA"/>
          <w14:textFill>
            <w14:solidFill>
              <w14:schemeClr w14:val="tx1"/>
            </w14:solidFill>
          </w14:textFill>
        </w:rPr>
        <w:t>1.5</w:t>
      </w:r>
      <w:r>
        <w:rPr>
          <w:rFonts w:hint="default" w:ascii="Times New Roman" w:hAnsi="Times New Roman" w:eastAsia="宋体" w:cs="Times New Roman"/>
          <w:snapToGrid w:val="0"/>
          <w:color w:val="000000" w:themeColor="text1"/>
          <w:spacing w:val="-5"/>
          <w:kern w:val="0"/>
          <w:sz w:val="24"/>
          <w:szCs w:val="24"/>
          <w:highlight w:val="none"/>
          <w:u w:val="wave" w:color="auto"/>
          <w:lang w:val="en-US" w:eastAsia="en-US" w:bidi="ar-SA"/>
          <w14:textFill>
            <w14:solidFill>
              <w14:schemeClr w14:val="tx1"/>
            </w14:solidFill>
          </w14:textFill>
        </w:rPr>
        <w:t>，污水排放量按用量的</w:t>
      </w:r>
      <w:r>
        <w:rPr>
          <w:rFonts w:hint="default" w:ascii="Times New Roman" w:hAnsi="Times New Roman" w:eastAsia="宋体" w:cs="Times New Roman"/>
          <w:snapToGrid w:val="0"/>
          <w:color w:val="000000" w:themeColor="text1"/>
          <w:spacing w:val="-26"/>
          <w:kern w:val="0"/>
          <w:sz w:val="24"/>
          <w:szCs w:val="24"/>
          <w:highlight w:val="none"/>
          <w:u w:val="wave" w:color="auto"/>
          <w:lang w:val="en-US" w:eastAsia="en-US" w:bidi="ar-SA"/>
          <w14:textFill>
            <w14:solidFill>
              <w14:schemeClr w14:val="tx1"/>
            </w14:solidFill>
          </w14:textFill>
        </w:rPr>
        <w:t xml:space="preserve"> </w:t>
      </w:r>
      <w:r>
        <w:rPr>
          <w:rFonts w:hint="default" w:ascii="Times New Roman" w:hAnsi="Times New Roman" w:eastAsia="Times New Roman" w:cs="Times New Roman"/>
          <w:snapToGrid w:val="0"/>
          <w:color w:val="000000" w:themeColor="text1"/>
          <w:spacing w:val="-5"/>
          <w:kern w:val="0"/>
          <w:sz w:val="24"/>
          <w:szCs w:val="24"/>
          <w:highlight w:val="none"/>
          <w:u w:val="wave" w:color="auto"/>
          <w:lang w:val="en-US" w:eastAsia="en-US" w:bidi="ar-SA"/>
          <w14:textFill>
            <w14:solidFill>
              <w14:schemeClr w14:val="tx1"/>
            </w14:solidFill>
          </w14:textFill>
        </w:rPr>
        <w:t>80%</w:t>
      </w:r>
      <w:r>
        <w:rPr>
          <w:rFonts w:hint="default" w:ascii="Times New Roman" w:hAnsi="Times New Roman" w:eastAsia="宋体" w:cs="Times New Roman"/>
          <w:snapToGrid w:val="0"/>
          <w:color w:val="000000" w:themeColor="text1"/>
          <w:spacing w:val="-6"/>
          <w:kern w:val="0"/>
          <w:sz w:val="24"/>
          <w:szCs w:val="24"/>
          <w:highlight w:val="none"/>
          <w:u w:val="wave" w:color="auto"/>
          <w:lang w:val="en-US" w:eastAsia="en-US" w:bidi="ar-SA"/>
          <w14:textFill>
            <w14:solidFill>
              <w14:schemeClr w14:val="tx1"/>
            </w14:solidFill>
          </w14:textFill>
        </w:rPr>
        <w:t>计</w:t>
      </w:r>
      <w:r>
        <w:rPr>
          <w:rFonts w:hint="eastAsia" w:cs="Times New Roman"/>
          <w:snapToGrid w:val="0"/>
          <w:color w:val="000000" w:themeColor="text1"/>
          <w:spacing w:val="-6"/>
          <w:kern w:val="0"/>
          <w:sz w:val="24"/>
          <w:szCs w:val="24"/>
          <w:highlight w:val="none"/>
          <w:u w:val="wave" w:color="auto"/>
          <w:lang w:val="en-US" w:eastAsia="zh-CN" w:bidi="ar-SA"/>
          <w14:textFill>
            <w14:solidFill>
              <w14:schemeClr w14:val="tx1"/>
            </w14:solidFill>
          </w14:textFill>
        </w:rPr>
        <w:t>。</w:t>
      </w:r>
    </w:p>
    <w:p w14:paraId="2735E9F2">
      <w:pPr>
        <w:spacing w:line="240" w:lineRule="auto"/>
        <w:jc w:val="center"/>
        <w:rPr>
          <w:rFonts w:hint="default" w:ascii="Times New Roman" w:hAnsi="Times New Roman" w:eastAsia="Arial" w:cs="Times New Roman"/>
          <w:snapToGrid w:val="0"/>
          <w:color w:val="000000" w:themeColor="text1"/>
          <w:kern w:val="0"/>
          <w:sz w:val="21"/>
          <w:szCs w:val="21"/>
          <w:highlight w:val="none"/>
          <w:u w:val="wave" w:color="auto"/>
          <w:lang w:eastAsia="en-US"/>
          <w14:textFill>
            <w14:solidFill>
              <w14:schemeClr w14:val="tx1"/>
            </w14:solidFill>
          </w14:textFill>
        </w:rPr>
      </w:pPr>
      <w:r>
        <w:rPr>
          <w:rFonts w:hint="default" w:ascii="Times New Roman" w:hAnsi="Times New Roman" w:cs="Times New Roman"/>
          <w:b/>
          <w:bCs/>
          <w:color w:val="000000" w:themeColor="text1"/>
          <w:sz w:val="24"/>
          <w:szCs w:val="32"/>
          <w:highlight w:val="none"/>
          <w:u w:val="wave" w:color="auto"/>
          <w:lang w:val="en-US" w:eastAsia="zh-CN"/>
          <w14:textFill>
            <w14:solidFill>
              <w14:schemeClr w14:val="tx1"/>
            </w14:solidFill>
          </w14:textFill>
        </w:rPr>
        <w:t>表3.3-</w:t>
      </w:r>
      <w:r>
        <w:rPr>
          <w:rFonts w:hint="eastAsia" w:cs="Times New Roman"/>
          <w:b/>
          <w:bCs/>
          <w:color w:val="000000" w:themeColor="text1"/>
          <w:sz w:val="24"/>
          <w:szCs w:val="32"/>
          <w:highlight w:val="none"/>
          <w:u w:val="wave" w:color="auto"/>
          <w:lang w:val="en-US" w:eastAsia="zh-CN"/>
          <w14:textFill>
            <w14:solidFill>
              <w14:schemeClr w14:val="tx1"/>
            </w14:solidFill>
          </w14:textFill>
        </w:rPr>
        <w:t>2</w:t>
      </w:r>
      <w:r>
        <w:rPr>
          <w:rFonts w:hint="default" w:ascii="Times New Roman" w:hAnsi="Times New Roman" w:cs="Times New Roman"/>
          <w:b/>
          <w:bCs/>
          <w:color w:val="000000" w:themeColor="text1"/>
          <w:sz w:val="24"/>
          <w:szCs w:val="32"/>
          <w:highlight w:val="none"/>
          <w:u w:val="wave" w:color="auto"/>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32"/>
          <w:highlight w:val="none"/>
          <w:u w:val="wave" w:color="auto"/>
          <w:lang w:val="en-US" w:eastAsia="en-US"/>
          <w14:textFill>
            <w14:solidFill>
              <w14:schemeClr w14:val="tx1"/>
            </w14:solidFill>
          </w14:textFill>
        </w:rPr>
        <w:t>污水量预测值表</w:t>
      </w:r>
    </w:p>
    <w:tbl>
      <w:tblPr>
        <w:tblStyle w:val="402"/>
        <w:tblW w:w="87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67"/>
        <w:gridCol w:w="2931"/>
        <w:gridCol w:w="2040"/>
        <w:gridCol w:w="2399"/>
      </w:tblGrid>
      <w:tr w14:paraId="6F6F09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1367" w:type="dxa"/>
            <w:tcBorders>
              <w:tl2br w:val="nil"/>
              <w:tr2bl w:val="nil"/>
            </w:tcBorders>
            <w:vAlign w:val="top"/>
          </w:tcPr>
          <w:p w14:paraId="47A8A21C">
            <w:pPr>
              <w:pStyle w:val="435"/>
              <w:widowControl/>
              <w:spacing w:before="38" w:line="212"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3"/>
                <w:sz w:val="22"/>
                <w:szCs w:val="22"/>
                <w:highlight w:val="none"/>
                <w:u w:val="wave" w:color="auto"/>
                <w14:textFill>
                  <w14:solidFill>
                    <w14:schemeClr w14:val="tx1"/>
                  </w14:solidFill>
                </w14:textFill>
              </w:rPr>
              <w:t>序号</w:t>
            </w:r>
          </w:p>
        </w:tc>
        <w:tc>
          <w:tcPr>
            <w:tcW w:w="2931" w:type="dxa"/>
            <w:tcBorders>
              <w:tl2br w:val="nil"/>
              <w:tr2bl w:val="nil"/>
            </w:tcBorders>
            <w:vAlign w:val="top"/>
          </w:tcPr>
          <w:p w14:paraId="7FAD509C">
            <w:pPr>
              <w:pStyle w:val="435"/>
              <w:widowControl/>
              <w:spacing w:before="38" w:line="212"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4"/>
                <w:sz w:val="22"/>
                <w:szCs w:val="22"/>
                <w:highlight w:val="none"/>
                <w:u w:val="wave" w:color="auto"/>
                <w14:textFill>
                  <w14:solidFill>
                    <w14:schemeClr w14:val="tx1"/>
                  </w14:solidFill>
                </w14:textFill>
              </w:rPr>
              <w:t>名称</w:t>
            </w:r>
          </w:p>
        </w:tc>
        <w:tc>
          <w:tcPr>
            <w:tcW w:w="2040" w:type="dxa"/>
            <w:tcBorders>
              <w:tl2br w:val="nil"/>
              <w:tr2bl w:val="nil"/>
            </w:tcBorders>
            <w:vAlign w:val="top"/>
          </w:tcPr>
          <w:p w14:paraId="43F77E2D">
            <w:pPr>
              <w:pStyle w:val="435"/>
              <w:widowControl/>
              <w:spacing w:before="38" w:line="212"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eastAsia="Times New Roman" w:cs="Times New Roman"/>
                <w:color w:val="000000" w:themeColor="text1"/>
                <w:spacing w:val="-2"/>
                <w:sz w:val="22"/>
                <w:szCs w:val="22"/>
                <w:highlight w:val="none"/>
                <w:u w:val="wave" w:color="auto"/>
                <w14:textFill>
                  <w14:solidFill>
                    <w14:schemeClr w14:val="tx1"/>
                  </w14:solidFill>
                </w14:textFill>
              </w:rPr>
              <w:t>2030</w:t>
            </w: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年</w:t>
            </w:r>
          </w:p>
        </w:tc>
        <w:tc>
          <w:tcPr>
            <w:tcW w:w="2399" w:type="dxa"/>
            <w:tcBorders>
              <w:tl2br w:val="nil"/>
              <w:tr2bl w:val="nil"/>
            </w:tcBorders>
            <w:vAlign w:val="top"/>
          </w:tcPr>
          <w:p w14:paraId="3FEA0CF0">
            <w:pPr>
              <w:pStyle w:val="435"/>
              <w:widowControl/>
              <w:spacing w:before="38" w:line="212"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eastAsia="Times New Roman" w:cs="Times New Roman"/>
                <w:color w:val="000000" w:themeColor="text1"/>
                <w:spacing w:val="-2"/>
                <w:sz w:val="22"/>
                <w:szCs w:val="22"/>
                <w:highlight w:val="none"/>
                <w:u w:val="wave" w:color="auto"/>
                <w14:textFill>
                  <w14:solidFill>
                    <w14:schemeClr w14:val="tx1"/>
                  </w14:solidFill>
                </w14:textFill>
              </w:rPr>
              <w:t>2035</w:t>
            </w: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年</w:t>
            </w:r>
          </w:p>
        </w:tc>
      </w:tr>
      <w:tr w14:paraId="0D2987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367" w:type="dxa"/>
            <w:tcBorders>
              <w:tl2br w:val="nil"/>
              <w:tr2bl w:val="nil"/>
            </w:tcBorders>
            <w:vAlign w:val="center"/>
          </w:tcPr>
          <w:p w14:paraId="7B92FFD6">
            <w:pPr>
              <w:pStyle w:val="435"/>
              <w:widowControl/>
              <w:spacing w:before="40" w:line="240" w:lineRule="auto"/>
              <w:jc w:val="center"/>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t>1</w:t>
            </w:r>
          </w:p>
        </w:tc>
        <w:tc>
          <w:tcPr>
            <w:tcW w:w="2931" w:type="dxa"/>
            <w:tcBorders>
              <w:tl2br w:val="nil"/>
              <w:tr2bl w:val="nil"/>
            </w:tcBorders>
            <w:vAlign w:val="center"/>
          </w:tcPr>
          <w:p w14:paraId="73C399C3">
            <w:pPr>
              <w:pStyle w:val="435"/>
              <w:widowControl/>
              <w:spacing w:before="52" w:line="240"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工业用地面积（</w:t>
            </w:r>
            <w:r>
              <w:rPr>
                <w:rFonts w:hint="default" w:ascii="Times New Roman" w:hAnsi="Times New Roman" w:eastAsia="Times New Roman" w:cs="Times New Roman"/>
                <w:color w:val="000000" w:themeColor="text1"/>
                <w:spacing w:val="-2"/>
                <w:sz w:val="22"/>
                <w:szCs w:val="22"/>
                <w:highlight w:val="none"/>
                <w:u w:val="wave" w:color="auto"/>
                <w14:textFill>
                  <w14:solidFill>
                    <w14:schemeClr w14:val="tx1"/>
                  </w14:solidFill>
                </w14:textFill>
              </w:rPr>
              <w:t>hm</w:t>
            </w:r>
            <w:r>
              <w:rPr>
                <w:rFonts w:hint="default" w:ascii="Times New Roman" w:hAnsi="Times New Roman" w:eastAsia="Times New Roman" w:cs="Times New Roman"/>
                <w:color w:val="000000" w:themeColor="text1"/>
                <w:spacing w:val="-2"/>
                <w:position w:val="10"/>
                <w:sz w:val="15"/>
                <w:szCs w:val="15"/>
                <w:highlight w:val="none"/>
                <w:u w:val="wave" w:color="auto"/>
                <w14:textFill>
                  <w14:solidFill>
                    <w14:schemeClr w14:val="tx1"/>
                  </w14:solidFill>
                </w14:textFill>
              </w:rPr>
              <w:t>2</w:t>
            </w: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w:t>
            </w:r>
          </w:p>
        </w:tc>
        <w:tc>
          <w:tcPr>
            <w:tcW w:w="2040" w:type="dxa"/>
            <w:tcBorders>
              <w:tl2br w:val="nil"/>
              <w:tr2bl w:val="nil"/>
            </w:tcBorders>
            <w:vAlign w:val="center"/>
          </w:tcPr>
          <w:p w14:paraId="6ABCA600">
            <w:pPr>
              <w:widowControl/>
              <w:kinsoku w:val="0"/>
              <w:snapToGrid w:val="0"/>
              <w:spacing w:before="101" w:line="240"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4"/>
                <w:kern w:val="0"/>
                <w:sz w:val="22"/>
                <w:szCs w:val="22"/>
                <w:highlight w:val="none"/>
                <w:u w:val="wave" w:color="auto"/>
                <w:lang w:eastAsia="en-US"/>
                <w14:textFill>
                  <w14:solidFill>
                    <w14:schemeClr w14:val="tx1"/>
                  </w14:solidFill>
                </w14:textFill>
              </w:rPr>
              <w:t>128.89</w:t>
            </w:r>
          </w:p>
        </w:tc>
        <w:tc>
          <w:tcPr>
            <w:tcW w:w="2399" w:type="dxa"/>
            <w:tcBorders>
              <w:tl2br w:val="nil"/>
              <w:tr2bl w:val="nil"/>
            </w:tcBorders>
            <w:vAlign w:val="center"/>
          </w:tcPr>
          <w:p w14:paraId="4E382E49">
            <w:pPr>
              <w:widowControl/>
              <w:kinsoku w:val="0"/>
              <w:snapToGrid w:val="0"/>
              <w:spacing w:before="101" w:line="240"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4"/>
                <w:kern w:val="0"/>
                <w:sz w:val="22"/>
                <w:szCs w:val="22"/>
                <w:highlight w:val="none"/>
                <w:u w:val="wave" w:color="auto"/>
                <w:lang w:eastAsia="en-US"/>
                <w14:textFill>
                  <w14:solidFill>
                    <w14:schemeClr w14:val="tx1"/>
                  </w14:solidFill>
                </w14:textFill>
              </w:rPr>
              <w:t>187.68</w:t>
            </w:r>
          </w:p>
        </w:tc>
      </w:tr>
      <w:tr w14:paraId="2CC657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367" w:type="dxa"/>
            <w:tcBorders>
              <w:tl2br w:val="nil"/>
              <w:tr2bl w:val="nil"/>
            </w:tcBorders>
            <w:vAlign w:val="center"/>
          </w:tcPr>
          <w:p w14:paraId="715154A4">
            <w:pPr>
              <w:widowControl/>
              <w:kinsoku w:val="0"/>
              <w:snapToGrid w:val="0"/>
              <w:spacing w:before="153" w:line="240"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t>2</w:t>
            </w:r>
          </w:p>
        </w:tc>
        <w:tc>
          <w:tcPr>
            <w:tcW w:w="2931" w:type="dxa"/>
            <w:tcBorders>
              <w:tl2br w:val="nil"/>
              <w:tr2bl w:val="nil"/>
            </w:tcBorders>
            <w:vAlign w:val="center"/>
          </w:tcPr>
          <w:p w14:paraId="77507723">
            <w:pPr>
              <w:pStyle w:val="435"/>
              <w:widowControl/>
              <w:spacing w:before="105" w:line="240"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用水量预测值（</w:t>
            </w:r>
            <w:r>
              <w:rPr>
                <w:rFonts w:hint="default" w:ascii="Times New Roman" w:hAnsi="Times New Roman" w:eastAsia="Times New Roman" w:cs="Times New Roman"/>
                <w:color w:val="000000" w:themeColor="text1"/>
                <w:spacing w:val="-1"/>
                <w:sz w:val="22"/>
                <w:szCs w:val="22"/>
                <w:highlight w:val="none"/>
                <w:u w:val="wave" w:color="auto"/>
                <w14:textFill>
                  <w14:solidFill>
                    <w14:schemeClr w14:val="tx1"/>
                  </w14:solidFill>
                </w14:textFill>
              </w:rPr>
              <w:t>m</w:t>
            </w:r>
            <w:r>
              <w:rPr>
                <w:rFonts w:hint="default" w:ascii="Times New Roman" w:hAnsi="Times New Roman" w:eastAsia="Times New Roman" w:cs="Times New Roman"/>
                <w:color w:val="000000" w:themeColor="text1"/>
                <w:spacing w:val="-1"/>
                <w:position w:val="10"/>
                <w:sz w:val="15"/>
                <w:szCs w:val="15"/>
                <w:highlight w:val="none"/>
                <w:u w:val="wave" w:color="auto"/>
                <w14:textFill>
                  <w14:solidFill>
                    <w14:schemeClr w14:val="tx1"/>
                  </w14:solidFill>
                </w14:textFill>
              </w:rPr>
              <w:t>3</w:t>
            </w:r>
            <w:r>
              <w:rPr>
                <w:rFonts w:hint="default" w:ascii="Times New Roman" w:hAnsi="Times New Roman" w:eastAsia="Times New Roman" w:cs="Times New Roman"/>
                <w:color w:val="000000" w:themeColor="text1"/>
                <w:spacing w:val="-1"/>
                <w:sz w:val="22"/>
                <w:szCs w:val="22"/>
                <w:highlight w:val="none"/>
                <w:u w:val="wave" w:color="auto"/>
                <w14:textFill>
                  <w14:solidFill>
                    <w14:schemeClr w14:val="tx1"/>
                  </w14:solidFill>
                </w14:textFill>
              </w:rPr>
              <w:t>/d</w:t>
            </w: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w:t>
            </w:r>
          </w:p>
        </w:tc>
        <w:tc>
          <w:tcPr>
            <w:tcW w:w="2040" w:type="dxa"/>
            <w:tcBorders>
              <w:tl2br w:val="nil"/>
              <w:tr2bl w:val="nil"/>
            </w:tcBorders>
            <w:vAlign w:val="center"/>
          </w:tcPr>
          <w:p w14:paraId="5704C539">
            <w:pPr>
              <w:widowControl/>
              <w:kinsoku w:val="0"/>
              <w:snapToGrid w:val="0"/>
              <w:spacing w:before="153" w:line="240"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2"/>
                <w:kern w:val="0"/>
                <w:sz w:val="22"/>
                <w:szCs w:val="22"/>
                <w:highlight w:val="none"/>
                <w:u w:val="wave" w:color="auto"/>
                <w:lang w:eastAsia="en-US"/>
                <w14:textFill>
                  <w14:solidFill>
                    <w14:schemeClr w14:val="tx1"/>
                  </w14:solidFill>
                </w14:textFill>
              </w:rPr>
              <w:t>7088.95</w:t>
            </w:r>
          </w:p>
        </w:tc>
        <w:tc>
          <w:tcPr>
            <w:tcW w:w="2399" w:type="dxa"/>
            <w:tcBorders>
              <w:tl2br w:val="nil"/>
              <w:tr2bl w:val="nil"/>
            </w:tcBorders>
            <w:vAlign w:val="center"/>
          </w:tcPr>
          <w:p w14:paraId="1C6E6FB7">
            <w:pPr>
              <w:widowControl/>
              <w:kinsoku w:val="0"/>
              <w:snapToGrid w:val="0"/>
              <w:spacing w:before="153" w:line="240"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4"/>
                <w:kern w:val="0"/>
                <w:sz w:val="22"/>
                <w:szCs w:val="22"/>
                <w:highlight w:val="none"/>
                <w:u w:val="wave" w:color="auto"/>
                <w:lang w:eastAsia="en-US"/>
                <w14:textFill>
                  <w14:solidFill>
                    <w14:schemeClr w14:val="tx1"/>
                  </w14:solidFill>
                </w14:textFill>
              </w:rPr>
              <w:t>10322.4</w:t>
            </w:r>
          </w:p>
        </w:tc>
      </w:tr>
      <w:tr w14:paraId="3C2A3B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1367" w:type="dxa"/>
            <w:tcBorders>
              <w:tl2br w:val="nil"/>
              <w:tr2bl w:val="nil"/>
            </w:tcBorders>
            <w:vAlign w:val="center"/>
          </w:tcPr>
          <w:p w14:paraId="0626CEC0">
            <w:pPr>
              <w:widowControl/>
              <w:kinsoku w:val="0"/>
              <w:snapToGrid w:val="0"/>
              <w:spacing w:before="82" w:line="215" w:lineRule="auto"/>
              <w:ind w:left="0" w:leftChars="0" w:firstLine="0" w:firstLineChars="0"/>
              <w:jc w:val="center"/>
              <w:textAlignment w:val="baseline"/>
              <w:rPr>
                <w:rFonts w:hint="default" w:ascii="Times New Roman" w:hAnsi="Times New Roman" w:eastAsia="宋体" w:cs="Times New Roman"/>
                <w:snapToGrid w:val="0"/>
                <w:color w:val="000000" w:themeColor="text1"/>
                <w:kern w:val="0"/>
                <w:sz w:val="22"/>
                <w:szCs w:val="22"/>
                <w:highlight w:val="none"/>
                <w:u w:val="wave" w:color="auto"/>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2"/>
                <w:szCs w:val="22"/>
                <w:highlight w:val="none"/>
                <w:u w:val="wave" w:color="auto"/>
                <w:lang w:val="en-US" w:eastAsia="zh-CN"/>
                <w14:textFill>
                  <w14:solidFill>
                    <w14:schemeClr w14:val="tx1"/>
                  </w14:solidFill>
                </w14:textFill>
              </w:rPr>
              <w:t>3</w:t>
            </w:r>
          </w:p>
        </w:tc>
        <w:tc>
          <w:tcPr>
            <w:tcW w:w="2931" w:type="dxa"/>
            <w:tcBorders>
              <w:tl2br w:val="nil"/>
              <w:tr2bl w:val="nil"/>
            </w:tcBorders>
            <w:vAlign w:val="center"/>
          </w:tcPr>
          <w:p w14:paraId="2A84AA21">
            <w:pPr>
              <w:pStyle w:val="435"/>
              <w:widowControl/>
              <w:spacing w:before="49" w:line="216"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9"/>
                <w:sz w:val="22"/>
                <w:szCs w:val="22"/>
                <w:highlight w:val="none"/>
                <w:u w:val="wave" w:color="auto"/>
                <w14:textFill>
                  <w14:solidFill>
                    <w14:schemeClr w14:val="tx1"/>
                  </w14:solidFill>
                </w14:textFill>
              </w:rPr>
              <w:t>日变化系数</w:t>
            </w:r>
          </w:p>
        </w:tc>
        <w:tc>
          <w:tcPr>
            <w:tcW w:w="2040" w:type="dxa"/>
            <w:tcBorders>
              <w:tl2br w:val="nil"/>
              <w:tr2bl w:val="nil"/>
            </w:tcBorders>
            <w:vAlign w:val="center"/>
          </w:tcPr>
          <w:p w14:paraId="7F610097">
            <w:pPr>
              <w:widowControl/>
              <w:kinsoku w:val="0"/>
              <w:snapToGrid w:val="0"/>
              <w:spacing w:before="82" w:line="215"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6"/>
                <w:kern w:val="0"/>
                <w:sz w:val="22"/>
                <w:szCs w:val="22"/>
                <w:highlight w:val="none"/>
                <w:u w:val="wave" w:color="auto"/>
                <w:lang w:eastAsia="en-US"/>
                <w14:textFill>
                  <w14:solidFill>
                    <w14:schemeClr w14:val="tx1"/>
                  </w14:solidFill>
                </w14:textFill>
              </w:rPr>
              <w:t>1.5</w:t>
            </w:r>
          </w:p>
        </w:tc>
        <w:tc>
          <w:tcPr>
            <w:tcW w:w="2399" w:type="dxa"/>
            <w:tcBorders>
              <w:tl2br w:val="nil"/>
              <w:tr2bl w:val="nil"/>
            </w:tcBorders>
            <w:vAlign w:val="center"/>
          </w:tcPr>
          <w:p w14:paraId="4DAEE42B">
            <w:pPr>
              <w:widowControl/>
              <w:kinsoku w:val="0"/>
              <w:snapToGrid w:val="0"/>
              <w:spacing w:before="82" w:line="215"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6"/>
                <w:kern w:val="0"/>
                <w:sz w:val="22"/>
                <w:szCs w:val="22"/>
                <w:highlight w:val="none"/>
                <w:u w:val="wave" w:color="auto"/>
                <w:lang w:eastAsia="en-US"/>
                <w14:textFill>
                  <w14:solidFill>
                    <w14:schemeClr w14:val="tx1"/>
                  </w14:solidFill>
                </w14:textFill>
              </w:rPr>
              <w:t>1.5</w:t>
            </w:r>
          </w:p>
        </w:tc>
      </w:tr>
      <w:tr w14:paraId="03FD21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1367" w:type="dxa"/>
            <w:tcBorders>
              <w:tl2br w:val="nil"/>
              <w:tr2bl w:val="nil"/>
            </w:tcBorders>
            <w:vAlign w:val="center"/>
          </w:tcPr>
          <w:p w14:paraId="6A3469B5">
            <w:pPr>
              <w:widowControl/>
              <w:kinsoku w:val="0"/>
              <w:snapToGrid w:val="0"/>
              <w:spacing w:before="72" w:line="201" w:lineRule="auto"/>
              <w:ind w:left="0" w:leftChars="0" w:firstLine="0" w:firstLineChars="0"/>
              <w:jc w:val="center"/>
              <w:textAlignment w:val="baseline"/>
              <w:rPr>
                <w:rFonts w:hint="default" w:ascii="Times New Roman" w:hAnsi="Times New Roman" w:eastAsia="宋体" w:cs="Times New Roman"/>
                <w:snapToGrid w:val="0"/>
                <w:color w:val="000000" w:themeColor="text1"/>
                <w:kern w:val="0"/>
                <w:sz w:val="22"/>
                <w:szCs w:val="22"/>
                <w:highlight w:val="none"/>
                <w:u w:val="wave" w:color="auto"/>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2"/>
                <w:szCs w:val="22"/>
                <w:highlight w:val="none"/>
                <w:u w:val="wave" w:color="auto"/>
                <w:lang w:val="en-US" w:eastAsia="zh-CN"/>
                <w14:textFill>
                  <w14:solidFill>
                    <w14:schemeClr w14:val="tx1"/>
                  </w14:solidFill>
                </w14:textFill>
              </w:rPr>
              <w:t>4</w:t>
            </w:r>
          </w:p>
        </w:tc>
        <w:tc>
          <w:tcPr>
            <w:tcW w:w="2931" w:type="dxa"/>
            <w:tcBorders>
              <w:tl2br w:val="nil"/>
              <w:tr2bl w:val="nil"/>
            </w:tcBorders>
            <w:vAlign w:val="center"/>
          </w:tcPr>
          <w:p w14:paraId="349C13E1">
            <w:pPr>
              <w:pStyle w:val="435"/>
              <w:widowControl/>
              <w:spacing w:before="37" w:line="205"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排污系数</w:t>
            </w:r>
          </w:p>
        </w:tc>
        <w:tc>
          <w:tcPr>
            <w:tcW w:w="2040" w:type="dxa"/>
            <w:tcBorders>
              <w:tl2br w:val="nil"/>
              <w:tr2bl w:val="nil"/>
            </w:tcBorders>
            <w:vAlign w:val="center"/>
          </w:tcPr>
          <w:p w14:paraId="7691B594">
            <w:pPr>
              <w:widowControl/>
              <w:kinsoku w:val="0"/>
              <w:snapToGrid w:val="0"/>
              <w:spacing w:before="72" w:line="201"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2"/>
                <w:kern w:val="0"/>
                <w:sz w:val="22"/>
                <w:szCs w:val="22"/>
                <w:highlight w:val="none"/>
                <w:u w:val="wave" w:color="auto"/>
                <w:lang w:eastAsia="en-US"/>
                <w14:textFill>
                  <w14:solidFill>
                    <w14:schemeClr w14:val="tx1"/>
                  </w14:solidFill>
                </w14:textFill>
              </w:rPr>
              <w:t>0.8</w:t>
            </w:r>
          </w:p>
        </w:tc>
        <w:tc>
          <w:tcPr>
            <w:tcW w:w="2399" w:type="dxa"/>
            <w:tcBorders>
              <w:tl2br w:val="nil"/>
              <w:tr2bl w:val="nil"/>
            </w:tcBorders>
            <w:vAlign w:val="center"/>
          </w:tcPr>
          <w:p w14:paraId="00EEF031">
            <w:pPr>
              <w:widowControl/>
              <w:kinsoku w:val="0"/>
              <w:snapToGrid w:val="0"/>
              <w:spacing w:before="72" w:line="201"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2"/>
                <w:kern w:val="0"/>
                <w:sz w:val="22"/>
                <w:szCs w:val="22"/>
                <w:highlight w:val="none"/>
                <w:u w:val="wave" w:color="auto"/>
                <w:lang w:eastAsia="en-US"/>
                <w14:textFill>
                  <w14:solidFill>
                    <w14:schemeClr w14:val="tx1"/>
                  </w14:solidFill>
                </w14:textFill>
              </w:rPr>
              <w:t>0.8</w:t>
            </w:r>
          </w:p>
        </w:tc>
      </w:tr>
      <w:tr w14:paraId="35B96A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367" w:type="dxa"/>
            <w:tcBorders>
              <w:tl2br w:val="nil"/>
              <w:tr2bl w:val="nil"/>
            </w:tcBorders>
            <w:vAlign w:val="center"/>
          </w:tcPr>
          <w:p w14:paraId="58CF9453">
            <w:pPr>
              <w:widowControl/>
              <w:kinsoku w:val="0"/>
              <w:snapToGrid w:val="0"/>
              <w:spacing w:before="75" w:line="199" w:lineRule="auto"/>
              <w:ind w:left="0" w:leftChars="0" w:firstLine="0" w:firstLineChars="0"/>
              <w:jc w:val="center"/>
              <w:textAlignment w:val="baseline"/>
              <w:rPr>
                <w:rFonts w:hint="default" w:ascii="Times New Roman" w:hAnsi="Times New Roman" w:eastAsia="宋体" w:cs="Times New Roman"/>
                <w:snapToGrid w:val="0"/>
                <w:color w:val="000000" w:themeColor="text1"/>
                <w:kern w:val="0"/>
                <w:sz w:val="22"/>
                <w:szCs w:val="22"/>
                <w:highlight w:val="none"/>
                <w:u w:val="wave" w:color="auto"/>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2"/>
                <w:szCs w:val="22"/>
                <w:highlight w:val="none"/>
                <w:u w:val="wave" w:color="auto"/>
                <w:lang w:val="en-US" w:eastAsia="zh-CN"/>
                <w14:textFill>
                  <w14:solidFill>
                    <w14:schemeClr w14:val="tx1"/>
                  </w14:solidFill>
                </w14:textFill>
              </w:rPr>
              <w:t>5</w:t>
            </w:r>
          </w:p>
        </w:tc>
        <w:tc>
          <w:tcPr>
            <w:tcW w:w="2931" w:type="dxa"/>
            <w:tcBorders>
              <w:tl2br w:val="nil"/>
              <w:tr2bl w:val="nil"/>
            </w:tcBorders>
            <w:vAlign w:val="center"/>
          </w:tcPr>
          <w:p w14:paraId="0BC86DA4">
            <w:pPr>
              <w:pStyle w:val="435"/>
              <w:widowControl/>
              <w:spacing w:before="40" w:line="203" w:lineRule="auto"/>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2"/>
                <w:sz w:val="22"/>
                <w:szCs w:val="22"/>
                <w:highlight w:val="none"/>
                <w:u w:val="wave" w:color="auto"/>
                <w14:textFill>
                  <w14:solidFill>
                    <w14:schemeClr w14:val="tx1"/>
                  </w14:solidFill>
                </w14:textFill>
              </w:rPr>
              <w:t>企业入驻比例</w:t>
            </w:r>
          </w:p>
        </w:tc>
        <w:tc>
          <w:tcPr>
            <w:tcW w:w="2040" w:type="dxa"/>
            <w:tcBorders>
              <w:tl2br w:val="nil"/>
              <w:tr2bl w:val="nil"/>
            </w:tcBorders>
            <w:vAlign w:val="center"/>
          </w:tcPr>
          <w:p w14:paraId="711BE34D">
            <w:pPr>
              <w:widowControl/>
              <w:kinsoku w:val="0"/>
              <w:snapToGrid w:val="0"/>
              <w:spacing w:before="75" w:line="199"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2"/>
                <w:kern w:val="0"/>
                <w:sz w:val="22"/>
                <w:szCs w:val="22"/>
                <w:highlight w:val="none"/>
                <w:u w:val="wave" w:color="auto"/>
                <w:lang w:eastAsia="en-US"/>
                <w14:textFill>
                  <w14:solidFill>
                    <w14:schemeClr w14:val="tx1"/>
                  </w14:solidFill>
                </w14:textFill>
              </w:rPr>
              <w:t>0.5</w:t>
            </w:r>
          </w:p>
        </w:tc>
        <w:tc>
          <w:tcPr>
            <w:tcW w:w="2399" w:type="dxa"/>
            <w:tcBorders>
              <w:tl2br w:val="nil"/>
              <w:tr2bl w:val="nil"/>
            </w:tcBorders>
            <w:vAlign w:val="center"/>
          </w:tcPr>
          <w:p w14:paraId="679BB83A">
            <w:pPr>
              <w:widowControl/>
              <w:kinsoku w:val="0"/>
              <w:snapToGrid w:val="0"/>
              <w:spacing w:before="75" w:line="199"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2"/>
                <w:kern w:val="0"/>
                <w:sz w:val="22"/>
                <w:szCs w:val="22"/>
                <w:highlight w:val="none"/>
                <w:u w:val="wave" w:color="auto"/>
                <w:lang w:eastAsia="en-US"/>
                <w14:textFill>
                  <w14:solidFill>
                    <w14:schemeClr w14:val="tx1"/>
                  </w14:solidFill>
                </w14:textFill>
              </w:rPr>
              <w:t>0.8</w:t>
            </w:r>
          </w:p>
        </w:tc>
      </w:tr>
      <w:tr w14:paraId="62BFD2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1367" w:type="dxa"/>
            <w:tcBorders>
              <w:tl2br w:val="nil"/>
              <w:tr2bl w:val="nil"/>
            </w:tcBorders>
            <w:vAlign w:val="center"/>
          </w:tcPr>
          <w:p w14:paraId="10360E45">
            <w:pPr>
              <w:widowControl/>
              <w:kinsoku w:val="0"/>
              <w:snapToGrid w:val="0"/>
              <w:spacing w:before="116" w:line="232"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宋体" w:cs="Times New Roman"/>
                <w:snapToGrid w:val="0"/>
                <w:color w:val="000000" w:themeColor="text1"/>
                <w:kern w:val="0"/>
                <w:sz w:val="22"/>
                <w:szCs w:val="22"/>
                <w:highlight w:val="none"/>
                <w:u w:val="wave" w:color="auto"/>
                <w:lang w:val="en-US" w:eastAsia="zh-CN"/>
                <w14:textFill>
                  <w14:solidFill>
                    <w14:schemeClr w14:val="tx1"/>
                  </w14:solidFill>
                </w14:textFill>
              </w:rPr>
              <w:t>6</w:t>
            </w:r>
          </w:p>
        </w:tc>
        <w:tc>
          <w:tcPr>
            <w:tcW w:w="2931" w:type="dxa"/>
            <w:tcBorders>
              <w:tl2br w:val="nil"/>
              <w:tr2bl w:val="nil"/>
            </w:tcBorders>
            <w:vAlign w:val="center"/>
          </w:tcPr>
          <w:p w14:paraId="7DF9192D">
            <w:pPr>
              <w:pStyle w:val="435"/>
              <w:widowControl/>
              <w:spacing w:before="67"/>
              <w:jc w:val="center"/>
              <w:rPr>
                <w:rFonts w:hint="default" w:ascii="Times New Roman" w:hAnsi="Times New Roman" w:cs="Times New Roman"/>
                <w:color w:val="000000" w:themeColor="text1"/>
                <w:sz w:val="22"/>
                <w:szCs w:val="22"/>
                <w:highlight w:val="none"/>
                <w:u w:val="wave" w:color="auto"/>
                <w14:textFill>
                  <w14:solidFill>
                    <w14:schemeClr w14:val="tx1"/>
                  </w14:solidFill>
                </w14:textFill>
              </w:rPr>
            </w:pP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污水量预测值（</w:t>
            </w:r>
            <w:r>
              <w:rPr>
                <w:rFonts w:hint="default" w:ascii="Times New Roman" w:hAnsi="Times New Roman" w:eastAsia="Times New Roman" w:cs="Times New Roman"/>
                <w:color w:val="000000" w:themeColor="text1"/>
                <w:spacing w:val="-1"/>
                <w:sz w:val="22"/>
                <w:szCs w:val="22"/>
                <w:highlight w:val="none"/>
                <w:u w:val="wave" w:color="auto"/>
                <w14:textFill>
                  <w14:solidFill>
                    <w14:schemeClr w14:val="tx1"/>
                  </w14:solidFill>
                </w14:textFill>
              </w:rPr>
              <w:t>m</w:t>
            </w:r>
            <w:r>
              <w:rPr>
                <w:rFonts w:hint="default" w:ascii="Times New Roman" w:hAnsi="Times New Roman" w:eastAsia="Times New Roman" w:cs="Times New Roman"/>
                <w:color w:val="000000" w:themeColor="text1"/>
                <w:spacing w:val="-1"/>
                <w:position w:val="10"/>
                <w:sz w:val="15"/>
                <w:szCs w:val="15"/>
                <w:highlight w:val="none"/>
                <w:u w:val="wave" w:color="auto"/>
                <w14:textFill>
                  <w14:solidFill>
                    <w14:schemeClr w14:val="tx1"/>
                  </w14:solidFill>
                </w14:textFill>
              </w:rPr>
              <w:t>3</w:t>
            </w:r>
            <w:r>
              <w:rPr>
                <w:rFonts w:hint="default" w:ascii="Times New Roman" w:hAnsi="Times New Roman" w:eastAsia="Times New Roman" w:cs="Times New Roman"/>
                <w:color w:val="000000" w:themeColor="text1"/>
                <w:spacing w:val="-1"/>
                <w:sz w:val="22"/>
                <w:szCs w:val="22"/>
                <w:highlight w:val="none"/>
                <w:u w:val="wave" w:color="auto"/>
                <w14:textFill>
                  <w14:solidFill>
                    <w14:schemeClr w14:val="tx1"/>
                  </w14:solidFill>
                </w14:textFill>
              </w:rPr>
              <w:t>/d</w:t>
            </w:r>
            <w:r>
              <w:rPr>
                <w:rFonts w:hint="default" w:ascii="Times New Roman" w:hAnsi="Times New Roman" w:cs="Times New Roman"/>
                <w:color w:val="000000" w:themeColor="text1"/>
                <w:spacing w:val="-1"/>
                <w:sz w:val="22"/>
                <w:szCs w:val="22"/>
                <w:highlight w:val="none"/>
                <w:u w:val="wave" w:color="auto"/>
                <w14:textFill>
                  <w14:solidFill>
                    <w14:schemeClr w14:val="tx1"/>
                  </w14:solidFill>
                </w14:textFill>
              </w:rPr>
              <w:t>）</w:t>
            </w:r>
          </w:p>
        </w:tc>
        <w:tc>
          <w:tcPr>
            <w:tcW w:w="2040" w:type="dxa"/>
            <w:tcBorders>
              <w:tl2br w:val="nil"/>
              <w:tr2bl w:val="nil"/>
            </w:tcBorders>
            <w:vAlign w:val="center"/>
          </w:tcPr>
          <w:p w14:paraId="0445D08E">
            <w:pPr>
              <w:widowControl/>
              <w:kinsoku w:val="0"/>
              <w:snapToGrid w:val="0"/>
              <w:spacing w:before="115" w:line="232"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6"/>
                <w:kern w:val="0"/>
                <w:sz w:val="22"/>
                <w:szCs w:val="22"/>
                <w:highlight w:val="none"/>
                <w:u w:val="wave" w:color="auto"/>
                <w:lang w:eastAsia="en-US"/>
                <w14:textFill>
                  <w14:solidFill>
                    <w14:schemeClr w14:val="tx1"/>
                  </w14:solidFill>
                </w14:textFill>
              </w:rPr>
              <w:t>1890</w:t>
            </w:r>
          </w:p>
        </w:tc>
        <w:tc>
          <w:tcPr>
            <w:tcW w:w="2399" w:type="dxa"/>
            <w:tcBorders>
              <w:tl2br w:val="nil"/>
              <w:tr2bl w:val="nil"/>
            </w:tcBorders>
            <w:vAlign w:val="center"/>
          </w:tcPr>
          <w:p w14:paraId="032BFA4F">
            <w:pPr>
              <w:widowControl/>
              <w:kinsoku w:val="0"/>
              <w:snapToGrid w:val="0"/>
              <w:spacing w:before="116" w:line="232" w:lineRule="auto"/>
              <w:ind w:left="0" w:leftChars="0" w:firstLine="0" w:firstLineChars="0"/>
              <w:jc w:val="center"/>
              <w:textAlignment w:val="baseline"/>
              <w:rPr>
                <w:rFonts w:hint="default" w:ascii="Times New Roman" w:hAnsi="Times New Roman" w:eastAsia="Times New Roman" w:cs="Times New Roman"/>
                <w:snapToGrid w:val="0"/>
                <w:color w:val="000000" w:themeColor="text1"/>
                <w:kern w:val="0"/>
                <w:sz w:val="22"/>
                <w:szCs w:val="22"/>
                <w:highlight w:val="none"/>
                <w:u w:val="wave" w:color="auto"/>
                <w:lang w:eastAsia="en-US"/>
                <w14:textFill>
                  <w14:solidFill>
                    <w14:schemeClr w14:val="tx1"/>
                  </w14:solidFill>
                </w14:textFill>
              </w:rPr>
            </w:pPr>
            <w:r>
              <w:rPr>
                <w:rFonts w:hint="default" w:ascii="Times New Roman" w:hAnsi="Times New Roman" w:eastAsia="Times New Roman" w:cs="Times New Roman"/>
                <w:snapToGrid w:val="0"/>
                <w:color w:val="000000" w:themeColor="text1"/>
                <w:spacing w:val="-1"/>
                <w:kern w:val="0"/>
                <w:sz w:val="22"/>
                <w:szCs w:val="22"/>
                <w:highlight w:val="none"/>
                <w:u w:val="wave" w:color="auto"/>
                <w:lang w:eastAsia="en-US"/>
                <w14:textFill>
                  <w14:solidFill>
                    <w14:schemeClr w14:val="tx1"/>
                  </w14:solidFill>
                </w14:textFill>
              </w:rPr>
              <w:t>4404</w:t>
            </w:r>
          </w:p>
        </w:tc>
      </w:tr>
    </w:tbl>
    <w:p w14:paraId="6BE6F124">
      <w:pPr>
        <w:kinsoku w:val="0"/>
        <w:autoSpaceDE w:val="0"/>
        <w:autoSpaceDN w:val="0"/>
        <w:adjustRightInd w:val="0"/>
        <w:snapToGrid w:val="0"/>
        <w:spacing w:before="152" w:line="366" w:lineRule="auto"/>
        <w:ind w:left="39" w:right="3" w:firstLine="478"/>
        <w:jc w:val="both"/>
        <w:textAlignment w:val="baseline"/>
        <w:rPr>
          <w:rFonts w:hint="default" w:ascii="Times New Roman" w:hAnsi="Times New Roman" w:eastAsia="宋体" w:cs="Times New Roman"/>
          <w:snapToGrid w:val="0"/>
          <w:color w:val="000000" w:themeColor="text1"/>
          <w:spacing w:val="-2"/>
          <w:kern w:val="0"/>
          <w:sz w:val="24"/>
          <w:szCs w:val="24"/>
          <w:highlight w:val="none"/>
          <w:u w:val="wave" w:color="auto"/>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4"/>
          <w:szCs w:val="24"/>
          <w:highlight w:val="none"/>
          <w:u w:val="wave" w:color="auto"/>
          <w:lang w:val="en-US" w:eastAsia="en-US" w:bidi="ar-SA"/>
          <w14:textFill>
            <w14:solidFill>
              <w14:schemeClr w14:val="tx1"/>
            </w14:solidFill>
          </w14:textFill>
        </w:rPr>
        <w:t>根据污水量的预测，园区近、远期的污水量预测规模差距较大，</w:t>
      </w:r>
      <w:r>
        <w:rPr>
          <w:rFonts w:hint="default" w:ascii="Times New Roman" w:hAnsi="Times New Roman" w:eastAsia="宋体" w:cs="Times New Roman"/>
          <w:snapToGrid w:val="0"/>
          <w:color w:val="000000" w:themeColor="text1"/>
          <w:spacing w:val="-7"/>
          <w:kern w:val="0"/>
          <w:sz w:val="24"/>
          <w:szCs w:val="24"/>
          <w:highlight w:val="none"/>
          <w:u w:val="wave" w:color="auto"/>
          <w:lang w:val="en-US" w:eastAsia="en-US" w:bidi="ar-SA"/>
          <w14:textFill>
            <w14:solidFill>
              <w14:schemeClr w14:val="tx1"/>
            </w14:solidFill>
          </w14:textFill>
        </w:rPr>
        <w:t>为避免建设浪费</w:t>
      </w:r>
      <w:r>
        <w:rPr>
          <w:rFonts w:hint="default" w:ascii="Times New Roman" w:hAnsi="Times New Roman" w:eastAsia="宋体" w:cs="Times New Roman"/>
          <w:snapToGrid w:val="0"/>
          <w:color w:val="000000" w:themeColor="text1"/>
          <w:spacing w:val="-3"/>
          <w:kern w:val="0"/>
          <w:sz w:val="24"/>
          <w:szCs w:val="24"/>
          <w:highlight w:val="none"/>
          <w:u w:val="wave" w:color="auto"/>
          <w:lang w:val="en-US" w:eastAsia="en-US" w:bidi="ar-SA"/>
          <w14:textFill>
            <w14:solidFill>
              <w14:schemeClr w14:val="tx1"/>
            </w14:solidFill>
          </w14:textFill>
        </w:rPr>
        <w:t>和设施闲置，</w:t>
      </w:r>
      <w:r>
        <w:rPr>
          <w:rFonts w:hint="default" w:ascii="Times New Roman" w:hAnsi="Times New Roman" w:eastAsia="宋体" w:cs="Times New Roman"/>
          <w:snapToGrid w:val="0"/>
          <w:color w:val="000000" w:themeColor="text1"/>
          <w:spacing w:val="-3"/>
          <w:kern w:val="0"/>
          <w:sz w:val="24"/>
          <w:szCs w:val="24"/>
          <w:highlight w:val="none"/>
          <w:u w:val="wave" w:color="auto"/>
          <w:lang w:val="en-US" w:eastAsia="zh-CN" w:bidi="ar-SA"/>
          <w14:textFill>
            <w14:solidFill>
              <w14:schemeClr w14:val="tx1"/>
            </w14:solidFill>
          </w14:textFill>
        </w:rPr>
        <w:t>根据《初步设计》，确定本次</w:t>
      </w:r>
      <w:r>
        <w:rPr>
          <w:rFonts w:hint="default" w:ascii="Times New Roman" w:hAnsi="Times New Roman" w:eastAsia="宋体" w:cs="Times New Roman"/>
          <w:snapToGrid w:val="0"/>
          <w:color w:val="000000" w:themeColor="text1"/>
          <w:spacing w:val="-1"/>
          <w:kern w:val="0"/>
          <w:sz w:val="24"/>
          <w:szCs w:val="24"/>
          <w:highlight w:val="none"/>
          <w:u w:val="wave" w:color="auto"/>
          <w:lang w:val="en-US" w:eastAsia="en-US" w:bidi="ar-SA"/>
          <w14:textFill>
            <w14:solidFill>
              <w14:schemeClr w14:val="tx1"/>
            </w14:solidFill>
          </w14:textFill>
        </w:rPr>
        <w:t>建设规模为</w:t>
      </w:r>
      <w:r>
        <w:rPr>
          <w:rFonts w:hint="default" w:ascii="Times New Roman" w:hAnsi="Times New Roman" w:eastAsia="宋体" w:cs="Times New Roman"/>
          <w:snapToGrid w:val="0"/>
          <w:color w:val="000000" w:themeColor="text1"/>
          <w:spacing w:val="-37"/>
          <w:kern w:val="0"/>
          <w:sz w:val="24"/>
          <w:szCs w:val="24"/>
          <w:highlight w:val="none"/>
          <w:u w:val="wave" w:color="auto"/>
          <w:lang w:val="en-US" w:eastAsia="en-US" w:bidi="ar-SA"/>
          <w14:textFill>
            <w14:solidFill>
              <w14:schemeClr w14:val="tx1"/>
            </w14:solidFill>
          </w14:textFill>
        </w:rPr>
        <w:t xml:space="preserve"> </w:t>
      </w:r>
      <w:r>
        <w:rPr>
          <w:rFonts w:hint="default" w:ascii="Times New Roman" w:hAnsi="Times New Roman" w:eastAsia="宋体" w:cs="Times New Roman"/>
          <w:snapToGrid w:val="0"/>
          <w:color w:val="000000" w:themeColor="text1"/>
          <w:spacing w:val="-1"/>
          <w:kern w:val="0"/>
          <w:sz w:val="24"/>
          <w:szCs w:val="24"/>
          <w:highlight w:val="none"/>
          <w:u w:val="wave" w:color="auto"/>
          <w:lang w:val="en-US" w:eastAsia="zh-CN" w:bidi="ar-SA"/>
          <w14:textFill>
            <w14:solidFill>
              <w14:schemeClr w14:val="tx1"/>
            </w14:solidFill>
          </w14:textFill>
        </w:rPr>
        <w:t>3</w:t>
      </w:r>
      <w:r>
        <w:rPr>
          <w:rFonts w:hint="default" w:ascii="Times New Roman" w:hAnsi="Times New Roman" w:eastAsia="Times New Roman" w:cs="Times New Roman"/>
          <w:snapToGrid w:val="0"/>
          <w:color w:val="000000" w:themeColor="text1"/>
          <w:spacing w:val="-1"/>
          <w:kern w:val="0"/>
          <w:sz w:val="24"/>
          <w:szCs w:val="24"/>
          <w:highlight w:val="none"/>
          <w:u w:val="wave" w:color="auto"/>
          <w:lang w:val="en-US" w:eastAsia="en-US" w:bidi="ar-SA"/>
          <w14:textFill>
            <w14:solidFill>
              <w14:schemeClr w14:val="tx1"/>
            </w14:solidFill>
          </w14:textFill>
        </w:rPr>
        <w:t>0</w:t>
      </w:r>
      <w:r>
        <w:rPr>
          <w:rFonts w:hint="default" w:ascii="Times New Roman" w:hAnsi="Times New Roman" w:eastAsia="Times New Roman" w:cs="Times New Roman"/>
          <w:snapToGrid w:val="0"/>
          <w:color w:val="000000" w:themeColor="text1"/>
          <w:spacing w:val="-2"/>
          <w:kern w:val="0"/>
          <w:sz w:val="24"/>
          <w:szCs w:val="24"/>
          <w:highlight w:val="none"/>
          <w:u w:val="wave" w:color="auto"/>
          <w:lang w:val="en-US" w:eastAsia="en-US" w:bidi="ar-SA"/>
          <w14:textFill>
            <w14:solidFill>
              <w14:schemeClr w14:val="tx1"/>
            </w14:solidFill>
          </w14:textFill>
        </w:rPr>
        <w:t>00 m</w:t>
      </w:r>
      <w:r>
        <w:rPr>
          <w:rFonts w:hint="default" w:ascii="Times New Roman" w:hAnsi="Times New Roman" w:eastAsia="Times New Roman" w:cs="Times New Roman"/>
          <w:snapToGrid w:val="0"/>
          <w:color w:val="000000" w:themeColor="text1"/>
          <w:spacing w:val="-2"/>
          <w:kern w:val="0"/>
          <w:position w:val="10"/>
          <w:sz w:val="16"/>
          <w:szCs w:val="16"/>
          <w:highlight w:val="none"/>
          <w:u w:val="wave" w:color="auto"/>
          <w:lang w:val="en-US" w:eastAsia="en-US" w:bidi="ar-SA"/>
          <w14:textFill>
            <w14:solidFill>
              <w14:schemeClr w14:val="tx1"/>
            </w14:solidFill>
          </w14:textFill>
        </w:rPr>
        <w:t>3</w:t>
      </w:r>
      <w:r>
        <w:rPr>
          <w:rFonts w:hint="default" w:ascii="Times New Roman" w:hAnsi="Times New Roman" w:eastAsia="Times New Roman" w:cs="Times New Roman"/>
          <w:snapToGrid w:val="0"/>
          <w:color w:val="000000" w:themeColor="text1"/>
          <w:spacing w:val="-2"/>
          <w:kern w:val="0"/>
          <w:sz w:val="24"/>
          <w:szCs w:val="24"/>
          <w:highlight w:val="none"/>
          <w:u w:val="wave" w:color="auto"/>
          <w:lang w:val="en-US" w:eastAsia="en-US" w:bidi="ar-SA"/>
          <w14:textFill>
            <w14:solidFill>
              <w14:schemeClr w14:val="tx1"/>
            </w14:solidFill>
          </w14:textFill>
        </w:rPr>
        <w:t>/d</w:t>
      </w:r>
      <w:r>
        <w:rPr>
          <w:rFonts w:hint="default" w:ascii="Times New Roman" w:hAnsi="Times New Roman" w:eastAsia="宋体" w:cs="Times New Roman"/>
          <w:snapToGrid w:val="0"/>
          <w:color w:val="000000" w:themeColor="text1"/>
          <w:spacing w:val="-2"/>
          <w:kern w:val="0"/>
          <w:sz w:val="24"/>
          <w:szCs w:val="24"/>
          <w:highlight w:val="none"/>
          <w:u w:val="wave" w:color="auto"/>
          <w:lang w:val="en-US" w:eastAsia="en-US" w:bidi="ar-SA"/>
          <w14:textFill>
            <w14:solidFill>
              <w14:schemeClr w14:val="tx1"/>
            </w14:solidFill>
          </w14:textFill>
        </w:rPr>
        <w:t>。工业园污水处理厂现状规模为1200m</w:t>
      </w:r>
      <w:r>
        <w:rPr>
          <w:rFonts w:hint="default" w:ascii="Times New Roman" w:hAnsi="Times New Roman" w:eastAsia="宋体" w:cs="Times New Roman"/>
          <w:snapToGrid w:val="0"/>
          <w:color w:val="000000" w:themeColor="text1"/>
          <w:spacing w:val="-2"/>
          <w:kern w:val="0"/>
          <w:sz w:val="24"/>
          <w:szCs w:val="24"/>
          <w:highlight w:val="none"/>
          <w:u w:val="wave" w:color="auto"/>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pacing w:val="-2"/>
          <w:kern w:val="0"/>
          <w:sz w:val="24"/>
          <w:szCs w:val="24"/>
          <w:highlight w:val="none"/>
          <w:u w:val="wave" w:color="auto"/>
          <w:lang w:val="en-US" w:eastAsia="en-US" w:bidi="ar-SA"/>
          <w14:textFill>
            <w14:solidFill>
              <w14:schemeClr w14:val="tx1"/>
            </w14:solidFill>
          </w14:textFill>
        </w:rPr>
        <w:t>/d，本次扩建1800m</w:t>
      </w:r>
      <w:r>
        <w:rPr>
          <w:rFonts w:hint="default" w:ascii="Times New Roman" w:hAnsi="Times New Roman" w:eastAsia="宋体" w:cs="Times New Roman"/>
          <w:snapToGrid w:val="0"/>
          <w:color w:val="000000" w:themeColor="text1"/>
          <w:spacing w:val="-2"/>
          <w:kern w:val="0"/>
          <w:sz w:val="24"/>
          <w:szCs w:val="24"/>
          <w:highlight w:val="none"/>
          <w:u w:val="wave" w:color="auto"/>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pacing w:val="-2"/>
          <w:kern w:val="0"/>
          <w:sz w:val="24"/>
          <w:szCs w:val="24"/>
          <w:highlight w:val="none"/>
          <w:u w:val="wave" w:color="auto"/>
          <w:lang w:val="en-US" w:eastAsia="en-US" w:bidi="ar-SA"/>
          <w14:textFill>
            <w14:solidFill>
              <w14:schemeClr w14:val="tx1"/>
            </w14:solidFill>
          </w14:textFill>
        </w:rPr>
        <w:t>/d。</w:t>
      </w:r>
    </w:p>
    <w:p w14:paraId="4C136C9C">
      <w:pPr>
        <w:pStyle w:val="4"/>
        <w:numPr>
          <w:ilvl w:val="2"/>
          <w:numId w:val="0"/>
        </w:numPr>
        <w:ind w:leftChars="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3.3.</w:t>
      </w:r>
      <w:r>
        <w:rPr>
          <w:rFonts w:hint="eastAsia" w:cs="Times New Roman"/>
          <w:color w:val="000000" w:themeColor="text1"/>
          <w:highlight w:val="none"/>
          <w:u w:val="wav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 进出口水质设计要求</w:t>
      </w:r>
    </w:p>
    <w:p w14:paraId="211DBD72">
      <w:pPr>
        <w:ind w:left="0" w:leftChars="0" w:firstLine="420" w:firstLineChars="0"/>
        <w:rPr>
          <w:rFonts w:hint="default" w:ascii="Times New Roman" w:hAnsi="Times New Roman" w:cs="Times New Roman"/>
          <w:color w:val="000000" w:themeColor="text1"/>
          <w:sz w:val="24"/>
          <w:szCs w:val="32"/>
          <w:highlight w:val="none"/>
          <w:u w:val="wave" w:color="auto"/>
          <w:lang w:val="en-US" w:eastAsia="zh-CN"/>
          <w14:textFill>
            <w14:solidFill>
              <w14:schemeClr w14:val="tx1"/>
            </w14:solidFill>
          </w14:textFill>
        </w:rPr>
      </w:pPr>
      <w:r>
        <w:rPr>
          <w:rFonts w:hint="eastAsia" w:cs="Times New Roman"/>
          <w:color w:val="000000" w:themeColor="text1"/>
          <w:sz w:val="24"/>
          <w:szCs w:val="32"/>
          <w:highlight w:val="none"/>
          <w:u w:val="wave" w:color="auto"/>
          <w:lang w:val="en-US" w:eastAsia="zh-CN"/>
          <w14:textFill>
            <w14:solidFill>
              <w14:schemeClr w14:val="tx1"/>
            </w14:solidFill>
          </w14:textFill>
        </w:rPr>
        <w:t>参照现有污水处理厂运行情况，根据《大通湖工业园污水处理厂提质改造建设项目初步设计》，</w:t>
      </w:r>
      <w:r>
        <w:rPr>
          <w:rFonts w:hint="default" w:ascii="Times New Roman" w:hAnsi="Times New Roman" w:cs="Times New Roman"/>
          <w:color w:val="000000" w:themeColor="text1"/>
          <w:sz w:val="24"/>
          <w:szCs w:val="32"/>
          <w:highlight w:val="none"/>
          <w:u w:val="wave" w:color="auto"/>
          <w:lang w:val="en-US" w:eastAsia="zh-CN"/>
          <w14:textFill>
            <w14:solidFill>
              <w14:schemeClr w14:val="tx1"/>
            </w14:solidFill>
          </w14:textFill>
        </w:rPr>
        <w:t>项目污水处理厂进出水水质详见表3.3-</w:t>
      </w:r>
      <w:r>
        <w:rPr>
          <w:rFonts w:hint="eastAsia" w:cs="Times New Roman"/>
          <w:color w:val="000000" w:themeColor="text1"/>
          <w:sz w:val="24"/>
          <w:szCs w:val="32"/>
          <w:highlight w:val="none"/>
          <w:u w:val="wave" w:color="auto"/>
          <w:lang w:val="en-US" w:eastAsia="zh-CN"/>
          <w14:textFill>
            <w14:solidFill>
              <w14:schemeClr w14:val="tx1"/>
            </w14:solidFill>
          </w14:textFill>
        </w:rPr>
        <w:t>3</w:t>
      </w:r>
      <w:r>
        <w:rPr>
          <w:rFonts w:hint="default" w:ascii="Times New Roman" w:hAnsi="Times New Roman" w:cs="Times New Roman"/>
          <w:color w:val="000000" w:themeColor="text1"/>
          <w:sz w:val="24"/>
          <w:szCs w:val="32"/>
          <w:highlight w:val="none"/>
          <w:u w:val="wave" w:color="auto"/>
          <w:lang w:val="en-US" w:eastAsia="zh-CN"/>
          <w14:textFill>
            <w14:solidFill>
              <w14:schemeClr w14:val="tx1"/>
            </w14:solidFill>
          </w14:textFill>
        </w:rPr>
        <w:t>。</w:t>
      </w:r>
    </w:p>
    <w:p w14:paraId="4E71F2D0">
      <w:pPr>
        <w:spacing w:line="240" w:lineRule="auto"/>
        <w:jc w:val="center"/>
        <w:rPr>
          <w:rFonts w:hint="default" w:ascii="Times New Roman" w:hAnsi="Times New Roman" w:cs="Times New Roman"/>
          <w:b/>
          <w:bCs/>
          <w:color w:val="000000" w:themeColor="text1"/>
          <w:sz w:val="24"/>
          <w:szCs w:val="32"/>
          <w:highlight w:val="none"/>
          <w:u w:val="wave" w:color="auto"/>
          <w:lang w:val="en-US" w:eastAsia="zh-CN"/>
          <w14:textFill>
            <w14:solidFill>
              <w14:schemeClr w14:val="tx1"/>
            </w14:solidFill>
          </w14:textFill>
        </w:rPr>
      </w:pPr>
      <w:r>
        <w:rPr>
          <w:rFonts w:hint="default" w:ascii="Times New Roman" w:hAnsi="Times New Roman" w:cs="Times New Roman"/>
          <w:b/>
          <w:bCs/>
          <w:color w:val="000000" w:themeColor="text1"/>
          <w:sz w:val="24"/>
          <w:szCs w:val="32"/>
          <w:highlight w:val="none"/>
          <w:u w:val="wave" w:color="auto"/>
          <w:lang w:val="en-US" w:eastAsia="zh-CN"/>
          <w14:textFill>
            <w14:solidFill>
              <w14:schemeClr w14:val="tx1"/>
            </w14:solidFill>
          </w14:textFill>
        </w:rPr>
        <w:t>表3.3-</w:t>
      </w:r>
      <w:r>
        <w:rPr>
          <w:rFonts w:hint="eastAsia" w:cs="Times New Roman"/>
          <w:b/>
          <w:bCs/>
          <w:color w:val="000000" w:themeColor="text1"/>
          <w:sz w:val="24"/>
          <w:szCs w:val="32"/>
          <w:highlight w:val="none"/>
          <w:u w:val="wave" w:color="auto"/>
          <w:lang w:val="en-US" w:eastAsia="zh-CN"/>
          <w14:textFill>
            <w14:solidFill>
              <w14:schemeClr w14:val="tx1"/>
            </w14:solidFill>
          </w14:textFill>
        </w:rPr>
        <w:t>3</w:t>
      </w:r>
      <w:r>
        <w:rPr>
          <w:rFonts w:hint="default" w:ascii="Times New Roman" w:hAnsi="Times New Roman" w:cs="Times New Roman"/>
          <w:b/>
          <w:bCs/>
          <w:color w:val="000000" w:themeColor="text1"/>
          <w:sz w:val="24"/>
          <w:szCs w:val="32"/>
          <w:highlight w:val="none"/>
          <w:u w:val="wave" w:color="auto"/>
          <w:lang w:val="en-US" w:eastAsia="zh-CN"/>
          <w14:textFill>
            <w14:solidFill>
              <w14:schemeClr w14:val="tx1"/>
            </w14:solidFill>
          </w14:textFill>
        </w:rPr>
        <w:t xml:space="preserve"> 污水处理进出水水质一览表</w:t>
      </w:r>
    </w:p>
    <w:tbl>
      <w:tblPr>
        <w:tblStyle w:val="76"/>
        <w:tblW w:w="945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374"/>
        <w:gridCol w:w="1114"/>
        <w:gridCol w:w="1114"/>
        <w:gridCol w:w="1223"/>
        <w:gridCol w:w="1284"/>
        <w:gridCol w:w="1346"/>
        <w:gridCol w:w="1001"/>
        <w:gridCol w:w="1000"/>
      </w:tblGrid>
      <w:tr w14:paraId="3CD46F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6" w:hRule="exact"/>
          <w:jc w:val="center"/>
        </w:trPr>
        <w:tc>
          <w:tcPr>
            <w:tcW w:w="1374" w:type="dxa"/>
            <w:vAlign w:val="center"/>
          </w:tcPr>
          <w:p w14:paraId="6E8A8919">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水质指标</w:t>
            </w:r>
          </w:p>
        </w:tc>
        <w:tc>
          <w:tcPr>
            <w:tcW w:w="1114" w:type="dxa"/>
            <w:vAlign w:val="center"/>
          </w:tcPr>
          <w:p w14:paraId="4B84AB1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pH</w:t>
            </w:r>
          </w:p>
        </w:tc>
        <w:tc>
          <w:tcPr>
            <w:tcW w:w="1114" w:type="dxa"/>
            <w:vAlign w:val="center"/>
          </w:tcPr>
          <w:p w14:paraId="0EDDC28D">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16"/>
                <w:szCs w:val="16"/>
                <w:highlight w:val="none"/>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14:textFill>
                  <w14:solidFill>
                    <w14:schemeClr w14:val="tx1"/>
                  </w14:solidFill>
                </w14:textFill>
              </w:rPr>
              <w:t>COD</w:t>
            </w:r>
            <w:r>
              <w:rPr>
                <w:rFonts w:hint="default" w:ascii="Times New Roman" w:hAnsi="Times New Roman" w:cs="Times New Roman"/>
                <w:b/>
                <w:bCs/>
                <w:color w:val="000000" w:themeColor="text1"/>
                <w:sz w:val="16"/>
                <w:szCs w:val="16"/>
                <w:highlight w:val="none"/>
                <w:u w:val="wave" w:color="auto"/>
                <w14:textFill>
                  <w14:solidFill>
                    <w14:schemeClr w14:val="tx1"/>
                  </w14:solidFill>
                </w14:textFill>
              </w:rPr>
              <w:t>cr</w:t>
            </w:r>
          </w:p>
        </w:tc>
        <w:tc>
          <w:tcPr>
            <w:tcW w:w="1223" w:type="dxa"/>
            <w:vAlign w:val="center"/>
          </w:tcPr>
          <w:p w14:paraId="23978C88">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16"/>
                <w:szCs w:val="16"/>
                <w:highlight w:val="none"/>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14:textFill>
                  <w14:solidFill>
                    <w14:schemeClr w14:val="tx1"/>
                  </w14:solidFill>
                </w14:textFill>
              </w:rPr>
              <w:t>BOD</w:t>
            </w:r>
            <w:r>
              <w:rPr>
                <w:rFonts w:hint="default" w:ascii="Times New Roman" w:hAnsi="Times New Roman" w:cs="Times New Roman"/>
                <w:b/>
                <w:bCs/>
                <w:color w:val="000000" w:themeColor="text1"/>
                <w:sz w:val="16"/>
                <w:szCs w:val="16"/>
                <w:highlight w:val="none"/>
                <w:u w:val="wave" w:color="auto"/>
                <w14:textFill>
                  <w14:solidFill>
                    <w14:schemeClr w14:val="tx1"/>
                  </w14:solidFill>
                </w14:textFill>
              </w:rPr>
              <w:t>5</w:t>
            </w:r>
          </w:p>
        </w:tc>
        <w:tc>
          <w:tcPr>
            <w:tcW w:w="1284" w:type="dxa"/>
            <w:vAlign w:val="center"/>
          </w:tcPr>
          <w:p w14:paraId="01EA9F6D">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14:textFill>
                  <w14:solidFill>
                    <w14:schemeClr w14:val="tx1"/>
                  </w14:solidFill>
                </w14:textFill>
              </w:rPr>
              <w:t>SS</w:t>
            </w:r>
          </w:p>
        </w:tc>
        <w:tc>
          <w:tcPr>
            <w:tcW w:w="1346" w:type="dxa"/>
            <w:vAlign w:val="center"/>
          </w:tcPr>
          <w:p w14:paraId="4067E286">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14:textFill>
                  <w14:solidFill>
                    <w14:schemeClr w14:val="tx1"/>
                  </w14:solidFill>
                </w14:textFill>
              </w:rPr>
              <w:t>NH</w:t>
            </w:r>
            <w:r>
              <w:rPr>
                <w:rFonts w:hint="default" w:ascii="Times New Roman" w:hAnsi="Times New Roman" w:cs="Times New Roman"/>
                <w:b/>
                <w:bCs/>
                <w:color w:val="000000" w:themeColor="text1"/>
                <w:highlight w:val="none"/>
                <w:u w:val="wave" w:color="auto"/>
                <w:vertAlign w:val="subscript"/>
                <w:lang w:val="en-US" w:eastAsia="zh-CN"/>
                <w14:textFill>
                  <w14:solidFill>
                    <w14:schemeClr w14:val="tx1"/>
                  </w14:solidFill>
                </w14:textFill>
              </w:rPr>
              <w:t>3</w:t>
            </w:r>
            <w:r>
              <w:rPr>
                <w:rFonts w:hint="default" w:ascii="Times New Roman" w:hAnsi="Times New Roman" w:cs="Times New Roman"/>
                <w:b/>
                <w:bCs/>
                <w:color w:val="000000" w:themeColor="text1"/>
                <w:highlight w:val="none"/>
                <w:u w:val="wave" w:color="auto"/>
                <w14:textFill>
                  <w14:solidFill>
                    <w14:schemeClr w14:val="tx1"/>
                  </w14:solidFill>
                </w14:textFill>
              </w:rPr>
              <w:t>-N</w:t>
            </w:r>
          </w:p>
        </w:tc>
        <w:tc>
          <w:tcPr>
            <w:tcW w:w="1001" w:type="dxa"/>
            <w:vAlign w:val="center"/>
          </w:tcPr>
          <w:p w14:paraId="4D9AA586">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14:textFill>
                  <w14:solidFill>
                    <w14:schemeClr w14:val="tx1"/>
                  </w14:solidFill>
                </w14:textFill>
              </w:rPr>
              <w:t>TN</w:t>
            </w:r>
          </w:p>
        </w:tc>
        <w:tc>
          <w:tcPr>
            <w:tcW w:w="1000" w:type="dxa"/>
            <w:vAlign w:val="center"/>
          </w:tcPr>
          <w:p w14:paraId="7A814AF6">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14:textFill>
                  <w14:solidFill>
                    <w14:schemeClr w14:val="tx1"/>
                  </w14:solidFill>
                </w14:textFill>
              </w:rPr>
              <w:t>TP</w:t>
            </w:r>
          </w:p>
        </w:tc>
      </w:tr>
      <w:tr w14:paraId="480685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8" w:hRule="exact"/>
          <w:jc w:val="center"/>
        </w:trPr>
        <w:tc>
          <w:tcPr>
            <w:tcW w:w="1374" w:type="dxa"/>
            <w:vAlign w:val="center"/>
          </w:tcPr>
          <w:p w14:paraId="18F4BBC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进水水质</w:t>
            </w:r>
          </w:p>
        </w:tc>
        <w:tc>
          <w:tcPr>
            <w:tcW w:w="1114" w:type="dxa"/>
            <w:vAlign w:val="center"/>
          </w:tcPr>
          <w:p w14:paraId="31497DE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pacing w:val="-1"/>
                <w:highlight w:val="none"/>
                <w:u w:val="wave" w:color="auto"/>
                <w:lang w:val="en-US" w:eastAsia="zh-CN"/>
                <w14:textFill>
                  <w14:solidFill>
                    <w14:schemeClr w14:val="tx1"/>
                  </w14:solidFill>
                </w14:textFill>
              </w:rPr>
              <w:t>6-9</w:t>
            </w:r>
          </w:p>
        </w:tc>
        <w:tc>
          <w:tcPr>
            <w:tcW w:w="1114" w:type="dxa"/>
            <w:vAlign w:val="center"/>
          </w:tcPr>
          <w:p w14:paraId="0EFE915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500</w:t>
            </w:r>
          </w:p>
        </w:tc>
        <w:tc>
          <w:tcPr>
            <w:tcW w:w="1223" w:type="dxa"/>
            <w:vAlign w:val="center"/>
          </w:tcPr>
          <w:p w14:paraId="357FDC8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350</w:t>
            </w:r>
          </w:p>
        </w:tc>
        <w:tc>
          <w:tcPr>
            <w:tcW w:w="1284" w:type="dxa"/>
            <w:vAlign w:val="center"/>
          </w:tcPr>
          <w:p w14:paraId="454DFE0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400</w:t>
            </w:r>
          </w:p>
        </w:tc>
        <w:tc>
          <w:tcPr>
            <w:tcW w:w="1346" w:type="dxa"/>
            <w:vAlign w:val="center"/>
          </w:tcPr>
          <w:p w14:paraId="15137DC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45</w:t>
            </w:r>
          </w:p>
        </w:tc>
        <w:tc>
          <w:tcPr>
            <w:tcW w:w="1001" w:type="dxa"/>
            <w:vAlign w:val="center"/>
          </w:tcPr>
          <w:p w14:paraId="702F9A6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70</w:t>
            </w:r>
          </w:p>
        </w:tc>
        <w:tc>
          <w:tcPr>
            <w:tcW w:w="1000" w:type="dxa"/>
            <w:vAlign w:val="center"/>
          </w:tcPr>
          <w:p w14:paraId="3B0AAEC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spacing w:val="-1"/>
                <w:highlight w:val="none"/>
                <w:u w:val="wave" w:color="auto"/>
                <w:lang w:val="en-US" w:eastAsia="zh-CN"/>
                <w14:textFill>
                  <w14:solidFill>
                    <w14:schemeClr w14:val="tx1"/>
                  </w14:solidFill>
                </w14:textFill>
              </w:rPr>
              <w:t>8</w:t>
            </w:r>
          </w:p>
        </w:tc>
      </w:tr>
      <w:tr w14:paraId="72FD73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8" w:hRule="exact"/>
          <w:jc w:val="center"/>
        </w:trPr>
        <w:tc>
          <w:tcPr>
            <w:tcW w:w="1374" w:type="dxa"/>
            <w:vAlign w:val="center"/>
          </w:tcPr>
          <w:p w14:paraId="1FD276D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出水</w:t>
            </w:r>
            <w:r>
              <w:rPr>
                <w:rFonts w:hint="default" w:ascii="Times New Roman" w:hAnsi="Times New Roman" w:cs="Times New Roman"/>
                <w:color w:val="000000" w:themeColor="text1"/>
                <w:spacing w:val="-3"/>
                <w:highlight w:val="none"/>
                <w:u w:val="wave" w:color="auto"/>
                <w14:textFill>
                  <w14:solidFill>
                    <w14:schemeClr w14:val="tx1"/>
                  </w14:solidFill>
                </w14:textFill>
              </w:rPr>
              <w:t>水</w:t>
            </w:r>
            <w:r>
              <w:rPr>
                <w:rFonts w:hint="default" w:ascii="Times New Roman" w:hAnsi="Times New Roman" w:cs="Times New Roman"/>
                <w:color w:val="000000" w:themeColor="text1"/>
                <w:highlight w:val="none"/>
                <w:u w:val="wave" w:color="auto"/>
                <w14:textFill>
                  <w14:solidFill>
                    <w14:schemeClr w14:val="tx1"/>
                  </w14:solidFill>
                </w14:textFill>
              </w:rPr>
              <w:t>质</w:t>
            </w:r>
          </w:p>
        </w:tc>
        <w:tc>
          <w:tcPr>
            <w:tcW w:w="1114" w:type="dxa"/>
            <w:vAlign w:val="center"/>
          </w:tcPr>
          <w:p w14:paraId="470D250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1"/>
                <w:highlight w:val="none"/>
                <w:u w:val="wave" w:color="auto"/>
                <w14:textFill>
                  <w14:solidFill>
                    <w14:schemeClr w14:val="tx1"/>
                  </w14:solidFill>
                </w14:textFill>
              </w:rPr>
            </w:pPr>
            <w:r>
              <w:rPr>
                <w:rFonts w:hint="default" w:ascii="Times New Roman" w:hAnsi="Times New Roman" w:cs="Times New Roman"/>
                <w:color w:val="000000" w:themeColor="text1"/>
                <w:spacing w:val="-1"/>
                <w:highlight w:val="none"/>
                <w:u w:val="wave" w:color="auto"/>
                <w:lang w:val="en-US" w:eastAsia="zh-CN"/>
                <w14:textFill>
                  <w14:solidFill>
                    <w14:schemeClr w14:val="tx1"/>
                  </w14:solidFill>
                </w14:textFill>
              </w:rPr>
              <w:t>6-9</w:t>
            </w:r>
          </w:p>
        </w:tc>
        <w:tc>
          <w:tcPr>
            <w:tcW w:w="1114" w:type="dxa"/>
            <w:vAlign w:val="center"/>
          </w:tcPr>
          <w:p w14:paraId="3A91C4C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50</w:t>
            </w:r>
          </w:p>
        </w:tc>
        <w:tc>
          <w:tcPr>
            <w:tcW w:w="1223" w:type="dxa"/>
            <w:vAlign w:val="center"/>
          </w:tcPr>
          <w:p w14:paraId="7888503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val="en-US"/>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1284" w:type="dxa"/>
            <w:vAlign w:val="center"/>
          </w:tcPr>
          <w:p w14:paraId="598C6A9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val="en-US"/>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1346" w:type="dxa"/>
            <w:vAlign w:val="center"/>
          </w:tcPr>
          <w:p w14:paraId="5F8E8AA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val="en-US"/>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spacing w:val="-1"/>
                <w:highlight w:val="none"/>
                <w:u w:val="wave" w:color="auto"/>
                <w:lang w:val="en-US" w:eastAsia="zh-CN"/>
                <w14:textFill>
                  <w14:solidFill>
                    <w14:schemeClr w14:val="tx1"/>
                  </w14:solidFill>
                </w14:textFill>
              </w:rPr>
              <w:t>5（8）</w:t>
            </w:r>
          </w:p>
        </w:tc>
        <w:tc>
          <w:tcPr>
            <w:tcW w:w="1001" w:type="dxa"/>
            <w:vAlign w:val="center"/>
          </w:tcPr>
          <w:p w14:paraId="7CE8012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val="en-US"/>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15</w:t>
            </w:r>
          </w:p>
        </w:tc>
        <w:tc>
          <w:tcPr>
            <w:tcW w:w="1000" w:type="dxa"/>
            <w:vAlign w:val="center"/>
          </w:tcPr>
          <w:p w14:paraId="7228001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wave" w:color="auto"/>
                <w:lang w:val="en-US"/>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w:t>
            </w:r>
            <w:r>
              <w:rPr>
                <w:rFonts w:hint="default" w:ascii="Times New Roman" w:hAnsi="Times New Roman" w:cs="Times New Roman"/>
                <w:color w:val="000000" w:themeColor="text1"/>
                <w:spacing w:val="-1"/>
                <w:highlight w:val="none"/>
                <w:u w:val="wave" w:color="auto"/>
                <w:lang w:val="en-US" w:eastAsia="zh-CN"/>
                <w14:textFill>
                  <w14:solidFill>
                    <w14:schemeClr w14:val="tx1"/>
                  </w14:solidFill>
                </w14:textFill>
              </w:rPr>
              <w:t>0.5</w:t>
            </w:r>
          </w:p>
        </w:tc>
      </w:tr>
    </w:tbl>
    <w:p w14:paraId="47DF7AE3">
      <w:pPr>
        <w:pStyle w:val="4"/>
        <w:numPr>
          <w:ilvl w:val="2"/>
          <w:numId w:val="0"/>
        </w:numPr>
        <w:ind w:left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3.3.4 主要建设内容</w:t>
      </w:r>
    </w:p>
    <w:p w14:paraId="02EEE2EB">
      <w:pPr>
        <w:pStyle w:val="189"/>
        <w:ind w:left="0" w:leftChars="0" w:firstLine="0" w:firstLineChars="0"/>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3.3.4.1 工程组成</w:t>
      </w:r>
    </w:p>
    <w:p w14:paraId="31DA8F5D">
      <w:pPr>
        <w:pStyle w:val="189"/>
        <w:rPr>
          <w:rFonts w:hint="default" w:ascii="Times New Roman" w:hAnsi="Times New Roman" w:eastAsia="宋体" w:cs="Times New Roman"/>
          <w:snapToGrid w:val="0"/>
          <w:color w:val="000000" w:themeColor="text1"/>
          <w:spacing w:val="-2"/>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本工程总占地面积</w:t>
      </w: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10955.32m</w:t>
      </w:r>
      <w:r>
        <w:rPr>
          <w:rFonts w:hint="default" w:ascii="Times New Roman" w:hAnsi="Times New Roman" w:cs="Times New Roman"/>
          <w:color w:val="000000" w:themeColor="text1"/>
          <w:sz w:val="24"/>
          <w:szCs w:val="32"/>
          <w:highlight w:val="none"/>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，废水处理规模为</w:t>
      </w:r>
      <w:r>
        <w:rPr>
          <w:rFonts w:hint="default" w:ascii="Times New Roman" w:hAnsi="Times New Roman" w:eastAsia="宋体" w:cs="Times New Roman"/>
          <w:snapToGrid w:val="0"/>
          <w:color w:val="000000" w:themeColor="text1"/>
          <w:spacing w:val="-37"/>
          <w:kern w:val="0"/>
          <w:sz w:val="24"/>
          <w:szCs w:val="24"/>
          <w:highlight w:val="none"/>
          <w:lang w:val="en-US" w:eastAsia="en-US" w:bidi="ar-SA"/>
          <w14:textFill>
            <w14:solidFill>
              <w14:schemeClr w14:val="tx1"/>
            </w14:solidFill>
          </w14:textFill>
        </w:rPr>
        <w:t xml:space="preserve"> </w:t>
      </w:r>
      <w:r>
        <w:rPr>
          <w:rFonts w:hint="default" w:ascii="Times New Roman" w:hAnsi="Times New Roman" w:eastAsia="宋体" w:cs="Times New Roman"/>
          <w:snapToGrid w:val="0"/>
          <w:color w:val="000000" w:themeColor="text1"/>
          <w:spacing w:val="-1"/>
          <w:kern w:val="0"/>
          <w:sz w:val="24"/>
          <w:szCs w:val="24"/>
          <w:highlight w:val="none"/>
          <w:lang w:val="en-US" w:eastAsia="zh-CN" w:bidi="ar-SA"/>
          <w14:textFill>
            <w14:solidFill>
              <w14:schemeClr w14:val="tx1"/>
            </w14:solidFill>
          </w14:textFill>
        </w:rPr>
        <w:t>3</w:t>
      </w:r>
      <w:r>
        <w:rPr>
          <w:rFonts w:hint="default" w:ascii="Times New Roman" w:hAnsi="Times New Roman" w:eastAsia="Times New Roman" w:cs="Times New Roman"/>
          <w:snapToGrid w:val="0"/>
          <w:color w:val="000000" w:themeColor="text1"/>
          <w:spacing w:val="-1"/>
          <w:kern w:val="0"/>
          <w:sz w:val="24"/>
          <w:szCs w:val="24"/>
          <w:highlight w:val="none"/>
          <w:lang w:val="en-US" w:eastAsia="en-US" w:bidi="ar-SA"/>
          <w14:textFill>
            <w14:solidFill>
              <w14:schemeClr w14:val="tx1"/>
            </w14:solidFill>
          </w14:textFill>
        </w:rPr>
        <w:t>0</w:t>
      </w:r>
      <w:r>
        <w:rPr>
          <w:rFonts w:hint="default" w:ascii="Times New Roman" w:hAnsi="Times New Roman" w:eastAsia="Times New Roman" w:cs="Times New Roman"/>
          <w:snapToGrid w:val="0"/>
          <w:color w:val="000000" w:themeColor="text1"/>
          <w:spacing w:val="-2"/>
          <w:kern w:val="0"/>
          <w:sz w:val="24"/>
          <w:szCs w:val="24"/>
          <w:highlight w:val="none"/>
          <w:lang w:val="en-US" w:eastAsia="en-US" w:bidi="ar-SA"/>
          <w14:textFill>
            <w14:solidFill>
              <w14:schemeClr w14:val="tx1"/>
            </w14:solidFill>
          </w14:textFill>
        </w:rPr>
        <w:t>00 m</w:t>
      </w:r>
      <w:r>
        <w:rPr>
          <w:rFonts w:hint="default" w:ascii="Times New Roman" w:hAnsi="Times New Roman" w:eastAsia="Times New Roman" w:cs="Times New Roman"/>
          <w:snapToGrid w:val="0"/>
          <w:color w:val="000000" w:themeColor="text1"/>
          <w:spacing w:val="-2"/>
          <w:kern w:val="0"/>
          <w:position w:val="10"/>
          <w:sz w:val="16"/>
          <w:szCs w:val="16"/>
          <w:highlight w:val="none"/>
          <w:lang w:val="en-US" w:eastAsia="en-US" w:bidi="ar-SA"/>
          <w14:textFill>
            <w14:solidFill>
              <w14:schemeClr w14:val="tx1"/>
            </w14:solidFill>
          </w14:textFill>
        </w:rPr>
        <w:t>3</w:t>
      </w:r>
      <w:r>
        <w:rPr>
          <w:rFonts w:hint="default" w:ascii="Times New Roman" w:hAnsi="Times New Roman" w:eastAsia="Times New Roman" w:cs="Times New Roman"/>
          <w:snapToGrid w:val="0"/>
          <w:color w:val="000000" w:themeColor="text1"/>
          <w:spacing w:val="-2"/>
          <w:kern w:val="0"/>
          <w:sz w:val="24"/>
          <w:szCs w:val="24"/>
          <w:highlight w:val="none"/>
          <w:lang w:val="en-US" w:eastAsia="en-US" w:bidi="ar-SA"/>
          <w14:textFill>
            <w14:solidFill>
              <w14:schemeClr w14:val="tx1"/>
            </w14:solidFill>
          </w14:textFill>
        </w:rPr>
        <w:t>/d</w:t>
      </w:r>
      <w:r>
        <w:rPr>
          <w:rFonts w:hint="default" w:ascii="Times New Roman" w:hAnsi="Times New Roman" w:eastAsia="宋体" w:cs="Times New Roman"/>
          <w:snapToGrid w:val="0"/>
          <w:color w:val="000000" w:themeColor="text1"/>
          <w:spacing w:val="-2"/>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2"/>
          <w:kern w:val="0"/>
          <w:sz w:val="24"/>
          <w:szCs w:val="24"/>
          <w:highlight w:val="none"/>
          <w:lang w:val="en-US" w:eastAsia="en-US" w:bidi="ar-SA"/>
          <w14:textFill>
            <w14:solidFill>
              <w14:schemeClr w14:val="tx1"/>
            </w14:solidFill>
          </w14:textFill>
        </w:rPr>
        <w:t>现状规模为1200m</w:t>
      </w:r>
      <w:r>
        <w:rPr>
          <w:rFonts w:hint="default" w:ascii="Times New Roman" w:hAnsi="Times New Roman" w:eastAsia="宋体" w:cs="Times New Roman"/>
          <w:snapToGrid w:val="0"/>
          <w:color w:val="000000" w:themeColor="text1"/>
          <w:spacing w:val="-2"/>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pacing w:val="-2"/>
          <w:kern w:val="0"/>
          <w:sz w:val="24"/>
          <w:szCs w:val="24"/>
          <w:highlight w:val="none"/>
          <w:lang w:val="en-US" w:eastAsia="en-US" w:bidi="ar-SA"/>
          <w14:textFill>
            <w14:solidFill>
              <w14:schemeClr w14:val="tx1"/>
            </w14:solidFill>
          </w14:textFill>
        </w:rPr>
        <w:t>/d，本次扩建1800m</w:t>
      </w:r>
      <w:r>
        <w:rPr>
          <w:rFonts w:hint="default" w:ascii="Times New Roman" w:hAnsi="Times New Roman" w:eastAsia="宋体" w:cs="Times New Roman"/>
          <w:snapToGrid w:val="0"/>
          <w:color w:val="000000" w:themeColor="text1"/>
          <w:spacing w:val="-2"/>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pacing w:val="-2"/>
          <w:kern w:val="0"/>
          <w:sz w:val="24"/>
          <w:szCs w:val="24"/>
          <w:highlight w:val="none"/>
          <w:lang w:val="en-US" w:eastAsia="en-US" w:bidi="ar-SA"/>
          <w14:textFill>
            <w14:solidFill>
              <w14:schemeClr w14:val="tx1"/>
            </w14:solidFill>
          </w14:textFill>
        </w:rPr>
        <w:t>/d。</w:t>
      </w:r>
      <w:r>
        <w:rPr>
          <w:rFonts w:hint="default" w:ascii="Times New Roman" w:hAnsi="Times New Roman" w:eastAsia="宋体" w:cs="Times New Roman"/>
          <w:snapToGrid w:val="0"/>
          <w:color w:val="000000" w:themeColor="text1"/>
          <w:spacing w:val="-2"/>
          <w:kern w:val="0"/>
          <w:sz w:val="24"/>
          <w:szCs w:val="24"/>
          <w:highlight w:val="none"/>
          <w:lang w:val="en-US" w:eastAsia="zh-CN" w:bidi="ar-SA"/>
          <w14:textFill>
            <w14:solidFill>
              <w14:schemeClr w14:val="tx1"/>
            </w14:solidFill>
          </w14:textFill>
        </w:rPr>
        <w:t>主要建设内容：</w:t>
      </w:r>
    </w:p>
    <w:p w14:paraId="5B98BC1B">
      <w:pPr>
        <w:pStyle w:val="189"/>
        <w:spacing w:line="360" w:lineRule="auto"/>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①改造工程：对现有生化处理池进行改造，更换絮凝搅拌机、沉淀池竖流筒</w:t>
      </w:r>
      <w:r>
        <w:rPr>
          <w:rFonts w:hint="eastAsia" w:cs="Times New Roman"/>
          <w:color w:val="000000" w:themeColor="text1"/>
          <w:sz w:val="24"/>
          <w:szCs w:val="32"/>
          <w:highlight w:val="none"/>
          <w:u w:val="wave" w:color="auto"/>
          <w:lang w:val="en-US" w:eastAsia="zh-CN"/>
          <w14:textFill>
            <w14:solidFill>
              <w14:schemeClr w14:val="tx1"/>
            </w14:solidFill>
          </w14:textFill>
        </w:rPr>
        <w:t>及</w:t>
      </w: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出水堰、潜水推流器、曝气管、曝气盘、弹性填料等及各类泵，新增设备操作箱及照明电器。</w:t>
      </w:r>
    </w:p>
    <w:p w14:paraId="4DE34D74">
      <w:pPr>
        <w:pStyle w:val="189"/>
        <w:spacing w:line="360" w:lineRule="auto"/>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②拆除工程：拆除现有综合管理用房、污泥浓缩池、风机房及污泥脱水机房、加药间、砂滤罐锅炉器及现状围墙</w:t>
      </w:r>
    </w:p>
    <w:p w14:paraId="556619EF">
      <w:pPr>
        <w:pStyle w:val="189"/>
        <w:rPr>
          <w:rFonts w:hint="default" w:ascii="Times New Roman" w:hAnsi="Times New Roman" w:eastAsia="宋体" w:cs="Times New Roman"/>
          <w:snapToGrid w:val="0"/>
          <w:color w:val="000000" w:themeColor="text1"/>
          <w:spacing w:val="-2"/>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③新建工程：按总规模3000m</w:t>
      </w:r>
      <w:r>
        <w:rPr>
          <w:rFonts w:hint="default" w:ascii="Times New Roman" w:hAnsi="Times New Roman" w:cs="Times New Roman"/>
          <w:color w:val="000000" w:themeColor="text1"/>
          <w:sz w:val="24"/>
          <w:szCs w:val="32"/>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/d新建一体化泵站、水解酸化及AAO组合池、絮凝沉淀池、精密过滤池、接触消毒池、计量渠、鼓风机房及变配电间、贮泥池、污泥脱水间及加氯间、加药间、出水监测用房、综合楼、危废间及化验室。</w:t>
      </w:r>
    </w:p>
    <w:p w14:paraId="66841AB2">
      <w:pP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项目组成一览表详见表3.3-4。</w:t>
      </w:r>
    </w:p>
    <w:p w14:paraId="583D7B12">
      <w:pPr>
        <w:pStyle w:val="21"/>
        <w:spacing w:line="240" w:lineRule="auto"/>
        <w:ind w:firstLine="482"/>
        <w:jc w:val="cente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highlight w:val="none"/>
          <w:u w:val="none"/>
          <w14:textFill>
            <w14:solidFill>
              <w14:schemeClr w14:val="tx1"/>
            </w14:solidFill>
          </w14:textFill>
        </w:rPr>
        <w:t xml:space="preserve">表 </w:t>
      </w:r>
      <w:r>
        <w:rPr>
          <w:rFonts w:hint="default" w:ascii="Times New Roman" w:hAnsi="Times New Roman" w:cs="Times New Roman"/>
          <w:color w:val="000000" w:themeColor="text1"/>
          <w:highlight w:val="none"/>
          <w:u w:val="none"/>
          <w14:textFill>
            <w14:solidFill>
              <w14:schemeClr w14:val="tx1"/>
            </w14:solidFill>
          </w14:textFill>
        </w:rPr>
        <w:fldChar w:fldCharType="begin"/>
      </w:r>
      <w:r>
        <w:rPr>
          <w:rFonts w:hint="default" w:ascii="Times New Roman" w:hAnsi="Times New Roman" w:cs="Times New Roman"/>
          <w:color w:val="000000" w:themeColor="text1"/>
          <w:highlight w:val="none"/>
          <w:u w:val="none"/>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none"/>
          <w14:textFill>
            <w14:solidFill>
              <w14:schemeClr w14:val="tx1"/>
            </w14:solidFill>
          </w14:textFill>
        </w:rPr>
        <w:fldChar w:fldCharType="separate"/>
      </w:r>
      <w:r>
        <w:rPr>
          <w:rFonts w:hint="default" w:ascii="Times New Roman" w:hAnsi="Times New Roman" w:cs="Times New Roman"/>
          <w:color w:val="000000" w:themeColor="text1"/>
          <w:highlight w:val="none"/>
          <w:u w:val="none"/>
          <w14:textFill>
            <w14:solidFill>
              <w14:schemeClr w14:val="tx1"/>
            </w14:solidFill>
          </w14:textFill>
        </w:rPr>
        <w:t>3.</w:t>
      </w:r>
      <w:r>
        <w:rPr>
          <w:rFonts w:hint="default" w:ascii="Times New Roman" w:hAnsi="Times New Roman" w:cs="Times New Roman"/>
          <w:color w:val="000000" w:themeColor="text1"/>
          <w:highlight w:val="none"/>
          <w:u w:val="none"/>
          <w:lang w:val="en-US" w:eastAsia="zh-CN"/>
          <w14:textFill>
            <w14:solidFill>
              <w14:schemeClr w14:val="tx1"/>
            </w14:solidFill>
          </w14:textFill>
        </w:rPr>
        <w:t>3</w:t>
      </w:r>
      <w:r>
        <w:rPr>
          <w:rFonts w:hint="default" w:ascii="Times New Roman" w:hAnsi="Times New Roman" w:cs="Times New Roman"/>
          <w:color w:val="000000" w:themeColor="text1"/>
          <w:highlight w:val="none"/>
          <w:u w:val="none"/>
          <w14:textFill>
            <w14:solidFill>
              <w14:schemeClr w14:val="tx1"/>
            </w14:solidFill>
          </w14:textFill>
        </w:rPr>
        <w:fldChar w:fldCharType="end"/>
      </w:r>
      <w:r>
        <w:rPr>
          <w:rFonts w:hint="default" w:ascii="Times New Roman" w:hAnsi="Times New Roman" w:cs="Times New Roman"/>
          <w:color w:val="000000" w:themeColor="text1"/>
          <w:highlight w:val="none"/>
          <w:u w:val="none"/>
          <w14:textFill>
            <w14:solidFill>
              <w14:schemeClr w14:val="tx1"/>
            </w14:solidFill>
          </w14:textFill>
        </w:rPr>
        <w:noBreakHyphen/>
      </w:r>
      <w:r>
        <w:rPr>
          <w:rFonts w:hint="default" w:ascii="Times New Roman" w:hAnsi="Times New Roman" w:cs="Times New Roman"/>
          <w:color w:val="000000" w:themeColor="text1"/>
          <w:highlight w:val="none"/>
          <w:u w:val="none"/>
          <w:lang w:val="en-US" w:eastAsia="zh-CN"/>
          <w14:textFill>
            <w14:solidFill>
              <w14:schemeClr w14:val="tx1"/>
            </w14:solidFill>
          </w14:textFill>
        </w:rPr>
        <w:t>4</w:t>
      </w:r>
      <w:r>
        <w:rPr>
          <w:rFonts w:hint="default" w:ascii="Times New Roman" w:hAnsi="Times New Roman" w:cs="Times New Roman"/>
          <w:color w:val="000000" w:themeColor="text1"/>
          <w:highlight w:val="none"/>
          <w:u w:val="none"/>
          <w14:textFill>
            <w14:solidFill>
              <w14:schemeClr w14:val="tx1"/>
            </w14:solidFill>
          </w14:textFill>
        </w:rPr>
        <w:t xml:space="preserve">  </w:t>
      </w:r>
      <w:r>
        <w:rPr>
          <w:rFonts w:hint="default" w:ascii="Times New Roman" w:hAnsi="Times New Roman" w:cs="Times New Roman"/>
          <w:color w:val="000000" w:themeColor="text1"/>
          <w:highlight w:val="none"/>
          <w:u w:val="none"/>
          <w:lang w:val="en-US" w:eastAsia="zh-CN"/>
          <w14:textFill>
            <w14:solidFill>
              <w14:schemeClr w14:val="tx1"/>
            </w14:solidFill>
          </w14:textFill>
        </w:rPr>
        <w:t>项目组成一览表</w:t>
      </w:r>
    </w:p>
    <w:tbl>
      <w:tblPr>
        <w:tblStyle w:val="76"/>
        <w:tblW w:w="895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16"/>
        <w:gridCol w:w="424"/>
        <w:gridCol w:w="1104"/>
        <w:gridCol w:w="1191"/>
        <w:gridCol w:w="4470"/>
        <w:gridCol w:w="1052"/>
      </w:tblGrid>
      <w:tr w14:paraId="659648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2" w:hRule="atLeast"/>
          <w:tblHeader/>
          <w:jc w:val="center"/>
        </w:trPr>
        <w:tc>
          <w:tcPr>
            <w:tcW w:w="716" w:type="dxa"/>
            <w:vAlign w:val="center"/>
          </w:tcPr>
          <w:p w14:paraId="71E3F68D">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cs="Times New Roman"/>
                <w:b/>
                <w:color w:val="000000" w:themeColor="text1"/>
                <w:highlight w:val="none"/>
                <w:u w:val="none"/>
                <w14:textFill>
                  <w14:solidFill>
                    <w14:schemeClr w14:val="tx1"/>
                  </w14:solidFill>
                </w14:textFill>
              </w:rPr>
            </w:pPr>
            <w:r>
              <w:rPr>
                <w:rFonts w:hint="default" w:ascii="Times New Roman" w:hAnsi="Times New Roman" w:cs="Times New Roman"/>
                <w:b/>
                <w:color w:val="000000" w:themeColor="text1"/>
                <w:highlight w:val="none"/>
                <w:u w:val="none"/>
                <w14:textFill>
                  <w14:solidFill>
                    <w14:schemeClr w14:val="tx1"/>
                  </w14:solidFill>
                </w14:textFill>
              </w:rPr>
              <w:t>序号</w:t>
            </w:r>
          </w:p>
        </w:tc>
        <w:tc>
          <w:tcPr>
            <w:tcW w:w="1528" w:type="dxa"/>
            <w:gridSpan w:val="2"/>
            <w:tcBorders>
              <w:right w:val="single" w:color="auto" w:sz="4" w:space="0"/>
            </w:tcBorders>
            <w:vAlign w:val="center"/>
          </w:tcPr>
          <w:p w14:paraId="71A06954">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cs="Times New Roman"/>
                <w:b/>
                <w:color w:val="000000" w:themeColor="text1"/>
                <w:highlight w:val="none"/>
                <w:u w:val="none"/>
                <w14:textFill>
                  <w14:solidFill>
                    <w14:schemeClr w14:val="tx1"/>
                  </w14:solidFill>
                </w14:textFill>
              </w:rPr>
            </w:pPr>
            <w:r>
              <w:rPr>
                <w:rFonts w:hint="default" w:ascii="Times New Roman" w:hAnsi="Times New Roman" w:cs="Times New Roman"/>
                <w:b/>
                <w:color w:val="000000" w:themeColor="text1"/>
                <w:highlight w:val="none"/>
                <w:u w:val="none"/>
                <w14:textFill>
                  <w14:solidFill>
                    <w14:schemeClr w14:val="tx1"/>
                  </w14:solidFill>
                </w14:textFill>
              </w:rPr>
              <w:t>项目</w:t>
            </w:r>
          </w:p>
        </w:tc>
        <w:tc>
          <w:tcPr>
            <w:tcW w:w="5661" w:type="dxa"/>
            <w:gridSpan w:val="2"/>
            <w:tcBorders>
              <w:left w:val="single" w:color="auto" w:sz="4" w:space="0"/>
              <w:right w:val="single" w:color="auto" w:sz="4" w:space="0"/>
            </w:tcBorders>
            <w:vAlign w:val="center"/>
          </w:tcPr>
          <w:p w14:paraId="0C32EC06">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cs="Times New Roman"/>
                <w:b/>
                <w:color w:val="000000" w:themeColor="text1"/>
                <w:highlight w:val="none"/>
                <w:u w:val="none"/>
                <w14:textFill>
                  <w14:solidFill>
                    <w14:schemeClr w14:val="tx1"/>
                  </w14:solidFill>
                </w14:textFill>
              </w:rPr>
            </w:pPr>
            <w:r>
              <w:rPr>
                <w:rFonts w:hint="default" w:ascii="Times New Roman" w:hAnsi="Times New Roman" w:cs="Times New Roman"/>
                <w:b/>
                <w:color w:val="000000" w:themeColor="text1"/>
                <w:highlight w:val="none"/>
                <w:u w:val="none"/>
                <w14:textFill>
                  <w14:solidFill>
                    <w14:schemeClr w14:val="tx1"/>
                  </w14:solidFill>
                </w14:textFill>
              </w:rPr>
              <w:t>内容</w:t>
            </w:r>
          </w:p>
        </w:tc>
        <w:tc>
          <w:tcPr>
            <w:tcW w:w="1052" w:type="dxa"/>
            <w:tcBorders>
              <w:left w:val="single" w:color="auto" w:sz="4" w:space="0"/>
            </w:tcBorders>
            <w:vAlign w:val="center"/>
          </w:tcPr>
          <w:p w14:paraId="655D449A">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cs="Times New Roman"/>
                <w:b/>
                <w:color w:val="000000" w:themeColor="text1"/>
                <w:highlight w:val="none"/>
                <w:u w:val="none"/>
                <w14:textFill>
                  <w14:solidFill>
                    <w14:schemeClr w14:val="tx1"/>
                  </w14:solidFill>
                </w14:textFill>
              </w:rPr>
            </w:pPr>
            <w:r>
              <w:rPr>
                <w:rFonts w:hint="default" w:ascii="Times New Roman" w:hAnsi="Times New Roman" w:cs="Times New Roman"/>
                <w:b/>
                <w:color w:val="000000" w:themeColor="text1"/>
                <w:highlight w:val="none"/>
                <w:u w:val="none"/>
                <w14:textFill>
                  <w14:solidFill>
                    <w14:schemeClr w14:val="tx1"/>
                  </w14:solidFill>
                </w14:textFill>
              </w:rPr>
              <w:t>备注</w:t>
            </w:r>
          </w:p>
        </w:tc>
      </w:tr>
      <w:tr w14:paraId="654722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2" w:hRule="atLeast"/>
          <w:jc w:val="center"/>
        </w:trPr>
        <w:tc>
          <w:tcPr>
            <w:tcW w:w="716" w:type="dxa"/>
            <w:vMerge w:val="restart"/>
            <w:vAlign w:val="center"/>
          </w:tcPr>
          <w:p w14:paraId="5B695369">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1</w:t>
            </w:r>
          </w:p>
        </w:tc>
        <w:tc>
          <w:tcPr>
            <w:tcW w:w="424" w:type="dxa"/>
            <w:vMerge w:val="restart"/>
            <w:vAlign w:val="center"/>
          </w:tcPr>
          <w:p w14:paraId="016AB3C0">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highlight w:val="none"/>
                <w:u w:val="none"/>
                <w14:textFill>
                  <w14:solidFill>
                    <w14:schemeClr w14:val="tx1"/>
                  </w14:solidFill>
                </w14:textFill>
              </w:rPr>
            </w:pP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主体工程</w:t>
            </w:r>
          </w:p>
        </w:tc>
        <w:tc>
          <w:tcPr>
            <w:tcW w:w="1104" w:type="dxa"/>
            <w:tcBorders>
              <w:right w:val="single" w:color="auto" w:sz="4" w:space="0"/>
            </w:tcBorders>
            <w:vAlign w:val="center"/>
          </w:tcPr>
          <w:p w14:paraId="18F2BDA0">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改造工程</w:t>
            </w:r>
          </w:p>
        </w:tc>
        <w:tc>
          <w:tcPr>
            <w:tcW w:w="5661" w:type="dxa"/>
            <w:gridSpan w:val="2"/>
            <w:tcBorders>
              <w:left w:val="single" w:color="auto" w:sz="4" w:space="0"/>
              <w:right w:val="single" w:color="auto" w:sz="4" w:space="0"/>
            </w:tcBorders>
            <w:vAlign w:val="center"/>
          </w:tcPr>
          <w:p w14:paraId="590E8DF0">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对现有</w:t>
            </w:r>
            <w:r>
              <w:rPr>
                <w:rFonts w:hint="eastAsia" w:cs="Times New Roman" w:eastAsiaTheme="minorEastAsia"/>
                <w:color w:val="000000" w:themeColor="text1"/>
                <w:sz w:val="21"/>
                <w:szCs w:val="21"/>
                <w:highlight w:val="none"/>
                <w:u w:val="wave" w:color="auto"/>
                <w:lang w:val="en-US" w:eastAsia="zh-CN" w:bidi="ar-SA"/>
                <w14:textFill>
                  <w14:solidFill>
                    <w14:schemeClr w14:val="tx1"/>
                  </w14:solidFill>
                </w14:textFill>
              </w:rPr>
              <w:t>两座</w:t>
            </w:r>
            <w:r>
              <w:rPr>
                <w:rFonts w:hint="default"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生化处理池</w:t>
            </w:r>
            <w:r>
              <w:rPr>
                <w:rFonts w:hint="eastAsia" w:cs="Times New Roman" w:eastAsiaTheme="minorEastAsia"/>
                <w:color w:val="000000" w:themeColor="text1"/>
                <w:sz w:val="21"/>
                <w:szCs w:val="21"/>
                <w:highlight w:val="none"/>
                <w:u w:val="wave" w:color="auto"/>
                <w:lang w:val="en-US" w:eastAsia="zh-CN" w:bidi="ar-SA"/>
                <w14:textFill>
                  <w14:solidFill>
                    <w14:schemeClr w14:val="tx1"/>
                  </w14:solidFill>
                </w14:textFill>
              </w:rPr>
              <w:t>（600m</w:t>
            </w:r>
            <w:r>
              <w:rPr>
                <w:rFonts w:hint="eastAsia" w:cs="Times New Roman" w:eastAsiaTheme="minorEastAsia"/>
                <w:color w:val="000000" w:themeColor="text1"/>
                <w:sz w:val="21"/>
                <w:szCs w:val="21"/>
                <w:highlight w:val="none"/>
                <w:u w:val="wave" w:color="auto"/>
                <w:vertAlign w:val="superscript"/>
                <w:lang w:val="en-US" w:eastAsia="zh-CN" w:bidi="ar-SA"/>
                <w14:textFill>
                  <w14:solidFill>
                    <w14:schemeClr w14:val="tx1"/>
                  </w14:solidFill>
                </w14:textFill>
              </w:rPr>
              <w:t>3</w:t>
            </w:r>
            <w:r>
              <w:rPr>
                <w:rFonts w:hint="eastAsia" w:cs="Times New Roman" w:eastAsiaTheme="minorEastAsia"/>
                <w:color w:val="000000" w:themeColor="text1"/>
                <w:sz w:val="21"/>
                <w:szCs w:val="21"/>
                <w:highlight w:val="none"/>
                <w:u w:val="wave" w:color="auto"/>
                <w:lang w:val="en-US" w:eastAsia="zh-CN" w:bidi="ar-SA"/>
                <w14:textFill>
                  <w14:solidFill>
                    <w14:schemeClr w14:val="tx1"/>
                  </w14:solidFill>
                </w14:textFill>
              </w:rPr>
              <w:t>/座）</w:t>
            </w:r>
            <w:r>
              <w:rPr>
                <w:rFonts w:hint="default"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进行改造，换絮凝搅拌机、沉淀池竖流筒机出水堰、潜水推流器、曝气管、曝气盘、弹性填料等及各类泵等，改造后</w:t>
            </w:r>
            <w:r>
              <w:rPr>
                <w:rFonts w:hint="eastAsia" w:cs="Times New Roman" w:eastAsiaTheme="minorEastAsia"/>
                <w:color w:val="000000" w:themeColor="text1"/>
                <w:sz w:val="21"/>
                <w:szCs w:val="21"/>
                <w:highlight w:val="none"/>
                <w:u w:val="wave" w:color="auto"/>
                <w:lang w:val="en-US" w:eastAsia="zh-CN" w:bidi="ar-SA"/>
                <w14:textFill>
                  <w14:solidFill>
                    <w14:schemeClr w14:val="tx1"/>
                  </w14:solidFill>
                </w14:textFill>
              </w:rPr>
              <w:t>生化处理池规模</w:t>
            </w:r>
            <w:r>
              <w:rPr>
                <w:rFonts w:hint="default"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为</w:t>
            </w:r>
            <w:r>
              <w:rPr>
                <w:rFonts w:hint="eastAsia" w:cs="Times New Roman" w:eastAsiaTheme="minorEastAsia"/>
                <w:color w:val="000000" w:themeColor="text1"/>
                <w:sz w:val="21"/>
                <w:szCs w:val="21"/>
                <w:highlight w:val="none"/>
                <w:u w:val="wave" w:color="auto"/>
                <w:lang w:val="en-US" w:eastAsia="zh-CN" w:bidi="ar-SA"/>
                <w14:textFill>
                  <w14:solidFill>
                    <w14:schemeClr w14:val="tx1"/>
                  </w14:solidFill>
                </w14:textFill>
              </w:rPr>
              <w:t>12</w:t>
            </w:r>
            <w:r>
              <w:rPr>
                <w:rFonts w:hint="default"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00m</w:t>
            </w:r>
            <w:r>
              <w:rPr>
                <w:rFonts w:hint="default" w:ascii="Times New Roman" w:hAnsi="Times New Roman" w:cs="Times New Roman" w:eastAsiaTheme="minorEastAsia"/>
                <w:color w:val="000000" w:themeColor="text1"/>
                <w:sz w:val="21"/>
                <w:szCs w:val="21"/>
                <w:highlight w:val="none"/>
                <w:u w:val="wave" w:color="auto"/>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/d</w:t>
            </w:r>
          </w:p>
        </w:tc>
        <w:tc>
          <w:tcPr>
            <w:tcW w:w="1052" w:type="dxa"/>
            <w:vMerge w:val="restart"/>
            <w:tcBorders>
              <w:left w:val="single" w:color="auto" w:sz="4" w:space="0"/>
            </w:tcBorders>
            <w:vAlign w:val="center"/>
          </w:tcPr>
          <w:p w14:paraId="193B36B4">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u w:val="none"/>
                <w:lang w:eastAsia="zh-CN"/>
                <w14:textFill>
                  <w14:solidFill>
                    <w14:schemeClr w14:val="tx1"/>
                  </w14:solidFill>
                </w14:textFill>
              </w:rPr>
              <w:t>污水处理规模</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3000m</w:t>
            </w:r>
            <w:r>
              <w:rPr>
                <w:rFonts w:hint="default" w:ascii="Times New Roman" w:hAnsi="Times New Roman" w:eastAsia="宋体" w:cs="Times New Roman"/>
                <w:color w:val="000000" w:themeColor="text1"/>
                <w:sz w:val="21"/>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/d，处理工艺为</w:t>
            </w:r>
            <w:r>
              <w:rPr>
                <w:rFonts w:hint="default" w:ascii="Times New Roman" w:hAnsi="Times New Roman" w:cs="Times New Roman"/>
                <w:color w:val="000000" w:themeColor="text1"/>
                <w:sz w:val="2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一体化泵站</w:t>
            </w:r>
            <w:r>
              <w:rPr>
                <w:rFonts w:hint="default" w:ascii="Times New Roman" w:hAnsi="Times New Roman" w:cs="Times New Roman"/>
                <w:color w:val="000000" w:themeColor="text1"/>
                <w:sz w:val="21"/>
                <w:highlight w:val="none"/>
                <w:u w:val="none"/>
                <w:lang w:val="en-US" w:eastAsia="zh-CN"/>
                <w14:textFill>
                  <w14:solidFill>
                    <w14:schemeClr w14:val="tx1"/>
                  </w14:solidFill>
                </w14:textFill>
              </w:rPr>
              <w:t>+调节均质</w:t>
            </w: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highlight w:val="none"/>
                <w:u w:val="none"/>
                <w14:textFill>
                  <w14:solidFill>
                    <w14:schemeClr w14:val="tx1"/>
                  </w14:solidFill>
                </w14:textFill>
              </w:rPr>
              <w:t>水解酸化+AAO生化+混凝沉淀+精密过滤+</w:t>
            </w:r>
            <w:r>
              <w:rPr>
                <w:rFonts w:hint="default" w:ascii="Times New Roman" w:hAnsi="Times New Roman" w:cs="Times New Roman"/>
                <w:color w:val="000000" w:themeColor="text1"/>
                <w:sz w:val="21"/>
                <w:highlight w:val="none"/>
                <w:u w:val="none"/>
                <w:lang w:val="en-US" w:eastAsia="zh-CN"/>
                <w14:textFill>
                  <w14:solidFill>
                    <w14:schemeClr w14:val="tx1"/>
                  </w14:solidFill>
                </w14:textFill>
              </w:rPr>
              <w:t>接触</w:t>
            </w:r>
            <w:r>
              <w:rPr>
                <w:rFonts w:hint="default" w:ascii="Times New Roman" w:hAnsi="Times New Roman" w:eastAsia="宋体" w:cs="Times New Roman"/>
                <w:color w:val="000000" w:themeColor="text1"/>
                <w:sz w:val="21"/>
                <w:highlight w:val="none"/>
                <w:u w:val="none"/>
                <w14:textFill>
                  <w14:solidFill>
                    <w14:schemeClr w14:val="tx1"/>
                  </w14:solidFill>
                </w14:textFill>
              </w:rPr>
              <w:t>消毒</w:t>
            </w:r>
            <w:r>
              <w:rPr>
                <w:rFonts w:hint="default" w:ascii="Times New Roman" w:hAnsi="Times New Roman" w:cs="Times New Roman"/>
                <w:color w:val="000000" w:themeColor="text1"/>
                <w:sz w:val="21"/>
                <w:highlight w:val="none"/>
                <w:u w:val="none"/>
                <w:lang w:val="en-US" w:eastAsia="zh-CN"/>
                <w14:textFill>
                  <w14:solidFill>
                    <w14:schemeClr w14:val="tx1"/>
                  </w14:solidFill>
                </w14:textFill>
              </w:rPr>
              <w:t>”</w:t>
            </w:r>
          </w:p>
        </w:tc>
      </w:tr>
      <w:tr w14:paraId="0F18C3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59" w:hRule="atLeast"/>
          <w:jc w:val="center"/>
        </w:trPr>
        <w:tc>
          <w:tcPr>
            <w:tcW w:w="716" w:type="dxa"/>
            <w:vMerge w:val="continue"/>
            <w:vAlign w:val="center"/>
          </w:tcPr>
          <w:p w14:paraId="70085D2C">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424" w:type="dxa"/>
            <w:vMerge w:val="continue"/>
            <w:vAlign w:val="center"/>
          </w:tcPr>
          <w:p w14:paraId="562181EB">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1104" w:type="dxa"/>
            <w:tcBorders>
              <w:right w:val="single" w:color="auto" w:sz="4" w:space="0"/>
            </w:tcBorders>
            <w:vAlign w:val="center"/>
          </w:tcPr>
          <w:p w14:paraId="66CF846F">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拆除工程</w:t>
            </w:r>
          </w:p>
        </w:tc>
        <w:tc>
          <w:tcPr>
            <w:tcW w:w="5661" w:type="dxa"/>
            <w:gridSpan w:val="2"/>
            <w:tcBorders>
              <w:left w:val="single" w:color="auto" w:sz="4" w:space="0"/>
              <w:right w:val="single" w:color="auto" w:sz="4" w:space="0"/>
            </w:tcBorders>
            <w:vAlign w:val="center"/>
          </w:tcPr>
          <w:p w14:paraId="3AB567BD">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拆除现有综合管理用房、污泥浓缩池、风机房及污泥脱水机房、加药间、砂滤罐锅炉器及现状围墙</w:t>
            </w:r>
          </w:p>
        </w:tc>
        <w:tc>
          <w:tcPr>
            <w:tcW w:w="1052" w:type="dxa"/>
            <w:vMerge w:val="continue"/>
            <w:tcBorders>
              <w:left w:val="single" w:color="auto" w:sz="4" w:space="0"/>
            </w:tcBorders>
            <w:vAlign w:val="center"/>
          </w:tcPr>
          <w:p w14:paraId="6D87B6F8">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FF0000"/>
                <w:sz w:val="21"/>
                <w:highlight w:val="none"/>
                <w:u w:val="none"/>
              </w:rPr>
            </w:pPr>
          </w:p>
        </w:tc>
      </w:tr>
      <w:tr w14:paraId="445F62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716" w:type="dxa"/>
            <w:vMerge w:val="continue"/>
            <w:vAlign w:val="center"/>
          </w:tcPr>
          <w:p w14:paraId="0AEF049D">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424" w:type="dxa"/>
            <w:vMerge w:val="continue"/>
            <w:vAlign w:val="center"/>
          </w:tcPr>
          <w:p w14:paraId="5A7E2F45">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1104" w:type="dxa"/>
            <w:vMerge w:val="restart"/>
            <w:tcBorders>
              <w:right w:val="single" w:color="auto" w:sz="4" w:space="0"/>
            </w:tcBorders>
            <w:vAlign w:val="center"/>
          </w:tcPr>
          <w:p w14:paraId="77F332A9">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新建工程</w:t>
            </w:r>
          </w:p>
        </w:tc>
        <w:tc>
          <w:tcPr>
            <w:tcW w:w="1191" w:type="dxa"/>
            <w:tcBorders>
              <w:left w:val="single" w:color="auto" w:sz="4" w:space="0"/>
              <w:right w:val="single" w:color="auto" w:sz="4" w:space="0"/>
            </w:tcBorders>
            <w:vAlign w:val="center"/>
          </w:tcPr>
          <w:p w14:paraId="0976DD27">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一体化泵站</w:t>
            </w:r>
          </w:p>
        </w:tc>
        <w:tc>
          <w:tcPr>
            <w:tcW w:w="4470" w:type="dxa"/>
            <w:tcBorders>
              <w:left w:val="single" w:color="auto" w:sz="4" w:space="0"/>
              <w:right w:val="single" w:color="auto" w:sz="4" w:space="0"/>
            </w:tcBorders>
            <w:vAlign w:val="center"/>
          </w:tcPr>
          <w:p w14:paraId="5D27D4CD">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一体化设备，包括筒体、潜水泵、自控系统等</w:t>
            </w:r>
          </w:p>
        </w:tc>
        <w:tc>
          <w:tcPr>
            <w:tcW w:w="1052" w:type="dxa"/>
            <w:vMerge w:val="continue"/>
            <w:tcBorders>
              <w:left w:val="single" w:color="auto" w:sz="4" w:space="0"/>
            </w:tcBorders>
            <w:vAlign w:val="center"/>
          </w:tcPr>
          <w:p w14:paraId="789AB382">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FF0000"/>
                <w:sz w:val="21"/>
                <w:highlight w:val="none"/>
                <w:u w:val="none"/>
              </w:rPr>
            </w:pPr>
          </w:p>
        </w:tc>
      </w:tr>
      <w:tr w14:paraId="7FBF63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2" w:hRule="atLeast"/>
          <w:jc w:val="center"/>
        </w:trPr>
        <w:tc>
          <w:tcPr>
            <w:tcW w:w="716" w:type="dxa"/>
            <w:vMerge w:val="continue"/>
            <w:vAlign w:val="center"/>
          </w:tcPr>
          <w:p w14:paraId="31FEE5C9">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sz w:val="21"/>
                <w:highlight w:val="none"/>
              </w:rPr>
            </w:pPr>
          </w:p>
        </w:tc>
        <w:tc>
          <w:tcPr>
            <w:tcW w:w="424" w:type="dxa"/>
            <w:vMerge w:val="continue"/>
            <w:vAlign w:val="center"/>
          </w:tcPr>
          <w:p w14:paraId="01296472">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sz w:val="21"/>
                <w:highlight w:val="none"/>
              </w:rPr>
            </w:pPr>
          </w:p>
        </w:tc>
        <w:tc>
          <w:tcPr>
            <w:tcW w:w="1104" w:type="dxa"/>
            <w:vMerge w:val="continue"/>
            <w:tcBorders>
              <w:right w:val="single" w:color="auto" w:sz="4" w:space="0"/>
            </w:tcBorders>
            <w:vAlign w:val="center"/>
          </w:tcPr>
          <w:p w14:paraId="0B26F4B9">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p>
        </w:tc>
        <w:tc>
          <w:tcPr>
            <w:tcW w:w="1191" w:type="dxa"/>
            <w:tcBorders>
              <w:left w:val="single" w:color="auto" w:sz="4" w:space="0"/>
              <w:right w:val="single" w:color="auto" w:sz="4" w:space="0"/>
            </w:tcBorders>
            <w:vAlign w:val="center"/>
          </w:tcPr>
          <w:p w14:paraId="36B1BE0C">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水解酸化及AAO组合池</w:t>
            </w:r>
          </w:p>
        </w:tc>
        <w:tc>
          <w:tcPr>
            <w:tcW w:w="4470" w:type="dxa"/>
            <w:tcBorders>
              <w:left w:val="single" w:color="auto" w:sz="4" w:space="0"/>
              <w:right w:val="single" w:color="auto" w:sz="4" w:space="0"/>
            </w:tcBorders>
            <w:vAlign w:val="center"/>
          </w:tcPr>
          <w:p w14:paraId="671C9A4A">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设计规模为1800</w:t>
            </w:r>
            <w:r>
              <w:rPr>
                <w:rFonts w:hint="default" w:ascii="Times New Roman" w:hAnsi="Times New Roman" w:eastAsia="宋体" w:cs="Times New Roman"/>
                <w:color w:val="auto"/>
                <w:sz w:val="21"/>
                <w:highlight w:val="none"/>
                <w:u w:val="none"/>
                <w:lang w:val="en-US" w:eastAsia="zh-CN"/>
              </w:rPr>
              <w:t>m</w:t>
            </w:r>
            <w:r>
              <w:rPr>
                <w:rFonts w:hint="default" w:ascii="Times New Roman" w:hAnsi="Times New Roman" w:eastAsia="宋体" w:cs="Times New Roman"/>
                <w:color w:val="auto"/>
                <w:sz w:val="21"/>
                <w:highlight w:val="none"/>
                <w:u w:val="none"/>
                <w:vertAlign w:val="superscript"/>
                <w:lang w:val="en-US" w:eastAsia="zh-CN"/>
              </w:rPr>
              <w:t>3</w:t>
            </w:r>
            <w:r>
              <w:rPr>
                <w:rFonts w:hint="default" w:ascii="Times New Roman" w:hAnsi="Times New Roman" w:eastAsia="宋体" w:cs="Times New Roman"/>
                <w:color w:val="auto"/>
                <w:sz w:val="21"/>
                <w:highlight w:val="none"/>
                <w:u w:val="none"/>
                <w:lang w:val="en-US" w:eastAsia="zh-CN"/>
              </w:rPr>
              <w:t>/d</w:t>
            </w:r>
          </w:p>
        </w:tc>
        <w:tc>
          <w:tcPr>
            <w:tcW w:w="1052" w:type="dxa"/>
            <w:vMerge w:val="continue"/>
            <w:tcBorders>
              <w:left w:val="single" w:color="auto" w:sz="4" w:space="0"/>
            </w:tcBorders>
            <w:vAlign w:val="center"/>
          </w:tcPr>
          <w:p w14:paraId="3777A82D">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sz w:val="21"/>
                <w:highlight w:val="none"/>
              </w:rPr>
            </w:pPr>
          </w:p>
        </w:tc>
      </w:tr>
      <w:tr w14:paraId="6DBA57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716" w:type="dxa"/>
            <w:vMerge w:val="continue"/>
            <w:vAlign w:val="center"/>
          </w:tcPr>
          <w:p w14:paraId="0BA71357">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sz w:val="21"/>
                <w:highlight w:val="none"/>
              </w:rPr>
            </w:pPr>
          </w:p>
        </w:tc>
        <w:tc>
          <w:tcPr>
            <w:tcW w:w="424" w:type="dxa"/>
            <w:vMerge w:val="continue"/>
            <w:vAlign w:val="center"/>
          </w:tcPr>
          <w:p w14:paraId="54C317C7">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sz w:val="21"/>
                <w:highlight w:val="none"/>
              </w:rPr>
            </w:pPr>
          </w:p>
        </w:tc>
        <w:tc>
          <w:tcPr>
            <w:tcW w:w="1104" w:type="dxa"/>
            <w:vMerge w:val="continue"/>
            <w:tcBorders>
              <w:right w:val="single" w:color="auto" w:sz="4" w:space="0"/>
            </w:tcBorders>
            <w:vAlign w:val="center"/>
          </w:tcPr>
          <w:p w14:paraId="6FBA7F35">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p>
        </w:tc>
        <w:tc>
          <w:tcPr>
            <w:tcW w:w="1191" w:type="dxa"/>
            <w:tcBorders>
              <w:left w:val="single" w:color="auto" w:sz="4" w:space="0"/>
              <w:right w:val="single" w:color="auto" w:sz="4" w:space="0"/>
            </w:tcBorders>
            <w:vAlign w:val="center"/>
          </w:tcPr>
          <w:p w14:paraId="1CFBF9E0">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混凝沉淀池</w:t>
            </w:r>
          </w:p>
        </w:tc>
        <w:tc>
          <w:tcPr>
            <w:tcW w:w="4470" w:type="dxa"/>
            <w:tcBorders>
              <w:left w:val="single" w:color="auto" w:sz="4" w:space="0"/>
              <w:right w:val="single" w:color="auto" w:sz="4" w:space="0"/>
            </w:tcBorders>
            <w:vAlign w:val="center"/>
          </w:tcPr>
          <w:p w14:paraId="64B57129">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采用一体化设备，构筑物尺寸为12.85m×8m</w:t>
            </w:r>
          </w:p>
        </w:tc>
        <w:tc>
          <w:tcPr>
            <w:tcW w:w="1052" w:type="dxa"/>
            <w:vMerge w:val="continue"/>
            <w:tcBorders>
              <w:left w:val="single" w:color="auto" w:sz="4" w:space="0"/>
            </w:tcBorders>
            <w:vAlign w:val="center"/>
          </w:tcPr>
          <w:p w14:paraId="2B0C3AD3">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sz w:val="21"/>
                <w:highlight w:val="none"/>
              </w:rPr>
            </w:pPr>
          </w:p>
        </w:tc>
      </w:tr>
      <w:tr w14:paraId="72243B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4" w:hRule="atLeast"/>
          <w:jc w:val="center"/>
        </w:trPr>
        <w:tc>
          <w:tcPr>
            <w:tcW w:w="716" w:type="dxa"/>
            <w:vMerge w:val="continue"/>
            <w:vAlign w:val="center"/>
          </w:tcPr>
          <w:p w14:paraId="6FE154A2">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sz w:val="21"/>
                <w:highlight w:val="none"/>
              </w:rPr>
            </w:pPr>
          </w:p>
        </w:tc>
        <w:tc>
          <w:tcPr>
            <w:tcW w:w="424" w:type="dxa"/>
            <w:vMerge w:val="continue"/>
            <w:vAlign w:val="center"/>
          </w:tcPr>
          <w:p w14:paraId="1A7A3124">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sz w:val="21"/>
                <w:highlight w:val="none"/>
              </w:rPr>
            </w:pPr>
          </w:p>
        </w:tc>
        <w:tc>
          <w:tcPr>
            <w:tcW w:w="1104" w:type="dxa"/>
            <w:vMerge w:val="continue"/>
            <w:tcBorders>
              <w:right w:val="single" w:color="auto" w:sz="4" w:space="0"/>
            </w:tcBorders>
            <w:vAlign w:val="center"/>
          </w:tcPr>
          <w:p w14:paraId="27782037">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p>
        </w:tc>
        <w:tc>
          <w:tcPr>
            <w:tcW w:w="1191" w:type="dxa"/>
            <w:tcBorders>
              <w:left w:val="single" w:color="auto" w:sz="4" w:space="0"/>
              <w:right w:val="single" w:color="auto" w:sz="4" w:space="0"/>
            </w:tcBorders>
            <w:vAlign w:val="center"/>
          </w:tcPr>
          <w:p w14:paraId="768EFE29">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精密滤池</w:t>
            </w:r>
          </w:p>
        </w:tc>
        <w:tc>
          <w:tcPr>
            <w:tcW w:w="4470" w:type="dxa"/>
            <w:tcBorders>
              <w:left w:val="single" w:color="auto" w:sz="4" w:space="0"/>
              <w:right w:val="single" w:color="auto" w:sz="4" w:space="0"/>
            </w:tcBorders>
            <w:vAlign w:val="center"/>
          </w:tcPr>
          <w:p w14:paraId="0A9A4CC3">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占地</w:t>
            </w:r>
            <w:r>
              <w:rPr>
                <w:rFonts w:hint="default" w:ascii="Times New Roman" w:hAnsi="Times New Roman" w:eastAsia="宋体" w:cs="Times New Roman"/>
                <w:color w:val="auto"/>
                <w:sz w:val="21"/>
                <w:highlight w:val="none"/>
                <w:u w:val="none"/>
                <w:lang w:val="en-US" w:eastAsia="zh-CN"/>
              </w:rPr>
              <w:t>面积为</w:t>
            </w:r>
            <w:r>
              <w:rPr>
                <w:rFonts w:hint="default" w:ascii="Times New Roman" w:hAnsi="Times New Roman" w:cs="Times New Roman"/>
                <w:color w:val="auto"/>
                <w:sz w:val="21"/>
                <w:highlight w:val="none"/>
                <w:u w:val="none"/>
                <w:lang w:val="en-US" w:eastAsia="zh-CN"/>
              </w:rPr>
              <w:t>89.54</w:t>
            </w:r>
            <w:r>
              <w:rPr>
                <w:rFonts w:hint="default" w:ascii="Times New Roman" w:hAnsi="Times New Roman" w:eastAsia="宋体" w:cs="Times New Roman"/>
                <w:color w:val="auto"/>
                <w:sz w:val="21"/>
                <w:highlight w:val="none"/>
                <w:u w:val="none"/>
                <w:lang w:val="en-US" w:eastAsia="zh-CN"/>
              </w:rPr>
              <w:t>m</w:t>
            </w:r>
            <w:r>
              <w:rPr>
                <w:rFonts w:hint="default" w:ascii="Times New Roman" w:hAnsi="Times New Roman" w:eastAsia="宋体" w:cs="Times New Roman"/>
                <w:color w:val="auto"/>
                <w:sz w:val="21"/>
                <w:highlight w:val="none"/>
                <w:u w:val="none"/>
                <w:vertAlign w:val="superscript"/>
                <w:lang w:val="en-US" w:eastAsia="zh-CN"/>
              </w:rPr>
              <w:t>2</w:t>
            </w:r>
          </w:p>
        </w:tc>
        <w:tc>
          <w:tcPr>
            <w:tcW w:w="1052" w:type="dxa"/>
            <w:vMerge w:val="continue"/>
            <w:tcBorders>
              <w:left w:val="single" w:color="auto" w:sz="4" w:space="0"/>
            </w:tcBorders>
            <w:vAlign w:val="center"/>
          </w:tcPr>
          <w:p w14:paraId="694BC431">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sz w:val="21"/>
                <w:highlight w:val="none"/>
              </w:rPr>
            </w:pPr>
          </w:p>
        </w:tc>
      </w:tr>
      <w:tr w14:paraId="649AAD5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16" w:type="dxa"/>
            <w:vMerge w:val="continue"/>
            <w:vAlign w:val="center"/>
          </w:tcPr>
          <w:p w14:paraId="673D6776">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sz w:val="21"/>
                <w:highlight w:val="none"/>
              </w:rPr>
            </w:pPr>
          </w:p>
        </w:tc>
        <w:tc>
          <w:tcPr>
            <w:tcW w:w="424" w:type="dxa"/>
            <w:vMerge w:val="continue"/>
            <w:vAlign w:val="center"/>
          </w:tcPr>
          <w:p w14:paraId="370BBFBC">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sz w:val="21"/>
                <w:highlight w:val="none"/>
              </w:rPr>
            </w:pPr>
          </w:p>
        </w:tc>
        <w:tc>
          <w:tcPr>
            <w:tcW w:w="1104" w:type="dxa"/>
            <w:vMerge w:val="continue"/>
            <w:tcBorders>
              <w:right w:val="single" w:color="auto" w:sz="4" w:space="0"/>
            </w:tcBorders>
            <w:vAlign w:val="center"/>
          </w:tcPr>
          <w:p w14:paraId="21754117">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p>
        </w:tc>
        <w:tc>
          <w:tcPr>
            <w:tcW w:w="1191" w:type="dxa"/>
            <w:tcBorders>
              <w:left w:val="single" w:color="auto" w:sz="4" w:space="0"/>
              <w:right w:val="single" w:color="auto" w:sz="4" w:space="0"/>
            </w:tcBorders>
            <w:vAlign w:val="center"/>
          </w:tcPr>
          <w:p w14:paraId="36DC2FF3">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贮泥池</w:t>
            </w:r>
          </w:p>
        </w:tc>
        <w:tc>
          <w:tcPr>
            <w:tcW w:w="4470" w:type="dxa"/>
            <w:tcBorders>
              <w:left w:val="single" w:color="auto" w:sz="4" w:space="0"/>
              <w:right w:val="single" w:color="auto" w:sz="4" w:space="0"/>
            </w:tcBorders>
            <w:vAlign w:val="center"/>
          </w:tcPr>
          <w:p w14:paraId="2C842303">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有效容积180m</w:t>
            </w:r>
            <w:r>
              <w:rPr>
                <w:rFonts w:hint="default" w:ascii="Times New Roman" w:hAnsi="Times New Roman" w:cs="Times New Roman"/>
                <w:color w:val="auto"/>
                <w:sz w:val="21"/>
                <w:highlight w:val="none"/>
                <w:u w:val="none"/>
                <w:vertAlign w:val="superscript"/>
                <w:lang w:val="en-US" w:eastAsia="zh-CN"/>
              </w:rPr>
              <w:t>3</w:t>
            </w:r>
          </w:p>
        </w:tc>
        <w:tc>
          <w:tcPr>
            <w:tcW w:w="1052" w:type="dxa"/>
            <w:vMerge w:val="continue"/>
            <w:tcBorders>
              <w:left w:val="single" w:color="auto" w:sz="4" w:space="0"/>
            </w:tcBorders>
            <w:vAlign w:val="center"/>
          </w:tcPr>
          <w:p w14:paraId="5CF73010">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sz w:val="21"/>
                <w:highlight w:val="none"/>
              </w:rPr>
            </w:pPr>
          </w:p>
        </w:tc>
      </w:tr>
      <w:tr w14:paraId="4BE82F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7" w:hRule="atLeast"/>
          <w:jc w:val="center"/>
        </w:trPr>
        <w:tc>
          <w:tcPr>
            <w:tcW w:w="716" w:type="dxa"/>
            <w:vMerge w:val="continue"/>
            <w:vAlign w:val="center"/>
          </w:tcPr>
          <w:p w14:paraId="46A413CA">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sz w:val="21"/>
                <w:highlight w:val="none"/>
              </w:rPr>
            </w:pPr>
          </w:p>
        </w:tc>
        <w:tc>
          <w:tcPr>
            <w:tcW w:w="424" w:type="dxa"/>
            <w:vMerge w:val="continue"/>
            <w:vAlign w:val="center"/>
          </w:tcPr>
          <w:p w14:paraId="0674F602">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sz w:val="21"/>
                <w:highlight w:val="none"/>
              </w:rPr>
            </w:pPr>
          </w:p>
        </w:tc>
        <w:tc>
          <w:tcPr>
            <w:tcW w:w="1104" w:type="dxa"/>
            <w:vMerge w:val="continue"/>
            <w:tcBorders>
              <w:right w:val="single" w:color="auto" w:sz="4" w:space="0"/>
            </w:tcBorders>
            <w:vAlign w:val="center"/>
          </w:tcPr>
          <w:p w14:paraId="30CD5AC8">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p>
        </w:tc>
        <w:tc>
          <w:tcPr>
            <w:tcW w:w="1191" w:type="dxa"/>
            <w:tcBorders>
              <w:left w:val="single" w:color="auto" w:sz="4" w:space="0"/>
              <w:right w:val="single" w:color="auto" w:sz="4" w:space="0"/>
            </w:tcBorders>
            <w:vAlign w:val="center"/>
          </w:tcPr>
          <w:p w14:paraId="16348546">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接触消毒池</w:t>
            </w:r>
          </w:p>
        </w:tc>
        <w:tc>
          <w:tcPr>
            <w:tcW w:w="4470" w:type="dxa"/>
            <w:tcBorders>
              <w:left w:val="single" w:color="auto" w:sz="4" w:space="0"/>
              <w:right w:val="single" w:color="auto" w:sz="4" w:space="0"/>
            </w:tcBorders>
            <w:vAlign w:val="center"/>
          </w:tcPr>
          <w:p w14:paraId="70819CC2">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占地</w:t>
            </w:r>
            <w:r>
              <w:rPr>
                <w:rFonts w:hint="default" w:ascii="Times New Roman" w:hAnsi="Times New Roman" w:eastAsia="宋体" w:cs="Times New Roman"/>
                <w:color w:val="auto"/>
                <w:sz w:val="21"/>
                <w:highlight w:val="none"/>
                <w:u w:val="none"/>
                <w:lang w:val="en-US" w:eastAsia="zh-CN"/>
              </w:rPr>
              <w:t>面积为</w:t>
            </w:r>
            <w:r>
              <w:rPr>
                <w:rFonts w:hint="default" w:ascii="Times New Roman" w:hAnsi="Times New Roman" w:cs="Times New Roman"/>
                <w:color w:val="auto"/>
                <w:sz w:val="21"/>
                <w:highlight w:val="none"/>
                <w:u w:val="none"/>
                <w:lang w:val="en-US" w:eastAsia="zh-CN"/>
              </w:rPr>
              <w:t>43.05</w:t>
            </w:r>
            <w:r>
              <w:rPr>
                <w:rFonts w:hint="default" w:ascii="Times New Roman" w:hAnsi="Times New Roman" w:eastAsia="宋体" w:cs="Times New Roman"/>
                <w:color w:val="auto"/>
                <w:sz w:val="21"/>
                <w:highlight w:val="none"/>
                <w:u w:val="none"/>
                <w:lang w:val="en-US" w:eastAsia="zh-CN"/>
              </w:rPr>
              <w:t>m</w:t>
            </w:r>
            <w:r>
              <w:rPr>
                <w:rFonts w:hint="default" w:ascii="Times New Roman" w:hAnsi="Times New Roman" w:eastAsia="宋体" w:cs="Times New Roman"/>
                <w:color w:val="auto"/>
                <w:sz w:val="21"/>
                <w:highlight w:val="none"/>
                <w:u w:val="none"/>
                <w:vertAlign w:val="superscript"/>
                <w:lang w:val="en-US" w:eastAsia="zh-CN"/>
              </w:rPr>
              <w:t>2</w:t>
            </w:r>
          </w:p>
        </w:tc>
        <w:tc>
          <w:tcPr>
            <w:tcW w:w="1052" w:type="dxa"/>
            <w:vMerge w:val="continue"/>
            <w:tcBorders>
              <w:left w:val="single" w:color="auto" w:sz="4" w:space="0"/>
            </w:tcBorders>
            <w:vAlign w:val="center"/>
          </w:tcPr>
          <w:p w14:paraId="5D56E27C">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sz w:val="21"/>
                <w:highlight w:val="none"/>
              </w:rPr>
            </w:pPr>
          </w:p>
        </w:tc>
      </w:tr>
      <w:tr w14:paraId="67D107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59" w:hRule="atLeast"/>
          <w:jc w:val="center"/>
        </w:trPr>
        <w:tc>
          <w:tcPr>
            <w:tcW w:w="716" w:type="dxa"/>
            <w:vMerge w:val="restart"/>
            <w:vAlign w:val="center"/>
          </w:tcPr>
          <w:p w14:paraId="1D4D5834">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2</w:t>
            </w:r>
          </w:p>
        </w:tc>
        <w:tc>
          <w:tcPr>
            <w:tcW w:w="424" w:type="dxa"/>
            <w:vMerge w:val="restart"/>
            <w:vAlign w:val="center"/>
          </w:tcPr>
          <w:p w14:paraId="463D6821">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辅助工程</w:t>
            </w:r>
          </w:p>
        </w:tc>
        <w:tc>
          <w:tcPr>
            <w:tcW w:w="1104" w:type="dxa"/>
            <w:tcBorders>
              <w:right w:val="single" w:color="auto" w:sz="4" w:space="0"/>
            </w:tcBorders>
            <w:vAlign w:val="center"/>
          </w:tcPr>
          <w:p w14:paraId="759E8D2E">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危废暂存间</w:t>
            </w:r>
          </w:p>
        </w:tc>
        <w:tc>
          <w:tcPr>
            <w:tcW w:w="5661" w:type="dxa"/>
            <w:gridSpan w:val="2"/>
            <w:tcBorders>
              <w:left w:val="single" w:color="auto" w:sz="4" w:space="0"/>
              <w:right w:val="single" w:color="auto" w:sz="4" w:space="0"/>
            </w:tcBorders>
            <w:vAlign w:val="center"/>
          </w:tcPr>
          <w:p w14:paraId="2F2E30F8">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1间，</w:t>
            </w:r>
            <w:r>
              <w:rPr>
                <w:rFonts w:hint="default" w:ascii="Times New Roman" w:hAnsi="Times New Roman" w:cs="Times New Roman"/>
                <w:color w:val="auto"/>
                <w:sz w:val="21"/>
                <w:highlight w:val="none"/>
                <w:u w:val="none"/>
                <w:lang w:val="en-US" w:eastAsia="zh-CN"/>
              </w:rPr>
              <w:t>占地</w:t>
            </w:r>
            <w:r>
              <w:rPr>
                <w:rFonts w:hint="default" w:ascii="Times New Roman" w:hAnsi="Times New Roman" w:eastAsia="宋体" w:cs="Times New Roman"/>
                <w:color w:val="auto"/>
                <w:sz w:val="21"/>
                <w:highlight w:val="none"/>
                <w:u w:val="none"/>
                <w:lang w:val="en-US" w:eastAsia="zh-CN"/>
              </w:rPr>
              <w:t>面积为</w:t>
            </w:r>
            <w:r>
              <w:rPr>
                <w:rFonts w:hint="default" w:ascii="Times New Roman" w:hAnsi="Times New Roman" w:cs="Times New Roman"/>
                <w:color w:val="auto"/>
                <w:sz w:val="21"/>
                <w:highlight w:val="none"/>
                <w:u w:val="none"/>
                <w:lang w:val="en-US" w:eastAsia="zh-CN"/>
              </w:rPr>
              <w:t>18.90</w:t>
            </w:r>
            <w:r>
              <w:rPr>
                <w:rFonts w:hint="default" w:ascii="Times New Roman" w:hAnsi="Times New Roman" w:eastAsia="宋体" w:cs="Times New Roman"/>
                <w:color w:val="auto"/>
                <w:sz w:val="21"/>
                <w:highlight w:val="none"/>
                <w:u w:val="none"/>
                <w:lang w:val="en-US" w:eastAsia="zh-CN"/>
              </w:rPr>
              <w:t>m</w:t>
            </w:r>
            <w:r>
              <w:rPr>
                <w:rFonts w:hint="default" w:ascii="Times New Roman" w:hAnsi="Times New Roman" w:eastAsia="宋体" w:cs="Times New Roman"/>
                <w:color w:val="auto"/>
                <w:sz w:val="21"/>
                <w:highlight w:val="none"/>
                <w:u w:val="none"/>
                <w:vertAlign w:val="superscript"/>
                <w:lang w:val="en-US" w:eastAsia="zh-CN"/>
              </w:rPr>
              <w:t>2</w:t>
            </w:r>
          </w:p>
        </w:tc>
        <w:tc>
          <w:tcPr>
            <w:tcW w:w="1052" w:type="dxa"/>
            <w:tcBorders>
              <w:left w:val="single" w:color="auto" w:sz="4" w:space="0"/>
            </w:tcBorders>
            <w:vAlign w:val="center"/>
          </w:tcPr>
          <w:p w14:paraId="0E42EE24">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lang w:val="en-US" w:eastAsia="zh-CN"/>
              </w:rPr>
              <w:t>新建</w:t>
            </w:r>
          </w:p>
        </w:tc>
      </w:tr>
      <w:tr w14:paraId="504AF4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716" w:type="dxa"/>
            <w:vMerge w:val="continue"/>
            <w:vAlign w:val="center"/>
          </w:tcPr>
          <w:p w14:paraId="732923FA">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424" w:type="dxa"/>
            <w:vMerge w:val="continue"/>
            <w:vAlign w:val="center"/>
          </w:tcPr>
          <w:p w14:paraId="46D68915">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1104" w:type="dxa"/>
            <w:tcBorders>
              <w:right w:val="single" w:color="auto" w:sz="4" w:space="0"/>
            </w:tcBorders>
            <w:vAlign w:val="center"/>
          </w:tcPr>
          <w:p w14:paraId="6F321D69">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综合楼</w:t>
            </w:r>
          </w:p>
        </w:tc>
        <w:tc>
          <w:tcPr>
            <w:tcW w:w="5661" w:type="dxa"/>
            <w:gridSpan w:val="2"/>
            <w:tcBorders>
              <w:left w:val="single" w:color="auto" w:sz="4" w:space="0"/>
              <w:right w:val="single" w:color="auto" w:sz="4" w:space="0"/>
            </w:tcBorders>
            <w:vAlign w:val="center"/>
          </w:tcPr>
          <w:p w14:paraId="0DDAD08D">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3F，占地面积为361.79m</w:t>
            </w:r>
            <w:r>
              <w:rPr>
                <w:rFonts w:hint="default" w:ascii="Times New Roman" w:hAnsi="Times New Roman" w:eastAsia="宋体" w:cs="Times New Roman"/>
                <w:color w:val="auto"/>
                <w:sz w:val="21"/>
                <w:highlight w:val="none"/>
                <w:u w:val="none"/>
                <w:vertAlign w:val="superscript"/>
                <w:lang w:val="en-US" w:eastAsia="zh-CN"/>
              </w:rPr>
              <w:t>2</w:t>
            </w:r>
          </w:p>
        </w:tc>
        <w:tc>
          <w:tcPr>
            <w:tcW w:w="1052" w:type="dxa"/>
            <w:tcBorders>
              <w:left w:val="single" w:color="auto" w:sz="4" w:space="0"/>
            </w:tcBorders>
            <w:vAlign w:val="center"/>
          </w:tcPr>
          <w:p w14:paraId="25E56A24">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新建</w:t>
            </w:r>
          </w:p>
        </w:tc>
      </w:tr>
      <w:tr w14:paraId="51FDC1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716" w:type="dxa"/>
            <w:vMerge w:val="continue"/>
            <w:vAlign w:val="center"/>
          </w:tcPr>
          <w:p w14:paraId="57EF8963">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424" w:type="dxa"/>
            <w:vMerge w:val="continue"/>
            <w:vAlign w:val="center"/>
          </w:tcPr>
          <w:p w14:paraId="5E833485">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1104" w:type="dxa"/>
            <w:tcBorders>
              <w:right w:val="single" w:color="auto" w:sz="4" w:space="0"/>
            </w:tcBorders>
            <w:vAlign w:val="center"/>
          </w:tcPr>
          <w:p w14:paraId="500A1AB5">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lang w:eastAsia="zh-CN"/>
              </w:rPr>
            </w:pPr>
            <w:r>
              <w:rPr>
                <w:rFonts w:hint="default" w:ascii="Times New Roman" w:hAnsi="Times New Roman" w:eastAsia="宋体" w:cs="Times New Roman"/>
                <w:color w:val="auto"/>
                <w:sz w:val="21"/>
                <w:highlight w:val="none"/>
                <w:u w:val="none"/>
                <w:lang w:eastAsia="zh-CN"/>
              </w:rPr>
              <w:t>加药间</w:t>
            </w:r>
          </w:p>
        </w:tc>
        <w:tc>
          <w:tcPr>
            <w:tcW w:w="5661" w:type="dxa"/>
            <w:gridSpan w:val="2"/>
            <w:tcBorders>
              <w:left w:val="single" w:color="auto" w:sz="4" w:space="0"/>
              <w:right w:val="single" w:color="auto" w:sz="4" w:space="0"/>
            </w:tcBorders>
            <w:vAlign w:val="center"/>
          </w:tcPr>
          <w:p w14:paraId="11543C81">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1间，占地面积为194.08m</w:t>
            </w:r>
            <w:r>
              <w:rPr>
                <w:rFonts w:hint="default" w:ascii="Times New Roman" w:hAnsi="Times New Roman" w:eastAsia="宋体" w:cs="Times New Roman"/>
                <w:color w:val="auto"/>
                <w:sz w:val="21"/>
                <w:highlight w:val="none"/>
                <w:u w:val="none"/>
                <w:vertAlign w:val="superscript"/>
                <w:lang w:val="en-US" w:eastAsia="zh-CN"/>
              </w:rPr>
              <w:t>2</w:t>
            </w:r>
          </w:p>
        </w:tc>
        <w:tc>
          <w:tcPr>
            <w:tcW w:w="1052" w:type="dxa"/>
            <w:tcBorders>
              <w:left w:val="single" w:color="auto" w:sz="4" w:space="0"/>
            </w:tcBorders>
            <w:vAlign w:val="center"/>
          </w:tcPr>
          <w:p w14:paraId="2AEA47B8">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lang w:val="en-US" w:eastAsia="zh-CN"/>
              </w:rPr>
              <w:t>新建</w:t>
            </w:r>
          </w:p>
        </w:tc>
      </w:tr>
      <w:tr w14:paraId="32B097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2" w:hRule="atLeast"/>
          <w:jc w:val="center"/>
        </w:trPr>
        <w:tc>
          <w:tcPr>
            <w:tcW w:w="716" w:type="dxa"/>
            <w:vMerge w:val="continue"/>
            <w:vAlign w:val="center"/>
          </w:tcPr>
          <w:p w14:paraId="38B01464">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424" w:type="dxa"/>
            <w:vMerge w:val="continue"/>
            <w:vAlign w:val="center"/>
          </w:tcPr>
          <w:p w14:paraId="796169CB">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1104" w:type="dxa"/>
            <w:tcBorders>
              <w:right w:val="single" w:color="auto" w:sz="4" w:space="0"/>
            </w:tcBorders>
            <w:vAlign w:val="center"/>
          </w:tcPr>
          <w:p w14:paraId="5AFB2F12">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eastAsia="zh-CN"/>
              </w:rPr>
              <w:t>污泥脱水房</w:t>
            </w:r>
            <w:r>
              <w:rPr>
                <w:rFonts w:hint="default" w:ascii="Times New Roman" w:hAnsi="Times New Roman" w:eastAsia="宋体" w:cs="Times New Roman"/>
                <w:color w:val="auto"/>
                <w:sz w:val="21"/>
                <w:highlight w:val="none"/>
                <w:u w:val="none"/>
                <w:lang w:val="en-US" w:eastAsia="zh-CN"/>
              </w:rPr>
              <w:t>及加氯间</w:t>
            </w:r>
          </w:p>
        </w:tc>
        <w:tc>
          <w:tcPr>
            <w:tcW w:w="5661" w:type="dxa"/>
            <w:gridSpan w:val="2"/>
            <w:tcBorders>
              <w:left w:val="single" w:color="auto" w:sz="4" w:space="0"/>
              <w:right w:val="single" w:color="auto" w:sz="4" w:space="0"/>
            </w:tcBorders>
            <w:vAlign w:val="center"/>
          </w:tcPr>
          <w:p w14:paraId="1B62A017">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vertAlign w:val="baseline"/>
                <w:lang w:val="en-US" w:eastAsia="zh-CN"/>
              </w:rPr>
            </w:pPr>
            <w:r>
              <w:rPr>
                <w:rFonts w:hint="default" w:ascii="Times New Roman" w:hAnsi="Times New Roman" w:eastAsia="宋体" w:cs="Times New Roman"/>
                <w:color w:val="auto"/>
                <w:sz w:val="21"/>
                <w:highlight w:val="none"/>
                <w:u w:val="none"/>
                <w:lang w:val="en-US" w:eastAsia="zh-CN"/>
              </w:rPr>
              <w:t>1间，面积为491.34m</w:t>
            </w:r>
            <w:r>
              <w:rPr>
                <w:rFonts w:hint="default" w:ascii="Times New Roman" w:hAnsi="Times New Roman" w:eastAsia="宋体" w:cs="Times New Roman"/>
                <w:color w:val="auto"/>
                <w:sz w:val="21"/>
                <w:highlight w:val="none"/>
                <w:u w:val="none"/>
                <w:vertAlign w:val="superscript"/>
                <w:lang w:val="en-US" w:eastAsia="zh-CN"/>
              </w:rPr>
              <w:t>2</w:t>
            </w:r>
          </w:p>
        </w:tc>
        <w:tc>
          <w:tcPr>
            <w:tcW w:w="1052" w:type="dxa"/>
            <w:tcBorders>
              <w:left w:val="single" w:color="auto" w:sz="4" w:space="0"/>
            </w:tcBorders>
            <w:vAlign w:val="center"/>
          </w:tcPr>
          <w:p w14:paraId="6CC01230">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新建</w:t>
            </w:r>
          </w:p>
        </w:tc>
      </w:tr>
      <w:tr w14:paraId="3300DA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716" w:type="dxa"/>
            <w:vMerge w:val="continue"/>
            <w:vAlign w:val="center"/>
          </w:tcPr>
          <w:p w14:paraId="7A26A112">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424" w:type="dxa"/>
            <w:vMerge w:val="continue"/>
            <w:vAlign w:val="center"/>
          </w:tcPr>
          <w:p w14:paraId="0FC532D3">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1104" w:type="dxa"/>
            <w:tcBorders>
              <w:right w:val="single" w:color="auto" w:sz="4" w:space="0"/>
            </w:tcBorders>
            <w:vAlign w:val="center"/>
          </w:tcPr>
          <w:p w14:paraId="44ADDF25">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lang w:eastAsia="zh-CN"/>
              </w:rPr>
            </w:pPr>
            <w:r>
              <w:rPr>
                <w:rFonts w:hint="default" w:ascii="Times New Roman" w:hAnsi="Times New Roman" w:eastAsia="宋体" w:cs="Times New Roman"/>
                <w:color w:val="auto"/>
                <w:sz w:val="21"/>
                <w:highlight w:val="none"/>
                <w:u w:val="none"/>
                <w:lang w:val="en-US" w:eastAsia="zh-CN"/>
              </w:rPr>
              <w:t>化验室</w:t>
            </w:r>
          </w:p>
        </w:tc>
        <w:tc>
          <w:tcPr>
            <w:tcW w:w="5661" w:type="dxa"/>
            <w:gridSpan w:val="2"/>
            <w:tcBorders>
              <w:left w:val="single" w:color="auto" w:sz="4" w:space="0"/>
              <w:right w:val="single" w:color="auto" w:sz="4" w:space="0"/>
            </w:tcBorders>
            <w:vAlign w:val="center"/>
          </w:tcPr>
          <w:p w14:paraId="7C6516D5">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lang w:val="en-US"/>
              </w:rPr>
            </w:pPr>
            <w:r>
              <w:rPr>
                <w:rFonts w:hint="default" w:ascii="Times New Roman" w:hAnsi="Times New Roman" w:eastAsia="宋体" w:cs="Times New Roman"/>
                <w:color w:val="auto"/>
                <w:sz w:val="21"/>
                <w:highlight w:val="none"/>
                <w:u w:val="none"/>
                <w:lang w:val="en-US" w:eastAsia="zh-CN"/>
              </w:rPr>
              <w:t>位于综合楼内，对污水处理设施水质指标进行监测</w:t>
            </w:r>
          </w:p>
        </w:tc>
        <w:tc>
          <w:tcPr>
            <w:tcW w:w="1052" w:type="dxa"/>
            <w:tcBorders>
              <w:left w:val="single" w:color="auto" w:sz="4" w:space="0"/>
            </w:tcBorders>
            <w:vAlign w:val="center"/>
          </w:tcPr>
          <w:p w14:paraId="55A8DB52">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highlight w:val="none"/>
                <w:u w:val="none"/>
              </w:rPr>
            </w:pPr>
            <w:r>
              <w:rPr>
                <w:rFonts w:hint="default" w:ascii="Times New Roman" w:hAnsi="Times New Roman" w:eastAsia="宋体" w:cs="Times New Roman"/>
                <w:color w:val="000000" w:themeColor="text1"/>
                <w:sz w:val="21"/>
                <w:highlight w:val="none"/>
                <w:u w:val="none"/>
                <w:lang w:val="en-US" w:eastAsia="zh-CN"/>
                <w14:textFill>
                  <w14:solidFill>
                    <w14:schemeClr w14:val="tx1"/>
                  </w14:solidFill>
                </w14:textFill>
              </w:rPr>
              <w:t>新建</w:t>
            </w:r>
          </w:p>
        </w:tc>
      </w:tr>
      <w:tr w14:paraId="46FCD4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2" w:hRule="atLeast"/>
          <w:jc w:val="center"/>
        </w:trPr>
        <w:tc>
          <w:tcPr>
            <w:tcW w:w="716" w:type="dxa"/>
            <w:vMerge w:val="continue"/>
            <w:vAlign w:val="center"/>
          </w:tcPr>
          <w:p w14:paraId="58A4D2A5">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424" w:type="dxa"/>
            <w:vMerge w:val="continue"/>
            <w:vAlign w:val="center"/>
          </w:tcPr>
          <w:p w14:paraId="2BADCE8E">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1104" w:type="dxa"/>
            <w:tcBorders>
              <w:right w:val="single" w:color="auto" w:sz="4" w:space="0"/>
            </w:tcBorders>
            <w:vAlign w:val="center"/>
          </w:tcPr>
          <w:p w14:paraId="46EA9C90">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鼓</w:t>
            </w:r>
            <w:r>
              <w:rPr>
                <w:rFonts w:hint="default" w:ascii="Times New Roman" w:hAnsi="Times New Roman" w:eastAsia="宋体" w:cs="Times New Roman"/>
                <w:color w:val="auto"/>
                <w:sz w:val="21"/>
                <w:highlight w:val="none"/>
                <w:u w:val="none"/>
                <w:lang w:eastAsia="zh-CN"/>
              </w:rPr>
              <w:t>风机房</w:t>
            </w:r>
            <w:r>
              <w:rPr>
                <w:rFonts w:hint="default" w:ascii="Times New Roman" w:hAnsi="Times New Roman" w:eastAsia="宋体" w:cs="Times New Roman"/>
                <w:color w:val="auto"/>
                <w:sz w:val="21"/>
                <w:highlight w:val="none"/>
                <w:u w:val="none"/>
                <w:lang w:val="en-US" w:eastAsia="zh-CN"/>
              </w:rPr>
              <w:t>及变配电间</w:t>
            </w:r>
          </w:p>
        </w:tc>
        <w:tc>
          <w:tcPr>
            <w:tcW w:w="5661" w:type="dxa"/>
            <w:gridSpan w:val="2"/>
            <w:tcBorders>
              <w:left w:val="single" w:color="auto" w:sz="4" w:space="0"/>
              <w:right w:val="single" w:color="auto" w:sz="4" w:space="0"/>
            </w:tcBorders>
            <w:vAlign w:val="center"/>
          </w:tcPr>
          <w:p w14:paraId="5224CA41">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lang w:val="en-US" w:eastAsia="zh-CN"/>
              </w:rPr>
              <w:t>1间，面积为204.79m</w:t>
            </w:r>
            <w:r>
              <w:rPr>
                <w:rFonts w:hint="default" w:ascii="Times New Roman" w:hAnsi="Times New Roman" w:eastAsia="宋体" w:cs="Times New Roman"/>
                <w:color w:val="auto"/>
                <w:sz w:val="21"/>
                <w:highlight w:val="none"/>
                <w:u w:val="none"/>
                <w:vertAlign w:val="superscript"/>
                <w:lang w:val="en-US" w:eastAsia="zh-CN"/>
              </w:rPr>
              <w:t>2</w:t>
            </w:r>
          </w:p>
        </w:tc>
        <w:tc>
          <w:tcPr>
            <w:tcW w:w="1052" w:type="dxa"/>
            <w:tcBorders>
              <w:left w:val="single" w:color="auto" w:sz="4" w:space="0"/>
            </w:tcBorders>
            <w:vAlign w:val="center"/>
          </w:tcPr>
          <w:p w14:paraId="606E729F">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highlight w:val="none"/>
                <w:u w:val="none"/>
              </w:rPr>
            </w:pPr>
            <w:r>
              <w:rPr>
                <w:rFonts w:hint="default" w:ascii="Times New Roman" w:hAnsi="Times New Roman" w:eastAsia="宋体" w:cs="Times New Roman"/>
                <w:color w:val="auto"/>
                <w:sz w:val="21"/>
                <w:highlight w:val="none"/>
                <w:u w:val="none"/>
                <w:lang w:val="en-US" w:eastAsia="zh-CN"/>
              </w:rPr>
              <w:t>新建</w:t>
            </w:r>
          </w:p>
        </w:tc>
      </w:tr>
      <w:tr w14:paraId="6D9A1C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59" w:hRule="atLeast"/>
          <w:jc w:val="center"/>
        </w:trPr>
        <w:tc>
          <w:tcPr>
            <w:tcW w:w="716" w:type="dxa"/>
            <w:vMerge w:val="continue"/>
            <w:vAlign w:val="center"/>
          </w:tcPr>
          <w:p w14:paraId="6C12AC0A">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424" w:type="dxa"/>
            <w:vMerge w:val="continue"/>
            <w:vAlign w:val="center"/>
          </w:tcPr>
          <w:p w14:paraId="1BC9D83F">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1104" w:type="dxa"/>
            <w:tcBorders>
              <w:right w:val="single" w:color="auto" w:sz="4" w:space="0"/>
            </w:tcBorders>
            <w:vAlign w:val="center"/>
          </w:tcPr>
          <w:p w14:paraId="172053C6">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出水监测房</w:t>
            </w:r>
          </w:p>
        </w:tc>
        <w:tc>
          <w:tcPr>
            <w:tcW w:w="5661" w:type="dxa"/>
            <w:gridSpan w:val="2"/>
            <w:tcBorders>
              <w:left w:val="single" w:color="auto" w:sz="4" w:space="0"/>
              <w:right w:val="single" w:color="auto" w:sz="4" w:space="0"/>
            </w:tcBorders>
            <w:vAlign w:val="center"/>
          </w:tcPr>
          <w:p w14:paraId="3EA92F19">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lang w:val="en-US"/>
              </w:rPr>
            </w:pPr>
            <w:r>
              <w:rPr>
                <w:rFonts w:hint="default" w:ascii="Times New Roman" w:hAnsi="Times New Roman" w:eastAsia="宋体" w:cs="Times New Roman"/>
                <w:color w:val="auto"/>
                <w:sz w:val="21"/>
                <w:highlight w:val="none"/>
                <w:u w:val="none"/>
                <w:lang w:val="en-US" w:eastAsia="zh-CN"/>
              </w:rPr>
              <w:t>1间，</w:t>
            </w:r>
            <w:r>
              <w:rPr>
                <w:rFonts w:hint="default" w:ascii="Times New Roman" w:hAnsi="Times New Roman" w:cs="Times New Roman"/>
                <w:color w:val="auto"/>
                <w:sz w:val="21"/>
                <w:highlight w:val="none"/>
                <w:u w:val="none"/>
                <w:lang w:val="en-US" w:eastAsia="zh-CN"/>
              </w:rPr>
              <w:t>占地</w:t>
            </w:r>
            <w:r>
              <w:rPr>
                <w:rFonts w:hint="default" w:ascii="Times New Roman" w:hAnsi="Times New Roman" w:eastAsia="宋体" w:cs="Times New Roman"/>
                <w:color w:val="auto"/>
                <w:sz w:val="21"/>
                <w:highlight w:val="none"/>
                <w:u w:val="none"/>
                <w:lang w:val="en-US" w:eastAsia="zh-CN"/>
              </w:rPr>
              <w:t>面积为</w:t>
            </w:r>
            <w:r>
              <w:rPr>
                <w:rFonts w:hint="default" w:ascii="Times New Roman" w:hAnsi="Times New Roman" w:cs="Times New Roman"/>
                <w:color w:val="auto"/>
                <w:sz w:val="21"/>
                <w:highlight w:val="none"/>
                <w:u w:val="none"/>
                <w:lang w:val="en-US" w:eastAsia="zh-CN"/>
              </w:rPr>
              <w:t>18.90</w:t>
            </w:r>
            <w:r>
              <w:rPr>
                <w:rFonts w:hint="default" w:ascii="Times New Roman" w:hAnsi="Times New Roman" w:eastAsia="宋体" w:cs="Times New Roman"/>
                <w:color w:val="auto"/>
                <w:sz w:val="21"/>
                <w:highlight w:val="none"/>
                <w:u w:val="none"/>
                <w:lang w:val="en-US" w:eastAsia="zh-CN"/>
              </w:rPr>
              <w:t>m</w:t>
            </w:r>
            <w:r>
              <w:rPr>
                <w:rFonts w:hint="default" w:ascii="Times New Roman" w:hAnsi="Times New Roman" w:eastAsia="宋体" w:cs="Times New Roman"/>
                <w:color w:val="auto"/>
                <w:sz w:val="21"/>
                <w:highlight w:val="none"/>
                <w:u w:val="none"/>
                <w:vertAlign w:val="superscript"/>
                <w:lang w:val="en-US" w:eastAsia="zh-CN"/>
              </w:rPr>
              <w:t>2</w:t>
            </w:r>
          </w:p>
        </w:tc>
        <w:tc>
          <w:tcPr>
            <w:tcW w:w="1052" w:type="dxa"/>
            <w:tcBorders>
              <w:left w:val="single" w:color="auto" w:sz="4" w:space="0"/>
            </w:tcBorders>
            <w:vAlign w:val="center"/>
          </w:tcPr>
          <w:p w14:paraId="438065F1">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新建</w:t>
            </w:r>
          </w:p>
        </w:tc>
      </w:tr>
      <w:tr w14:paraId="6E441B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716" w:type="dxa"/>
            <w:vMerge w:val="restart"/>
            <w:vAlign w:val="center"/>
          </w:tcPr>
          <w:p w14:paraId="11EC80DA">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3</w:t>
            </w:r>
          </w:p>
        </w:tc>
        <w:tc>
          <w:tcPr>
            <w:tcW w:w="424" w:type="dxa"/>
            <w:vMerge w:val="restart"/>
            <w:vAlign w:val="center"/>
          </w:tcPr>
          <w:p w14:paraId="6BF220DB">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公用工程</w:t>
            </w:r>
          </w:p>
        </w:tc>
        <w:tc>
          <w:tcPr>
            <w:tcW w:w="1104" w:type="dxa"/>
            <w:tcBorders>
              <w:right w:val="single" w:color="auto" w:sz="4" w:space="0"/>
            </w:tcBorders>
            <w:vAlign w:val="center"/>
          </w:tcPr>
          <w:p w14:paraId="0D4B0E97">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供水</w:t>
            </w:r>
          </w:p>
        </w:tc>
        <w:tc>
          <w:tcPr>
            <w:tcW w:w="5661" w:type="dxa"/>
            <w:gridSpan w:val="2"/>
            <w:tcBorders>
              <w:left w:val="single" w:color="auto" w:sz="4" w:space="0"/>
              <w:right w:val="single" w:color="auto" w:sz="4" w:space="0"/>
            </w:tcBorders>
            <w:vAlign w:val="center"/>
          </w:tcPr>
          <w:p w14:paraId="49452420">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生产、生活用水系统，市政供水</w:t>
            </w:r>
          </w:p>
        </w:tc>
        <w:tc>
          <w:tcPr>
            <w:tcW w:w="1052" w:type="dxa"/>
            <w:tcBorders>
              <w:left w:val="single" w:color="auto" w:sz="4" w:space="0"/>
            </w:tcBorders>
            <w:vAlign w:val="center"/>
          </w:tcPr>
          <w:p w14:paraId="57E612CF">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市政供水</w:t>
            </w:r>
          </w:p>
        </w:tc>
      </w:tr>
      <w:tr w14:paraId="6E7B59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03" w:hRule="atLeast"/>
          <w:jc w:val="center"/>
        </w:trPr>
        <w:tc>
          <w:tcPr>
            <w:tcW w:w="716" w:type="dxa"/>
            <w:vMerge w:val="continue"/>
            <w:vAlign w:val="center"/>
          </w:tcPr>
          <w:p w14:paraId="0D0CE20D">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p>
        </w:tc>
        <w:tc>
          <w:tcPr>
            <w:tcW w:w="424" w:type="dxa"/>
            <w:vMerge w:val="continue"/>
            <w:vAlign w:val="center"/>
          </w:tcPr>
          <w:p w14:paraId="4391347B">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p>
        </w:tc>
        <w:tc>
          <w:tcPr>
            <w:tcW w:w="1104" w:type="dxa"/>
            <w:tcBorders>
              <w:right w:val="single" w:color="auto" w:sz="4" w:space="0"/>
            </w:tcBorders>
            <w:vAlign w:val="center"/>
          </w:tcPr>
          <w:p w14:paraId="480FC45F">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排水</w:t>
            </w:r>
          </w:p>
        </w:tc>
        <w:tc>
          <w:tcPr>
            <w:tcW w:w="5661" w:type="dxa"/>
            <w:gridSpan w:val="2"/>
            <w:tcBorders>
              <w:left w:val="single" w:color="auto" w:sz="4" w:space="0"/>
              <w:right w:val="single" w:color="auto" w:sz="4" w:space="0"/>
            </w:tcBorders>
            <w:vAlign w:val="center"/>
          </w:tcPr>
          <w:p w14:paraId="23A6F256">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项目生活污水经</w:t>
            </w:r>
            <w:r>
              <w:rPr>
                <w:rFonts w:hint="eastAsia" w:cs="Times New Roman"/>
                <w:color w:val="auto"/>
                <w:sz w:val="21"/>
                <w:highlight w:val="none"/>
                <w:u w:val="none"/>
                <w:lang w:val="en-US" w:eastAsia="zh-CN"/>
              </w:rPr>
              <w:t>隔油池、</w:t>
            </w:r>
            <w:r>
              <w:rPr>
                <w:rFonts w:hint="default" w:ascii="Times New Roman" w:hAnsi="Times New Roman" w:cs="Times New Roman"/>
                <w:color w:val="auto"/>
                <w:sz w:val="21"/>
                <w:highlight w:val="none"/>
                <w:u w:val="none"/>
                <w:lang w:val="en-US" w:eastAsia="zh-CN"/>
              </w:rPr>
              <w:t>化粪池处理后与生产废水一并</w:t>
            </w:r>
            <w:r>
              <w:rPr>
                <w:rFonts w:hint="default" w:ascii="Times New Roman" w:hAnsi="Times New Roman" w:eastAsia="宋体" w:cs="Times New Roman"/>
                <w:color w:val="auto"/>
                <w:sz w:val="21"/>
                <w:highlight w:val="none"/>
                <w:u w:val="none"/>
                <w:lang w:val="en-US" w:eastAsia="zh-CN"/>
              </w:rPr>
              <w:t>进入自身污水处理设施处理后达</w:t>
            </w:r>
            <w:r>
              <w:rPr>
                <w:rFonts w:hint="default" w:ascii="Times New Roman" w:hAnsi="Times New Roman" w:eastAsia="宋体" w:cs="Times New Roman"/>
                <w:color w:val="auto"/>
                <w:sz w:val="21"/>
                <w:highlight w:val="none"/>
                <w:u w:val="none"/>
                <w:lang w:eastAsia="zh-CN"/>
              </w:rPr>
              <w:t>《城镇污水处理厂污染物排放标准》</w:t>
            </w:r>
            <w:r>
              <w:rPr>
                <w:rFonts w:hint="eastAsia" w:cs="Times New Roman"/>
                <w:color w:val="auto"/>
                <w:sz w:val="21"/>
                <w:highlight w:val="none"/>
                <w:u w:val="none"/>
                <w:lang w:eastAsia="zh-CN"/>
              </w:rPr>
              <w:t>（GB18918-2002）修改单</w:t>
            </w:r>
            <w:r>
              <w:rPr>
                <w:rFonts w:hint="default" w:ascii="Times New Roman" w:hAnsi="Times New Roman" w:eastAsia="宋体" w:cs="Times New Roman"/>
                <w:color w:val="auto"/>
                <w:sz w:val="21"/>
                <w:highlight w:val="none"/>
                <w:u w:val="none"/>
                <w:lang w:eastAsia="zh-CN"/>
              </w:rPr>
              <w:t>中的一级A标准排放至</w:t>
            </w:r>
            <w:r>
              <w:rPr>
                <w:rFonts w:hint="default" w:ascii="Times New Roman" w:hAnsi="Times New Roman" w:eastAsia="宋体" w:cs="Times New Roman"/>
                <w:color w:val="auto"/>
                <w:sz w:val="21"/>
                <w:highlight w:val="none"/>
                <w:u w:val="none"/>
                <w:lang w:val="en-US" w:eastAsia="zh-CN"/>
              </w:rPr>
              <w:t>机排二十渠</w:t>
            </w:r>
            <w:r>
              <w:rPr>
                <w:rFonts w:hint="default" w:ascii="Times New Roman" w:hAnsi="Times New Roman" w:eastAsia="宋体" w:cs="Times New Roman"/>
                <w:color w:val="auto"/>
                <w:sz w:val="21"/>
                <w:highlight w:val="none"/>
                <w:u w:val="none"/>
                <w:lang w:eastAsia="zh-CN"/>
              </w:rPr>
              <w:t>，再由</w:t>
            </w:r>
            <w:r>
              <w:rPr>
                <w:rFonts w:hint="default" w:ascii="Times New Roman" w:hAnsi="Times New Roman" w:eastAsia="宋体" w:cs="Times New Roman"/>
                <w:color w:val="auto"/>
                <w:sz w:val="21"/>
                <w:highlight w:val="none"/>
                <w:u w:val="none"/>
                <w:lang w:val="en-US" w:eastAsia="zh-CN"/>
              </w:rPr>
              <w:t>机排二十渠</w:t>
            </w:r>
            <w:r>
              <w:rPr>
                <w:rFonts w:hint="default" w:ascii="Times New Roman" w:hAnsi="Times New Roman" w:eastAsia="宋体" w:cs="Times New Roman"/>
                <w:color w:val="auto"/>
                <w:sz w:val="21"/>
                <w:highlight w:val="none"/>
                <w:u w:val="none"/>
                <w:lang w:eastAsia="zh-CN"/>
              </w:rPr>
              <w:t>排入</w:t>
            </w:r>
            <w:r>
              <w:rPr>
                <w:rFonts w:hint="default" w:ascii="Times New Roman" w:hAnsi="Times New Roman" w:cs="Times New Roman"/>
                <w:color w:val="auto"/>
                <w:sz w:val="21"/>
                <w:highlight w:val="none"/>
                <w:u w:val="none"/>
                <w:lang w:val="en-US" w:eastAsia="zh-CN"/>
              </w:rPr>
              <w:t>老三运河，最终进入漉湖。</w:t>
            </w:r>
          </w:p>
        </w:tc>
        <w:tc>
          <w:tcPr>
            <w:tcW w:w="1052" w:type="dxa"/>
            <w:tcBorders>
              <w:left w:val="single" w:color="auto" w:sz="4" w:space="0"/>
            </w:tcBorders>
            <w:vAlign w:val="center"/>
          </w:tcPr>
          <w:p w14:paraId="09234198">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新建</w:t>
            </w:r>
          </w:p>
        </w:tc>
      </w:tr>
      <w:tr w14:paraId="2A6A93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716" w:type="dxa"/>
            <w:vMerge w:val="continue"/>
            <w:vAlign w:val="center"/>
          </w:tcPr>
          <w:p w14:paraId="063ACC8C">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p>
        </w:tc>
        <w:tc>
          <w:tcPr>
            <w:tcW w:w="424" w:type="dxa"/>
            <w:vMerge w:val="continue"/>
            <w:vAlign w:val="center"/>
          </w:tcPr>
          <w:p w14:paraId="16C5E1AB">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p>
        </w:tc>
        <w:tc>
          <w:tcPr>
            <w:tcW w:w="1104" w:type="dxa"/>
            <w:tcBorders>
              <w:right w:val="single" w:color="auto" w:sz="4" w:space="0"/>
            </w:tcBorders>
            <w:vAlign w:val="center"/>
          </w:tcPr>
          <w:p w14:paraId="7893F6F5">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供电</w:t>
            </w:r>
          </w:p>
        </w:tc>
        <w:tc>
          <w:tcPr>
            <w:tcW w:w="5661" w:type="dxa"/>
            <w:gridSpan w:val="2"/>
            <w:tcBorders>
              <w:left w:val="single" w:color="auto" w:sz="4" w:space="0"/>
              <w:right w:val="single" w:color="auto" w:sz="4" w:space="0"/>
            </w:tcBorders>
            <w:vAlign w:val="center"/>
          </w:tcPr>
          <w:p w14:paraId="738758CE">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市政供电</w:t>
            </w:r>
          </w:p>
        </w:tc>
        <w:tc>
          <w:tcPr>
            <w:tcW w:w="1052" w:type="dxa"/>
            <w:tcBorders>
              <w:left w:val="single" w:color="auto" w:sz="4" w:space="0"/>
            </w:tcBorders>
            <w:vAlign w:val="center"/>
          </w:tcPr>
          <w:p w14:paraId="7EA8DDF3">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市政供电</w:t>
            </w:r>
          </w:p>
        </w:tc>
      </w:tr>
      <w:tr w14:paraId="29BDBA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59" w:hRule="atLeast"/>
          <w:jc w:val="center"/>
        </w:trPr>
        <w:tc>
          <w:tcPr>
            <w:tcW w:w="716" w:type="dxa"/>
            <w:vMerge w:val="restart"/>
            <w:vAlign w:val="center"/>
          </w:tcPr>
          <w:p w14:paraId="2DE49A72">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4</w:t>
            </w:r>
          </w:p>
        </w:tc>
        <w:tc>
          <w:tcPr>
            <w:tcW w:w="424" w:type="dxa"/>
            <w:vMerge w:val="restart"/>
            <w:vAlign w:val="center"/>
          </w:tcPr>
          <w:p w14:paraId="54BBE576">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环保工程</w:t>
            </w:r>
          </w:p>
        </w:tc>
        <w:tc>
          <w:tcPr>
            <w:tcW w:w="1104" w:type="dxa"/>
            <w:tcBorders>
              <w:right w:val="single" w:color="auto" w:sz="4" w:space="0"/>
            </w:tcBorders>
            <w:vAlign w:val="center"/>
          </w:tcPr>
          <w:p w14:paraId="10CA0C39">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废气</w:t>
            </w:r>
          </w:p>
        </w:tc>
        <w:tc>
          <w:tcPr>
            <w:tcW w:w="5661" w:type="dxa"/>
            <w:gridSpan w:val="2"/>
            <w:tcBorders>
              <w:left w:val="single" w:color="auto" w:sz="4" w:space="0"/>
              <w:right w:val="single" w:color="auto" w:sz="4" w:space="0"/>
            </w:tcBorders>
            <w:vAlign w:val="center"/>
          </w:tcPr>
          <w:p w14:paraId="39196830">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eastAsia="zh-CN"/>
              </w:rPr>
              <w:t>采用</w:t>
            </w:r>
            <w:r>
              <w:rPr>
                <w:rFonts w:hint="default" w:ascii="Times New Roman" w:hAnsi="Times New Roman" w:cs="Times New Roman"/>
                <w:color w:val="auto"/>
                <w:sz w:val="21"/>
                <w:highlight w:val="none"/>
                <w:u w:val="none"/>
                <w:lang w:val="en-US" w:eastAsia="zh-CN"/>
              </w:rPr>
              <w:t>生物</w:t>
            </w:r>
            <w:r>
              <w:rPr>
                <w:rFonts w:hint="default" w:ascii="Times New Roman" w:hAnsi="Times New Roman" w:eastAsia="宋体" w:cs="Times New Roman"/>
                <w:color w:val="auto"/>
                <w:sz w:val="21"/>
                <w:highlight w:val="none"/>
                <w:u w:val="none"/>
                <w:lang w:eastAsia="zh-CN"/>
              </w:rPr>
              <w:t>除臭工艺，臭气通过除臭塔处置后达到通过</w:t>
            </w:r>
            <w:r>
              <w:rPr>
                <w:rFonts w:hint="default" w:ascii="Times New Roman" w:hAnsi="Times New Roman" w:eastAsia="宋体" w:cs="Times New Roman"/>
                <w:color w:val="auto"/>
                <w:sz w:val="21"/>
                <w:highlight w:val="none"/>
                <w:u w:val="none"/>
                <w:lang w:val="en-US" w:eastAsia="zh-CN"/>
              </w:rPr>
              <w:t>15m高排气筒排放</w:t>
            </w:r>
          </w:p>
        </w:tc>
        <w:tc>
          <w:tcPr>
            <w:tcW w:w="1052" w:type="dxa"/>
            <w:tcBorders>
              <w:left w:val="single" w:color="auto" w:sz="4" w:space="0"/>
            </w:tcBorders>
            <w:vAlign w:val="center"/>
          </w:tcPr>
          <w:p w14:paraId="047A2217">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新建</w:t>
            </w:r>
          </w:p>
        </w:tc>
      </w:tr>
      <w:tr w14:paraId="69260C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75" w:hRule="atLeast"/>
          <w:jc w:val="center"/>
        </w:trPr>
        <w:tc>
          <w:tcPr>
            <w:tcW w:w="716" w:type="dxa"/>
            <w:vMerge w:val="continue"/>
            <w:vAlign w:val="center"/>
          </w:tcPr>
          <w:p w14:paraId="0CF4365E">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p>
        </w:tc>
        <w:tc>
          <w:tcPr>
            <w:tcW w:w="424" w:type="dxa"/>
            <w:vMerge w:val="continue"/>
            <w:vAlign w:val="center"/>
          </w:tcPr>
          <w:p w14:paraId="234C37E5">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p>
        </w:tc>
        <w:tc>
          <w:tcPr>
            <w:tcW w:w="1104" w:type="dxa"/>
            <w:tcBorders>
              <w:right w:val="single" w:color="auto" w:sz="6" w:space="0"/>
            </w:tcBorders>
            <w:vAlign w:val="center"/>
          </w:tcPr>
          <w:p w14:paraId="0AAA1711">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废水</w:t>
            </w:r>
          </w:p>
        </w:tc>
        <w:tc>
          <w:tcPr>
            <w:tcW w:w="5661" w:type="dxa"/>
            <w:gridSpan w:val="2"/>
            <w:tcBorders>
              <w:left w:val="single" w:color="auto" w:sz="6" w:space="0"/>
              <w:right w:val="single" w:color="auto" w:sz="4" w:space="0"/>
            </w:tcBorders>
            <w:vAlign w:val="center"/>
          </w:tcPr>
          <w:p w14:paraId="6C19D144">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项目生活污水</w:t>
            </w:r>
            <w:r>
              <w:rPr>
                <w:rFonts w:hint="default" w:ascii="Times New Roman" w:hAnsi="Times New Roman" w:cs="Times New Roman"/>
                <w:color w:val="000000" w:themeColor="text1"/>
                <w:sz w:val="21"/>
                <w:highlight w:val="none"/>
                <w:u w:val="none"/>
                <w:lang w:val="en-US" w:eastAsia="zh-CN"/>
                <w14:textFill>
                  <w14:solidFill>
                    <w14:schemeClr w14:val="tx1"/>
                  </w14:solidFill>
                </w14:textFill>
              </w:rPr>
              <w:t>经</w:t>
            </w:r>
            <w:r>
              <w:rPr>
                <w:rFonts w:hint="eastAsia"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隔油池、</w:t>
            </w:r>
            <w:r>
              <w:rPr>
                <w:rFonts w:hint="default"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化粪池</w:t>
            </w:r>
            <w:r>
              <w:rPr>
                <w:rFonts w:hint="default" w:ascii="Times New Roman" w:hAnsi="Times New Roman" w:cs="Times New Roman"/>
                <w:color w:val="000000" w:themeColor="text1"/>
                <w:sz w:val="21"/>
                <w:highlight w:val="none"/>
                <w:u w:val="none"/>
                <w:lang w:val="en-US" w:eastAsia="zh-CN"/>
                <w14:textFill>
                  <w14:solidFill>
                    <w14:schemeClr w14:val="tx1"/>
                  </w14:solidFill>
                </w14:textFill>
              </w:rPr>
              <w:t>处理后与生产废水一并进入</w:t>
            </w:r>
            <w:r>
              <w:rPr>
                <w:rFonts w:hint="default" w:ascii="Times New Roman" w:hAnsi="Times New Roman" w:eastAsia="宋体" w:cs="Times New Roman"/>
                <w:color w:val="000000" w:themeColor="text1"/>
                <w:sz w:val="21"/>
                <w:highlight w:val="none"/>
                <w:u w:val="none"/>
                <w14:textFill>
                  <w14:solidFill>
                    <w14:schemeClr w14:val="tx1"/>
                  </w14:solidFill>
                </w14:textFill>
              </w:rPr>
              <w:t>污水处理</w:t>
            </w:r>
            <w:r>
              <w:rPr>
                <w:rFonts w:hint="default" w:ascii="Times New Roman" w:hAnsi="Times New Roman" w:eastAsia="宋体" w:cs="Times New Roman"/>
                <w:color w:val="auto"/>
                <w:sz w:val="21"/>
                <w:highlight w:val="none"/>
                <w:u w:val="none"/>
              </w:rPr>
              <w:t>系统</w:t>
            </w:r>
            <w:r>
              <w:rPr>
                <w:rFonts w:hint="default" w:ascii="Times New Roman" w:hAnsi="Times New Roman" w:eastAsia="宋体" w:cs="Times New Roman"/>
                <w:color w:val="auto"/>
                <w:sz w:val="21"/>
                <w:highlight w:val="none"/>
                <w:u w:val="none"/>
                <w:lang w:eastAsia="zh-CN"/>
              </w:rPr>
              <w:t>处理后达到《城镇污水处理厂污染物排放标准》</w:t>
            </w:r>
            <w:r>
              <w:rPr>
                <w:rFonts w:hint="eastAsia" w:cs="Times New Roman"/>
                <w:color w:val="auto"/>
                <w:sz w:val="21"/>
                <w:highlight w:val="none"/>
                <w:u w:val="none"/>
                <w:lang w:eastAsia="zh-CN"/>
              </w:rPr>
              <w:t>（GB18918-2002）修改单</w:t>
            </w:r>
            <w:r>
              <w:rPr>
                <w:rFonts w:hint="default" w:ascii="Times New Roman" w:hAnsi="Times New Roman" w:eastAsia="宋体" w:cs="Times New Roman"/>
                <w:color w:val="auto"/>
                <w:sz w:val="21"/>
                <w:highlight w:val="none"/>
                <w:u w:val="none"/>
                <w:lang w:eastAsia="zh-CN"/>
              </w:rPr>
              <w:t>中的一级A标准排放至</w:t>
            </w:r>
            <w:r>
              <w:rPr>
                <w:rFonts w:hint="default" w:ascii="Times New Roman" w:hAnsi="Times New Roman" w:eastAsia="宋体" w:cs="Times New Roman"/>
                <w:color w:val="auto"/>
                <w:sz w:val="21"/>
                <w:highlight w:val="none"/>
                <w:u w:val="none"/>
                <w:lang w:val="en-US" w:eastAsia="zh-CN"/>
              </w:rPr>
              <w:t>机排二十渠</w:t>
            </w:r>
            <w:r>
              <w:rPr>
                <w:rFonts w:hint="default" w:ascii="Times New Roman" w:hAnsi="Times New Roman" w:eastAsia="宋体" w:cs="Times New Roman"/>
                <w:color w:val="auto"/>
                <w:sz w:val="21"/>
                <w:highlight w:val="none"/>
                <w:u w:val="none"/>
                <w:lang w:eastAsia="zh-CN"/>
              </w:rPr>
              <w:t>，再由</w:t>
            </w:r>
            <w:r>
              <w:rPr>
                <w:rFonts w:hint="default" w:ascii="Times New Roman" w:hAnsi="Times New Roman" w:eastAsia="宋体" w:cs="Times New Roman"/>
                <w:color w:val="auto"/>
                <w:sz w:val="21"/>
                <w:highlight w:val="none"/>
                <w:u w:val="none"/>
                <w:lang w:val="en-US" w:eastAsia="zh-CN"/>
              </w:rPr>
              <w:t>机排二十渠</w:t>
            </w:r>
            <w:r>
              <w:rPr>
                <w:rFonts w:hint="default" w:ascii="Times New Roman" w:hAnsi="Times New Roman" w:eastAsia="宋体" w:cs="Times New Roman"/>
                <w:color w:val="auto"/>
                <w:sz w:val="21"/>
                <w:highlight w:val="none"/>
                <w:u w:val="none"/>
                <w:lang w:eastAsia="zh-CN"/>
              </w:rPr>
              <w:t>排入</w:t>
            </w:r>
            <w:r>
              <w:rPr>
                <w:rFonts w:hint="default" w:ascii="Times New Roman" w:hAnsi="Times New Roman" w:cs="Times New Roman"/>
                <w:color w:val="auto"/>
                <w:sz w:val="21"/>
                <w:highlight w:val="none"/>
                <w:u w:val="none"/>
                <w:lang w:val="en-US" w:eastAsia="zh-CN"/>
              </w:rPr>
              <w:t>老三运河，最终进入漉湖。</w:t>
            </w:r>
          </w:p>
        </w:tc>
        <w:tc>
          <w:tcPr>
            <w:tcW w:w="1052" w:type="dxa"/>
            <w:tcBorders>
              <w:left w:val="single" w:color="auto" w:sz="4" w:space="0"/>
            </w:tcBorders>
            <w:vAlign w:val="center"/>
          </w:tcPr>
          <w:p w14:paraId="4F8BEC12">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eastAsia="zh-CN"/>
              </w:rPr>
            </w:pPr>
            <w:r>
              <w:rPr>
                <w:rFonts w:hint="default" w:ascii="Times New Roman" w:hAnsi="Times New Roman" w:cs="Times New Roman"/>
                <w:color w:val="auto"/>
                <w:sz w:val="21"/>
                <w:highlight w:val="none"/>
                <w:u w:val="none"/>
                <w:lang w:val="en-US" w:eastAsia="zh-CN"/>
              </w:rPr>
              <w:t>新建</w:t>
            </w:r>
          </w:p>
        </w:tc>
      </w:tr>
      <w:tr w14:paraId="1D7BFE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716" w:type="dxa"/>
            <w:vMerge w:val="continue"/>
            <w:vAlign w:val="center"/>
          </w:tcPr>
          <w:p w14:paraId="2424E3B0">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p>
        </w:tc>
        <w:tc>
          <w:tcPr>
            <w:tcW w:w="424" w:type="dxa"/>
            <w:vMerge w:val="continue"/>
            <w:vAlign w:val="center"/>
          </w:tcPr>
          <w:p w14:paraId="046D5748">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p>
        </w:tc>
        <w:tc>
          <w:tcPr>
            <w:tcW w:w="1104" w:type="dxa"/>
            <w:tcBorders>
              <w:right w:val="single" w:color="auto" w:sz="6" w:space="0"/>
            </w:tcBorders>
            <w:vAlign w:val="center"/>
          </w:tcPr>
          <w:p w14:paraId="5FE70C82">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噪声</w:t>
            </w:r>
          </w:p>
        </w:tc>
        <w:tc>
          <w:tcPr>
            <w:tcW w:w="5661" w:type="dxa"/>
            <w:gridSpan w:val="2"/>
            <w:tcBorders>
              <w:left w:val="single" w:color="auto" w:sz="6" w:space="0"/>
              <w:right w:val="single" w:color="auto" w:sz="4" w:space="0"/>
            </w:tcBorders>
            <w:vAlign w:val="center"/>
          </w:tcPr>
          <w:p w14:paraId="368883FE">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建筑内安装，消声、基础减振等</w:t>
            </w:r>
          </w:p>
        </w:tc>
        <w:tc>
          <w:tcPr>
            <w:tcW w:w="1052" w:type="dxa"/>
            <w:tcBorders>
              <w:left w:val="single" w:color="auto" w:sz="4" w:space="0"/>
            </w:tcBorders>
            <w:vAlign w:val="center"/>
          </w:tcPr>
          <w:p w14:paraId="3DAEF359">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w:t>
            </w:r>
          </w:p>
        </w:tc>
      </w:tr>
      <w:tr w14:paraId="1A92525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716" w:type="dxa"/>
            <w:vMerge w:val="continue"/>
            <w:vAlign w:val="center"/>
          </w:tcPr>
          <w:p w14:paraId="6182819F">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p>
        </w:tc>
        <w:tc>
          <w:tcPr>
            <w:tcW w:w="424" w:type="dxa"/>
            <w:vMerge w:val="continue"/>
            <w:vAlign w:val="center"/>
          </w:tcPr>
          <w:p w14:paraId="09095DCE">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p>
        </w:tc>
        <w:tc>
          <w:tcPr>
            <w:tcW w:w="1104" w:type="dxa"/>
            <w:vMerge w:val="restart"/>
            <w:tcBorders>
              <w:right w:val="single" w:color="auto" w:sz="6" w:space="0"/>
            </w:tcBorders>
            <w:vAlign w:val="center"/>
          </w:tcPr>
          <w:p w14:paraId="21D8F396">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rPr>
              <w:t>固废</w:t>
            </w:r>
          </w:p>
        </w:tc>
        <w:tc>
          <w:tcPr>
            <w:tcW w:w="5661" w:type="dxa"/>
            <w:gridSpan w:val="2"/>
            <w:tcBorders>
              <w:left w:val="single" w:color="auto" w:sz="6" w:space="0"/>
              <w:right w:val="single" w:color="auto" w:sz="4" w:space="0"/>
            </w:tcBorders>
            <w:vAlign w:val="center"/>
          </w:tcPr>
          <w:p w14:paraId="7D0B4974">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lang w:eastAsia="zh-CN"/>
              </w:rPr>
            </w:pPr>
            <w:r>
              <w:rPr>
                <w:rFonts w:hint="default" w:ascii="Times New Roman" w:hAnsi="Times New Roman" w:eastAsia="宋体" w:cs="Times New Roman"/>
                <w:color w:val="auto"/>
                <w:sz w:val="21"/>
                <w:highlight w:val="none"/>
                <w:u w:val="none"/>
              </w:rPr>
              <w:t>生活垃圾</w:t>
            </w:r>
            <w:r>
              <w:rPr>
                <w:rFonts w:hint="default" w:ascii="Times New Roman" w:hAnsi="Times New Roman" w:eastAsia="宋体" w:cs="Times New Roman"/>
                <w:color w:val="auto"/>
                <w:sz w:val="21"/>
                <w:highlight w:val="none"/>
                <w:u w:val="none"/>
                <w:lang w:eastAsia="zh-CN"/>
              </w:rPr>
              <w:t>经垃圾</w:t>
            </w:r>
            <w:r>
              <w:rPr>
                <w:rFonts w:hint="default" w:ascii="Times New Roman" w:hAnsi="Times New Roman" w:eastAsia="宋体" w:cs="Times New Roman"/>
                <w:color w:val="auto"/>
                <w:sz w:val="21"/>
                <w:highlight w:val="none"/>
                <w:u w:val="none"/>
              </w:rPr>
              <w:t>收集桶</w:t>
            </w:r>
            <w:r>
              <w:rPr>
                <w:rFonts w:hint="default" w:ascii="Times New Roman" w:hAnsi="Times New Roman" w:eastAsia="宋体" w:cs="Times New Roman"/>
                <w:color w:val="auto"/>
                <w:sz w:val="21"/>
                <w:highlight w:val="none"/>
                <w:u w:val="none"/>
                <w:lang w:eastAsia="zh-CN"/>
              </w:rPr>
              <w:t>收集后统一由环卫部门清运</w:t>
            </w:r>
          </w:p>
        </w:tc>
        <w:tc>
          <w:tcPr>
            <w:tcW w:w="1052" w:type="dxa"/>
            <w:tcBorders>
              <w:left w:val="single" w:color="auto" w:sz="4" w:space="0"/>
            </w:tcBorders>
            <w:vAlign w:val="center"/>
          </w:tcPr>
          <w:p w14:paraId="65ABD501">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highlight w:val="none"/>
                <w:u w:val="none"/>
              </w:rPr>
            </w:pPr>
            <w:r>
              <w:rPr>
                <w:rFonts w:hint="default" w:ascii="Times New Roman" w:hAnsi="Times New Roman" w:eastAsia="宋体" w:cs="Times New Roman"/>
                <w:color w:val="auto"/>
                <w:sz w:val="21"/>
                <w:highlight w:val="none"/>
                <w:u w:val="none"/>
                <w:lang w:eastAsia="zh-CN"/>
              </w:rPr>
              <w:t>依托</w:t>
            </w:r>
          </w:p>
        </w:tc>
      </w:tr>
      <w:tr w14:paraId="7D9A06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648" w:hRule="atLeast"/>
          <w:jc w:val="center"/>
        </w:trPr>
        <w:tc>
          <w:tcPr>
            <w:tcW w:w="716" w:type="dxa"/>
            <w:vMerge w:val="continue"/>
            <w:vAlign w:val="center"/>
          </w:tcPr>
          <w:p w14:paraId="06EEB46B">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424" w:type="dxa"/>
            <w:vMerge w:val="continue"/>
            <w:vAlign w:val="center"/>
          </w:tcPr>
          <w:p w14:paraId="1D065DB3">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1104" w:type="dxa"/>
            <w:vMerge w:val="continue"/>
            <w:tcBorders>
              <w:right w:val="single" w:color="auto" w:sz="6" w:space="0"/>
            </w:tcBorders>
            <w:vAlign w:val="center"/>
          </w:tcPr>
          <w:p w14:paraId="3AB2B8C0">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FF0000"/>
                <w:sz w:val="21"/>
                <w:highlight w:val="none"/>
                <w:u w:val="none"/>
              </w:rPr>
            </w:pPr>
          </w:p>
        </w:tc>
        <w:tc>
          <w:tcPr>
            <w:tcW w:w="5661" w:type="dxa"/>
            <w:gridSpan w:val="2"/>
            <w:tcBorders>
              <w:left w:val="single" w:color="auto" w:sz="6" w:space="0"/>
              <w:right w:val="single" w:color="auto" w:sz="4" w:space="0"/>
            </w:tcBorders>
            <w:vAlign w:val="center"/>
          </w:tcPr>
          <w:p w14:paraId="4FEEA2DA">
            <w:pPr>
              <w:pStyle w:val="192"/>
              <w:keepNext w:val="0"/>
              <w:keepLines w:val="0"/>
              <w:suppressLineNumbers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eastAsia="zh-CN"/>
              </w:rPr>
              <w:t>本项目产生的固体废物包括员工生活垃圾、</w:t>
            </w:r>
            <w:r>
              <w:rPr>
                <w:rFonts w:hint="default" w:ascii="Times New Roman" w:hAnsi="Times New Roman" w:cs="Times New Roman"/>
                <w:color w:val="auto"/>
                <w:sz w:val="21"/>
                <w:highlight w:val="none"/>
                <w:u w:val="none"/>
                <w:lang w:val="en-US" w:eastAsia="zh-CN"/>
              </w:rPr>
              <w:t>格</w:t>
            </w:r>
            <w:r>
              <w:rPr>
                <w:rFonts w:hint="default" w:ascii="Times New Roman" w:hAnsi="Times New Roman" w:eastAsia="宋体" w:cs="Times New Roman"/>
                <w:color w:val="auto"/>
                <w:sz w:val="21"/>
                <w:highlight w:val="none"/>
                <w:u w:val="none"/>
                <w:lang w:eastAsia="zh-CN"/>
              </w:rPr>
              <w:t>栅的栅渣和沉砂池沉渣、污泥、</w:t>
            </w:r>
            <w:r>
              <w:rPr>
                <w:rFonts w:hint="default" w:ascii="Times New Roman" w:hAnsi="Times New Roman" w:cs="Times New Roman"/>
                <w:color w:val="auto"/>
                <w:sz w:val="21"/>
                <w:highlight w:val="none"/>
                <w:u w:val="none"/>
                <w:lang w:val="en-US" w:eastAsia="zh-CN"/>
              </w:rPr>
              <w:t>废矿物油、</w:t>
            </w:r>
            <w:r>
              <w:rPr>
                <w:rFonts w:hint="default" w:ascii="Times New Roman" w:hAnsi="Times New Roman" w:eastAsia="宋体" w:cs="Times New Roman"/>
                <w:color w:val="auto"/>
                <w:sz w:val="21"/>
                <w:highlight w:val="none"/>
                <w:u w:val="none"/>
                <w:lang w:eastAsia="zh-CN"/>
              </w:rPr>
              <w:t>化验室废液</w:t>
            </w:r>
            <w:r>
              <w:rPr>
                <w:rFonts w:hint="default" w:ascii="Times New Roman" w:hAnsi="Times New Roman" w:cs="Times New Roman"/>
                <w:color w:val="auto"/>
                <w:sz w:val="21"/>
                <w:highlight w:val="none"/>
                <w:u w:val="none"/>
                <w:lang w:eastAsia="zh-CN"/>
              </w:rPr>
              <w:t>、</w:t>
            </w:r>
            <w:r>
              <w:rPr>
                <w:rFonts w:hint="default" w:ascii="Times New Roman" w:hAnsi="Times New Roman" w:cs="Times New Roman"/>
                <w:color w:val="auto"/>
                <w:sz w:val="21"/>
                <w:highlight w:val="none"/>
                <w:u w:val="none"/>
                <w:lang w:val="en-US" w:eastAsia="zh-CN"/>
              </w:rPr>
              <w:t>在线监测废液等危险废物</w:t>
            </w:r>
            <w:r>
              <w:rPr>
                <w:rFonts w:hint="default" w:ascii="Times New Roman" w:hAnsi="Times New Roman" w:eastAsia="宋体" w:cs="Times New Roman"/>
                <w:color w:val="auto"/>
                <w:sz w:val="21"/>
                <w:highlight w:val="none"/>
                <w:u w:val="none"/>
                <w:lang w:eastAsia="zh-CN"/>
              </w:rPr>
              <w:t>。生活垃圾、格栅渣和沉砂池沉渣送益阳市北部片区生活垃圾焚烧发电厂处理；污泥脱水（含水量低于</w:t>
            </w:r>
            <w:r>
              <w:rPr>
                <w:rFonts w:hint="default" w:ascii="Times New Roman" w:hAnsi="Times New Roman" w:cs="Times New Roman"/>
                <w:color w:val="auto"/>
                <w:sz w:val="21"/>
                <w:highlight w:val="none"/>
                <w:u w:val="none"/>
                <w:lang w:val="en-US" w:eastAsia="zh-CN"/>
              </w:rPr>
              <w:t>6</w:t>
            </w:r>
            <w:r>
              <w:rPr>
                <w:rFonts w:hint="default" w:ascii="Times New Roman" w:hAnsi="Times New Roman" w:eastAsia="宋体" w:cs="Times New Roman"/>
                <w:color w:val="auto"/>
                <w:sz w:val="21"/>
                <w:highlight w:val="none"/>
                <w:u w:val="none"/>
                <w:lang w:val="en-US" w:eastAsia="zh-CN"/>
              </w:rPr>
              <w:t>0%</w:t>
            </w:r>
            <w:r>
              <w:rPr>
                <w:rFonts w:hint="default" w:ascii="Times New Roman" w:hAnsi="Times New Roman" w:eastAsia="宋体" w:cs="Times New Roman"/>
                <w:color w:val="auto"/>
                <w:sz w:val="21"/>
                <w:highlight w:val="none"/>
                <w:u w:val="none"/>
                <w:lang w:eastAsia="zh-CN"/>
              </w:rPr>
              <w:t>）后运至</w:t>
            </w:r>
            <w:r>
              <w:rPr>
                <w:rFonts w:hint="default" w:ascii="Times New Roman" w:hAnsi="Times New Roman" w:cs="Times New Roman"/>
                <w:color w:val="auto"/>
                <w:sz w:val="21"/>
                <w:highlight w:val="none"/>
                <w:u w:val="none"/>
                <w:lang w:eastAsia="zh-CN"/>
              </w:rPr>
              <w:t>益阳海螺环保科技有限责任公司</w:t>
            </w:r>
            <w:r>
              <w:rPr>
                <w:rFonts w:hint="default" w:ascii="Times New Roman" w:hAnsi="Times New Roman" w:eastAsia="宋体" w:cs="Times New Roman"/>
                <w:color w:val="auto"/>
                <w:sz w:val="21"/>
                <w:highlight w:val="none"/>
                <w:u w:val="none"/>
                <w:lang w:eastAsia="zh-CN"/>
              </w:rPr>
              <w:t>进行处置；废矿物油、化验室废液、在线监测废液等危险废物，</w:t>
            </w:r>
            <w:r>
              <w:rPr>
                <w:rFonts w:hint="default" w:ascii="Times New Roman" w:hAnsi="Times New Roman" w:cs="Times New Roman"/>
                <w:color w:val="auto"/>
                <w:sz w:val="21"/>
                <w:highlight w:val="none"/>
                <w:u w:val="none"/>
                <w:lang w:val="en-US" w:eastAsia="zh-CN"/>
              </w:rPr>
              <w:t>暂存于危废暂存间，定期</w:t>
            </w:r>
            <w:r>
              <w:rPr>
                <w:rFonts w:hint="default" w:ascii="Times New Roman" w:hAnsi="Times New Roman" w:eastAsia="宋体" w:cs="Times New Roman"/>
                <w:color w:val="auto"/>
                <w:sz w:val="21"/>
                <w:highlight w:val="none"/>
                <w:u w:val="none"/>
                <w:lang w:eastAsia="zh-CN"/>
              </w:rPr>
              <w:t>委托有资质的单位处置。</w:t>
            </w:r>
          </w:p>
        </w:tc>
        <w:tc>
          <w:tcPr>
            <w:tcW w:w="1052" w:type="dxa"/>
            <w:tcBorders>
              <w:left w:val="single" w:color="auto" w:sz="4" w:space="0"/>
            </w:tcBorders>
            <w:vAlign w:val="center"/>
          </w:tcPr>
          <w:p w14:paraId="2A4C5120">
            <w:pPr>
              <w:pStyle w:val="192"/>
              <w:keepNext w:val="0"/>
              <w:keepLines w:val="0"/>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highlight w:val="none"/>
                <w:u w:val="none"/>
              </w:rPr>
            </w:pPr>
            <w:r>
              <w:rPr>
                <w:rFonts w:hint="default" w:ascii="Times New Roman" w:hAnsi="Times New Roman" w:eastAsia="宋体" w:cs="Times New Roman"/>
                <w:color w:val="auto"/>
                <w:sz w:val="21"/>
                <w:highlight w:val="none"/>
                <w:u w:val="none"/>
                <w:lang w:eastAsia="zh-CN"/>
              </w:rPr>
              <w:t>依托</w:t>
            </w:r>
          </w:p>
        </w:tc>
      </w:tr>
      <w:tr w14:paraId="10BBE1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81" w:hRule="atLeast"/>
          <w:jc w:val="center"/>
        </w:trPr>
        <w:tc>
          <w:tcPr>
            <w:tcW w:w="716" w:type="dxa"/>
            <w:vMerge w:val="restart"/>
            <w:vAlign w:val="center"/>
          </w:tcPr>
          <w:p w14:paraId="497DAF24">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lang w:val="en-US" w:eastAsia="zh-CN"/>
              </w:rPr>
            </w:pPr>
            <w:r>
              <w:rPr>
                <w:rFonts w:hint="default" w:ascii="Times New Roman" w:hAnsi="Times New Roman" w:cs="Times New Roman"/>
                <w:color w:val="auto"/>
                <w:sz w:val="21"/>
                <w:highlight w:val="none"/>
                <w:u w:val="none"/>
                <w:lang w:val="en-US" w:eastAsia="zh-CN"/>
              </w:rPr>
              <w:t>5</w:t>
            </w:r>
          </w:p>
        </w:tc>
        <w:tc>
          <w:tcPr>
            <w:tcW w:w="424" w:type="dxa"/>
            <w:vMerge w:val="restart"/>
            <w:vAlign w:val="center"/>
          </w:tcPr>
          <w:p w14:paraId="1E1073E5">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lang w:val="en-US" w:eastAsia="zh-CN"/>
              </w:rPr>
            </w:pPr>
            <w:r>
              <w:rPr>
                <w:rFonts w:hint="default" w:ascii="Times New Roman" w:hAnsi="Times New Roman" w:eastAsia="宋体" w:cs="Times New Roman"/>
                <w:color w:val="auto"/>
                <w:sz w:val="21"/>
                <w:highlight w:val="none"/>
                <w:u w:val="none"/>
                <w:lang w:val="en-US" w:eastAsia="zh-CN"/>
              </w:rPr>
              <w:t>依托工程</w:t>
            </w:r>
          </w:p>
        </w:tc>
        <w:tc>
          <w:tcPr>
            <w:tcW w:w="1104" w:type="dxa"/>
            <w:tcBorders>
              <w:right w:val="single" w:color="auto" w:sz="6" w:space="0"/>
            </w:tcBorders>
            <w:vAlign w:val="center"/>
          </w:tcPr>
          <w:p w14:paraId="0201F8CC">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FF0000"/>
                <w:sz w:val="21"/>
                <w:highlight w:val="none"/>
                <w:u w:val="none" w:color="auto"/>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益阳市北部片区生活垃圾焚烧发电厂</w:t>
            </w:r>
          </w:p>
        </w:tc>
        <w:tc>
          <w:tcPr>
            <w:tcW w:w="6713" w:type="dxa"/>
            <w:gridSpan w:val="3"/>
            <w:tcBorders>
              <w:left w:val="single" w:color="auto" w:sz="6" w:space="0"/>
            </w:tcBorders>
            <w:vAlign w:val="center"/>
          </w:tcPr>
          <w:p w14:paraId="2E993637">
            <w:pPr>
              <w:keepNext w:val="0"/>
              <w:keepLines w:val="0"/>
              <w:suppressLineNumbers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近期日处理垃圾能力为 600t，年处理能力为20.1万吨，统筹处理益阳市北部片区（南县、大通湖区及沅江市部分区域）的城乡生活垃圾，预留远期300t/d发展用地。</w:t>
            </w:r>
          </w:p>
          <w:p w14:paraId="7742C69E">
            <w:pPr>
              <w:keepNext w:val="0"/>
              <w:keepLines w:val="0"/>
              <w:suppressLineNumbers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bidi="ar-SA"/>
              </w:rPr>
              <w:t>益阳市北部片区生活垃圾焚烧发电厂垃圾焚烧处理工艺采用机械炉排炉，近期配置2台300t/d焚烧炉，余热锅炉采用2台中温中压余热锅炉（4.0MPa，400℃），汽轮发电机组为12MW 凝汽式机组 1 套，年发电量为 6.68×107 kW·h，上网电量为5.62×107kW·h。</w:t>
            </w:r>
          </w:p>
          <w:p w14:paraId="1CC74F98">
            <w:pPr>
              <w:pStyle w:val="192"/>
              <w:keepNext w:val="0"/>
              <w:keepLines w:val="0"/>
              <w:suppressLineNumbers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FF0000"/>
                <w:sz w:val="21"/>
                <w:highlight w:val="none"/>
                <w:u w:val="none" w:color="auto"/>
                <w:lang w:eastAsia="zh-CN"/>
              </w:rPr>
            </w:pPr>
            <w:r>
              <w:rPr>
                <w:rFonts w:hint="default" w:ascii="Times New Roman" w:hAnsi="Times New Roman" w:eastAsia="宋体" w:cs="Times New Roman"/>
                <w:color w:val="auto"/>
                <w:sz w:val="21"/>
                <w:szCs w:val="21"/>
                <w:highlight w:val="none"/>
                <w:u w:val="none"/>
                <w:lang w:val="en-US" w:eastAsia="zh-CN" w:bidi="ar-SA"/>
              </w:rPr>
              <w:t>焚烧烟气处理系统采用“SNCR+半干法+活性炭喷射＋干粉喷射+袋式除尘器 ” 烟气净化工艺，执行《生活垃圾焚烧污染控制标准》（GB18485-2014）。渗沥液处理规模近期按 200m</w:t>
            </w:r>
            <w:r>
              <w:rPr>
                <w:rFonts w:hint="default" w:ascii="Times New Roman" w:hAnsi="Times New Roman" w:eastAsia="宋体" w:cs="Times New Roman"/>
                <w:color w:val="auto"/>
                <w:sz w:val="21"/>
                <w:szCs w:val="21"/>
                <w:highlight w:val="none"/>
                <w:u w:val="none"/>
                <w:vertAlign w:val="superscript"/>
                <w:lang w:val="en-US" w:eastAsia="zh-CN" w:bidi="ar-SA"/>
              </w:rPr>
              <w:t>3</w:t>
            </w:r>
            <w:r>
              <w:rPr>
                <w:rFonts w:hint="default" w:ascii="Times New Roman" w:hAnsi="Times New Roman" w:eastAsia="宋体" w:cs="Times New Roman"/>
                <w:color w:val="auto"/>
                <w:sz w:val="21"/>
                <w:szCs w:val="21"/>
                <w:highlight w:val="none"/>
                <w:u w:val="none"/>
                <w:lang w:val="en-US" w:eastAsia="zh-CN" w:bidi="ar-SA"/>
              </w:rPr>
              <w:t>/d 设计，处理工艺采用“中温厌氧+膜生物反应器（MBR）+纳滤（NF）+反渗透（RO）”工艺，出水水质达到《城市污水再生利用 工业用水水质》（GB/T19923-2005）中表1 敞开式循环冷却水水质标准，作为焚烧厂冷却塔的补充用水。</w:t>
            </w:r>
          </w:p>
        </w:tc>
      </w:tr>
      <w:tr w14:paraId="77C835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81" w:hRule="atLeast"/>
          <w:jc w:val="center"/>
        </w:trPr>
        <w:tc>
          <w:tcPr>
            <w:tcW w:w="716" w:type="dxa"/>
            <w:vMerge w:val="continue"/>
            <w:vAlign w:val="center"/>
          </w:tcPr>
          <w:p w14:paraId="27A2ACEF">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cs="Times New Roman"/>
                <w:color w:val="auto"/>
                <w:sz w:val="21"/>
                <w:highlight w:val="none"/>
                <w:u w:val="none"/>
                <w:lang w:val="en-US" w:eastAsia="zh-CN"/>
              </w:rPr>
            </w:pPr>
          </w:p>
        </w:tc>
        <w:tc>
          <w:tcPr>
            <w:tcW w:w="424" w:type="dxa"/>
            <w:vMerge w:val="continue"/>
            <w:vAlign w:val="center"/>
          </w:tcPr>
          <w:p w14:paraId="3FDC580E">
            <w:pPr>
              <w:pStyle w:val="192"/>
              <w:keepNext w:val="0"/>
              <w:keepLines w:val="0"/>
              <w:suppressLineNumbers w:val="0"/>
              <w:snapToGri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highlight w:val="none"/>
                <w:u w:val="none"/>
                <w:lang w:val="en-US" w:eastAsia="zh-CN"/>
              </w:rPr>
            </w:pPr>
          </w:p>
        </w:tc>
        <w:tc>
          <w:tcPr>
            <w:tcW w:w="1104" w:type="dxa"/>
            <w:tcBorders>
              <w:right w:val="single" w:color="auto" w:sz="6" w:space="0"/>
            </w:tcBorders>
            <w:vAlign w:val="center"/>
          </w:tcPr>
          <w:p w14:paraId="18EEE45A">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益阳海螺环保科技有限责任公司</w:t>
            </w:r>
          </w:p>
        </w:tc>
        <w:tc>
          <w:tcPr>
            <w:tcW w:w="6713" w:type="dxa"/>
            <w:gridSpan w:val="3"/>
            <w:tcBorders>
              <w:left w:val="single" w:color="auto" w:sz="6" w:space="0"/>
            </w:tcBorders>
            <w:shd w:val="clear" w:color="auto" w:fill="auto"/>
            <w:vAlign w:val="center"/>
          </w:tcPr>
          <w:p w14:paraId="735FD749">
            <w:pPr>
              <w:pStyle w:val="192"/>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sz w:val="21"/>
                <w:szCs w:val="21"/>
                <w:highlight w:val="none"/>
                <w:u w:val="none"/>
                <w:lang w:val="en-US" w:eastAsia="zh-CN" w:bidi="ar-SA"/>
              </w:rPr>
            </w:pPr>
            <w:r>
              <w:rPr>
                <w:rFonts w:hint="default" w:ascii="Times New Roman" w:hAnsi="Times New Roman" w:cs="Times New Roman" w:eastAsiaTheme="minorEastAsia"/>
                <w:color w:val="000000" w:themeColor="text1"/>
                <w:sz w:val="21"/>
                <w:szCs w:val="21"/>
                <w:highlight w:val="none"/>
                <w:u w:val="none" w:color="auto"/>
                <w14:textFill>
                  <w14:solidFill>
                    <w14:schemeClr w14:val="tx1"/>
                  </w14:solidFill>
                </w14:textFill>
              </w:rPr>
              <w:t>益阳海螺环保科技有限责任公司</w:t>
            </w: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成立于2019年，曾用名</w:t>
            </w:r>
            <w:r>
              <w:rPr>
                <w:rFonts w:hint="default" w:ascii="Times New Roman" w:hAnsi="Times New Roman" w:cs="Times New Roman"/>
                <w:color w:val="auto"/>
                <w:sz w:val="21"/>
                <w:szCs w:val="21"/>
                <w:highlight w:val="none"/>
                <w:u w:val="none"/>
                <w:lang w:val="en-US" w:eastAsia="zh-CN" w:bidi="ar-SA"/>
              </w:rPr>
              <w:t>益阳海创环保科技有限责任公司，2020年3月委托湖南九畴环境科技有限公司编制了《益阳海创环保科技有限责任公司益阳海创水泥窑综合利用固废项目环境影响报告书》处理生活垃圾焚烧飞灰4.95万吨、污泥6.6万吨（其中市政污泥3.96万吨、一般无机污泥2.64万吨），且同年4月21日取得了益阳市生态环境局对该项目的批复（益环审（书）[2020]11号）。该项目于2022年9月通过竣工环保验收。</w:t>
            </w:r>
          </w:p>
          <w:p w14:paraId="5CB84F21">
            <w:pPr>
              <w:pStyle w:val="192"/>
              <w:keepNext w:val="0"/>
              <w:keepLines w:val="0"/>
              <w:suppressLineNumbers w:val="0"/>
              <w:spacing w:before="0" w:beforeAutospacing="0" w:after="0" w:afterAutospacing="0" w:line="240" w:lineRule="auto"/>
              <w:ind w:left="0" w:leftChars="0" w:right="0" w:rightChars="0" w:firstLine="210" w:firstLineChars="100"/>
              <w:jc w:val="left"/>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bidi="ar-SA"/>
              </w:rPr>
              <w:t>2024年12月开展益阳海创水泥窑综合化利用固废技改项目，项目建成后处理规模为一般工业固体废物10万t/a（污泥6.6万t/a、污染土及无机固废3.4万t/a）、生活垃圾焚烧飞灰4.95万吨；</w:t>
            </w:r>
          </w:p>
        </w:tc>
      </w:tr>
    </w:tbl>
    <w:p w14:paraId="1F4E76EC">
      <w:pPr>
        <w:rPr>
          <w:rFonts w:hint="default" w:ascii="Times New Roman" w:hAnsi="Times New Roman" w:cs="Times New Roman"/>
          <w:color w:val="auto"/>
          <w:highlight w:val="none"/>
          <w:u w:val="none" w:color="auto"/>
        </w:rPr>
      </w:pPr>
      <w:r>
        <w:rPr>
          <w:rFonts w:hint="default" w:ascii="Times New Roman" w:hAnsi="Times New Roman" w:cs="Times New Roman"/>
          <w:b/>
          <w:bCs/>
          <w:color w:val="auto"/>
          <w:highlight w:val="none"/>
          <w:u w:val="none" w:color="auto"/>
          <w:lang w:val="en-US" w:eastAsia="zh-CN"/>
        </w:rPr>
        <w:t>3.3.4.2 主要设备</w:t>
      </w:r>
    </w:p>
    <w:p w14:paraId="239E1FD9">
      <w:pPr>
        <w:pStyle w:val="189"/>
        <w:ind w:left="0" w:leftChars="0" w:firstLine="48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污水处理工程主要设备见下表。</w:t>
      </w:r>
    </w:p>
    <w:p w14:paraId="770AB709">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3.</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 xml:space="preserve"> 主要工艺设备清单表</w:t>
      </w:r>
    </w:p>
    <w:tbl>
      <w:tblPr>
        <w:tblStyle w:val="76"/>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87"/>
        <w:gridCol w:w="1906"/>
        <w:gridCol w:w="3558"/>
        <w:gridCol w:w="830"/>
        <w:gridCol w:w="869"/>
        <w:gridCol w:w="1529"/>
      </w:tblGrid>
      <w:tr w14:paraId="1379E2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blHeader/>
          <w:jc w:val="center"/>
        </w:trPr>
        <w:tc>
          <w:tcPr>
            <w:tcW w:w="317" w:type="pct"/>
            <w:tcBorders>
              <w:tl2br w:val="nil"/>
              <w:tr2bl w:val="nil"/>
            </w:tcBorders>
            <w:shd w:val="clear" w:color="auto" w:fill="auto"/>
            <w:vAlign w:val="center"/>
          </w:tcPr>
          <w:p w14:paraId="4A581D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序号</w:t>
            </w:r>
          </w:p>
        </w:tc>
        <w:tc>
          <w:tcPr>
            <w:tcW w:w="1027" w:type="pct"/>
            <w:tcBorders>
              <w:tl2br w:val="nil"/>
              <w:tr2bl w:val="nil"/>
            </w:tcBorders>
            <w:shd w:val="clear" w:color="auto" w:fill="auto"/>
            <w:vAlign w:val="center"/>
          </w:tcPr>
          <w:p w14:paraId="671D5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构筑物/</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设备名称</w:t>
            </w:r>
          </w:p>
        </w:tc>
        <w:tc>
          <w:tcPr>
            <w:tcW w:w="1917" w:type="pct"/>
            <w:tcBorders>
              <w:tl2br w:val="nil"/>
              <w:tr2bl w:val="nil"/>
            </w:tcBorders>
            <w:shd w:val="clear" w:color="auto" w:fill="auto"/>
            <w:vAlign w:val="center"/>
          </w:tcPr>
          <w:p w14:paraId="32A668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主要技术参数</w:t>
            </w:r>
          </w:p>
        </w:tc>
        <w:tc>
          <w:tcPr>
            <w:tcW w:w="447" w:type="pct"/>
            <w:tcBorders>
              <w:tl2br w:val="nil"/>
              <w:tr2bl w:val="nil"/>
            </w:tcBorders>
            <w:shd w:val="clear" w:color="auto" w:fill="auto"/>
            <w:vAlign w:val="center"/>
          </w:tcPr>
          <w:p w14:paraId="1CAD8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数量</w:t>
            </w:r>
          </w:p>
        </w:tc>
        <w:tc>
          <w:tcPr>
            <w:tcW w:w="468" w:type="pct"/>
            <w:tcBorders>
              <w:tl2br w:val="nil"/>
              <w:tr2bl w:val="nil"/>
            </w:tcBorders>
            <w:shd w:val="clear" w:color="auto" w:fill="auto"/>
            <w:vAlign w:val="center"/>
          </w:tcPr>
          <w:p w14:paraId="56E4A1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单位</w:t>
            </w:r>
          </w:p>
        </w:tc>
        <w:tc>
          <w:tcPr>
            <w:tcW w:w="822" w:type="pct"/>
            <w:tcBorders>
              <w:tl2br w:val="nil"/>
              <w:tr2bl w:val="nil"/>
            </w:tcBorders>
            <w:shd w:val="clear" w:color="auto" w:fill="auto"/>
            <w:vAlign w:val="center"/>
          </w:tcPr>
          <w:p w14:paraId="21F4A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备注</w:t>
            </w:r>
          </w:p>
        </w:tc>
      </w:tr>
      <w:tr w14:paraId="1D3BE5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55A9F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一</w:t>
            </w:r>
          </w:p>
        </w:tc>
        <w:tc>
          <w:tcPr>
            <w:tcW w:w="4682" w:type="pct"/>
            <w:gridSpan w:val="5"/>
            <w:tcBorders>
              <w:tl2br w:val="nil"/>
              <w:tr2bl w:val="nil"/>
            </w:tcBorders>
            <w:shd w:val="clear" w:color="auto" w:fill="auto"/>
            <w:vAlign w:val="center"/>
          </w:tcPr>
          <w:p w14:paraId="33F65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val="0"/>
                <w:bCs w:val="0"/>
                <w:i w:val="0"/>
                <w:iCs w:val="0"/>
                <w:color w:val="auto"/>
                <w:sz w:val="21"/>
                <w:szCs w:val="21"/>
                <w:highlight w:val="none"/>
                <w:u w:val="none" w:color="auto"/>
                <w:lang w:val="en-US" w:eastAsia="zh-CN"/>
              </w:rPr>
            </w:pPr>
            <w:r>
              <w:rPr>
                <w:rFonts w:hint="default" w:ascii="Times New Roman" w:hAnsi="Times New Roman" w:cs="Times New Roman"/>
                <w:b/>
                <w:bCs/>
                <w:i w:val="0"/>
                <w:iCs w:val="0"/>
                <w:color w:val="auto"/>
                <w:sz w:val="21"/>
                <w:szCs w:val="21"/>
                <w:highlight w:val="none"/>
                <w:u w:val="none" w:color="auto"/>
                <w:lang w:val="en-US" w:eastAsia="zh-CN"/>
              </w:rPr>
              <w:t>生化池改造</w:t>
            </w:r>
          </w:p>
        </w:tc>
      </w:tr>
      <w:tr w14:paraId="1F21A2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5310F0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1</w:t>
            </w:r>
          </w:p>
        </w:tc>
        <w:tc>
          <w:tcPr>
            <w:tcW w:w="1027" w:type="pct"/>
            <w:tcBorders>
              <w:tl2br w:val="nil"/>
              <w:tr2bl w:val="nil"/>
            </w:tcBorders>
            <w:shd w:val="clear" w:color="auto" w:fill="auto"/>
            <w:vAlign w:val="center"/>
          </w:tcPr>
          <w:p w14:paraId="2A7D6D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絮凝搅拌机更换</w:t>
            </w:r>
          </w:p>
        </w:tc>
        <w:tc>
          <w:tcPr>
            <w:tcW w:w="1917" w:type="pct"/>
            <w:tcBorders>
              <w:tl2br w:val="nil"/>
              <w:tr2bl w:val="nil"/>
            </w:tcBorders>
            <w:shd w:val="clear" w:color="auto" w:fill="auto"/>
            <w:vAlign w:val="center"/>
          </w:tcPr>
          <w:p w14:paraId="67996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N=2.2kw</w:t>
            </w:r>
          </w:p>
        </w:tc>
        <w:tc>
          <w:tcPr>
            <w:tcW w:w="447" w:type="pct"/>
            <w:tcBorders>
              <w:tl2br w:val="nil"/>
              <w:tr2bl w:val="nil"/>
            </w:tcBorders>
            <w:shd w:val="clear" w:color="auto" w:fill="auto"/>
            <w:vAlign w:val="center"/>
          </w:tcPr>
          <w:p w14:paraId="66DEEC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4</w:t>
            </w:r>
          </w:p>
        </w:tc>
        <w:tc>
          <w:tcPr>
            <w:tcW w:w="468" w:type="pct"/>
            <w:tcBorders>
              <w:tl2br w:val="nil"/>
              <w:tr2bl w:val="nil"/>
            </w:tcBorders>
            <w:shd w:val="clear" w:color="auto" w:fill="auto"/>
            <w:vAlign w:val="center"/>
          </w:tcPr>
          <w:p w14:paraId="13B027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39B4F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1、2号生化池各2台</w:t>
            </w:r>
          </w:p>
        </w:tc>
      </w:tr>
      <w:tr w14:paraId="0476E2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4846AD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2</w:t>
            </w:r>
          </w:p>
        </w:tc>
        <w:tc>
          <w:tcPr>
            <w:tcW w:w="1027" w:type="pct"/>
            <w:tcBorders>
              <w:tl2br w:val="nil"/>
              <w:tr2bl w:val="nil"/>
            </w:tcBorders>
            <w:shd w:val="clear" w:color="auto" w:fill="auto"/>
            <w:vAlign w:val="center"/>
          </w:tcPr>
          <w:p w14:paraId="3A889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沉淀池竖流筒及出水更换</w:t>
            </w:r>
          </w:p>
        </w:tc>
        <w:tc>
          <w:tcPr>
            <w:tcW w:w="1917" w:type="pct"/>
            <w:tcBorders>
              <w:tl2br w:val="nil"/>
              <w:tr2bl w:val="nil"/>
            </w:tcBorders>
            <w:shd w:val="clear" w:color="auto" w:fill="auto"/>
            <w:vAlign w:val="center"/>
          </w:tcPr>
          <w:p w14:paraId="4FD982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更换为304不锈钢材质</w:t>
            </w:r>
          </w:p>
        </w:tc>
        <w:tc>
          <w:tcPr>
            <w:tcW w:w="447" w:type="pct"/>
            <w:tcBorders>
              <w:tl2br w:val="nil"/>
              <w:tr2bl w:val="nil"/>
            </w:tcBorders>
            <w:shd w:val="clear" w:color="auto" w:fill="auto"/>
            <w:vAlign w:val="center"/>
          </w:tcPr>
          <w:p w14:paraId="5AF15A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4</w:t>
            </w:r>
          </w:p>
        </w:tc>
        <w:tc>
          <w:tcPr>
            <w:tcW w:w="468" w:type="pct"/>
            <w:tcBorders>
              <w:tl2br w:val="nil"/>
              <w:tr2bl w:val="nil"/>
            </w:tcBorders>
            <w:shd w:val="clear" w:color="auto" w:fill="auto"/>
            <w:vAlign w:val="center"/>
          </w:tcPr>
          <w:p w14:paraId="5EBA71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套</w:t>
            </w:r>
          </w:p>
        </w:tc>
        <w:tc>
          <w:tcPr>
            <w:tcW w:w="822" w:type="pct"/>
            <w:tcBorders>
              <w:tl2br w:val="nil"/>
              <w:tr2bl w:val="nil"/>
            </w:tcBorders>
            <w:shd w:val="clear" w:color="auto" w:fill="auto"/>
            <w:vAlign w:val="center"/>
          </w:tcPr>
          <w:p w14:paraId="6CABA1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1、2号生化池各2台</w:t>
            </w:r>
          </w:p>
        </w:tc>
      </w:tr>
      <w:tr w14:paraId="74865D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1EB53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3</w:t>
            </w:r>
          </w:p>
        </w:tc>
        <w:tc>
          <w:tcPr>
            <w:tcW w:w="1027" w:type="pct"/>
            <w:tcBorders>
              <w:tl2br w:val="nil"/>
              <w:tr2bl w:val="nil"/>
            </w:tcBorders>
            <w:shd w:val="clear" w:color="auto" w:fill="auto"/>
            <w:vAlign w:val="center"/>
          </w:tcPr>
          <w:p w14:paraId="5AF513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潜水推流器更换</w:t>
            </w:r>
          </w:p>
        </w:tc>
        <w:tc>
          <w:tcPr>
            <w:tcW w:w="1917" w:type="pct"/>
            <w:tcBorders>
              <w:tl2br w:val="nil"/>
              <w:tr2bl w:val="nil"/>
            </w:tcBorders>
            <w:shd w:val="clear" w:color="auto" w:fill="auto"/>
            <w:vAlign w:val="center"/>
          </w:tcPr>
          <w:p w14:paraId="03F9DB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N=2.2kw</w:t>
            </w:r>
          </w:p>
        </w:tc>
        <w:tc>
          <w:tcPr>
            <w:tcW w:w="447" w:type="pct"/>
            <w:tcBorders>
              <w:tl2br w:val="nil"/>
              <w:tr2bl w:val="nil"/>
            </w:tcBorders>
            <w:shd w:val="clear" w:color="auto" w:fill="auto"/>
            <w:vAlign w:val="center"/>
          </w:tcPr>
          <w:p w14:paraId="361EF2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4</w:t>
            </w:r>
          </w:p>
        </w:tc>
        <w:tc>
          <w:tcPr>
            <w:tcW w:w="468" w:type="pct"/>
            <w:tcBorders>
              <w:tl2br w:val="nil"/>
              <w:tr2bl w:val="nil"/>
            </w:tcBorders>
            <w:shd w:val="clear" w:color="auto" w:fill="auto"/>
            <w:vAlign w:val="center"/>
          </w:tcPr>
          <w:p w14:paraId="6811B1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0AD5E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1、2号生化池各2台</w:t>
            </w:r>
          </w:p>
        </w:tc>
      </w:tr>
      <w:tr w14:paraId="3F2DE4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184E49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4</w:t>
            </w:r>
          </w:p>
        </w:tc>
        <w:tc>
          <w:tcPr>
            <w:tcW w:w="1027" w:type="pct"/>
            <w:tcBorders>
              <w:tl2br w:val="nil"/>
              <w:tr2bl w:val="nil"/>
            </w:tcBorders>
            <w:shd w:val="clear" w:color="auto" w:fill="auto"/>
            <w:vAlign w:val="center"/>
          </w:tcPr>
          <w:p w14:paraId="14171F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曝气管、曝气盘、弹性填料及钢结构支架更换</w:t>
            </w:r>
          </w:p>
        </w:tc>
        <w:tc>
          <w:tcPr>
            <w:tcW w:w="1917" w:type="pct"/>
            <w:tcBorders>
              <w:tl2br w:val="nil"/>
              <w:tr2bl w:val="nil"/>
            </w:tcBorders>
            <w:shd w:val="clear" w:color="auto" w:fill="auto"/>
            <w:vAlign w:val="center"/>
          </w:tcPr>
          <w:p w14:paraId="3666EE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447" w:type="pct"/>
            <w:tcBorders>
              <w:tl2br w:val="nil"/>
              <w:tr2bl w:val="nil"/>
            </w:tcBorders>
            <w:shd w:val="clear" w:color="auto" w:fill="auto"/>
            <w:vAlign w:val="center"/>
          </w:tcPr>
          <w:p w14:paraId="5B7A3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2</w:t>
            </w:r>
          </w:p>
        </w:tc>
        <w:tc>
          <w:tcPr>
            <w:tcW w:w="468" w:type="pct"/>
            <w:tcBorders>
              <w:tl2br w:val="nil"/>
              <w:tr2bl w:val="nil"/>
            </w:tcBorders>
            <w:shd w:val="clear" w:color="auto" w:fill="auto"/>
            <w:vAlign w:val="center"/>
          </w:tcPr>
          <w:p w14:paraId="2563B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项</w:t>
            </w:r>
          </w:p>
        </w:tc>
        <w:tc>
          <w:tcPr>
            <w:tcW w:w="822" w:type="pct"/>
            <w:tcBorders>
              <w:tl2br w:val="nil"/>
              <w:tr2bl w:val="nil"/>
            </w:tcBorders>
            <w:shd w:val="clear" w:color="auto" w:fill="auto"/>
            <w:vAlign w:val="center"/>
          </w:tcPr>
          <w:p w14:paraId="66FF50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1、2号生化池各1项</w:t>
            </w:r>
          </w:p>
        </w:tc>
      </w:tr>
      <w:tr w14:paraId="206CF9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38E63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5</w:t>
            </w:r>
          </w:p>
        </w:tc>
        <w:tc>
          <w:tcPr>
            <w:tcW w:w="1027" w:type="pct"/>
            <w:tcBorders>
              <w:tl2br w:val="nil"/>
              <w:tr2bl w:val="nil"/>
            </w:tcBorders>
            <w:shd w:val="clear" w:color="auto" w:fill="auto"/>
            <w:vAlign w:val="center"/>
          </w:tcPr>
          <w:p w14:paraId="799F6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二沉池斜板及支架更换</w:t>
            </w:r>
          </w:p>
        </w:tc>
        <w:tc>
          <w:tcPr>
            <w:tcW w:w="1917" w:type="pct"/>
            <w:tcBorders>
              <w:tl2br w:val="nil"/>
              <w:tr2bl w:val="nil"/>
            </w:tcBorders>
            <w:shd w:val="clear" w:color="auto" w:fill="auto"/>
            <w:vAlign w:val="center"/>
          </w:tcPr>
          <w:p w14:paraId="238AC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447" w:type="pct"/>
            <w:tcBorders>
              <w:tl2br w:val="nil"/>
              <w:tr2bl w:val="nil"/>
            </w:tcBorders>
            <w:shd w:val="clear" w:color="auto" w:fill="auto"/>
            <w:vAlign w:val="center"/>
          </w:tcPr>
          <w:p w14:paraId="27FDC8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2</w:t>
            </w:r>
          </w:p>
        </w:tc>
        <w:tc>
          <w:tcPr>
            <w:tcW w:w="468" w:type="pct"/>
            <w:tcBorders>
              <w:tl2br w:val="nil"/>
              <w:tr2bl w:val="nil"/>
            </w:tcBorders>
            <w:shd w:val="clear" w:color="auto" w:fill="auto"/>
            <w:vAlign w:val="center"/>
          </w:tcPr>
          <w:p w14:paraId="3C3AB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项</w:t>
            </w:r>
          </w:p>
        </w:tc>
        <w:tc>
          <w:tcPr>
            <w:tcW w:w="822" w:type="pct"/>
            <w:tcBorders>
              <w:tl2br w:val="nil"/>
              <w:tr2bl w:val="nil"/>
            </w:tcBorders>
            <w:shd w:val="clear" w:color="auto" w:fill="auto"/>
            <w:vAlign w:val="center"/>
          </w:tcPr>
          <w:p w14:paraId="7762B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1、2号生化池各1项</w:t>
            </w:r>
          </w:p>
        </w:tc>
      </w:tr>
      <w:tr w14:paraId="79A549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65C62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6</w:t>
            </w:r>
          </w:p>
        </w:tc>
        <w:tc>
          <w:tcPr>
            <w:tcW w:w="1027" w:type="pct"/>
            <w:tcBorders>
              <w:tl2br w:val="nil"/>
              <w:tr2bl w:val="nil"/>
            </w:tcBorders>
            <w:shd w:val="clear" w:color="auto" w:fill="auto"/>
            <w:vAlign w:val="center"/>
          </w:tcPr>
          <w:p w14:paraId="6A809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好-缺回流泵更换</w:t>
            </w:r>
          </w:p>
        </w:tc>
        <w:tc>
          <w:tcPr>
            <w:tcW w:w="1917" w:type="pct"/>
            <w:tcBorders>
              <w:tl2br w:val="nil"/>
              <w:tr2bl w:val="nil"/>
            </w:tcBorders>
            <w:shd w:val="clear" w:color="auto" w:fill="auto"/>
            <w:vAlign w:val="center"/>
          </w:tcPr>
          <w:p w14:paraId="45ABC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Q=</w:t>
            </w:r>
            <w:r>
              <w:rPr>
                <w:rFonts w:hint="default" w:ascii="Times New Roman" w:hAnsi="Times New Roman" w:cs="Times New Roman"/>
                <w:b w:val="0"/>
                <w:bCs w:val="0"/>
                <w:i w:val="0"/>
                <w:iCs w:val="0"/>
                <w:color w:val="auto"/>
                <w:kern w:val="0"/>
                <w:sz w:val="21"/>
                <w:szCs w:val="21"/>
                <w:highlight w:val="none"/>
                <w:u w:val="none" w:color="auto"/>
                <w:lang w:val="en-US" w:eastAsia="zh-CN" w:bidi="ar"/>
              </w:rPr>
              <w:t>50~150</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m</w:t>
            </w:r>
            <w:r>
              <w:rPr>
                <w:rFonts w:hint="default" w:ascii="Times New Roman" w:hAnsi="Times New Roman" w:eastAsia="宋体" w:cs="Times New Roman"/>
                <w:b w:val="0"/>
                <w:bCs w:val="0"/>
                <w:i w:val="0"/>
                <w:iCs w:val="0"/>
                <w:color w:val="auto"/>
                <w:kern w:val="0"/>
                <w:sz w:val="21"/>
                <w:szCs w:val="21"/>
                <w:highlight w:val="none"/>
                <w:u w:val="none" w:color="auto"/>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/h</w:t>
            </w:r>
            <w:r>
              <w:rPr>
                <w:rFonts w:hint="default" w:ascii="Times New Roman" w:hAnsi="Times New Roman" w:cs="Times New Roman"/>
                <w:b w:val="0"/>
                <w:bCs w:val="0"/>
                <w:i w:val="0"/>
                <w:iCs w:val="0"/>
                <w:color w:val="auto"/>
                <w:kern w:val="0"/>
                <w:sz w:val="21"/>
                <w:szCs w:val="21"/>
                <w:highlight w:val="none"/>
                <w:u w:val="none" w:color="auto"/>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H=1m，N=</w:t>
            </w:r>
            <w:r>
              <w:rPr>
                <w:rFonts w:hint="default" w:ascii="Times New Roman" w:hAnsi="Times New Roman" w:cs="Times New Roman"/>
                <w:b w:val="0"/>
                <w:bCs w:val="0"/>
                <w:i w:val="0"/>
                <w:iCs w:val="0"/>
                <w:color w:val="auto"/>
                <w:kern w:val="0"/>
                <w:sz w:val="21"/>
                <w:szCs w:val="21"/>
                <w:highlight w:val="none"/>
                <w:u w:val="none" w:color="auto"/>
                <w:lang w:val="en-US" w:eastAsia="zh-CN" w:bidi="ar"/>
              </w:rPr>
              <w:t>4</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kw</w:t>
            </w:r>
          </w:p>
        </w:tc>
        <w:tc>
          <w:tcPr>
            <w:tcW w:w="447" w:type="pct"/>
            <w:tcBorders>
              <w:tl2br w:val="nil"/>
              <w:tr2bl w:val="nil"/>
            </w:tcBorders>
            <w:shd w:val="clear" w:color="auto" w:fill="auto"/>
            <w:vAlign w:val="center"/>
          </w:tcPr>
          <w:p w14:paraId="7596DA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4</w:t>
            </w:r>
          </w:p>
        </w:tc>
        <w:tc>
          <w:tcPr>
            <w:tcW w:w="468" w:type="pct"/>
            <w:tcBorders>
              <w:tl2br w:val="nil"/>
              <w:tr2bl w:val="nil"/>
            </w:tcBorders>
            <w:shd w:val="clear" w:color="auto" w:fill="auto"/>
            <w:vAlign w:val="center"/>
          </w:tcPr>
          <w:p w14:paraId="20146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5CCCE9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1、2号生化池各2台</w:t>
            </w:r>
          </w:p>
        </w:tc>
      </w:tr>
      <w:tr w14:paraId="06FE3B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6D543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7</w:t>
            </w:r>
          </w:p>
        </w:tc>
        <w:tc>
          <w:tcPr>
            <w:tcW w:w="1027" w:type="pct"/>
            <w:tcBorders>
              <w:tl2br w:val="nil"/>
              <w:tr2bl w:val="nil"/>
            </w:tcBorders>
            <w:shd w:val="clear" w:color="auto" w:fill="auto"/>
            <w:vAlign w:val="center"/>
          </w:tcPr>
          <w:p w14:paraId="5F28F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污泥泵更换</w:t>
            </w:r>
          </w:p>
        </w:tc>
        <w:tc>
          <w:tcPr>
            <w:tcW w:w="1917" w:type="pct"/>
            <w:tcBorders>
              <w:tl2br w:val="nil"/>
              <w:tr2bl w:val="nil"/>
            </w:tcBorders>
            <w:shd w:val="clear" w:color="auto" w:fill="auto"/>
            <w:vAlign w:val="center"/>
          </w:tcPr>
          <w:p w14:paraId="12BBF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Q=</w:t>
            </w:r>
            <w:r>
              <w:rPr>
                <w:rFonts w:hint="default" w:ascii="Times New Roman" w:hAnsi="Times New Roman" w:cs="Times New Roman"/>
                <w:b w:val="0"/>
                <w:bCs w:val="0"/>
                <w:i w:val="0"/>
                <w:iCs w:val="0"/>
                <w:color w:val="auto"/>
                <w:kern w:val="0"/>
                <w:sz w:val="21"/>
                <w:szCs w:val="21"/>
                <w:highlight w:val="none"/>
                <w:u w:val="none" w:color="auto"/>
                <w:lang w:val="en-US" w:eastAsia="zh-CN" w:bidi="ar"/>
              </w:rPr>
              <w:t>43</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m</w:t>
            </w:r>
            <w:r>
              <w:rPr>
                <w:rFonts w:hint="default" w:ascii="Times New Roman" w:hAnsi="Times New Roman" w:eastAsia="宋体" w:cs="Times New Roman"/>
                <w:b w:val="0"/>
                <w:bCs w:val="0"/>
                <w:i w:val="0"/>
                <w:iCs w:val="0"/>
                <w:color w:val="auto"/>
                <w:kern w:val="0"/>
                <w:sz w:val="21"/>
                <w:szCs w:val="21"/>
                <w:highlight w:val="none"/>
                <w:u w:val="none" w:color="auto"/>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/h</w:t>
            </w:r>
            <w:r>
              <w:rPr>
                <w:rFonts w:hint="default" w:ascii="Times New Roman" w:hAnsi="Times New Roman" w:cs="Times New Roman"/>
                <w:b w:val="0"/>
                <w:bCs w:val="0"/>
                <w:i w:val="0"/>
                <w:iCs w:val="0"/>
                <w:color w:val="auto"/>
                <w:kern w:val="0"/>
                <w:sz w:val="21"/>
                <w:szCs w:val="21"/>
                <w:highlight w:val="none"/>
                <w:u w:val="none" w:color="auto"/>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H=1</w:t>
            </w:r>
            <w:r>
              <w:rPr>
                <w:rFonts w:hint="default" w:ascii="Times New Roman" w:hAnsi="Times New Roman" w:cs="Times New Roman"/>
                <w:b w:val="0"/>
                <w:bCs w:val="0"/>
                <w:i w:val="0"/>
                <w:iCs w:val="0"/>
                <w:color w:val="auto"/>
                <w:kern w:val="0"/>
                <w:sz w:val="21"/>
                <w:szCs w:val="21"/>
                <w:highlight w:val="none"/>
                <w:u w:val="none" w:color="auto"/>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m，N=</w:t>
            </w:r>
            <w:r>
              <w:rPr>
                <w:rFonts w:hint="default" w:ascii="Times New Roman" w:hAnsi="Times New Roman" w:cs="Times New Roman"/>
                <w:b w:val="0"/>
                <w:bCs w:val="0"/>
                <w:i w:val="0"/>
                <w:iCs w:val="0"/>
                <w:color w:val="auto"/>
                <w:kern w:val="0"/>
                <w:sz w:val="21"/>
                <w:szCs w:val="21"/>
                <w:highlight w:val="none"/>
                <w:u w:val="none" w:color="auto"/>
                <w:lang w:val="en-US" w:eastAsia="zh-CN" w:bidi="ar"/>
              </w:rPr>
              <w:t>3.0</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kw</w:t>
            </w:r>
          </w:p>
        </w:tc>
        <w:tc>
          <w:tcPr>
            <w:tcW w:w="447" w:type="pct"/>
            <w:tcBorders>
              <w:tl2br w:val="nil"/>
              <w:tr2bl w:val="nil"/>
            </w:tcBorders>
            <w:shd w:val="clear" w:color="auto" w:fill="auto"/>
            <w:vAlign w:val="center"/>
          </w:tcPr>
          <w:p w14:paraId="23D4F0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4</w:t>
            </w:r>
          </w:p>
        </w:tc>
        <w:tc>
          <w:tcPr>
            <w:tcW w:w="468" w:type="pct"/>
            <w:tcBorders>
              <w:tl2br w:val="nil"/>
              <w:tr2bl w:val="nil"/>
            </w:tcBorders>
            <w:shd w:val="clear" w:color="auto" w:fill="auto"/>
            <w:vAlign w:val="center"/>
          </w:tcPr>
          <w:p w14:paraId="453DA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194238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1、2号生化池各2台</w:t>
            </w:r>
          </w:p>
        </w:tc>
      </w:tr>
      <w:tr w14:paraId="2A7410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3D87C0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8</w:t>
            </w:r>
          </w:p>
        </w:tc>
        <w:tc>
          <w:tcPr>
            <w:tcW w:w="1027" w:type="pct"/>
            <w:tcBorders>
              <w:tl2br w:val="nil"/>
              <w:tr2bl w:val="nil"/>
            </w:tcBorders>
            <w:shd w:val="clear" w:color="auto" w:fill="auto"/>
            <w:vAlign w:val="center"/>
          </w:tcPr>
          <w:p w14:paraId="29513E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空气管、支架及阀门更换</w:t>
            </w:r>
          </w:p>
        </w:tc>
        <w:tc>
          <w:tcPr>
            <w:tcW w:w="1917" w:type="pct"/>
            <w:tcBorders>
              <w:tl2br w:val="nil"/>
              <w:tr2bl w:val="nil"/>
            </w:tcBorders>
            <w:shd w:val="clear" w:color="auto" w:fill="auto"/>
            <w:vAlign w:val="center"/>
          </w:tcPr>
          <w:p w14:paraId="3C099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447" w:type="pct"/>
            <w:tcBorders>
              <w:tl2br w:val="nil"/>
              <w:tr2bl w:val="nil"/>
            </w:tcBorders>
            <w:shd w:val="clear" w:color="auto" w:fill="auto"/>
            <w:vAlign w:val="center"/>
          </w:tcPr>
          <w:p w14:paraId="361C3A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2</w:t>
            </w:r>
          </w:p>
        </w:tc>
        <w:tc>
          <w:tcPr>
            <w:tcW w:w="468" w:type="pct"/>
            <w:tcBorders>
              <w:tl2br w:val="nil"/>
              <w:tr2bl w:val="nil"/>
            </w:tcBorders>
            <w:shd w:val="clear" w:color="auto" w:fill="auto"/>
            <w:vAlign w:val="center"/>
          </w:tcPr>
          <w:p w14:paraId="486FF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项</w:t>
            </w:r>
          </w:p>
        </w:tc>
        <w:tc>
          <w:tcPr>
            <w:tcW w:w="822" w:type="pct"/>
            <w:tcBorders>
              <w:tl2br w:val="nil"/>
              <w:tr2bl w:val="nil"/>
            </w:tcBorders>
            <w:shd w:val="clear" w:color="auto" w:fill="auto"/>
            <w:vAlign w:val="center"/>
          </w:tcPr>
          <w:p w14:paraId="1A91A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1、2号生化池各1项</w:t>
            </w:r>
          </w:p>
        </w:tc>
      </w:tr>
      <w:tr w14:paraId="786957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6C5E7F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9</w:t>
            </w:r>
          </w:p>
        </w:tc>
        <w:tc>
          <w:tcPr>
            <w:tcW w:w="1027" w:type="pct"/>
            <w:tcBorders>
              <w:tl2br w:val="nil"/>
              <w:tr2bl w:val="nil"/>
            </w:tcBorders>
            <w:shd w:val="clear" w:color="auto" w:fill="auto"/>
            <w:vAlign w:val="center"/>
          </w:tcPr>
          <w:p w14:paraId="6A8F0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新增设备操作箱及照明电气</w:t>
            </w:r>
          </w:p>
        </w:tc>
        <w:tc>
          <w:tcPr>
            <w:tcW w:w="1917" w:type="pct"/>
            <w:tcBorders>
              <w:tl2br w:val="nil"/>
              <w:tr2bl w:val="nil"/>
            </w:tcBorders>
            <w:shd w:val="clear" w:color="auto" w:fill="auto"/>
            <w:vAlign w:val="center"/>
          </w:tcPr>
          <w:p w14:paraId="1B9C8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447" w:type="pct"/>
            <w:tcBorders>
              <w:tl2br w:val="nil"/>
              <w:tr2bl w:val="nil"/>
            </w:tcBorders>
            <w:shd w:val="clear" w:color="auto" w:fill="auto"/>
            <w:vAlign w:val="center"/>
          </w:tcPr>
          <w:p w14:paraId="12BD8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2</w:t>
            </w:r>
          </w:p>
        </w:tc>
        <w:tc>
          <w:tcPr>
            <w:tcW w:w="468" w:type="pct"/>
            <w:tcBorders>
              <w:tl2br w:val="nil"/>
              <w:tr2bl w:val="nil"/>
            </w:tcBorders>
            <w:shd w:val="clear" w:color="auto" w:fill="auto"/>
            <w:vAlign w:val="center"/>
          </w:tcPr>
          <w:p w14:paraId="7C55E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项</w:t>
            </w:r>
          </w:p>
        </w:tc>
        <w:tc>
          <w:tcPr>
            <w:tcW w:w="822" w:type="pct"/>
            <w:tcBorders>
              <w:tl2br w:val="nil"/>
              <w:tr2bl w:val="nil"/>
            </w:tcBorders>
            <w:shd w:val="clear" w:color="auto" w:fill="auto"/>
            <w:vAlign w:val="center"/>
          </w:tcPr>
          <w:p w14:paraId="20465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1、2号生化池各1项</w:t>
            </w:r>
          </w:p>
        </w:tc>
      </w:tr>
      <w:tr w14:paraId="5C7FF1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5000" w:type="pct"/>
            <w:gridSpan w:val="6"/>
            <w:tcBorders>
              <w:tl2br w:val="nil"/>
              <w:tr2bl w:val="nil"/>
            </w:tcBorders>
            <w:shd w:val="clear" w:color="auto" w:fill="auto"/>
            <w:vAlign w:val="center"/>
          </w:tcPr>
          <w:p w14:paraId="649D3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i w:val="0"/>
                <w:iCs w:val="0"/>
                <w:color w:val="auto"/>
                <w:sz w:val="21"/>
                <w:szCs w:val="21"/>
                <w:highlight w:val="none"/>
                <w:u w:val="none" w:color="auto"/>
                <w:lang w:val="en-US" w:eastAsia="zh-CN"/>
              </w:rPr>
            </w:pPr>
            <w:r>
              <w:rPr>
                <w:rFonts w:hint="default" w:ascii="Times New Roman" w:hAnsi="Times New Roman" w:cs="Times New Roman"/>
                <w:b/>
                <w:bCs/>
                <w:i w:val="0"/>
                <w:iCs w:val="0"/>
                <w:color w:val="auto"/>
                <w:sz w:val="21"/>
                <w:szCs w:val="21"/>
                <w:highlight w:val="none"/>
                <w:u w:val="none" w:color="auto"/>
                <w:lang w:val="en-US" w:eastAsia="zh-CN"/>
              </w:rPr>
              <w:t>调节池</w:t>
            </w:r>
          </w:p>
        </w:tc>
      </w:tr>
      <w:tr w14:paraId="11991A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025D2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1</w:t>
            </w:r>
          </w:p>
        </w:tc>
        <w:tc>
          <w:tcPr>
            <w:tcW w:w="1027" w:type="pct"/>
            <w:tcBorders>
              <w:tl2br w:val="nil"/>
              <w:tr2bl w:val="nil"/>
            </w:tcBorders>
            <w:shd w:val="clear" w:color="auto" w:fill="auto"/>
            <w:vAlign w:val="center"/>
          </w:tcPr>
          <w:p w14:paraId="18E2B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潜水搅拌机</w:t>
            </w:r>
          </w:p>
        </w:tc>
        <w:tc>
          <w:tcPr>
            <w:tcW w:w="1917" w:type="pct"/>
            <w:tcBorders>
              <w:tl2br w:val="nil"/>
              <w:tr2bl w:val="nil"/>
            </w:tcBorders>
            <w:shd w:val="clear" w:color="auto" w:fill="auto"/>
            <w:vAlign w:val="center"/>
          </w:tcPr>
          <w:p w14:paraId="76D2B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rPr>
              <w:t>N=</w:t>
            </w:r>
            <w:r>
              <w:rPr>
                <w:rFonts w:hint="default" w:ascii="Times New Roman" w:hAnsi="Times New Roman" w:cs="Times New Roman"/>
                <w:color w:val="auto"/>
                <w:highlight w:val="none"/>
                <w:u w:val="none"/>
                <w:lang w:val="en-US" w:eastAsia="zh-CN"/>
              </w:rPr>
              <w:t>2.2</w:t>
            </w:r>
            <w:r>
              <w:rPr>
                <w:rFonts w:hint="default" w:ascii="Times New Roman" w:hAnsi="Times New Roman" w:cs="Times New Roman"/>
                <w:color w:val="auto"/>
                <w:highlight w:val="none"/>
                <w:u w:val="none"/>
              </w:rPr>
              <w:t>kW</w:t>
            </w:r>
          </w:p>
        </w:tc>
        <w:tc>
          <w:tcPr>
            <w:tcW w:w="447" w:type="pct"/>
            <w:tcBorders>
              <w:tl2br w:val="nil"/>
              <w:tr2bl w:val="nil"/>
            </w:tcBorders>
            <w:shd w:val="clear" w:color="auto" w:fill="auto"/>
            <w:vAlign w:val="center"/>
          </w:tcPr>
          <w:p w14:paraId="4C2CD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2</w:t>
            </w:r>
          </w:p>
        </w:tc>
        <w:tc>
          <w:tcPr>
            <w:tcW w:w="468" w:type="pct"/>
            <w:tcBorders>
              <w:tl2br w:val="nil"/>
              <w:tr2bl w:val="nil"/>
            </w:tcBorders>
            <w:shd w:val="clear" w:color="auto" w:fill="auto"/>
            <w:vAlign w:val="center"/>
          </w:tcPr>
          <w:p w14:paraId="49487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65D3D4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利旧</w:t>
            </w:r>
          </w:p>
        </w:tc>
      </w:tr>
      <w:tr w14:paraId="1E6970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43291B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二</w:t>
            </w:r>
          </w:p>
        </w:tc>
        <w:tc>
          <w:tcPr>
            <w:tcW w:w="4682" w:type="pct"/>
            <w:gridSpan w:val="5"/>
            <w:tcBorders>
              <w:tl2br w:val="nil"/>
              <w:tr2bl w:val="nil"/>
            </w:tcBorders>
            <w:shd w:val="clear" w:color="auto" w:fill="auto"/>
            <w:vAlign w:val="center"/>
          </w:tcPr>
          <w:p w14:paraId="7A83B2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bCs/>
                <w:i w:val="0"/>
                <w:iCs w:val="0"/>
                <w:color w:val="auto"/>
                <w:kern w:val="0"/>
                <w:sz w:val="21"/>
                <w:szCs w:val="21"/>
                <w:highlight w:val="none"/>
                <w:u w:val="none" w:color="auto"/>
                <w:lang w:val="en-US" w:eastAsia="zh-CN" w:bidi="ar"/>
              </w:rPr>
              <w:t>水解酸化及AAO组合池</w:t>
            </w:r>
          </w:p>
        </w:tc>
      </w:tr>
      <w:tr w14:paraId="011BA4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38739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1</w:t>
            </w:r>
          </w:p>
        </w:tc>
        <w:tc>
          <w:tcPr>
            <w:tcW w:w="1027" w:type="pct"/>
            <w:tcBorders>
              <w:tl2br w:val="nil"/>
              <w:tr2bl w:val="nil"/>
            </w:tcBorders>
            <w:shd w:val="clear" w:color="auto" w:fill="auto"/>
            <w:vAlign w:val="center"/>
          </w:tcPr>
          <w:p w14:paraId="4FFEC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水解酸化及生化池设备包</w:t>
            </w:r>
          </w:p>
        </w:tc>
        <w:tc>
          <w:tcPr>
            <w:tcW w:w="1917" w:type="pct"/>
            <w:tcBorders>
              <w:tl2br w:val="nil"/>
              <w:tr2bl w:val="nil"/>
            </w:tcBorders>
            <w:shd w:val="clear" w:color="auto" w:fill="auto"/>
            <w:vAlign w:val="center"/>
          </w:tcPr>
          <w:p w14:paraId="06572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40.3×7.0m，装机功率1.1kw</w:t>
            </w:r>
          </w:p>
        </w:tc>
        <w:tc>
          <w:tcPr>
            <w:tcW w:w="447" w:type="pct"/>
            <w:tcBorders>
              <w:tl2br w:val="nil"/>
              <w:tr2bl w:val="nil"/>
            </w:tcBorders>
            <w:shd w:val="clear" w:color="auto" w:fill="auto"/>
            <w:vAlign w:val="center"/>
          </w:tcPr>
          <w:p w14:paraId="6225D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1</w:t>
            </w:r>
          </w:p>
        </w:tc>
        <w:tc>
          <w:tcPr>
            <w:tcW w:w="468" w:type="pct"/>
            <w:tcBorders>
              <w:tl2br w:val="nil"/>
              <w:tr2bl w:val="nil"/>
            </w:tcBorders>
            <w:shd w:val="clear" w:color="auto" w:fill="auto"/>
            <w:vAlign w:val="center"/>
          </w:tcPr>
          <w:p w14:paraId="4153E5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套</w:t>
            </w:r>
          </w:p>
        </w:tc>
        <w:tc>
          <w:tcPr>
            <w:tcW w:w="822" w:type="pct"/>
            <w:tcBorders>
              <w:tl2br w:val="nil"/>
              <w:tr2bl w:val="nil"/>
            </w:tcBorders>
            <w:shd w:val="clear" w:color="auto" w:fill="auto"/>
            <w:vAlign w:val="center"/>
          </w:tcPr>
          <w:p w14:paraId="09A44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cs="Times New Roman"/>
                <w:b w:val="0"/>
                <w:bCs w:val="0"/>
                <w:i w:val="0"/>
                <w:iCs w:val="0"/>
                <w:color w:val="auto"/>
                <w:kern w:val="2"/>
                <w:sz w:val="21"/>
                <w:szCs w:val="21"/>
                <w:highlight w:val="none"/>
                <w:u w:val="none" w:color="auto"/>
                <w:lang w:val="en-US" w:eastAsia="zh-CN" w:bidi="ar-SA"/>
              </w:rPr>
              <w:t>成套设备</w:t>
            </w:r>
          </w:p>
        </w:tc>
      </w:tr>
      <w:tr w14:paraId="1FEFB6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76B2E9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2</w:t>
            </w:r>
          </w:p>
        </w:tc>
        <w:tc>
          <w:tcPr>
            <w:tcW w:w="1027" w:type="pct"/>
            <w:tcBorders>
              <w:tl2br w:val="nil"/>
              <w:tr2bl w:val="nil"/>
            </w:tcBorders>
            <w:shd w:val="clear" w:color="auto" w:fill="auto"/>
            <w:vAlign w:val="center"/>
          </w:tcPr>
          <w:p w14:paraId="1205D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导流系统及曝气风管</w:t>
            </w:r>
          </w:p>
        </w:tc>
        <w:tc>
          <w:tcPr>
            <w:tcW w:w="1917" w:type="pct"/>
            <w:tcBorders>
              <w:tl2br w:val="nil"/>
              <w:tr2bl w:val="nil"/>
            </w:tcBorders>
            <w:shd w:val="clear" w:color="auto" w:fill="auto"/>
            <w:vAlign w:val="center"/>
          </w:tcPr>
          <w:p w14:paraId="1D8810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p>
        </w:tc>
        <w:tc>
          <w:tcPr>
            <w:tcW w:w="447" w:type="pct"/>
            <w:tcBorders>
              <w:tl2br w:val="nil"/>
              <w:tr2bl w:val="nil"/>
            </w:tcBorders>
            <w:shd w:val="clear" w:color="auto" w:fill="auto"/>
            <w:vAlign w:val="center"/>
          </w:tcPr>
          <w:p w14:paraId="18014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4</w:t>
            </w:r>
          </w:p>
        </w:tc>
        <w:tc>
          <w:tcPr>
            <w:tcW w:w="468" w:type="pct"/>
            <w:tcBorders>
              <w:tl2br w:val="nil"/>
              <w:tr2bl w:val="nil"/>
            </w:tcBorders>
            <w:shd w:val="clear" w:color="auto" w:fill="auto"/>
            <w:vAlign w:val="center"/>
          </w:tcPr>
          <w:p w14:paraId="35BEB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套</w:t>
            </w:r>
          </w:p>
        </w:tc>
        <w:tc>
          <w:tcPr>
            <w:tcW w:w="822" w:type="pct"/>
            <w:tcBorders>
              <w:tl2br w:val="nil"/>
              <w:tr2bl w:val="nil"/>
            </w:tcBorders>
            <w:shd w:val="clear" w:color="auto" w:fill="auto"/>
            <w:vAlign w:val="center"/>
          </w:tcPr>
          <w:p w14:paraId="1FE71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t>新增</w:t>
            </w:r>
          </w:p>
        </w:tc>
      </w:tr>
      <w:tr w14:paraId="666C6B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09968E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3</w:t>
            </w:r>
          </w:p>
        </w:tc>
        <w:tc>
          <w:tcPr>
            <w:tcW w:w="1027" w:type="pct"/>
            <w:tcBorders>
              <w:tl2br w:val="nil"/>
              <w:tr2bl w:val="nil"/>
            </w:tcBorders>
            <w:shd w:val="clear" w:color="auto" w:fill="auto"/>
            <w:vAlign w:val="center"/>
          </w:tcPr>
          <w:p w14:paraId="1994B3C0">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曝气系统</w:t>
            </w:r>
          </w:p>
        </w:tc>
        <w:tc>
          <w:tcPr>
            <w:tcW w:w="1917" w:type="pct"/>
            <w:tcBorders>
              <w:tl2br w:val="nil"/>
              <w:tr2bl w:val="nil"/>
            </w:tcBorders>
            <w:shd w:val="clear" w:color="auto" w:fill="auto"/>
            <w:vAlign w:val="center"/>
          </w:tcPr>
          <w:p w14:paraId="54649CF5">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含曝气膜、曝气控制系统等</w:t>
            </w:r>
          </w:p>
        </w:tc>
        <w:tc>
          <w:tcPr>
            <w:tcW w:w="447" w:type="pct"/>
            <w:tcBorders>
              <w:tl2br w:val="nil"/>
              <w:tr2bl w:val="nil"/>
            </w:tcBorders>
            <w:shd w:val="clear" w:color="auto" w:fill="auto"/>
            <w:vAlign w:val="center"/>
          </w:tcPr>
          <w:p w14:paraId="0EE31A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1</w:t>
            </w:r>
          </w:p>
        </w:tc>
        <w:tc>
          <w:tcPr>
            <w:tcW w:w="468" w:type="pct"/>
            <w:tcBorders>
              <w:tl2br w:val="nil"/>
              <w:tr2bl w:val="nil"/>
            </w:tcBorders>
            <w:shd w:val="clear" w:color="auto" w:fill="auto"/>
            <w:vAlign w:val="center"/>
          </w:tcPr>
          <w:p w14:paraId="6BD7E1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套</w:t>
            </w:r>
          </w:p>
        </w:tc>
        <w:tc>
          <w:tcPr>
            <w:tcW w:w="822" w:type="pct"/>
            <w:tcBorders>
              <w:tl2br w:val="nil"/>
              <w:tr2bl w:val="nil"/>
            </w:tcBorders>
            <w:shd w:val="clear" w:color="auto" w:fill="auto"/>
            <w:vAlign w:val="center"/>
          </w:tcPr>
          <w:p w14:paraId="098F90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t>新增</w:t>
            </w:r>
          </w:p>
        </w:tc>
      </w:tr>
      <w:tr w14:paraId="67EEDB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55958E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4</w:t>
            </w:r>
          </w:p>
        </w:tc>
        <w:tc>
          <w:tcPr>
            <w:tcW w:w="1027" w:type="pct"/>
            <w:tcBorders>
              <w:tl2br w:val="nil"/>
              <w:tr2bl w:val="nil"/>
            </w:tcBorders>
            <w:shd w:val="clear" w:color="auto" w:fill="auto"/>
            <w:vAlign w:val="center"/>
          </w:tcPr>
          <w:p w14:paraId="725AB1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竖流式沉淀组件</w:t>
            </w:r>
          </w:p>
        </w:tc>
        <w:tc>
          <w:tcPr>
            <w:tcW w:w="1917" w:type="pct"/>
            <w:tcBorders>
              <w:tl2br w:val="nil"/>
              <w:tr2bl w:val="nil"/>
            </w:tcBorders>
            <w:shd w:val="clear" w:color="auto" w:fill="auto"/>
            <w:vAlign w:val="center"/>
          </w:tcPr>
          <w:p w14:paraId="36C09E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含沉淀模块（PP材质）</w:t>
            </w:r>
          </w:p>
        </w:tc>
        <w:tc>
          <w:tcPr>
            <w:tcW w:w="447" w:type="pct"/>
            <w:tcBorders>
              <w:tl2br w:val="nil"/>
              <w:tr2bl w:val="nil"/>
            </w:tcBorders>
            <w:shd w:val="clear" w:color="auto" w:fill="auto"/>
            <w:vAlign w:val="center"/>
          </w:tcPr>
          <w:p w14:paraId="4D056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1</w:t>
            </w:r>
          </w:p>
        </w:tc>
        <w:tc>
          <w:tcPr>
            <w:tcW w:w="468" w:type="pct"/>
            <w:tcBorders>
              <w:tl2br w:val="nil"/>
              <w:tr2bl w:val="nil"/>
            </w:tcBorders>
            <w:shd w:val="clear" w:color="auto" w:fill="auto"/>
            <w:vAlign w:val="center"/>
          </w:tcPr>
          <w:p w14:paraId="2ECE25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套</w:t>
            </w:r>
          </w:p>
        </w:tc>
        <w:tc>
          <w:tcPr>
            <w:tcW w:w="822" w:type="pct"/>
            <w:tcBorders>
              <w:tl2br w:val="nil"/>
              <w:tr2bl w:val="nil"/>
            </w:tcBorders>
            <w:shd w:val="clear" w:color="auto" w:fill="auto"/>
            <w:vAlign w:val="center"/>
          </w:tcPr>
          <w:p w14:paraId="3559C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t>新增</w:t>
            </w:r>
          </w:p>
        </w:tc>
      </w:tr>
      <w:tr w14:paraId="386860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26424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5</w:t>
            </w:r>
          </w:p>
        </w:tc>
        <w:tc>
          <w:tcPr>
            <w:tcW w:w="1027" w:type="pct"/>
            <w:tcBorders>
              <w:tl2br w:val="nil"/>
              <w:tr2bl w:val="nil"/>
            </w:tcBorders>
            <w:shd w:val="clear" w:color="auto" w:fill="auto"/>
            <w:vAlign w:val="center"/>
          </w:tcPr>
          <w:p w14:paraId="6FD572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污泥在线控制系统</w:t>
            </w:r>
          </w:p>
        </w:tc>
        <w:tc>
          <w:tcPr>
            <w:tcW w:w="1917" w:type="pct"/>
            <w:tcBorders>
              <w:tl2br w:val="nil"/>
              <w:tr2bl w:val="nil"/>
            </w:tcBorders>
            <w:shd w:val="clear" w:color="auto" w:fill="auto"/>
            <w:vAlign w:val="center"/>
          </w:tcPr>
          <w:p w14:paraId="06CE18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rPr>
            </w:pPr>
          </w:p>
        </w:tc>
        <w:tc>
          <w:tcPr>
            <w:tcW w:w="447" w:type="pct"/>
            <w:tcBorders>
              <w:tl2br w:val="nil"/>
              <w:tr2bl w:val="nil"/>
            </w:tcBorders>
            <w:shd w:val="clear" w:color="auto" w:fill="auto"/>
            <w:vAlign w:val="center"/>
          </w:tcPr>
          <w:p w14:paraId="30B39D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1</w:t>
            </w:r>
          </w:p>
        </w:tc>
        <w:tc>
          <w:tcPr>
            <w:tcW w:w="468" w:type="pct"/>
            <w:tcBorders>
              <w:tl2br w:val="nil"/>
              <w:tr2bl w:val="nil"/>
            </w:tcBorders>
            <w:shd w:val="clear" w:color="auto" w:fill="auto"/>
            <w:vAlign w:val="center"/>
          </w:tcPr>
          <w:p w14:paraId="3E1044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套</w:t>
            </w:r>
          </w:p>
        </w:tc>
        <w:tc>
          <w:tcPr>
            <w:tcW w:w="822" w:type="pct"/>
            <w:tcBorders>
              <w:tl2br w:val="nil"/>
              <w:tr2bl w:val="nil"/>
            </w:tcBorders>
            <w:shd w:val="clear" w:color="auto" w:fill="auto"/>
            <w:vAlign w:val="center"/>
          </w:tcPr>
          <w:p w14:paraId="3CA32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t>新增</w:t>
            </w:r>
          </w:p>
        </w:tc>
      </w:tr>
      <w:tr w14:paraId="432B4A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33D997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6</w:t>
            </w:r>
          </w:p>
        </w:tc>
        <w:tc>
          <w:tcPr>
            <w:tcW w:w="1027" w:type="pct"/>
            <w:tcBorders>
              <w:tl2br w:val="nil"/>
              <w:tr2bl w:val="nil"/>
            </w:tcBorders>
            <w:shd w:val="clear" w:color="auto" w:fill="auto"/>
            <w:vAlign w:val="center"/>
          </w:tcPr>
          <w:p w14:paraId="0BBC8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污泥回流系统</w:t>
            </w:r>
          </w:p>
        </w:tc>
        <w:tc>
          <w:tcPr>
            <w:tcW w:w="1917" w:type="pct"/>
            <w:tcBorders>
              <w:tl2br w:val="nil"/>
              <w:tr2bl w:val="nil"/>
            </w:tcBorders>
            <w:shd w:val="clear" w:color="auto" w:fill="auto"/>
            <w:vAlign w:val="center"/>
          </w:tcPr>
          <w:p w14:paraId="253AF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含导气系统、回流系统、自动调节回流系统</w:t>
            </w:r>
          </w:p>
        </w:tc>
        <w:tc>
          <w:tcPr>
            <w:tcW w:w="447" w:type="pct"/>
            <w:tcBorders>
              <w:tl2br w:val="nil"/>
              <w:tr2bl w:val="nil"/>
            </w:tcBorders>
            <w:shd w:val="clear" w:color="auto" w:fill="auto"/>
            <w:vAlign w:val="center"/>
          </w:tcPr>
          <w:p w14:paraId="422E8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1</w:t>
            </w:r>
          </w:p>
        </w:tc>
        <w:tc>
          <w:tcPr>
            <w:tcW w:w="468" w:type="pct"/>
            <w:tcBorders>
              <w:tl2br w:val="nil"/>
              <w:tr2bl w:val="nil"/>
            </w:tcBorders>
            <w:shd w:val="clear" w:color="auto" w:fill="auto"/>
            <w:vAlign w:val="center"/>
          </w:tcPr>
          <w:p w14:paraId="43B3B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套</w:t>
            </w:r>
          </w:p>
        </w:tc>
        <w:tc>
          <w:tcPr>
            <w:tcW w:w="822" w:type="pct"/>
            <w:tcBorders>
              <w:tl2br w:val="nil"/>
              <w:tr2bl w:val="nil"/>
            </w:tcBorders>
            <w:shd w:val="clear" w:color="auto" w:fill="auto"/>
            <w:vAlign w:val="center"/>
          </w:tcPr>
          <w:p w14:paraId="2D155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t>新增</w:t>
            </w:r>
          </w:p>
        </w:tc>
      </w:tr>
      <w:tr w14:paraId="364AB7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42C6D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三</w:t>
            </w:r>
          </w:p>
        </w:tc>
        <w:tc>
          <w:tcPr>
            <w:tcW w:w="4682" w:type="pct"/>
            <w:gridSpan w:val="5"/>
            <w:tcBorders>
              <w:tl2br w:val="nil"/>
              <w:tr2bl w:val="nil"/>
            </w:tcBorders>
            <w:shd w:val="clear" w:color="auto" w:fill="auto"/>
            <w:vAlign w:val="center"/>
          </w:tcPr>
          <w:p w14:paraId="091F5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cs="Times New Roman"/>
                <w:b/>
                <w:bCs/>
                <w:i w:val="0"/>
                <w:iCs w:val="0"/>
                <w:color w:val="auto"/>
                <w:kern w:val="2"/>
                <w:sz w:val="21"/>
                <w:szCs w:val="21"/>
                <w:highlight w:val="none"/>
                <w:u w:val="none" w:color="auto"/>
                <w:lang w:val="en-US" w:eastAsia="zh-CN" w:bidi="ar-SA"/>
              </w:rPr>
              <w:t>混凝沉淀池</w:t>
            </w:r>
          </w:p>
        </w:tc>
      </w:tr>
      <w:tr w14:paraId="4941B1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6D718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1</w:t>
            </w:r>
          </w:p>
        </w:tc>
        <w:tc>
          <w:tcPr>
            <w:tcW w:w="1027" w:type="pct"/>
            <w:tcBorders>
              <w:tl2br w:val="nil"/>
              <w:tr2bl w:val="nil"/>
            </w:tcBorders>
            <w:shd w:val="clear" w:color="auto" w:fill="auto"/>
            <w:vAlign w:val="center"/>
          </w:tcPr>
          <w:p w14:paraId="17BADDBC">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auto"/>
                <w:sz w:val="21"/>
                <w:szCs w:val="21"/>
                <w:highlight w:val="none"/>
                <w:u w:val="none" w:color="auto"/>
                <w:lang w:val="en-US"/>
              </w:rPr>
            </w:pPr>
            <w:r>
              <w:rPr>
                <w:rFonts w:hint="default" w:ascii="Times New Roman" w:hAnsi="Times New Roman" w:cs="Times New Roman"/>
                <w:color w:val="auto"/>
                <w:highlight w:val="none"/>
                <w:u w:val="none"/>
                <w:lang w:val="en-US" w:eastAsia="zh-CN"/>
              </w:rPr>
              <w:t>混凝沉淀一体化设备</w:t>
            </w:r>
          </w:p>
        </w:tc>
        <w:tc>
          <w:tcPr>
            <w:tcW w:w="1917" w:type="pct"/>
            <w:tcBorders>
              <w:tl2br w:val="nil"/>
              <w:tr2bl w:val="nil"/>
            </w:tcBorders>
            <w:shd w:val="clear" w:color="auto" w:fill="auto"/>
            <w:vAlign w:val="center"/>
          </w:tcPr>
          <w:p w14:paraId="3C533F04">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color w:val="auto"/>
                <w:highlight w:val="none"/>
                <w:u w:val="none"/>
                <w:lang w:val="en-US" w:eastAsia="zh-CN"/>
              </w:rPr>
              <w:t>12.85×8</w:t>
            </w:r>
            <w:r>
              <w:rPr>
                <w:rFonts w:hint="default" w:ascii="Times New Roman" w:hAnsi="Times New Roman" w:cs="Times New Roman"/>
                <w:color w:val="auto"/>
                <w:highlight w:val="none"/>
                <w:u w:val="none"/>
              </w:rPr>
              <w:t>m</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装机功率14</w:t>
            </w:r>
            <w:r>
              <w:rPr>
                <w:rFonts w:hint="default" w:ascii="Times New Roman" w:hAnsi="Times New Roman" w:cs="Times New Roman"/>
                <w:color w:val="auto"/>
                <w:highlight w:val="none"/>
                <w:u w:val="none"/>
              </w:rPr>
              <w:t>kW</w:t>
            </w:r>
          </w:p>
        </w:tc>
        <w:tc>
          <w:tcPr>
            <w:tcW w:w="447" w:type="pct"/>
            <w:tcBorders>
              <w:tl2br w:val="nil"/>
              <w:tr2bl w:val="nil"/>
            </w:tcBorders>
            <w:shd w:val="clear" w:color="auto" w:fill="auto"/>
            <w:vAlign w:val="center"/>
          </w:tcPr>
          <w:p w14:paraId="63EA2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1</w:t>
            </w:r>
          </w:p>
        </w:tc>
        <w:tc>
          <w:tcPr>
            <w:tcW w:w="468" w:type="pct"/>
            <w:tcBorders>
              <w:tl2br w:val="nil"/>
              <w:tr2bl w:val="nil"/>
            </w:tcBorders>
            <w:shd w:val="clear" w:color="auto" w:fill="auto"/>
            <w:vAlign w:val="center"/>
          </w:tcPr>
          <w:p w14:paraId="7B3BB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套</w:t>
            </w:r>
          </w:p>
        </w:tc>
        <w:tc>
          <w:tcPr>
            <w:tcW w:w="822" w:type="pct"/>
            <w:tcBorders>
              <w:tl2br w:val="nil"/>
              <w:tr2bl w:val="nil"/>
            </w:tcBorders>
            <w:shd w:val="clear" w:color="auto" w:fill="auto"/>
            <w:vAlign w:val="center"/>
          </w:tcPr>
          <w:p w14:paraId="4ACCD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cs="Times New Roman"/>
                <w:b w:val="0"/>
                <w:bCs w:val="0"/>
                <w:i w:val="0"/>
                <w:iCs w:val="0"/>
                <w:color w:val="auto"/>
                <w:kern w:val="2"/>
                <w:sz w:val="21"/>
                <w:szCs w:val="21"/>
                <w:highlight w:val="none"/>
                <w:u w:val="none" w:color="auto"/>
                <w:lang w:val="en-US" w:eastAsia="zh-CN" w:bidi="ar-SA"/>
              </w:rPr>
              <w:t>成套设备</w:t>
            </w:r>
          </w:p>
        </w:tc>
      </w:tr>
      <w:tr w14:paraId="065B56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1D0C66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四</w:t>
            </w:r>
          </w:p>
        </w:tc>
        <w:tc>
          <w:tcPr>
            <w:tcW w:w="4682" w:type="pct"/>
            <w:gridSpan w:val="5"/>
            <w:tcBorders>
              <w:tl2br w:val="nil"/>
              <w:tr2bl w:val="nil"/>
            </w:tcBorders>
            <w:shd w:val="clear" w:color="auto" w:fill="auto"/>
            <w:vAlign w:val="center"/>
          </w:tcPr>
          <w:p w14:paraId="509D9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FF0000"/>
                <w:kern w:val="2"/>
                <w:sz w:val="21"/>
                <w:szCs w:val="21"/>
                <w:highlight w:val="none"/>
                <w:u w:val="none" w:color="auto"/>
                <w:lang w:val="en-US" w:eastAsia="zh-CN" w:bidi="ar-SA"/>
              </w:rPr>
            </w:pPr>
            <w:r>
              <w:rPr>
                <w:rFonts w:hint="default" w:ascii="Times New Roman" w:hAnsi="Times New Roman" w:cs="Times New Roman"/>
                <w:b/>
                <w:bCs/>
                <w:color w:val="auto"/>
                <w:sz w:val="21"/>
                <w:szCs w:val="21"/>
                <w:highlight w:val="none"/>
                <w:u w:val="none" w:color="auto"/>
                <w:lang w:val="en-US" w:eastAsia="zh-CN"/>
              </w:rPr>
              <w:t>精密滤池</w:t>
            </w:r>
          </w:p>
        </w:tc>
      </w:tr>
      <w:tr w14:paraId="0908D6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4F71B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cs="Times New Roman"/>
                <w:b w:val="0"/>
                <w:bCs w:val="0"/>
                <w:i w:val="0"/>
                <w:iCs w:val="0"/>
                <w:color w:val="auto"/>
                <w:sz w:val="21"/>
                <w:szCs w:val="21"/>
                <w:highlight w:val="none"/>
                <w:u w:val="none" w:color="auto"/>
                <w:lang w:val="en-US" w:eastAsia="zh-CN"/>
              </w:rPr>
              <w:t>1</w:t>
            </w:r>
          </w:p>
        </w:tc>
        <w:tc>
          <w:tcPr>
            <w:tcW w:w="1027" w:type="pct"/>
            <w:tcBorders>
              <w:tl2br w:val="nil"/>
              <w:tr2bl w:val="nil"/>
            </w:tcBorders>
            <w:shd w:val="clear" w:color="auto" w:fill="auto"/>
            <w:vAlign w:val="center"/>
          </w:tcPr>
          <w:p w14:paraId="67066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FF0000"/>
                <w:sz w:val="21"/>
                <w:szCs w:val="21"/>
                <w:highlight w:val="none"/>
                <w:u w:val="none" w:color="auto"/>
                <w:lang w:val="en-US" w:eastAsia="zh-CN"/>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转鼓式微过滤设备</w:t>
            </w:r>
          </w:p>
        </w:tc>
        <w:tc>
          <w:tcPr>
            <w:tcW w:w="1917" w:type="pct"/>
            <w:tcBorders>
              <w:tl2br w:val="nil"/>
              <w:tr2bl w:val="nil"/>
            </w:tcBorders>
            <w:shd w:val="clear" w:color="auto" w:fill="auto"/>
            <w:vAlign w:val="center"/>
          </w:tcPr>
          <w:p w14:paraId="12B9B4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FF0000"/>
                <w:sz w:val="21"/>
                <w:szCs w:val="21"/>
                <w:highlight w:val="none"/>
                <w:u w:val="none" w:color="auto"/>
                <w:lang w:val="en-US" w:eastAsia="zh-CN"/>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N</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=3</w:t>
            </w:r>
            <w:r>
              <w:rPr>
                <w:rFonts w:hint="default" w:ascii="Times New Roman" w:hAnsi="Times New Roman" w:cs="Times New Roman"/>
                <w:b w:val="0"/>
                <w:bCs w:val="0"/>
                <w:i w:val="0"/>
                <w:iCs w:val="0"/>
                <w:color w:val="auto"/>
                <w:kern w:val="0"/>
                <w:sz w:val="21"/>
                <w:szCs w:val="21"/>
                <w:highlight w:val="none"/>
                <w:u w:val="none" w:color="auto"/>
                <w:lang w:val="en-US" w:eastAsia="zh-CN" w:bidi="ar"/>
              </w:rPr>
              <w:t>.0</w:t>
            </w:r>
            <w:r>
              <w:rPr>
                <w:rFonts w:hint="default" w:ascii="Times New Roman" w:hAnsi="Times New Roman" w:cs="Times New Roman"/>
                <w:color w:val="auto"/>
                <w:sz w:val="21"/>
                <w:szCs w:val="21"/>
                <w:highlight w:val="none"/>
                <w:u w:val="none" w:color="auto"/>
                <w:lang w:val="en-US" w:eastAsia="zh-CN"/>
              </w:rPr>
              <w:t>W</w:t>
            </w:r>
          </w:p>
        </w:tc>
        <w:tc>
          <w:tcPr>
            <w:tcW w:w="447" w:type="pct"/>
            <w:tcBorders>
              <w:tl2br w:val="nil"/>
              <w:tr2bl w:val="nil"/>
            </w:tcBorders>
            <w:shd w:val="clear" w:color="auto" w:fill="auto"/>
            <w:vAlign w:val="center"/>
          </w:tcPr>
          <w:p w14:paraId="2A55E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1</w:t>
            </w:r>
          </w:p>
        </w:tc>
        <w:tc>
          <w:tcPr>
            <w:tcW w:w="468" w:type="pct"/>
            <w:tcBorders>
              <w:tl2br w:val="nil"/>
              <w:tr2bl w:val="nil"/>
            </w:tcBorders>
            <w:shd w:val="clear" w:color="auto" w:fill="auto"/>
            <w:vAlign w:val="center"/>
          </w:tcPr>
          <w:p w14:paraId="3B5E77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716EAF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新增</w:t>
            </w:r>
          </w:p>
        </w:tc>
      </w:tr>
      <w:tr w14:paraId="607F4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176BB2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五</w:t>
            </w:r>
          </w:p>
        </w:tc>
        <w:tc>
          <w:tcPr>
            <w:tcW w:w="4682" w:type="pct"/>
            <w:gridSpan w:val="5"/>
            <w:tcBorders>
              <w:tl2br w:val="nil"/>
              <w:tr2bl w:val="nil"/>
            </w:tcBorders>
            <w:shd w:val="clear" w:color="auto" w:fill="auto"/>
            <w:vAlign w:val="center"/>
          </w:tcPr>
          <w:p w14:paraId="4AF80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cs="Times New Roman"/>
                <w:b/>
                <w:bCs/>
                <w:color w:val="auto"/>
                <w:sz w:val="21"/>
                <w:szCs w:val="21"/>
                <w:highlight w:val="none"/>
                <w:u w:val="none" w:color="auto"/>
                <w:lang w:val="en-US" w:eastAsia="zh-CN"/>
              </w:rPr>
              <w:t>贮泥池</w:t>
            </w:r>
          </w:p>
        </w:tc>
      </w:tr>
      <w:tr w14:paraId="16F716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6372F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1</w:t>
            </w:r>
          </w:p>
        </w:tc>
        <w:tc>
          <w:tcPr>
            <w:tcW w:w="1027" w:type="pct"/>
            <w:tcBorders>
              <w:tl2br w:val="nil"/>
              <w:tr2bl w:val="nil"/>
            </w:tcBorders>
            <w:shd w:val="clear" w:color="auto" w:fill="auto"/>
            <w:vAlign w:val="center"/>
          </w:tcPr>
          <w:p w14:paraId="65F910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潜水搅拌机</w:t>
            </w:r>
          </w:p>
        </w:tc>
        <w:tc>
          <w:tcPr>
            <w:tcW w:w="1917" w:type="pct"/>
            <w:tcBorders>
              <w:tl2br w:val="nil"/>
              <w:tr2bl w:val="nil"/>
            </w:tcBorders>
            <w:shd w:val="clear" w:color="auto" w:fill="auto"/>
            <w:vAlign w:val="center"/>
          </w:tcPr>
          <w:p w14:paraId="77B17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N=</w:t>
            </w:r>
            <w:r>
              <w:rPr>
                <w:rFonts w:hint="default" w:ascii="Times New Roman" w:hAnsi="Times New Roman" w:cs="Times New Roman"/>
                <w:b w:val="0"/>
                <w:bCs w:val="0"/>
                <w:i w:val="0"/>
                <w:iCs w:val="0"/>
                <w:color w:val="auto"/>
                <w:kern w:val="0"/>
                <w:sz w:val="21"/>
                <w:szCs w:val="21"/>
                <w:highlight w:val="none"/>
                <w:u w:val="none" w:color="auto"/>
                <w:lang w:val="en-US" w:eastAsia="zh-CN" w:bidi="ar"/>
              </w:rPr>
              <w:t>2.2</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kw</w:t>
            </w:r>
          </w:p>
        </w:tc>
        <w:tc>
          <w:tcPr>
            <w:tcW w:w="447" w:type="pct"/>
            <w:tcBorders>
              <w:tl2br w:val="nil"/>
              <w:tr2bl w:val="nil"/>
            </w:tcBorders>
            <w:shd w:val="clear" w:color="auto" w:fill="auto"/>
            <w:vAlign w:val="center"/>
          </w:tcPr>
          <w:p w14:paraId="07C57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2</w:t>
            </w:r>
          </w:p>
        </w:tc>
        <w:tc>
          <w:tcPr>
            <w:tcW w:w="468" w:type="pct"/>
            <w:tcBorders>
              <w:tl2br w:val="nil"/>
              <w:tr2bl w:val="nil"/>
            </w:tcBorders>
            <w:shd w:val="clear" w:color="auto" w:fill="auto"/>
            <w:vAlign w:val="center"/>
          </w:tcPr>
          <w:p w14:paraId="3F1CC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1D26D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新增</w:t>
            </w:r>
          </w:p>
        </w:tc>
      </w:tr>
      <w:tr w14:paraId="764EE8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27D7A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六</w:t>
            </w:r>
          </w:p>
        </w:tc>
        <w:tc>
          <w:tcPr>
            <w:tcW w:w="4682" w:type="pct"/>
            <w:gridSpan w:val="5"/>
            <w:tcBorders>
              <w:tl2br w:val="nil"/>
              <w:tr2bl w:val="nil"/>
            </w:tcBorders>
            <w:shd w:val="clear" w:color="auto" w:fill="auto"/>
            <w:vAlign w:val="center"/>
          </w:tcPr>
          <w:p w14:paraId="2AC4F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bCs/>
                <w:i w:val="0"/>
                <w:iCs w:val="0"/>
                <w:color w:val="auto"/>
                <w:kern w:val="0"/>
                <w:sz w:val="21"/>
                <w:szCs w:val="21"/>
                <w:highlight w:val="none"/>
                <w:u w:val="none" w:color="auto"/>
                <w:lang w:val="en-US" w:eastAsia="zh-CN" w:bidi="ar"/>
              </w:rPr>
              <w:t>接触消毒池</w:t>
            </w:r>
          </w:p>
        </w:tc>
      </w:tr>
      <w:tr w14:paraId="3E889E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77498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1</w:t>
            </w:r>
          </w:p>
        </w:tc>
        <w:tc>
          <w:tcPr>
            <w:tcW w:w="1027" w:type="pct"/>
            <w:tcBorders>
              <w:tl2br w:val="nil"/>
              <w:tr2bl w:val="nil"/>
            </w:tcBorders>
            <w:shd w:val="clear" w:color="auto" w:fill="auto"/>
            <w:vAlign w:val="center"/>
          </w:tcPr>
          <w:p w14:paraId="1857A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超声波液位计</w:t>
            </w:r>
          </w:p>
        </w:tc>
        <w:tc>
          <w:tcPr>
            <w:tcW w:w="1917" w:type="pct"/>
            <w:tcBorders>
              <w:tl2br w:val="nil"/>
              <w:tr2bl w:val="nil"/>
            </w:tcBorders>
            <w:shd w:val="clear" w:color="auto" w:fill="auto"/>
            <w:vAlign w:val="center"/>
          </w:tcPr>
          <w:p w14:paraId="52521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量程0-5m</w:t>
            </w:r>
          </w:p>
        </w:tc>
        <w:tc>
          <w:tcPr>
            <w:tcW w:w="447" w:type="pct"/>
            <w:tcBorders>
              <w:tl2br w:val="nil"/>
              <w:tr2bl w:val="nil"/>
            </w:tcBorders>
            <w:shd w:val="clear" w:color="auto" w:fill="auto"/>
            <w:vAlign w:val="center"/>
          </w:tcPr>
          <w:p w14:paraId="29FFE7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1</w:t>
            </w:r>
          </w:p>
        </w:tc>
        <w:tc>
          <w:tcPr>
            <w:tcW w:w="468" w:type="pct"/>
            <w:tcBorders>
              <w:tl2br w:val="nil"/>
              <w:tr2bl w:val="nil"/>
            </w:tcBorders>
            <w:shd w:val="clear" w:color="auto" w:fill="auto"/>
            <w:vAlign w:val="center"/>
          </w:tcPr>
          <w:p w14:paraId="4D75E2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个</w:t>
            </w:r>
          </w:p>
        </w:tc>
        <w:tc>
          <w:tcPr>
            <w:tcW w:w="822" w:type="pct"/>
            <w:tcBorders>
              <w:tl2br w:val="nil"/>
              <w:tr2bl w:val="nil"/>
            </w:tcBorders>
            <w:shd w:val="clear" w:color="auto" w:fill="auto"/>
            <w:vAlign w:val="center"/>
          </w:tcPr>
          <w:p w14:paraId="68693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新增</w:t>
            </w:r>
          </w:p>
        </w:tc>
      </w:tr>
      <w:tr w14:paraId="7C54FC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68714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2</w:t>
            </w:r>
          </w:p>
        </w:tc>
        <w:tc>
          <w:tcPr>
            <w:tcW w:w="1027" w:type="pct"/>
            <w:tcBorders>
              <w:tl2br w:val="nil"/>
              <w:tr2bl w:val="nil"/>
            </w:tcBorders>
            <w:shd w:val="clear" w:color="auto" w:fill="auto"/>
            <w:vAlign w:val="center"/>
          </w:tcPr>
          <w:p w14:paraId="2EF194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闸阀</w:t>
            </w:r>
          </w:p>
        </w:tc>
        <w:tc>
          <w:tcPr>
            <w:tcW w:w="1917" w:type="pct"/>
            <w:tcBorders>
              <w:tl2br w:val="nil"/>
              <w:tr2bl w:val="nil"/>
            </w:tcBorders>
            <w:shd w:val="clear" w:color="auto" w:fill="auto"/>
            <w:vAlign w:val="center"/>
          </w:tcPr>
          <w:p w14:paraId="33217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rPr>
            </w:pPr>
            <w:r>
              <w:rPr>
                <w:rFonts w:hint="default" w:ascii="Times New Roman" w:hAnsi="Times New Roman" w:cs="Times New Roman"/>
                <w:color w:val="auto"/>
                <w:sz w:val="21"/>
                <w:szCs w:val="21"/>
                <w:highlight w:val="none"/>
                <w:u w:val="none" w:color="auto"/>
                <w:lang w:val="en-US" w:eastAsia="zh-CN"/>
              </w:rPr>
              <w:t>DN350</w:t>
            </w:r>
          </w:p>
        </w:tc>
        <w:tc>
          <w:tcPr>
            <w:tcW w:w="447" w:type="pct"/>
            <w:tcBorders>
              <w:tl2br w:val="nil"/>
              <w:tr2bl w:val="nil"/>
            </w:tcBorders>
            <w:shd w:val="clear" w:color="auto" w:fill="auto"/>
            <w:vAlign w:val="center"/>
          </w:tcPr>
          <w:p w14:paraId="101E2F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1</w:t>
            </w:r>
          </w:p>
        </w:tc>
        <w:tc>
          <w:tcPr>
            <w:tcW w:w="468" w:type="pct"/>
            <w:tcBorders>
              <w:tl2br w:val="nil"/>
              <w:tr2bl w:val="nil"/>
            </w:tcBorders>
            <w:shd w:val="clear" w:color="auto" w:fill="auto"/>
            <w:vAlign w:val="center"/>
          </w:tcPr>
          <w:p w14:paraId="75B8F4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sz w:val="21"/>
                <w:szCs w:val="21"/>
                <w:highlight w:val="none"/>
                <w:u w:val="none" w:color="auto"/>
                <w:lang w:val="en-US" w:eastAsia="zh-CN"/>
              </w:rPr>
              <w:t>个</w:t>
            </w:r>
          </w:p>
        </w:tc>
        <w:tc>
          <w:tcPr>
            <w:tcW w:w="822" w:type="pct"/>
            <w:tcBorders>
              <w:tl2br w:val="nil"/>
              <w:tr2bl w:val="nil"/>
            </w:tcBorders>
            <w:shd w:val="clear" w:color="auto" w:fill="auto"/>
            <w:vAlign w:val="center"/>
          </w:tcPr>
          <w:p w14:paraId="13B79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新增</w:t>
            </w:r>
          </w:p>
        </w:tc>
      </w:tr>
      <w:tr w14:paraId="3E5A1C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022A5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七</w:t>
            </w:r>
          </w:p>
        </w:tc>
        <w:tc>
          <w:tcPr>
            <w:tcW w:w="4682" w:type="pct"/>
            <w:gridSpan w:val="5"/>
            <w:tcBorders>
              <w:tl2br w:val="nil"/>
              <w:tr2bl w:val="nil"/>
            </w:tcBorders>
            <w:shd w:val="clear" w:color="auto" w:fill="auto"/>
            <w:vAlign w:val="center"/>
          </w:tcPr>
          <w:p w14:paraId="55342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i w:val="0"/>
                <w:iCs w:val="0"/>
                <w:color w:val="FF0000"/>
                <w:kern w:val="0"/>
                <w:sz w:val="21"/>
                <w:szCs w:val="21"/>
                <w:highlight w:val="none"/>
                <w:u w:val="none" w:color="auto"/>
                <w:lang w:val="en-US" w:eastAsia="zh-CN" w:bidi="ar"/>
              </w:rPr>
            </w:pPr>
            <w:r>
              <w:rPr>
                <w:rFonts w:hint="default" w:ascii="Times New Roman" w:hAnsi="Times New Roman" w:cs="Times New Roman"/>
                <w:b/>
                <w:bCs/>
                <w:i w:val="0"/>
                <w:iCs w:val="0"/>
                <w:color w:val="auto"/>
                <w:kern w:val="0"/>
                <w:sz w:val="21"/>
                <w:szCs w:val="21"/>
                <w:highlight w:val="none"/>
                <w:u w:val="none" w:color="auto"/>
                <w:lang w:val="en-US" w:eastAsia="zh-CN" w:bidi="ar"/>
              </w:rPr>
              <w:t>鼓风机房及配电间</w:t>
            </w:r>
          </w:p>
        </w:tc>
      </w:tr>
      <w:tr w14:paraId="55E614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4EB89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1</w:t>
            </w:r>
          </w:p>
        </w:tc>
        <w:tc>
          <w:tcPr>
            <w:tcW w:w="1027" w:type="pct"/>
            <w:tcBorders>
              <w:tl2br w:val="nil"/>
              <w:tr2bl w:val="nil"/>
            </w:tcBorders>
            <w:shd w:val="clear" w:color="auto" w:fill="auto"/>
            <w:vAlign w:val="center"/>
          </w:tcPr>
          <w:p w14:paraId="73CB8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螺杆鼓风机</w:t>
            </w:r>
          </w:p>
        </w:tc>
        <w:tc>
          <w:tcPr>
            <w:tcW w:w="1917" w:type="pct"/>
            <w:tcBorders>
              <w:tl2br w:val="nil"/>
              <w:tr2bl w:val="nil"/>
            </w:tcBorders>
            <w:shd w:val="clear" w:color="auto" w:fill="auto"/>
            <w:vAlign w:val="center"/>
          </w:tcPr>
          <w:p w14:paraId="176538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Q=</w:t>
            </w:r>
            <w:r>
              <w:rPr>
                <w:rFonts w:hint="default" w:ascii="Times New Roman" w:hAnsi="Times New Roman" w:cs="Times New Roman"/>
                <w:b w:val="0"/>
                <w:bCs w:val="0"/>
                <w:i w:val="0"/>
                <w:iCs w:val="0"/>
                <w:color w:val="auto"/>
                <w:kern w:val="0"/>
                <w:sz w:val="21"/>
                <w:szCs w:val="21"/>
                <w:highlight w:val="none"/>
                <w:u w:val="none" w:color="auto"/>
                <w:lang w:val="en-US" w:eastAsia="zh-CN" w:bidi="ar"/>
              </w:rPr>
              <w:t>8.2</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m</w:t>
            </w:r>
            <w:r>
              <w:rPr>
                <w:rFonts w:hint="default" w:ascii="Times New Roman" w:hAnsi="Times New Roman" w:eastAsia="宋体" w:cs="Times New Roman"/>
                <w:b w:val="0"/>
                <w:bCs w:val="0"/>
                <w:i w:val="0"/>
                <w:iCs w:val="0"/>
                <w:color w:val="auto"/>
                <w:kern w:val="0"/>
                <w:sz w:val="21"/>
                <w:szCs w:val="21"/>
                <w:highlight w:val="none"/>
                <w:u w:val="none" w:color="auto"/>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r>
              <w:rPr>
                <w:rFonts w:hint="default" w:ascii="Times New Roman" w:hAnsi="Times New Roman" w:cs="Times New Roman"/>
                <w:b w:val="0"/>
                <w:bCs w:val="0"/>
                <w:i w:val="0"/>
                <w:iCs w:val="0"/>
                <w:color w:val="auto"/>
                <w:kern w:val="0"/>
                <w:sz w:val="21"/>
                <w:szCs w:val="21"/>
                <w:highlight w:val="none"/>
                <w:u w:val="none" w:color="auto"/>
                <w:lang w:val="en-US" w:eastAsia="zh-CN" w:bidi="ar"/>
              </w:rPr>
              <w:t>min</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，H=</w:t>
            </w:r>
            <w:r>
              <w:rPr>
                <w:rFonts w:hint="default" w:ascii="Times New Roman" w:hAnsi="Times New Roman" w:cs="Times New Roman"/>
                <w:b w:val="0"/>
                <w:bCs w:val="0"/>
                <w:i w:val="0"/>
                <w:iCs w:val="0"/>
                <w:color w:val="auto"/>
                <w:kern w:val="0"/>
                <w:sz w:val="21"/>
                <w:szCs w:val="21"/>
                <w:highlight w:val="none"/>
                <w:u w:val="none" w:color="auto"/>
                <w:lang w:val="en-US" w:eastAsia="zh-CN" w:bidi="ar"/>
              </w:rPr>
              <w:t>0.8bar</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，N=</w:t>
            </w:r>
            <w:r>
              <w:rPr>
                <w:rFonts w:hint="default" w:ascii="Times New Roman" w:hAnsi="Times New Roman" w:cs="Times New Roman"/>
                <w:b w:val="0"/>
                <w:bCs w:val="0"/>
                <w:i w:val="0"/>
                <w:iCs w:val="0"/>
                <w:color w:val="auto"/>
                <w:kern w:val="0"/>
                <w:sz w:val="21"/>
                <w:szCs w:val="21"/>
                <w:highlight w:val="none"/>
                <w:u w:val="none" w:color="auto"/>
                <w:lang w:val="en-US" w:eastAsia="zh-CN" w:bidi="ar"/>
              </w:rPr>
              <w:t>18</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kw</w:t>
            </w:r>
          </w:p>
        </w:tc>
        <w:tc>
          <w:tcPr>
            <w:tcW w:w="447" w:type="pct"/>
            <w:tcBorders>
              <w:tl2br w:val="nil"/>
              <w:tr2bl w:val="nil"/>
            </w:tcBorders>
            <w:shd w:val="clear" w:color="auto" w:fill="auto"/>
            <w:vAlign w:val="center"/>
          </w:tcPr>
          <w:p w14:paraId="211AC2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4</w:t>
            </w:r>
          </w:p>
        </w:tc>
        <w:tc>
          <w:tcPr>
            <w:tcW w:w="468" w:type="pct"/>
            <w:tcBorders>
              <w:tl2br w:val="nil"/>
              <w:tr2bl w:val="nil"/>
            </w:tcBorders>
            <w:shd w:val="clear" w:color="auto" w:fill="auto"/>
            <w:vAlign w:val="center"/>
          </w:tcPr>
          <w:p w14:paraId="6A9B9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0787E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两用两备</w:t>
            </w:r>
          </w:p>
        </w:tc>
      </w:tr>
      <w:tr w14:paraId="7A074A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10DE31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eastAsia="zh-CN"/>
              </w:rPr>
            </w:pPr>
            <w:r>
              <w:rPr>
                <w:rFonts w:hint="default" w:ascii="Times New Roman" w:hAnsi="Times New Roman" w:cs="Times New Roman"/>
                <w:b w:val="0"/>
                <w:bCs w:val="0"/>
                <w:i w:val="0"/>
                <w:iCs w:val="0"/>
                <w:color w:val="auto"/>
                <w:sz w:val="21"/>
                <w:szCs w:val="21"/>
                <w:highlight w:val="none"/>
                <w:u w:val="none" w:color="auto"/>
                <w:lang w:val="en-US" w:eastAsia="zh-CN"/>
              </w:rPr>
              <w:t>2</w:t>
            </w:r>
          </w:p>
        </w:tc>
        <w:tc>
          <w:tcPr>
            <w:tcW w:w="1027" w:type="pct"/>
            <w:tcBorders>
              <w:tl2br w:val="nil"/>
              <w:tr2bl w:val="nil"/>
            </w:tcBorders>
            <w:shd w:val="clear" w:color="auto" w:fill="auto"/>
            <w:vAlign w:val="center"/>
          </w:tcPr>
          <w:p w14:paraId="72AF7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轴流风机</w:t>
            </w:r>
          </w:p>
        </w:tc>
        <w:tc>
          <w:tcPr>
            <w:tcW w:w="1917" w:type="pct"/>
            <w:tcBorders>
              <w:tl2br w:val="nil"/>
              <w:tr2bl w:val="nil"/>
            </w:tcBorders>
            <w:shd w:val="clear" w:color="auto" w:fill="auto"/>
            <w:vAlign w:val="center"/>
          </w:tcPr>
          <w:p w14:paraId="33046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T35-11型，</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Q=</w:t>
            </w:r>
            <w:r>
              <w:rPr>
                <w:rFonts w:hint="default" w:ascii="Times New Roman" w:hAnsi="Times New Roman" w:cs="Times New Roman"/>
                <w:b w:val="0"/>
                <w:bCs w:val="0"/>
                <w:i w:val="0"/>
                <w:iCs w:val="0"/>
                <w:color w:val="auto"/>
                <w:kern w:val="0"/>
                <w:sz w:val="21"/>
                <w:szCs w:val="21"/>
                <w:highlight w:val="none"/>
                <w:u w:val="none" w:color="auto"/>
                <w:lang w:val="en-US" w:eastAsia="zh-CN" w:bidi="ar"/>
              </w:rPr>
              <w:t>1649</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m</w:t>
            </w:r>
            <w:r>
              <w:rPr>
                <w:rFonts w:hint="default" w:ascii="Times New Roman" w:hAnsi="Times New Roman" w:eastAsia="宋体" w:cs="Times New Roman"/>
                <w:b w:val="0"/>
                <w:bCs w:val="0"/>
                <w:i w:val="0"/>
                <w:iCs w:val="0"/>
                <w:color w:val="auto"/>
                <w:kern w:val="0"/>
                <w:sz w:val="21"/>
                <w:szCs w:val="21"/>
                <w:highlight w:val="none"/>
                <w:u w:val="none" w:color="auto"/>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r>
              <w:rPr>
                <w:rFonts w:hint="default" w:ascii="Times New Roman" w:hAnsi="Times New Roman" w:cs="Times New Roman"/>
                <w:b w:val="0"/>
                <w:bCs w:val="0"/>
                <w:i w:val="0"/>
                <w:iCs w:val="0"/>
                <w:color w:val="auto"/>
                <w:kern w:val="0"/>
                <w:sz w:val="21"/>
                <w:szCs w:val="21"/>
                <w:highlight w:val="none"/>
                <w:u w:val="none" w:color="auto"/>
                <w:lang w:val="en-US" w:eastAsia="zh-CN" w:bidi="ar"/>
              </w:rPr>
              <w:t>h</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，N=</w:t>
            </w:r>
            <w:r>
              <w:rPr>
                <w:rFonts w:hint="default" w:ascii="Times New Roman" w:hAnsi="Times New Roman" w:cs="Times New Roman"/>
                <w:b w:val="0"/>
                <w:bCs w:val="0"/>
                <w:i w:val="0"/>
                <w:iCs w:val="0"/>
                <w:color w:val="auto"/>
                <w:kern w:val="0"/>
                <w:sz w:val="21"/>
                <w:szCs w:val="21"/>
                <w:highlight w:val="none"/>
                <w:u w:val="none" w:color="auto"/>
                <w:lang w:val="en-US" w:eastAsia="zh-CN" w:bidi="ar"/>
              </w:rPr>
              <w:t>0.12</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kw</w:t>
            </w:r>
          </w:p>
        </w:tc>
        <w:tc>
          <w:tcPr>
            <w:tcW w:w="447" w:type="pct"/>
            <w:tcBorders>
              <w:tl2br w:val="nil"/>
              <w:tr2bl w:val="nil"/>
            </w:tcBorders>
            <w:shd w:val="clear" w:color="auto" w:fill="auto"/>
            <w:vAlign w:val="center"/>
          </w:tcPr>
          <w:p w14:paraId="0E8D27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lang w:val="en-US"/>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4</w:t>
            </w:r>
          </w:p>
        </w:tc>
        <w:tc>
          <w:tcPr>
            <w:tcW w:w="468" w:type="pct"/>
            <w:tcBorders>
              <w:tl2br w:val="nil"/>
              <w:tr2bl w:val="nil"/>
            </w:tcBorders>
            <w:shd w:val="clear" w:color="auto" w:fill="auto"/>
            <w:vAlign w:val="center"/>
          </w:tcPr>
          <w:p w14:paraId="5A7184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4F364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sz w:val="21"/>
                <w:szCs w:val="21"/>
                <w:highlight w:val="none"/>
                <w:u w:val="none" w:color="auto"/>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新增</w:t>
            </w:r>
          </w:p>
        </w:tc>
      </w:tr>
      <w:tr w14:paraId="377C2E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26588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八</w:t>
            </w:r>
          </w:p>
        </w:tc>
        <w:tc>
          <w:tcPr>
            <w:tcW w:w="4682" w:type="pct"/>
            <w:gridSpan w:val="5"/>
            <w:tcBorders>
              <w:tl2br w:val="nil"/>
              <w:tr2bl w:val="nil"/>
            </w:tcBorders>
            <w:shd w:val="clear" w:color="auto" w:fill="auto"/>
            <w:vAlign w:val="center"/>
          </w:tcPr>
          <w:p w14:paraId="63F67E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cs="Times New Roman"/>
                <w:b/>
                <w:bCs/>
                <w:i w:val="0"/>
                <w:iCs w:val="0"/>
                <w:color w:val="auto"/>
                <w:kern w:val="0"/>
                <w:sz w:val="21"/>
                <w:szCs w:val="21"/>
                <w:highlight w:val="none"/>
                <w:u w:val="none" w:color="auto"/>
                <w:lang w:val="en-US" w:eastAsia="zh-CN" w:bidi="ar"/>
              </w:rPr>
              <w:t>污泥脱水间及加氯间</w:t>
            </w:r>
          </w:p>
        </w:tc>
      </w:tr>
      <w:tr w14:paraId="0FF95E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41706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1</w:t>
            </w:r>
          </w:p>
        </w:tc>
        <w:tc>
          <w:tcPr>
            <w:tcW w:w="1027" w:type="pct"/>
            <w:tcBorders>
              <w:tl2br w:val="nil"/>
              <w:tr2bl w:val="nil"/>
            </w:tcBorders>
            <w:shd w:val="clear" w:color="auto" w:fill="auto"/>
            <w:vAlign w:val="center"/>
          </w:tcPr>
          <w:p w14:paraId="4DEC1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浓缩进料泵</w:t>
            </w:r>
          </w:p>
        </w:tc>
        <w:tc>
          <w:tcPr>
            <w:tcW w:w="1917" w:type="pct"/>
            <w:tcBorders>
              <w:tl2br w:val="nil"/>
              <w:tr2bl w:val="nil"/>
            </w:tcBorders>
            <w:shd w:val="clear" w:color="auto" w:fill="auto"/>
            <w:vAlign w:val="center"/>
          </w:tcPr>
          <w:p w14:paraId="27411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sz w:val="21"/>
                <w:szCs w:val="21"/>
                <w:highlight w:val="none"/>
                <w:u w:val="none" w:color="auto"/>
                <w:lang w:val="en-US" w:eastAsia="zh-CN"/>
              </w:rPr>
              <w:t>G70-1，Q=25m</w:t>
            </w:r>
            <w:r>
              <w:rPr>
                <w:rFonts w:hint="default" w:ascii="Times New Roman" w:hAnsi="Times New Roman" w:cs="Times New Roman"/>
                <w:color w:val="auto"/>
                <w:sz w:val="21"/>
                <w:szCs w:val="21"/>
                <w:highlight w:val="none"/>
                <w:u w:val="none" w:color="auto"/>
                <w:vertAlign w:val="superscript"/>
                <w:lang w:val="en-US" w:eastAsia="zh-CN"/>
              </w:rPr>
              <w:t>3</w:t>
            </w:r>
            <w:r>
              <w:rPr>
                <w:rFonts w:hint="default" w:ascii="Times New Roman" w:hAnsi="Times New Roman" w:cs="Times New Roman"/>
                <w:color w:val="auto"/>
                <w:sz w:val="21"/>
                <w:szCs w:val="21"/>
                <w:highlight w:val="none"/>
                <w:u w:val="none" w:color="auto"/>
                <w:lang w:val="en-US" w:eastAsia="zh-CN"/>
              </w:rPr>
              <w:t>/h，H=0.6MPa，N=11kW，变频调速</w:t>
            </w:r>
          </w:p>
        </w:tc>
        <w:tc>
          <w:tcPr>
            <w:tcW w:w="447" w:type="pct"/>
            <w:tcBorders>
              <w:tl2br w:val="nil"/>
              <w:tr2bl w:val="nil"/>
            </w:tcBorders>
            <w:shd w:val="clear" w:color="auto" w:fill="auto"/>
            <w:vAlign w:val="center"/>
          </w:tcPr>
          <w:p w14:paraId="1316E2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2</w:t>
            </w:r>
          </w:p>
        </w:tc>
        <w:tc>
          <w:tcPr>
            <w:tcW w:w="468" w:type="pct"/>
            <w:tcBorders>
              <w:tl2br w:val="nil"/>
              <w:tr2bl w:val="nil"/>
            </w:tcBorders>
            <w:shd w:val="clear" w:color="auto" w:fill="auto"/>
            <w:vAlign w:val="center"/>
          </w:tcPr>
          <w:p w14:paraId="6A7DDF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20BAF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1备1用</w:t>
            </w:r>
          </w:p>
        </w:tc>
      </w:tr>
      <w:tr w14:paraId="182BEC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shd w:val="clear" w:color="auto" w:fill="auto"/>
            <w:vAlign w:val="center"/>
          </w:tcPr>
          <w:p w14:paraId="370CD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2</w:t>
            </w:r>
          </w:p>
        </w:tc>
        <w:tc>
          <w:tcPr>
            <w:tcW w:w="1027" w:type="pct"/>
            <w:tcBorders>
              <w:tl2br w:val="nil"/>
              <w:tr2bl w:val="nil"/>
            </w:tcBorders>
            <w:shd w:val="clear" w:color="auto" w:fill="auto"/>
            <w:vAlign w:val="center"/>
          </w:tcPr>
          <w:p w14:paraId="231FAF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叠螺式污泥压缩机</w:t>
            </w:r>
          </w:p>
        </w:tc>
        <w:tc>
          <w:tcPr>
            <w:tcW w:w="1917" w:type="pct"/>
            <w:tcBorders>
              <w:tl2br w:val="nil"/>
              <w:tr2bl w:val="nil"/>
            </w:tcBorders>
            <w:shd w:val="clear" w:color="auto" w:fill="auto"/>
            <w:vAlign w:val="center"/>
          </w:tcPr>
          <w:p w14:paraId="79A2C0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 xml:space="preserve">TECN-403 540~720kgDS/h </w:t>
            </w:r>
            <w:r>
              <w:rPr>
                <w:rFonts w:hint="default" w:ascii="Times New Roman" w:hAnsi="Times New Roman" w:cs="Times New Roman"/>
                <w:color w:val="auto"/>
                <w:sz w:val="21"/>
                <w:szCs w:val="21"/>
                <w:highlight w:val="none"/>
                <w:u w:val="none" w:color="auto"/>
                <w:lang w:val="en-US" w:eastAsia="zh-CN"/>
              </w:rPr>
              <w:t xml:space="preserve"> 4.3kW</w:t>
            </w:r>
          </w:p>
        </w:tc>
        <w:tc>
          <w:tcPr>
            <w:tcW w:w="447" w:type="pct"/>
            <w:tcBorders>
              <w:tl2br w:val="nil"/>
              <w:tr2bl w:val="nil"/>
            </w:tcBorders>
            <w:shd w:val="clear" w:color="auto" w:fill="auto"/>
            <w:vAlign w:val="center"/>
          </w:tcPr>
          <w:p w14:paraId="30B960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1</w:t>
            </w:r>
          </w:p>
        </w:tc>
        <w:tc>
          <w:tcPr>
            <w:tcW w:w="468" w:type="pct"/>
            <w:tcBorders>
              <w:tl2br w:val="nil"/>
              <w:tr2bl w:val="nil"/>
            </w:tcBorders>
            <w:shd w:val="clear" w:color="auto" w:fill="auto"/>
            <w:vAlign w:val="center"/>
          </w:tcPr>
          <w:p w14:paraId="647C2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799398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新增</w:t>
            </w:r>
          </w:p>
        </w:tc>
      </w:tr>
      <w:tr w14:paraId="27A8A7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317" w:type="pct"/>
            <w:tcBorders>
              <w:tl2br w:val="nil"/>
              <w:tr2bl w:val="nil"/>
            </w:tcBorders>
            <w:shd w:val="clear" w:color="auto" w:fill="auto"/>
            <w:vAlign w:val="center"/>
          </w:tcPr>
          <w:p w14:paraId="6A7EE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3</w:t>
            </w:r>
          </w:p>
        </w:tc>
        <w:tc>
          <w:tcPr>
            <w:tcW w:w="1027" w:type="pct"/>
            <w:tcBorders>
              <w:tl2br w:val="nil"/>
              <w:tr2bl w:val="nil"/>
            </w:tcBorders>
            <w:shd w:val="clear" w:color="auto" w:fill="auto"/>
            <w:vAlign w:val="center"/>
          </w:tcPr>
          <w:p w14:paraId="107EA5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贮泥池搅拌机</w:t>
            </w:r>
          </w:p>
        </w:tc>
        <w:tc>
          <w:tcPr>
            <w:tcW w:w="1917" w:type="pct"/>
            <w:tcBorders>
              <w:tl2br w:val="nil"/>
              <w:tr2bl w:val="nil"/>
            </w:tcBorders>
            <w:shd w:val="clear" w:color="auto" w:fill="auto"/>
            <w:vAlign w:val="center"/>
          </w:tcPr>
          <w:p w14:paraId="6212A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 xml:space="preserve">搅拌直径φ1500  </w:t>
            </w:r>
            <w:r>
              <w:rPr>
                <w:rFonts w:hint="default" w:ascii="Times New Roman" w:hAnsi="Times New Roman" w:cs="Times New Roman"/>
                <w:color w:val="auto"/>
                <w:sz w:val="21"/>
                <w:szCs w:val="21"/>
                <w:highlight w:val="none"/>
                <w:u w:val="none" w:color="auto"/>
                <w:lang w:val="en-US" w:eastAsia="zh-CN"/>
              </w:rPr>
              <w:t>15kW，变频调速</w:t>
            </w:r>
          </w:p>
        </w:tc>
        <w:tc>
          <w:tcPr>
            <w:tcW w:w="447" w:type="pct"/>
            <w:tcBorders>
              <w:tl2br w:val="nil"/>
              <w:tr2bl w:val="nil"/>
            </w:tcBorders>
            <w:shd w:val="clear" w:color="auto" w:fill="auto"/>
            <w:vAlign w:val="center"/>
          </w:tcPr>
          <w:p w14:paraId="675DD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2</w:t>
            </w:r>
          </w:p>
        </w:tc>
        <w:tc>
          <w:tcPr>
            <w:tcW w:w="468" w:type="pct"/>
            <w:tcBorders>
              <w:tl2br w:val="nil"/>
              <w:tr2bl w:val="nil"/>
            </w:tcBorders>
            <w:shd w:val="clear" w:color="auto" w:fill="auto"/>
            <w:vAlign w:val="center"/>
          </w:tcPr>
          <w:p w14:paraId="01746E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5B601F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i w:val="0"/>
                <w:i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新增</w:t>
            </w:r>
          </w:p>
        </w:tc>
      </w:tr>
      <w:tr w14:paraId="3FBC5D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317" w:type="pct"/>
            <w:tcBorders>
              <w:tl2br w:val="nil"/>
              <w:tr2bl w:val="nil"/>
            </w:tcBorders>
            <w:shd w:val="clear" w:color="auto" w:fill="auto"/>
            <w:vAlign w:val="center"/>
          </w:tcPr>
          <w:p w14:paraId="13858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4</w:t>
            </w:r>
          </w:p>
        </w:tc>
        <w:tc>
          <w:tcPr>
            <w:tcW w:w="1027" w:type="pct"/>
            <w:tcBorders>
              <w:tl2br w:val="nil"/>
              <w:tr2bl w:val="nil"/>
            </w:tcBorders>
            <w:shd w:val="clear" w:color="auto" w:fill="auto"/>
            <w:vAlign w:val="center"/>
          </w:tcPr>
          <w:p w14:paraId="6C8623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压榨进料泵</w:t>
            </w:r>
          </w:p>
        </w:tc>
        <w:tc>
          <w:tcPr>
            <w:tcW w:w="1917" w:type="pct"/>
            <w:tcBorders>
              <w:tl2br w:val="nil"/>
              <w:tr2bl w:val="nil"/>
            </w:tcBorders>
            <w:shd w:val="clear" w:color="auto" w:fill="auto"/>
            <w:vAlign w:val="center"/>
          </w:tcPr>
          <w:p w14:paraId="40445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Q=</w:t>
            </w:r>
            <w:r>
              <w:rPr>
                <w:rFonts w:hint="default" w:ascii="Times New Roman" w:hAnsi="Times New Roman" w:cs="Times New Roman"/>
                <w:b w:val="0"/>
                <w:bCs w:val="0"/>
                <w:i w:val="0"/>
                <w:iCs w:val="0"/>
                <w:color w:val="auto"/>
                <w:kern w:val="0"/>
                <w:sz w:val="21"/>
                <w:szCs w:val="21"/>
                <w:highlight w:val="none"/>
                <w:u w:val="none" w:color="auto"/>
                <w:lang w:val="en-US" w:eastAsia="zh-CN" w:bidi="ar"/>
              </w:rPr>
              <w:t>25</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m</w:t>
            </w:r>
            <w:r>
              <w:rPr>
                <w:rFonts w:hint="default" w:ascii="Times New Roman" w:hAnsi="Times New Roman" w:eastAsia="宋体" w:cs="Times New Roman"/>
                <w:b w:val="0"/>
                <w:bCs w:val="0"/>
                <w:i w:val="0"/>
                <w:iCs w:val="0"/>
                <w:color w:val="auto"/>
                <w:kern w:val="0"/>
                <w:sz w:val="21"/>
                <w:szCs w:val="21"/>
                <w:highlight w:val="none"/>
                <w:u w:val="none" w:color="auto"/>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r>
              <w:rPr>
                <w:rFonts w:hint="default" w:ascii="Times New Roman" w:hAnsi="Times New Roman" w:cs="Times New Roman"/>
                <w:b w:val="0"/>
                <w:bCs w:val="0"/>
                <w:i w:val="0"/>
                <w:iCs w:val="0"/>
                <w:color w:val="auto"/>
                <w:kern w:val="0"/>
                <w:sz w:val="21"/>
                <w:szCs w:val="21"/>
                <w:highlight w:val="none"/>
                <w:u w:val="none" w:color="auto"/>
                <w:lang w:val="en-US" w:eastAsia="zh-CN" w:bidi="ar"/>
              </w:rPr>
              <w:t>h</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r>
              <w:rPr>
                <w:rFonts w:hint="default" w:ascii="Times New Roman" w:hAnsi="Times New Roman" w:cs="Times New Roman"/>
                <w:b w:val="0"/>
                <w:bCs w:val="0"/>
                <w:i w:val="0"/>
                <w:iCs w:val="0"/>
                <w:color w:val="auto"/>
                <w:kern w:val="0"/>
                <w:sz w:val="21"/>
                <w:szCs w:val="21"/>
                <w:highlight w:val="none"/>
                <w:u w:val="none" w:color="auto"/>
                <w:lang w:val="en-US" w:eastAsia="zh-CN" w:bidi="ar"/>
              </w:rPr>
              <w:t>2.0MPa</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r>
              <w:rPr>
                <w:rFonts w:hint="default" w:ascii="Times New Roman" w:hAnsi="Times New Roman" w:cs="Times New Roman"/>
                <w:b w:val="0"/>
                <w:bCs w:val="0"/>
                <w:i w:val="0"/>
                <w:iCs w:val="0"/>
                <w:color w:val="auto"/>
                <w:kern w:val="0"/>
                <w:sz w:val="21"/>
                <w:szCs w:val="21"/>
                <w:highlight w:val="none"/>
                <w:u w:val="none" w:color="auto"/>
                <w:lang w:val="en-US" w:eastAsia="zh-CN" w:bidi="ar"/>
              </w:rPr>
              <w:t>11</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kw</w:t>
            </w:r>
          </w:p>
        </w:tc>
        <w:tc>
          <w:tcPr>
            <w:tcW w:w="447" w:type="pct"/>
            <w:tcBorders>
              <w:tl2br w:val="nil"/>
              <w:tr2bl w:val="nil"/>
            </w:tcBorders>
            <w:shd w:val="clear" w:color="auto" w:fill="auto"/>
            <w:vAlign w:val="center"/>
          </w:tcPr>
          <w:p w14:paraId="28DE5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2</w:t>
            </w:r>
          </w:p>
        </w:tc>
        <w:tc>
          <w:tcPr>
            <w:tcW w:w="468" w:type="pct"/>
            <w:tcBorders>
              <w:tl2br w:val="nil"/>
              <w:tr2bl w:val="nil"/>
            </w:tcBorders>
            <w:shd w:val="clear" w:color="auto" w:fill="auto"/>
            <w:vAlign w:val="center"/>
          </w:tcPr>
          <w:p w14:paraId="51773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361EB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新增</w:t>
            </w:r>
          </w:p>
        </w:tc>
      </w:tr>
      <w:tr w14:paraId="5A667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1" w:hRule="atLeast"/>
          <w:jc w:val="center"/>
        </w:trPr>
        <w:tc>
          <w:tcPr>
            <w:tcW w:w="317" w:type="pct"/>
            <w:tcBorders>
              <w:tl2br w:val="nil"/>
              <w:tr2bl w:val="nil"/>
            </w:tcBorders>
            <w:shd w:val="clear" w:color="auto" w:fill="auto"/>
            <w:vAlign w:val="center"/>
          </w:tcPr>
          <w:p w14:paraId="42065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5</w:t>
            </w:r>
          </w:p>
        </w:tc>
        <w:tc>
          <w:tcPr>
            <w:tcW w:w="1027" w:type="pct"/>
            <w:tcBorders>
              <w:tl2br w:val="nil"/>
              <w:tr2bl w:val="nil"/>
            </w:tcBorders>
            <w:shd w:val="clear" w:color="auto" w:fill="auto"/>
            <w:vAlign w:val="center"/>
          </w:tcPr>
          <w:p w14:paraId="5E4B10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超高压快速压榨机</w:t>
            </w:r>
          </w:p>
        </w:tc>
        <w:tc>
          <w:tcPr>
            <w:tcW w:w="1917" w:type="pct"/>
            <w:tcBorders>
              <w:tl2br w:val="nil"/>
              <w:tr2bl w:val="nil"/>
            </w:tcBorders>
            <w:shd w:val="clear" w:color="auto" w:fill="auto"/>
            <w:vAlign w:val="center"/>
          </w:tcPr>
          <w:p w14:paraId="21AF6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TCYZ150（1250）KS-JC，过滤面积150m</w:t>
            </w:r>
            <w:r>
              <w:rPr>
                <w:rFonts w:hint="default" w:ascii="Times New Roman" w:hAnsi="Times New Roman" w:cs="Times New Roman"/>
                <w:b w:val="0"/>
                <w:bCs w:val="0"/>
                <w:i w:val="0"/>
                <w:iCs w:val="0"/>
                <w:color w:val="auto"/>
                <w:kern w:val="0"/>
                <w:sz w:val="21"/>
                <w:szCs w:val="21"/>
                <w:highlight w:val="none"/>
                <w:u w:val="none" w:color="auto"/>
                <w:vertAlign w:val="superscript"/>
                <w:lang w:val="en-US" w:eastAsia="zh-CN" w:bidi="ar"/>
              </w:rPr>
              <w:t>2</w:t>
            </w:r>
          </w:p>
        </w:tc>
        <w:tc>
          <w:tcPr>
            <w:tcW w:w="447" w:type="pct"/>
            <w:tcBorders>
              <w:tl2br w:val="nil"/>
              <w:tr2bl w:val="nil"/>
            </w:tcBorders>
            <w:shd w:val="clear" w:color="auto" w:fill="auto"/>
            <w:vAlign w:val="center"/>
          </w:tcPr>
          <w:p w14:paraId="11B999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2</w:t>
            </w:r>
          </w:p>
        </w:tc>
        <w:tc>
          <w:tcPr>
            <w:tcW w:w="468" w:type="pct"/>
            <w:tcBorders>
              <w:tl2br w:val="nil"/>
              <w:tr2bl w:val="nil"/>
            </w:tcBorders>
            <w:shd w:val="clear" w:color="auto" w:fill="auto"/>
            <w:vAlign w:val="center"/>
          </w:tcPr>
          <w:p w14:paraId="63A95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2EAFB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新增</w:t>
            </w:r>
          </w:p>
        </w:tc>
      </w:tr>
      <w:tr w14:paraId="25C639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317" w:type="pct"/>
            <w:tcBorders>
              <w:tl2br w:val="nil"/>
              <w:tr2bl w:val="nil"/>
            </w:tcBorders>
            <w:shd w:val="clear" w:color="auto" w:fill="auto"/>
            <w:vAlign w:val="center"/>
          </w:tcPr>
          <w:p w14:paraId="7BD42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6</w:t>
            </w:r>
          </w:p>
        </w:tc>
        <w:tc>
          <w:tcPr>
            <w:tcW w:w="1027" w:type="pct"/>
            <w:tcBorders>
              <w:tl2br w:val="nil"/>
              <w:tr2bl w:val="nil"/>
            </w:tcBorders>
            <w:shd w:val="clear" w:color="auto" w:fill="auto"/>
            <w:vAlign w:val="center"/>
          </w:tcPr>
          <w:p w14:paraId="0813A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轴流风机</w:t>
            </w:r>
          </w:p>
        </w:tc>
        <w:tc>
          <w:tcPr>
            <w:tcW w:w="1917" w:type="pct"/>
            <w:tcBorders>
              <w:tl2br w:val="nil"/>
              <w:tr2bl w:val="nil"/>
            </w:tcBorders>
            <w:shd w:val="clear" w:color="auto" w:fill="auto"/>
            <w:vAlign w:val="center"/>
          </w:tcPr>
          <w:p w14:paraId="67F74C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风量6529</w:t>
            </w:r>
            <w:r>
              <w:rPr>
                <w:rFonts w:hint="default" w:ascii="Times New Roman" w:hAnsi="Times New Roman" w:cs="Times New Roman"/>
                <w:color w:val="auto"/>
                <w:sz w:val="21"/>
                <w:szCs w:val="21"/>
                <w:highlight w:val="none"/>
                <w:u w:val="none" w:color="auto"/>
                <w:lang w:val="en-US" w:eastAsia="zh-CN"/>
              </w:rPr>
              <w:t>m</w:t>
            </w:r>
            <w:r>
              <w:rPr>
                <w:rFonts w:hint="default" w:ascii="Times New Roman" w:hAnsi="Times New Roman" w:cs="Times New Roman"/>
                <w:color w:val="auto"/>
                <w:sz w:val="21"/>
                <w:szCs w:val="21"/>
                <w:highlight w:val="none"/>
                <w:u w:val="none" w:color="auto"/>
                <w:vertAlign w:val="superscript"/>
                <w:lang w:val="en-US" w:eastAsia="zh-CN"/>
              </w:rPr>
              <w:t>3</w:t>
            </w:r>
            <w:r>
              <w:rPr>
                <w:rFonts w:hint="default" w:ascii="Times New Roman" w:hAnsi="Times New Roman" w:cs="Times New Roman"/>
                <w:color w:val="auto"/>
                <w:sz w:val="21"/>
                <w:szCs w:val="21"/>
                <w:highlight w:val="none"/>
                <w:u w:val="none" w:color="auto"/>
                <w:lang w:val="en-US" w:eastAsia="zh-CN"/>
              </w:rPr>
              <w:t>/h，N=0.37kW</w:t>
            </w:r>
          </w:p>
        </w:tc>
        <w:tc>
          <w:tcPr>
            <w:tcW w:w="447" w:type="pct"/>
            <w:tcBorders>
              <w:tl2br w:val="nil"/>
              <w:tr2bl w:val="nil"/>
            </w:tcBorders>
            <w:shd w:val="clear" w:color="auto" w:fill="auto"/>
            <w:vAlign w:val="center"/>
          </w:tcPr>
          <w:p w14:paraId="3C799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11</w:t>
            </w:r>
          </w:p>
        </w:tc>
        <w:tc>
          <w:tcPr>
            <w:tcW w:w="468" w:type="pct"/>
            <w:tcBorders>
              <w:tl2br w:val="nil"/>
              <w:tr2bl w:val="nil"/>
            </w:tcBorders>
            <w:shd w:val="clear" w:color="auto" w:fill="auto"/>
            <w:vAlign w:val="center"/>
          </w:tcPr>
          <w:p w14:paraId="2713F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4CD773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新增</w:t>
            </w:r>
          </w:p>
        </w:tc>
      </w:tr>
      <w:tr w14:paraId="2CABDA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3" w:hRule="atLeast"/>
          <w:jc w:val="center"/>
        </w:trPr>
        <w:tc>
          <w:tcPr>
            <w:tcW w:w="317" w:type="pct"/>
            <w:tcBorders>
              <w:tl2br w:val="nil"/>
              <w:tr2bl w:val="nil"/>
            </w:tcBorders>
            <w:shd w:val="clear" w:color="auto" w:fill="auto"/>
            <w:vAlign w:val="center"/>
          </w:tcPr>
          <w:p w14:paraId="7C90F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7</w:t>
            </w:r>
          </w:p>
        </w:tc>
        <w:tc>
          <w:tcPr>
            <w:tcW w:w="1027" w:type="pct"/>
            <w:tcBorders>
              <w:tl2br w:val="nil"/>
              <w:tr2bl w:val="nil"/>
            </w:tcBorders>
            <w:shd w:val="clear" w:color="auto" w:fill="auto"/>
            <w:vAlign w:val="center"/>
          </w:tcPr>
          <w:p w14:paraId="3C176A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空压机</w:t>
            </w:r>
          </w:p>
        </w:tc>
        <w:tc>
          <w:tcPr>
            <w:tcW w:w="1917" w:type="pct"/>
            <w:tcBorders>
              <w:tl2br w:val="nil"/>
              <w:tr2bl w:val="nil"/>
            </w:tcBorders>
            <w:shd w:val="clear" w:color="auto" w:fill="auto"/>
            <w:vAlign w:val="center"/>
          </w:tcPr>
          <w:p w14:paraId="793C4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Q=</w:t>
            </w:r>
            <w:r>
              <w:rPr>
                <w:rFonts w:hint="default" w:ascii="Times New Roman" w:hAnsi="Times New Roman" w:cs="Times New Roman"/>
                <w:b w:val="0"/>
                <w:bCs w:val="0"/>
                <w:i w:val="0"/>
                <w:iCs w:val="0"/>
                <w:color w:val="auto"/>
                <w:kern w:val="0"/>
                <w:sz w:val="21"/>
                <w:szCs w:val="21"/>
                <w:highlight w:val="none"/>
                <w:u w:val="none" w:color="auto"/>
                <w:lang w:val="en-US" w:eastAsia="zh-CN" w:bidi="ar"/>
              </w:rPr>
              <w:t>1.82</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m</w:t>
            </w:r>
            <w:r>
              <w:rPr>
                <w:rFonts w:hint="default" w:ascii="Times New Roman" w:hAnsi="Times New Roman" w:eastAsia="宋体" w:cs="Times New Roman"/>
                <w:b w:val="0"/>
                <w:bCs w:val="0"/>
                <w:i w:val="0"/>
                <w:iCs w:val="0"/>
                <w:color w:val="auto"/>
                <w:kern w:val="0"/>
                <w:sz w:val="21"/>
                <w:szCs w:val="21"/>
                <w:highlight w:val="none"/>
                <w:u w:val="none" w:color="auto"/>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r>
              <w:rPr>
                <w:rFonts w:hint="default" w:ascii="Times New Roman" w:hAnsi="Times New Roman" w:cs="Times New Roman"/>
                <w:b w:val="0"/>
                <w:bCs w:val="0"/>
                <w:i w:val="0"/>
                <w:iCs w:val="0"/>
                <w:color w:val="auto"/>
                <w:kern w:val="0"/>
                <w:sz w:val="21"/>
                <w:szCs w:val="21"/>
                <w:highlight w:val="none"/>
                <w:u w:val="none" w:color="auto"/>
                <w:lang w:val="en-US" w:eastAsia="zh-CN" w:bidi="ar"/>
              </w:rPr>
              <w:t>min</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r>
              <w:rPr>
                <w:rFonts w:hint="default" w:ascii="Times New Roman" w:hAnsi="Times New Roman" w:cs="Times New Roman"/>
                <w:b w:val="0"/>
                <w:bCs w:val="0"/>
                <w:i w:val="0"/>
                <w:iCs w:val="0"/>
                <w:color w:val="auto"/>
                <w:kern w:val="0"/>
                <w:sz w:val="21"/>
                <w:szCs w:val="21"/>
                <w:highlight w:val="none"/>
                <w:u w:val="none" w:color="auto"/>
                <w:lang w:val="en-US" w:eastAsia="zh-CN" w:bidi="ar"/>
              </w:rPr>
              <w:t>1.0MPa</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r>
              <w:rPr>
                <w:rFonts w:hint="default" w:ascii="Times New Roman" w:hAnsi="Times New Roman" w:cs="Times New Roman"/>
                <w:b w:val="0"/>
                <w:bCs w:val="0"/>
                <w:i w:val="0"/>
                <w:iCs w:val="0"/>
                <w:color w:val="auto"/>
                <w:kern w:val="0"/>
                <w:sz w:val="21"/>
                <w:szCs w:val="21"/>
                <w:highlight w:val="none"/>
                <w:u w:val="none" w:color="auto"/>
                <w:lang w:val="en-US" w:eastAsia="zh-CN" w:bidi="ar"/>
              </w:rPr>
              <w:t>15</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kw</w:t>
            </w:r>
          </w:p>
        </w:tc>
        <w:tc>
          <w:tcPr>
            <w:tcW w:w="447" w:type="pct"/>
            <w:tcBorders>
              <w:tl2br w:val="nil"/>
              <w:tr2bl w:val="nil"/>
            </w:tcBorders>
            <w:shd w:val="clear" w:color="auto" w:fill="auto"/>
            <w:vAlign w:val="center"/>
          </w:tcPr>
          <w:p w14:paraId="052AD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1</w:t>
            </w:r>
          </w:p>
        </w:tc>
        <w:tc>
          <w:tcPr>
            <w:tcW w:w="468" w:type="pct"/>
            <w:tcBorders>
              <w:tl2br w:val="nil"/>
              <w:tr2bl w:val="nil"/>
            </w:tcBorders>
            <w:shd w:val="clear" w:color="auto" w:fill="auto"/>
            <w:vAlign w:val="center"/>
          </w:tcPr>
          <w:p w14:paraId="5243F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30DD0D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新增</w:t>
            </w:r>
          </w:p>
        </w:tc>
      </w:tr>
      <w:tr w14:paraId="659395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1" w:hRule="atLeast"/>
          <w:jc w:val="center"/>
        </w:trPr>
        <w:tc>
          <w:tcPr>
            <w:tcW w:w="317" w:type="pct"/>
            <w:tcBorders>
              <w:tl2br w:val="nil"/>
              <w:tr2bl w:val="nil"/>
            </w:tcBorders>
            <w:shd w:val="clear" w:color="auto" w:fill="auto"/>
            <w:vAlign w:val="center"/>
          </w:tcPr>
          <w:p w14:paraId="7BC5DE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8</w:t>
            </w:r>
          </w:p>
        </w:tc>
        <w:tc>
          <w:tcPr>
            <w:tcW w:w="1027" w:type="pct"/>
            <w:tcBorders>
              <w:tl2br w:val="nil"/>
              <w:tr2bl w:val="nil"/>
            </w:tcBorders>
            <w:shd w:val="clear" w:color="auto" w:fill="auto"/>
            <w:vAlign w:val="center"/>
          </w:tcPr>
          <w:p w14:paraId="13FB1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高压清洗泵</w:t>
            </w:r>
          </w:p>
        </w:tc>
        <w:tc>
          <w:tcPr>
            <w:tcW w:w="1917" w:type="pct"/>
            <w:tcBorders>
              <w:tl2br w:val="nil"/>
              <w:tr2bl w:val="nil"/>
            </w:tcBorders>
            <w:shd w:val="clear" w:color="auto" w:fill="auto"/>
            <w:vAlign w:val="center"/>
          </w:tcPr>
          <w:p w14:paraId="64BDE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Q=</w:t>
            </w:r>
            <w:r>
              <w:rPr>
                <w:rFonts w:hint="default" w:ascii="Times New Roman" w:hAnsi="Times New Roman" w:cs="Times New Roman"/>
                <w:b w:val="0"/>
                <w:bCs w:val="0"/>
                <w:i w:val="0"/>
                <w:iCs w:val="0"/>
                <w:color w:val="auto"/>
                <w:kern w:val="0"/>
                <w:sz w:val="21"/>
                <w:szCs w:val="21"/>
                <w:highlight w:val="none"/>
                <w:u w:val="none" w:color="auto"/>
                <w:lang w:val="en-US" w:eastAsia="zh-CN" w:bidi="ar"/>
              </w:rPr>
              <w:t>12.8</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m</w:t>
            </w:r>
            <w:r>
              <w:rPr>
                <w:rFonts w:hint="default" w:ascii="Times New Roman" w:hAnsi="Times New Roman" w:eastAsia="宋体" w:cs="Times New Roman"/>
                <w:b w:val="0"/>
                <w:bCs w:val="0"/>
                <w:i w:val="0"/>
                <w:iCs w:val="0"/>
                <w:color w:val="auto"/>
                <w:kern w:val="0"/>
                <w:sz w:val="21"/>
                <w:szCs w:val="21"/>
                <w:highlight w:val="none"/>
                <w:u w:val="none" w:color="auto"/>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r>
              <w:rPr>
                <w:rFonts w:hint="default" w:ascii="Times New Roman" w:hAnsi="Times New Roman" w:cs="Times New Roman"/>
                <w:b w:val="0"/>
                <w:bCs w:val="0"/>
                <w:i w:val="0"/>
                <w:iCs w:val="0"/>
                <w:color w:val="auto"/>
                <w:kern w:val="0"/>
                <w:sz w:val="21"/>
                <w:szCs w:val="21"/>
                <w:highlight w:val="none"/>
                <w:u w:val="none" w:color="auto"/>
                <w:lang w:val="en-US" w:eastAsia="zh-CN" w:bidi="ar"/>
              </w:rPr>
              <w:t>h</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r>
              <w:rPr>
                <w:rFonts w:hint="default" w:ascii="Times New Roman" w:hAnsi="Times New Roman" w:cs="Times New Roman"/>
                <w:b w:val="0"/>
                <w:bCs w:val="0"/>
                <w:i w:val="0"/>
                <w:iCs w:val="0"/>
                <w:color w:val="auto"/>
                <w:kern w:val="0"/>
                <w:sz w:val="21"/>
                <w:szCs w:val="21"/>
                <w:highlight w:val="none"/>
                <w:u w:val="none" w:color="auto"/>
                <w:lang w:val="en-US" w:eastAsia="zh-CN" w:bidi="ar"/>
              </w:rPr>
              <w:t>5.0MPa</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r>
              <w:rPr>
                <w:rFonts w:hint="default" w:ascii="Times New Roman" w:hAnsi="Times New Roman" w:cs="Times New Roman"/>
                <w:b w:val="0"/>
                <w:bCs w:val="0"/>
                <w:i w:val="0"/>
                <w:iCs w:val="0"/>
                <w:color w:val="auto"/>
                <w:kern w:val="0"/>
                <w:sz w:val="21"/>
                <w:szCs w:val="21"/>
                <w:highlight w:val="none"/>
                <w:u w:val="none" w:color="auto"/>
                <w:lang w:val="en-US" w:eastAsia="zh-CN" w:bidi="ar"/>
              </w:rPr>
              <w:t>18.5</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kw</w:t>
            </w:r>
          </w:p>
        </w:tc>
        <w:tc>
          <w:tcPr>
            <w:tcW w:w="447" w:type="pct"/>
            <w:tcBorders>
              <w:tl2br w:val="nil"/>
              <w:tr2bl w:val="nil"/>
            </w:tcBorders>
            <w:shd w:val="clear" w:color="auto" w:fill="auto"/>
            <w:vAlign w:val="center"/>
          </w:tcPr>
          <w:p w14:paraId="677886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2</w:t>
            </w:r>
          </w:p>
        </w:tc>
        <w:tc>
          <w:tcPr>
            <w:tcW w:w="468" w:type="pct"/>
            <w:tcBorders>
              <w:tl2br w:val="nil"/>
              <w:tr2bl w:val="nil"/>
            </w:tcBorders>
            <w:shd w:val="clear" w:color="auto" w:fill="auto"/>
            <w:vAlign w:val="center"/>
          </w:tcPr>
          <w:p w14:paraId="102FD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5CFB39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一备一用</w:t>
            </w:r>
          </w:p>
        </w:tc>
      </w:tr>
      <w:tr w14:paraId="3DE0F2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00" w:type="pct"/>
            <w:gridSpan w:val="6"/>
            <w:tcBorders>
              <w:tl2br w:val="nil"/>
              <w:tr2bl w:val="nil"/>
            </w:tcBorders>
            <w:shd w:val="clear" w:color="auto" w:fill="auto"/>
            <w:vAlign w:val="center"/>
          </w:tcPr>
          <w:p w14:paraId="13E70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bCs/>
                <w:i w:val="0"/>
                <w:iCs w:val="0"/>
                <w:color w:val="auto"/>
                <w:kern w:val="0"/>
                <w:sz w:val="21"/>
                <w:szCs w:val="21"/>
                <w:highlight w:val="none"/>
                <w:u w:val="none" w:color="auto"/>
                <w:lang w:val="en-US" w:eastAsia="zh-CN" w:bidi="ar"/>
              </w:rPr>
              <w:t>在线监测房</w:t>
            </w:r>
          </w:p>
        </w:tc>
      </w:tr>
      <w:tr w14:paraId="68EE5A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4" w:hRule="atLeast"/>
          <w:jc w:val="center"/>
        </w:trPr>
        <w:tc>
          <w:tcPr>
            <w:tcW w:w="317" w:type="pct"/>
            <w:vMerge w:val="restart"/>
            <w:tcBorders>
              <w:tl2br w:val="nil"/>
              <w:tr2bl w:val="nil"/>
            </w:tcBorders>
            <w:shd w:val="clear" w:color="auto" w:fill="auto"/>
            <w:vAlign w:val="center"/>
          </w:tcPr>
          <w:p w14:paraId="7C2ACC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进水在线监测</w:t>
            </w:r>
          </w:p>
        </w:tc>
        <w:tc>
          <w:tcPr>
            <w:tcW w:w="1027" w:type="pct"/>
            <w:tcBorders>
              <w:tl2br w:val="nil"/>
              <w:tr2bl w:val="nil"/>
            </w:tcBorders>
            <w:shd w:val="clear" w:color="auto" w:fill="auto"/>
            <w:vAlign w:val="center"/>
          </w:tcPr>
          <w:p w14:paraId="72BBA261">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eastAsia="zh-CN"/>
              </w:rPr>
              <w:t>在线</w:t>
            </w:r>
            <w:r>
              <w:rPr>
                <w:rFonts w:hint="default" w:ascii="Times New Roman" w:hAnsi="Times New Roman" w:cs="Times New Roman"/>
                <w:color w:val="auto"/>
                <w:highlight w:val="none"/>
                <w:u w:val="none"/>
                <w:lang w:val="en-US" w:eastAsia="zh-CN"/>
              </w:rPr>
              <w:t>COD检测仪</w:t>
            </w:r>
          </w:p>
        </w:tc>
        <w:tc>
          <w:tcPr>
            <w:tcW w:w="1917" w:type="pct"/>
            <w:tcBorders>
              <w:tl2br w:val="nil"/>
              <w:tr2bl w:val="nil"/>
            </w:tcBorders>
            <w:shd w:val="clear" w:color="auto" w:fill="auto"/>
            <w:vAlign w:val="center"/>
          </w:tcPr>
          <w:p w14:paraId="35C6AF72">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测量量程：0～2000mg/L</w:t>
            </w:r>
          </w:p>
        </w:tc>
        <w:tc>
          <w:tcPr>
            <w:tcW w:w="447" w:type="pct"/>
            <w:tcBorders>
              <w:tl2br w:val="nil"/>
              <w:tr2bl w:val="nil"/>
            </w:tcBorders>
            <w:shd w:val="clear" w:color="auto" w:fill="auto"/>
            <w:vAlign w:val="center"/>
          </w:tcPr>
          <w:p w14:paraId="4F98F35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1</w:t>
            </w:r>
          </w:p>
        </w:tc>
        <w:tc>
          <w:tcPr>
            <w:tcW w:w="869" w:type="dxa"/>
            <w:tcBorders>
              <w:tl2br w:val="nil"/>
              <w:tr2bl w:val="nil"/>
            </w:tcBorders>
            <w:shd w:val="clear" w:color="auto" w:fill="auto"/>
            <w:vAlign w:val="center"/>
          </w:tcPr>
          <w:p w14:paraId="49511F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76787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利旧</w:t>
            </w:r>
          </w:p>
        </w:tc>
      </w:tr>
      <w:tr w14:paraId="1A8445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1" w:hRule="atLeast"/>
          <w:jc w:val="center"/>
        </w:trPr>
        <w:tc>
          <w:tcPr>
            <w:tcW w:w="317" w:type="pct"/>
            <w:vMerge w:val="continue"/>
            <w:tcBorders>
              <w:tl2br w:val="nil"/>
              <w:tr2bl w:val="nil"/>
            </w:tcBorders>
            <w:shd w:val="clear" w:color="auto" w:fill="auto"/>
            <w:vAlign w:val="center"/>
          </w:tcPr>
          <w:p w14:paraId="2658A0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p>
        </w:tc>
        <w:tc>
          <w:tcPr>
            <w:tcW w:w="1027" w:type="pct"/>
            <w:tcBorders>
              <w:tl2br w:val="nil"/>
              <w:tr2bl w:val="nil"/>
            </w:tcBorders>
            <w:shd w:val="clear" w:color="auto" w:fill="auto"/>
            <w:vAlign w:val="center"/>
          </w:tcPr>
          <w:p w14:paraId="6A59FD4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eastAsia="zh-CN"/>
              </w:rPr>
              <w:t>在线</w:t>
            </w:r>
            <w:r>
              <w:rPr>
                <w:rFonts w:hint="default" w:ascii="Times New Roman" w:hAnsi="Times New Roman" w:cs="Times New Roman"/>
                <w:color w:val="auto"/>
                <w:highlight w:val="none"/>
                <w:u w:val="none"/>
                <w:lang w:val="en-US" w:eastAsia="zh-CN"/>
              </w:rPr>
              <w:t>氨氮检测仪</w:t>
            </w:r>
          </w:p>
        </w:tc>
        <w:tc>
          <w:tcPr>
            <w:tcW w:w="1917" w:type="pct"/>
            <w:tcBorders>
              <w:tl2br w:val="nil"/>
              <w:tr2bl w:val="nil"/>
            </w:tcBorders>
            <w:shd w:val="clear" w:color="auto" w:fill="auto"/>
            <w:vAlign w:val="center"/>
          </w:tcPr>
          <w:p w14:paraId="5BBFF4C1">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测量量程：0～500mg/L</w:t>
            </w:r>
          </w:p>
        </w:tc>
        <w:tc>
          <w:tcPr>
            <w:tcW w:w="447" w:type="pct"/>
            <w:tcBorders>
              <w:tl2br w:val="nil"/>
              <w:tr2bl w:val="nil"/>
            </w:tcBorders>
            <w:shd w:val="clear" w:color="auto" w:fill="auto"/>
            <w:vAlign w:val="center"/>
          </w:tcPr>
          <w:p w14:paraId="474508AC">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1</w:t>
            </w:r>
          </w:p>
        </w:tc>
        <w:tc>
          <w:tcPr>
            <w:tcW w:w="869" w:type="dxa"/>
            <w:tcBorders>
              <w:tl2br w:val="nil"/>
              <w:tr2bl w:val="nil"/>
            </w:tcBorders>
            <w:shd w:val="clear" w:color="auto" w:fill="auto"/>
            <w:vAlign w:val="center"/>
          </w:tcPr>
          <w:p w14:paraId="4F9F36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69633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利旧</w:t>
            </w:r>
          </w:p>
        </w:tc>
      </w:tr>
      <w:tr w14:paraId="6CC550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1" w:hRule="atLeast"/>
          <w:jc w:val="center"/>
        </w:trPr>
        <w:tc>
          <w:tcPr>
            <w:tcW w:w="317" w:type="pct"/>
            <w:vMerge w:val="continue"/>
            <w:tcBorders>
              <w:tl2br w:val="nil"/>
              <w:tr2bl w:val="nil"/>
            </w:tcBorders>
            <w:shd w:val="clear" w:color="auto" w:fill="auto"/>
            <w:vAlign w:val="center"/>
          </w:tcPr>
          <w:p w14:paraId="02BAF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p>
        </w:tc>
        <w:tc>
          <w:tcPr>
            <w:tcW w:w="1027" w:type="pct"/>
            <w:tcBorders>
              <w:tl2br w:val="nil"/>
              <w:tr2bl w:val="nil"/>
            </w:tcBorders>
            <w:shd w:val="clear" w:color="auto" w:fill="auto"/>
            <w:vAlign w:val="center"/>
          </w:tcPr>
          <w:p w14:paraId="24908E3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eastAsia="zh-CN"/>
              </w:rPr>
              <w:t>在线</w:t>
            </w:r>
            <w:r>
              <w:rPr>
                <w:rFonts w:hint="default" w:ascii="Times New Roman" w:hAnsi="Times New Roman" w:cs="Times New Roman"/>
                <w:color w:val="auto"/>
                <w:highlight w:val="none"/>
                <w:u w:val="none"/>
                <w:lang w:val="en-US" w:eastAsia="zh-CN"/>
              </w:rPr>
              <w:t>总氮检测仪</w:t>
            </w:r>
          </w:p>
        </w:tc>
        <w:tc>
          <w:tcPr>
            <w:tcW w:w="1917" w:type="pct"/>
            <w:tcBorders>
              <w:tl2br w:val="nil"/>
              <w:tr2bl w:val="nil"/>
            </w:tcBorders>
            <w:shd w:val="clear" w:color="auto" w:fill="auto"/>
            <w:vAlign w:val="center"/>
          </w:tcPr>
          <w:p w14:paraId="7360E0C5">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测量量程：0～1000mg/L</w:t>
            </w:r>
          </w:p>
        </w:tc>
        <w:tc>
          <w:tcPr>
            <w:tcW w:w="447" w:type="pct"/>
            <w:tcBorders>
              <w:tl2br w:val="nil"/>
              <w:tr2bl w:val="nil"/>
            </w:tcBorders>
            <w:shd w:val="clear" w:color="auto" w:fill="auto"/>
            <w:vAlign w:val="center"/>
          </w:tcPr>
          <w:p w14:paraId="2500DFC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1</w:t>
            </w:r>
          </w:p>
        </w:tc>
        <w:tc>
          <w:tcPr>
            <w:tcW w:w="869" w:type="dxa"/>
            <w:tcBorders>
              <w:tl2br w:val="nil"/>
              <w:tr2bl w:val="nil"/>
            </w:tcBorders>
            <w:shd w:val="clear" w:color="auto" w:fill="auto"/>
            <w:vAlign w:val="center"/>
          </w:tcPr>
          <w:p w14:paraId="3D3FFD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6E9A2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利旧</w:t>
            </w:r>
          </w:p>
        </w:tc>
      </w:tr>
      <w:tr w14:paraId="5057C8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1" w:hRule="atLeast"/>
          <w:jc w:val="center"/>
        </w:trPr>
        <w:tc>
          <w:tcPr>
            <w:tcW w:w="317" w:type="pct"/>
            <w:vMerge w:val="continue"/>
            <w:tcBorders>
              <w:tl2br w:val="nil"/>
              <w:tr2bl w:val="nil"/>
            </w:tcBorders>
            <w:shd w:val="clear" w:color="auto" w:fill="auto"/>
            <w:vAlign w:val="center"/>
          </w:tcPr>
          <w:p w14:paraId="72FF3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p>
        </w:tc>
        <w:tc>
          <w:tcPr>
            <w:tcW w:w="1027" w:type="pct"/>
            <w:tcBorders>
              <w:tl2br w:val="nil"/>
              <w:tr2bl w:val="nil"/>
            </w:tcBorders>
            <w:shd w:val="clear" w:color="auto" w:fill="auto"/>
            <w:vAlign w:val="center"/>
          </w:tcPr>
          <w:p w14:paraId="5D278AA1">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eastAsia="zh-CN"/>
              </w:rPr>
              <w:t>在线总磷</w:t>
            </w:r>
            <w:r>
              <w:rPr>
                <w:rFonts w:hint="default" w:ascii="Times New Roman" w:hAnsi="Times New Roman" w:cs="Times New Roman"/>
                <w:color w:val="auto"/>
                <w:highlight w:val="none"/>
                <w:u w:val="none"/>
                <w:lang w:val="en-US" w:eastAsia="zh-CN"/>
              </w:rPr>
              <w:t>检测仪</w:t>
            </w:r>
          </w:p>
        </w:tc>
        <w:tc>
          <w:tcPr>
            <w:tcW w:w="1917" w:type="pct"/>
            <w:tcBorders>
              <w:tl2br w:val="nil"/>
              <w:tr2bl w:val="nil"/>
            </w:tcBorders>
            <w:shd w:val="clear" w:color="auto" w:fill="auto"/>
            <w:vAlign w:val="center"/>
          </w:tcPr>
          <w:p w14:paraId="1B696210">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测量量程：0～500mg/L</w:t>
            </w:r>
          </w:p>
        </w:tc>
        <w:tc>
          <w:tcPr>
            <w:tcW w:w="447" w:type="pct"/>
            <w:tcBorders>
              <w:tl2br w:val="nil"/>
              <w:tr2bl w:val="nil"/>
            </w:tcBorders>
            <w:shd w:val="clear" w:color="auto" w:fill="auto"/>
            <w:vAlign w:val="center"/>
          </w:tcPr>
          <w:p w14:paraId="37D0B6AC">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1</w:t>
            </w:r>
          </w:p>
        </w:tc>
        <w:tc>
          <w:tcPr>
            <w:tcW w:w="869" w:type="dxa"/>
            <w:tcBorders>
              <w:tl2br w:val="nil"/>
              <w:tr2bl w:val="nil"/>
            </w:tcBorders>
            <w:shd w:val="clear" w:color="auto" w:fill="auto"/>
            <w:vAlign w:val="center"/>
          </w:tcPr>
          <w:p w14:paraId="4FB91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04C23B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利旧</w:t>
            </w:r>
          </w:p>
        </w:tc>
      </w:tr>
      <w:tr w14:paraId="4BD810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317" w:type="pct"/>
            <w:vMerge w:val="restart"/>
            <w:tcBorders>
              <w:tl2br w:val="nil"/>
              <w:tr2bl w:val="nil"/>
            </w:tcBorders>
            <w:shd w:val="clear" w:color="auto" w:fill="auto"/>
            <w:vAlign w:val="center"/>
          </w:tcPr>
          <w:p w14:paraId="356FF2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出水在线监测</w:t>
            </w:r>
          </w:p>
        </w:tc>
        <w:tc>
          <w:tcPr>
            <w:tcW w:w="1027" w:type="pct"/>
            <w:tcBorders>
              <w:tl2br w:val="nil"/>
              <w:tr2bl w:val="nil"/>
            </w:tcBorders>
            <w:shd w:val="clear" w:color="auto" w:fill="auto"/>
            <w:vAlign w:val="center"/>
          </w:tcPr>
          <w:p w14:paraId="15B33B1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eastAsia="zh-CN"/>
              </w:rPr>
              <w:t>在线</w:t>
            </w:r>
            <w:r>
              <w:rPr>
                <w:rFonts w:hint="default" w:ascii="Times New Roman" w:hAnsi="Times New Roman" w:cs="Times New Roman"/>
                <w:color w:val="auto"/>
                <w:highlight w:val="none"/>
                <w:u w:val="none"/>
                <w:lang w:val="en-US" w:eastAsia="zh-CN"/>
              </w:rPr>
              <w:t>COD检测仪</w:t>
            </w:r>
          </w:p>
        </w:tc>
        <w:tc>
          <w:tcPr>
            <w:tcW w:w="1917" w:type="pct"/>
            <w:tcBorders>
              <w:tl2br w:val="nil"/>
              <w:tr2bl w:val="nil"/>
            </w:tcBorders>
            <w:shd w:val="clear" w:color="auto" w:fill="auto"/>
            <w:vAlign w:val="center"/>
          </w:tcPr>
          <w:p w14:paraId="793A0B0A">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测量量程：0～2000mg/L</w:t>
            </w:r>
          </w:p>
        </w:tc>
        <w:tc>
          <w:tcPr>
            <w:tcW w:w="447" w:type="pct"/>
            <w:tcBorders>
              <w:tl2br w:val="nil"/>
              <w:tr2bl w:val="nil"/>
            </w:tcBorders>
            <w:shd w:val="clear" w:color="auto" w:fill="auto"/>
            <w:vAlign w:val="center"/>
          </w:tcPr>
          <w:p w14:paraId="0459123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1</w:t>
            </w:r>
          </w:p>
        </w:tc>
        <w:tc>
          <w:tcPr>
            <w:tcW w:w="869" w:type="dxa"/>
            <w:tcBorders>
              <w:tl2br w:val="nil"/>
              <w:tr2bl w:val="nil"/>
            </w:tcBorders>
            <w:shd w:val="clear" w:color="auto" w:fill="auto"/>
            <w:vAlign w:val="center"/>
          </w:tcPr>
          <w:p w14:paraId="05FF2D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32BF0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利旧</w:t>
            </w:r>
          </w:p>
        </w:tc>
      </w:tr>
      <w:tr w14:paraId="66583E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1" w:hRule="atLeast"/>
          <w:jc w:val="center"/>
        </w:trPr>
        <w:tc>
          <w:tcPr>
            <w:tcW w:w="317" w:type="pct"/>
            <w:vMerge w:val="continue"/>
            <w:tcBorders>
              <w:tl2br w:val="nil"/>
              <w:tr2bl w:val="nil"/>
            </w:tcBorders>
            <w:shd w:val="clear" w:color="auto" w:fill="auto"/>
            <w:vAlign w:val="center"/>
          </w:tcPr>
          <w:p w14:paraId="4D9C0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p>
        </w:tc>
        <w:tc>
          <w:tcPr>
            <w:tcW w:w="1027" w:type="pct"/>
            <w:tcBorders>
              <w:tl2br w:val="nil"/>
              <w:tr2bl w:val="nil"/>
            </w:tcBorders>
            <w:shd w:val="clear" w:color="auto" w:fill="auto"/>
            <w:vAlign w:val="center"/>
          </w:tcPr>
          <w:p w14:paraId="0BDF2A84">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eastAsia="zh-CN"/>
              </w:rPr>
              <w:t>在线</w:t>
            </w:r>
            <w:r>
              <w:rPr>
                <w:rFonts w:hint="default" w:ascii="Times New Roman" w:hAnsi="Times New Roman" w:cs="Times New Roman"/>
                <w:color w:val="auto"/>
                <w:highlight w:val="none"/>
                <w:u w:val="none"/>
                <w:lang w:val="en-US" w:eastAsia="zh-CN"/>
              </w:rPr>
              <w:t>氨氮检测仪</w:t>
            </w:r>
          </w:p>
        </w:tc>
        <w:tc>
          <w:tcPr>
            <w:tcW w:w="1917" w:type="pct"/>
            <w:tcBorders>
              <w:tl2br w:val="nil"/>
              <w:tr2bl w:val="nil"/>
            </w:tcBorders>
            <w:shd w:val="clear" w:color="auto" w:fill="auto"/>
            <w:vAlign w:val="center"/>
          </w:tcPr>
          <w:p w14:paraId="0400D208">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测量量程：0～500mg/L</w:t>
            </w:r>
          </w:p>
        </w:tc>
        <w:tc>
          <w:tcPr>
            <w:tcW w:w="447" w:type="pct"/>
            <w:tcBorders>
              <w:tl2br w:val="nil"/>
              <w:tr2bl w:val="nil"/>
            </w:tcBorders>
            <w:shd w:val="clear" w:color="auto" w:fill="auto"/>
            <w:vAlign w:val="center"/>
          </w:tcPr>
          <w:p w14:paraId="0B6CD3B9">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1</w:t>
            </w:r>
          </w:p>
        </w:tc>
        <w:tc>
          <w:tcPr>
            <w:tcW w:w="869" w:type="dxa"/>
            <w:tcBorders>
              <w:tl2br w:val="nil"/>
              <w:tr2bl w:val="nil"/>
            </w:tcBorders>
            <w:shd w:val="clear" w:color="auto" w:fill="auto"/>
            <w:vAlign w:val="center"/>
          </w:tcPr>
          <w:p w14:paraId="4534A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1B0DDD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利旧</w:t>
            </w:r>
          </w:p>
        </w:tc>
      </w:tr>
      <w:tr w14:paraId="1B4EE3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317" w:type="pct"/>
            <w:vMerge w:val="continue"/>
            <w:tcBorders>
              <w:tl2br w:val="nil"/>
              <w:tr2bl w:val="nil"/>
            </w:tcBorders>
            <w:shd w:val="clear" w:color="auto" w:fill="auto"/>
            <w:vAlign w:val="center"/>
          </w:tcPr>
          <w:p w14:paraId="211DC6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p>
        </w:tc>
        <w:tc>
          <w:tcPr>
            <w:tcW w:w="1027" w:type="pct"/>
            <w:tcBorders>
              <w:tl2br w:val="nil"/>
              <w:tr2bl w:val="nil"/>
            </w:tcBorders>
            <w:shd w:val="clear" w:color="auto" w:fill="auto"/>
            <w:vAlign w:val="center"/>
          </w:tcPr>
          <w:p w14:paraId="565C459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eastAsia="zh-CN"/>
              </w:rPr>
              <w:t>在线</w:t>
            </w:r>
            <w:r>
              <w:rPr>
                <w:rFonts w:hint="default" w:ascii="Times New Roman" w:hAnsi="Times New Roman" w:cs="Times New Roman"/>
                <w:color w:val="auto"/>
                <w:highlight w:val="none"/>
                <w:u w:val="none"/>
                <w:lang w:val="en-US" w:eastAsia="zh-CN"/>
              </w:rPr>
              <w:t>总氮检测仪</w:t>
            </w:r>
          </w:p>
        </w:tc>
        <w:tc>
          <w:tcPr>
            <w:tcW w:w="1917" w:type="pct"/>
            <w:tcBorders>
              <w:tl2br w:val="nil"/>
              <w:tr2bl w:val="nil"/>
            </w:tcBorders>
            <w:shd w:val="clear" w:color="auto" w:fill="auto"/>
            <w:vAlign w:val="center"/>
          </w:tcPr>
          <w:p w14:paraId="4D22E2EA">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测量量程：0～1000mg/L</w:t>
            </w:r>
          </w:p>
        </w:tc>
        <w:tc>
          <w:tcPr>
            <w:tcW w:w="447" w:type="pct"/>
            <w:tcBorders>
              <w:tl2br w:val="nil"/>
              <w:tr2bl w:val="nil"/>
            </w:tcBorders>
            <w:shd w:val="clear" w:color="auto" w:fill="auto"/>
            <w:vAlign w:val="center"/>
          </w:tcPr>
          <w:p w14:paraId="50CB397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1</w:t>
            </w:r>
          </w:p>
        </w:tc>
        <w:tc>
          <w:tcPr>
            <w:tcW w:w="869" w:type="dxa"/>
            <w:tcBorders>
              <w:tl2br w:val="nil"/>
              <w:tr2bl w:val="nil"/>
            </w:tcBorders>
            <w:shd w:val="clear" w:color="auto" w:fill="auto"/>
            <w:vAlign w:val="center"/>
          </w:tcPr>
          <w:p w14:paraId="1D60B8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3CE665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利旧</w:t>
            </w:r>
          </w:p>
        </w:tc>
      </w:tr>
      <w:tr w14:paraId="536D25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317" w:type="pct"/>
            <w:vMerge w:val="continue"/>
            <w:tcBorders>
              <w:tl2br w:val="nil"/>
              <w:tr2bl w:val="nil"/>
            </w:tcBorders>
            <w:shd w:val="clear" w:color="auto" w:fill="auto"/>
            <w:vAlign w:val="center"/>
          </w:tcPr>
          <w:p w14:paraId="4438EF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p>
        </w:tc>
        <w:tc>
          <w:tcPr>
            <w:tcW w:w="1027" w:type="pct"/>
            <w:tcBorders>
              <w:tl2br w:val="nil"/>
              <w:tr2bl w:val="nil"/>
            </w:tcBorders>
            <w:shd w:val="clear" w:color="auto" w:fill="auto"/>
            <w:vAlign w:val="center"/>
          </w:tcPr>
          <w:p w14:paraId="1E72A39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eastAsia="zh-CN"/>
              </w:rPr>
              <w:t>在线总磷</w:t>
            </w:r>
            <w:r>
              <w:rPr>
                <w:rFonts w:hint="default" w:ascii="Times New Roman" w:hAnsi="Times New Roman" w:cs="Times New Roman"/>
                <w:color w:val="auto"/>
                <w:highlight w:val="none"/>
                <w:u w:val="none"/>
                <w:lang w:val="en-US" w:eastAsia="zh-CN"/>
              </w:rPr>
              <w:t>检测仪</w:t>
            </w:r>
          </w:p>
        </w:tc>
        <w:tc>
          <w:tcPr>
            <w:tcW w:w="1917" w:type="pct"/>
            <w:tcBorders>
              <w:tl2br w:val="nil"/>
              <w:tr2bl w:val="nil"/>
            </w:tcBorders>
            <w:shd w:val="clear" w:color="auto" w:fill="auto"/>
            <w:vAlign w:val="center"/>
          </w:tcPr>
          <w:p w14:paraId="2AB18867">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测量量程：0～500mg/L</w:t>
            </w:r>
          </w:p>
        </w:tc>
        <w:tc>
          <w:tcPr>
            <w:tcW w:w="447" w:type="pct"/>
            <w:tcBorders>
              <w:tl2br w:val="nil"/>
              <w:tr2bl w:val="nil"/>
            </w:tcBorders>
            <w:shd w:val="clear" w:color="auto" w:fill="auto"/>
            <w:vAlign w:val="center"/>
          </w:tcPr>
          <w:p w14:paraId="78F226A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1</w:t>
            </w:r>
          </w:p>
        </w:tc>
        <w:tc>
          <w:tcPr>
            <w:tcW w:w="869" w:type="dxa"/>
            <w:tcBorders>
              <w:tl2br w:val="nil"/>
              <w:tr2bl w:val="nil"/>
            </w:tcBorders>
            <w:shd w:val="clear" w:color="auto" w:fill="auto"/>
            <w:vAlign w:val="center"/>
          </w:tcPr>
          <w:p w14:paraId="1A7DC4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6C9C1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利旧</w:t>
            </w:r>
          </w:p>
        </w:tc>
      </w:tr>
      <w:tr w14:paraId="60EEAB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317" w:type="pct"/>
            <w:vMerge w:val="continue"/>
            <w:tcBorders>
              <w:tl2br w:val="nil"/>
              <w:tr2bl w:val="nil"/>
            </w:tcBorders>
            <w:shd w:val="clear" w:color="auto" w:fill="auto"/>
            <w:vAlign w:val="center"/>
          </w:tcPr>
          <w:p w14:paraId="357FA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p>
        </w:tc>
        <w:tc>
          <w:tcPr>
            <w:tcW w:w="1027" w:type="pct"/>
            <w:tcBorders>
              <w:tl2br w:val="nil"/>
              <w:tr2bl w:val="nil"/>
            </w:tcBorders>
            <w:shd w:val="clear" w:color="auto" w:fill="auto"/>
            <w:vAlign w:val="center"/>
          </w:tcPr>
          <w:p w14:paraId="0C810748">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eastAsia="zh-CN"/>
              </w:rPr>
              <w:t>在线</w:t>
            </w:r>
            <w:r>
              <w:rPr>
                <w:rFonts w:hint="default" w:ascii="Times New Roman" w:hAnsi="Times New Roman" w:cs="Times New Roman"/>
                <w:color w:val="auto"/>
                <w:highlight w:val="none"/>
                <w:u w:val="none"/>
                <w:lang w:val="en-US" w:eastAsia="zh-CN"/>
              </w:rPr>
              <w:t>pH计</w:t>
            </w:r>
          </w:p>
        </w:tc>
        <w:tc>
          <w:tcPr>
            <w:tcW w:w="1917" w:type="pct"/>
            <w:tcBorders>
              <w:tl2br w:val="nil"/>
              <w:tr2bl w:val="nil"/>
            </w:tcBorders>
            <w:shd w:val="clear" w:color="auto" w:fill="auto"/>
            <w:vAlign w:val="center"/>
          </w:tcPr>
          <w:p w14:paraId="571FBEA7">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rPr>
              <w:t>信号输出：4～20mA，电压：AC220V，带温度显示，测定pH值：0～14</w:t>
            </w:r>
          </w:p>
        </w:tc>
        <w:tc>
          <w:tcPr>
            <w:tcW w:w="447" w:type="pct"/>
            <w:tcBorders>
              <w:tl2br w:val="nil"/>
              <w:tr2bl w:val="nil"/>
            </w:tcBorders>
            <w:shd w:val="clear" w:color="auto" w:fill="auto"/>
            <w:vAlign w:val="center"/>
          </w:tcPr>
          <w:p w14:paraId="4054175E">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val="en-US" w:eastAsia="zh-CN"/>
              </w:rPr>
              <w:t>1</w:t>
            </w:r>
          </w:p>
        </w:tc>
        <w:tc>
          <w:tcPr>
            <w:tcW w:w="869" w:type="dxa"/>
            <w:tcBorders>
              <w:tl2br w:val="nil"/>
              <w:tr2bl w:val="nil"/>
            </w:tcBorders>
            <w:shd w:val="clear" w:color="auto" w:fill="auto"/>
            <w:vAlign w:val="center"/>
          </w:tcPr>
          <w:p w14:paraId="4C7F20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3A4518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利旧</w:t>
            </w:r>
          </w:p>
        </w:tc>
      </w:tr>
      <w:tr w14:paraId="7FFF1C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1" w:hRule="atLeast"/>
          <w:jc w:val="center"/>
        </w:trPr>
        <w:tc>
          <w:tcPr>
            <w:tcW w:w="317" w:type="pct"/>
            <w:vMerge w:val="continue"/>
            <w:tcBorders>
              <w:tl2br w:val="nil"/>
              <w:tr2bl w:val="nil"/>
            </w:tcBorders>
            <w:shd w:val="clear" w:color="auto" w:fill="auto"/>
            <w:vAlign w:val="center"/>
          </w:tcPr>
          <w:p w14:paraId="1C947C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color="auto"/>
                <w:lang w:val="en-US" w:eastAsia="zh-CN" w:bidi="ar"/>
              </w:rPr>
            </w:pPr>
          </w:p>
        </w:tc>
        <w:tc>
          <w:tcPr>
            <w:tcW w:w="1027" w:type="pct"/>
            <w:tcBorders>
              <w:tl2br w:val="nil"/>
              <w:tr2bl w:val="nil"/>
            </w:tcBorders>
            <w:shd w:val="clear" w:color="auto" w:fill="auto"/>
            <w:vAlign w:val="center"/>
          </w:tcPr>
          <w:p w14:paraId="1564164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color w:val="auto"/>
                <w:highlight w:val="none"/>
                <w:u w:val="none"/>
                <w:lang w:eastAsia="zh-CN"/>
              </w:rPr>
              <w:t>流量计</w:t>
            </w:r>
          </w:p>
        </w:tc>
        <w:tc>
          <w:tcPr>
            <w:tcW w:w="1917" w:type="pct"/>
            <w:tcBorders>
              <w:tl2br w:val="nil"/>
              <w:tr2bl w:val="nil"/>
            </w:tcBorders>
            <w:shd w:val="clear" w:color="auto" w:fill="auto"/>
            <w:vAlign w:val="center"/>
          </w:tcPr>
          <w:p w14:paraId="09ECB6B2">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cs="Times New Roman"/>
                <w:color w:val="000000" w:themeColor="text1"/>
                <w:highlight w:val="none"/>
                <w:u w:val="none"/>
                <w14:textFill>
                  <w14:solidFill>
                    <w14:schemeClr w14:val="tx1"/>
                  </w14:solidFill>
                </w14:textFill>
              </w:rPr>
              <w:t>形式：巴氏计量槽，量程：</w:t>
            </w:r>
            <w:r>
              <w:rPr>
                <w:rFonts w:hint="default"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0～</w:t>
            </w:r>
            <w:r>
              <w:rPr>
                <w:rFonts w:hint="eastAsia"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150</w:t>
            </w:r>
            <w:r>
              <w:rPr>
                <w:rFonts w:hint="default"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sz w:val="21"/>
                <w:szCs w:val="21"/>
                <w:highlight w:val="none"/>
                <w:u w:val="wave" w:color="auto"/>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u w:val="wave" w:color="auto"/>
                <w:lang w:val="en-US" w:eastAsia="zh-CN" w:bidi="ar-SA"/>
                <w14:textFill>
                  <w14:solidFill>
                    <w14:schemeClr w14:val="tx1"/>
                  </w14:solidFill>
                </w14:textFill>
              </w:rPr>
              <w:t>/h，</w:t>
            </w:r>
            <w:r>
              <w:rPr>
                <w:rFonts w:hint="default" w:ascii="Times New Roman" w:hAnsi="Times New Roman" w:cs="Times New Roman"/>
                <w:color w:val="000000" w:themeColor="text1"/>
                <w:highlight w:val="none"/>
                <w:u w:val="none"/>
                <w14:textFill>
                  <w14:solidFill>
                    <w14:schemeClr w14:val="tx1"/>
                  </w14:solidFill>
                </w14:textFill>
              </w:rPr>
              <w:t>供电电压：24V/DC；信号输出：4~20mA</w:t>
            </w:r>
          </w:p>
        </w:tc>
        <w:tc>
          <w:tcPr>
            <w:tcW w:w="447" w:type="pct"/>
            <w:tcBorders>
              <w:tl2br w:val="nil"/>
              <w:tr2bl w:val="nil"/>
            </w:tcBorders>
            <w:shd w:val="clear" w:color="auto" w:fill="auto"/>
            <w:vAlign w:val="center"/>
          </w:tcPr>
          <w:p w14:paraId="2E591EDE">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cs="Times New Roman"/>
                <w:color w:val="000000" w:themeColor="text1"/>
                <w:highlight w:val="none"/>
                <w:u w:val="none"/>
                <w:lang w:val="en-US" w:eastAsia="zh-CN"/>
                <w14:textFill>
                  <w14:solidFill>
                    <w14:schemeClr w14:val="tx1"/>
                  </w14:solidFill>
                </w14:textFill>
              </w:rPr>
              <w:t>1</w:t>
            </w:r>
          </w:p>
        </w:tc>
        <w:tc>
          <w:tcPr>
            <w:tcW w:w="869" w:type="dxa"/>
            <w:tcBorders>
              <w:tl2br w:val="nil"/>
              <w:tr2bl w:val="nil"/>
            </w:tcBorders>
            <w:shd w:val="clear" w:color="auto" w:fill="auto"/>
            <w:vAlign w:val="center"/>
          </w:tcPr>
          <w:p w14:paraId="40E87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台</w:t>
            </w:r>
          </w:p>
        </w:tc>
        <w:tc>
          <w:tcPr>
            <w:tcW w:w="822" w:type="pct"/>
            <w:tcBorders>
              <w:tl2br w:val="nil"/>
              <w:tr2bl w:val="nil"/>
            </w:tcBorders>
            <w:shd w:val="clear" w:color="auto" w:fill="auto"/>
            <w:vAlign w:val="center"/>
          </w:tcPr>
          <w:p w14:paraId="176A5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cs="Times New Roman"/>
                <w:b w:val="0"/>
                <w:bCs w:val="0"/>
                <w:i w:val="0"/>
                <w:iCs w:val="0"/>
                <w:color w:val="auto"/>
                <w:kern w:val="0"/>
                <w:sz w:val="21"/>
                <w:szCs w:val="21"/>
                <w:highlight w:val="none"/>
                <w:u w:val="none" w:color="auto"/>
                <w:lang w:val="en-US" w:eastAsia="zh-CN" w:bidi="ar"/>
              </w:rPr>
            </w:pPr>
            <w:r>
              <w:rPr>
                <w:rFonts w:hint="default" w:ascii="Times New Roman" w:hAnsi="Times New Roman" w:cs="Times New Roman"/>
                <w:b w:val="0"/>
                <w:bCs w:val="0"/>
                <w:i w:val="0"/>
                <w:iCs w:val="0"/>
                <w:color w:val="auto"/>
                <w:kern w:val="0"/>
                <w:sz w:val="21"/>
                <w:szCs w:val="21"/>
                <w:highlight w:val="none"/>
                <w:u w:val="none" w:color="auto"/>
                <w:lang w:val="en-US" w:eastAsia="zh-CN" w:bidi="ar"/>
              </w:rPr>
              <w:t>利旧</w:t>
            </w:r>
          </w:p>
        </w:tc>
      </w:tr>
    </w:tbl>
    <w:p w14:paraId="3CCB2EB5">
      <w:pPr>
        <w:pStyle w:val="4"/>
        <w:numPr>
          <w:ilvl w:val="2"/>
          <w:numId w:val="0"/>
        </w:numPr>
        <w:ind w:leftChars="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 xml:space="preserve">3.3.5 污水处理工程主要原辅材料消耗 </w:t>
      </w:r>
    </w:p>
    <w:p w14:paraId="29E6AF6C">
      <w:pPr>
        <w:widowControl/>
        <w:ind w:firstLine="480"/>
        <w:jc w:val="left"/>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污水处理工程</w:t>
      </w:r>
      <w:r>
        <w:rPr>
          <w:rFonts w:hint="default" w:ascii="Times New Roman" w:hAnsi="Times New Roman" w:cs="Times New Roman"/>
          <w:color w:val="auto"/>
          <w:highlight w:val="none"/>
          <w:u w:val="none" w:color="auto"/>
          <w:lang w:bidi="ar"/>
        </w:rPr>
        <w:t>主要原辅材料消耗见下表。</w:t>
      </w:r>
      <w:r>
        <w:rPr>
          <w:rFonts w:hint="default" w:ascii="Times New Roman" w:hAnsi="Times New Roman" w:cs="Times New Roman"/>
          <w:b/>
          <w:color w:val="auto"/>
          <w:highlight w:val="none"/>
          <w:u w:val="none" w:color="auto"/>
          <w:lang w:bidi="ar"/>
        </w:rPr>
        <w:t xml:space="preserve"> </w:t>
      </w:r>
      <w:r>
        <w:rPr>
          <w:rFonts w:hint="default" w:ascii="Times New Roman" w:hAnsi="Times New Roman" w:cs="Times New Roman"/>
          <w:b/>
          <w:color w:val="auto"/>
          <w:sz w:val="20"/>
          <w:szCs w:val="20"/>
          <w:highlight w:val="none"/>
          <w:u w:val="none" w:color="auto"/>
          <w:lang w:bidi="ar"/>
        </w:rPr>
        <w:t xml:space="preserve"> </w:t>
      </w:r>
      <w:r>
        <w:rPr>
          <w:rFonts w:hint="default" w:ascii="Times New Roman" w:hAnsi="Times New Roman" w:cs="Times New Roman"/>
          <w:b/>
          <w:color w:val="FF0000"/>
          <w:sz w:val="20"/>
          <w:szCs w:val="20"/>
          <w:highlight w:val="none"/>
          <w:u w:val="none" w:color="auto"/>
          <w:lang w:bidi="ar"/>
        </w:rPr>
        <w:t xml:space="preserve"> </w:t>
      </w:r>
    </w:p>
    <w:p w14:paraId="267F8F0F">
      <w:pP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br w:type="page"/>
      </w:r>
    </w:p>
    <w:p w14:paraId="23018C17">
      <w:pPr>
        <w:pStyle w:val="21"/>
        <w:spacing w:line="240" w:lineRule="auto"/>
        <w:ind w:firstLine="482"/>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3.</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 xml:space="preserve">   污水处理工程主要原辅材料一览表</w:t>
      </w:r>
    </w:p>
    <w:tbl>
      <w:tblPr>
        <w:tblStyle w:val="76"/>
        <w:tblW w:w="486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9"/>
        <w:gridCol w:w="1421"/>
        <w:gridCol w:w="1362"/>
        <w:gridCol w:w="1321"/>
        <w:gridCol w:w="1437"/>
        <w:gridCol w:w="1437"/>
        <w:gridCol w:w="1341"/>
      </w:tblGrid>
      <w:tr w14:paraId="5FFCC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719" w:type="dxa"/>
            <w:shd w:val="clear" w:color="auto" w:fill="auto"/>
            <w:noWrap/>
            <w:vAlign w:val="center"/>
          </w:tcPr>
          <w:p w14:paraId="70014A86">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类别</w:t>
            </w:r>
          </w:p>
        </w:tc>
        <w:tc>
          <w:tcPr>
            <w:tcW w:w="1421" w:type="dxa"/>
            <w:shd w:val="clear" w:color="auto" w:fill="auto"/>
            <w:vAlign w:val="center"/>
          </w:tcPr>
          <w:p w14:paraId="3BB2B22A">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名称</w:t>
            </w:r>
          </w:p>
        </w:tc>
        <w:tc>
          <w:tcPr>
            <w:tcW w:w="1362" w:type="dxa"/>
            <w:shd w:val="clear" w:color="auto" w:fill="auto"/>
            <w:noWrap/>
            <w:vAlign w:val="center"/>
          </w:tcPr>
          <w:p w14:paraId="514D687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改扩建前用量（t/a）</w:t>
            </w:r>
          </w:p>
        </w:tc>
        <w:tc>
          <w:tcPr>
            <w:tcW w:w="1321" w:type="dxa"/>
            <w:vAlign w:val="center"/>
          </w:tcPr>
          <w:p w14:paraId="20E4DC37">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改扩建后</w:t>
            </w:r>
          </w:p>
          <w:p w14:paraId="7C2F40A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用量</w:t>
            </w:r>
            <w:r>
              <w:rPr>
                <w:rFonts w:hint="default" w:ascii="Times New Roman" w:hAnsi="Times New Roman" w:cs="Times New Roman"/>
                <w:b/>
                <w:bCs/>
                <w:color w:val="auto"/>
                <w:highlight w:val="none"/>
                <w:u w:val="none" w:color="auto"/>
                <w:lang w:val="en-US" w:eastAsia="zh-CN"/>
              </w:rPr>
              <w:t>（t/a）</w:t>
            </w:r>
          </w:p>
        </w:tc>
        <w:tc>
          <w:tcPr>
            <w:tcW w:w="1437" w:type="dxa"/>
            <w:vAlign w:val="center"/>
          </w:tcPr>
          <w:p w14:paraId="3EC59E7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变化情况</w:t>
            </w:r>
            <w:r>
              <w:rPr>
                <w:rFonts w:hint="default" w:ascii="Times New Roman" w:hAnsi="Times New Roman" w:cs="Times New Roman"/>
                <w:b/>
                <w:bCs/>
                <w:color w:val="auto"/>
                <w:highlight w:val="none"/>
                <w:u w:val="none" w:color="auto"/>
                <w:lang w:val="en-US" w:eastAsia="zh-CN"/>
              </w:rPr>
              <w:t>（t/a）</w:t>
            </w:r>
          </w:p>
        </w:tc>
        <w:tc>
          <w:tcPr>
            <w:tcW w:w="1437" w:type="dxa"/>
            <w:vAlign w:val="center"/>
          </w:tcPr>
          <w:p w14:paraId="4557007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用途</w:t>
            </w:r>
          </w:p>
        </w:tc>
        <w:tc>
          <w:tcPr>
            <w:tcW w:w="1341" w:type="dxa"/>
            <w:vAlign w:val="center"/>
          </w:tcPr>
          <w:p w14:paraId="30E98012">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厂内最大存储量</w:t>
            </w:r>
          </w:p>
        </w:tc>
      </w:tr>
      <w:tr w14:paraId="2227F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42" w:hRule="atLeast"/>
          <w:jc w:val="center"/>
        </w:trPr>
        <w:tc>
          <w:tcPr>
            <w:tcW w:w="719" w:type="dxa"/>
            <w:vMerge w:val="restart"/>
            <w:shd w:val="clear" w:color="auto" w:fill="auto"/>
            <w:noWrap/>
            <w:vAlign w:val="center"/>
          </w:tcPr>
          <w:p w14:paraId="5FCF2DD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污水处理药剂</w:t>
            </w:r>
          </w:p>
        </w:tc>
        <w:tc>
          <w:tcPr>
            <w:tcW w:w="1421" w:type="dxa"/>
            <w:shd w:val="clear" w:color="auto" w:fill="auto"/>
            <w:vAlign w:val="center"/>
          </w:tcPr>
          <w:p w14:paraId="2D4DFFC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聚丙烯酰胺</w:t>
            </w:r>
            <w:r>
              <w:rPr>
                <w:rFonts w:hint="default" w:ascii="Times New Roman" w:hAnsi="Times New Roman" w:cs="Times New Roman"/>
                <w:color w:val="auto"/>
                <w:highlight w:val="none"/>
                <w:u w:val="none" w:color="auto"/>
                <w:lang w:val="en-US" w:eastAsia="zh-CN"/>
              </w:rPr>
              <w:t>阴离子型</w:t>
            </w:r>
          </w:p>
        </w:tc>
        <w:tc>
          <w:tcPr>
            <w:tcW w:w="1362" w:type="dxa"/>
            <w:shd w:val="clear" w:color="auto" w:fill="auto"/>
            <w:noWrap/>
            <w:vAlign w:val="center"/>
          </w:tcPr>
          <w:p w14:paraId="75795A5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0.6</w:t>
            </w:r>
          </w:p>
        </w:tc>
        <w:tc>
          <w:tcPr>
            <w:tcW w:w="1321" w:type="dxa"/>
            <w:vAlign w:val="center"/>
          </w:tcPr>
          <w:p w14:paraId="77A827E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0.25</w:t>
            </w:r>
          </w:p>
        </w:tc>
        <w:tc>
          <w:tcPr>
            <w:tcW w:w="1437" w:type="dxa"/>
            <w:vAlign w:val="center"/>
          </w:tcPr>
          <w:p w14:paraId="3979763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-0.35</w:t>
            </w:r>
          </w:p>
        </w:tc>
        <w:tc>
          <w:tcPr>
            <w:tcW w:w="1437" w:type="dxa"/>
            <w:vAlign w:val="center"/>
          </w:tcPr>
          <w:p w14:paraId="775803D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絮凝剂</w:t>
            </w:r>
          </w:p>
        </w:tc>
        <w:tc>
          <w:tcPr>
            <w:tcW w:w="1341" w:type="dxa"/>
            <w:vAlign w:val="center"/>
          </w:tcPr>
          <w:p w14:paraId="063A14B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5t</w:t>
            </w:r>
          </w:p>
        </w:tc>
      </w:tr>
      <w:tr w14:paraId="0F962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719" w:type="dxa"/>
            <w:vMerge w:val="continue"/>
            <w:shd w:val="clear" w:color="auto" w:fill="auto"/>
            <w:noWrap/>
            <w:vAlign w:val="center"/>
          </w:tcPr>
          <w:p w14:paraId="3DEC577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1421" w:type="dxa"/>
            <w:shd w:val="clear" w:color="auto" w:fill="auto"/>
            <w:vAlign w:val="center"/>
          </w:tcPr>
          <w:p w14:paraId="1B00B33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聚丙烯酰胺</w:t>
            </w:r>
            <w:r>
              <w:rPr>
                <w:rFonts w:hint="default" w:ascii="Times New Roman" w:hAnsi="Times New Roman" w:cs="Times New Roman"/>
                <w:color w:val="auto"/>
                <w:highlight w:val="none"/>
                <w:u w:val="none" w:color="auto"/>
                <w:lang w:val="en-US" w:eastAsia="zh-CN"/>
              </w:rPr>
              <w:t>阳离子型</w:t>
            </w:r>
          </w:p>
        </w:tc>
        <w:tc>
          <w:tcPr>
            <w:tcW w:w="1362" w:type="dxa"/>
            <w:shd w:val="clear" w:color="auto" w:fill="auto"/>
            <w:noWrap/>
            <w:vAlign w:val="center"/>
          </w:tcPr>
          <w:p w14:paraId="75CA22D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0.3</w:t>
            </w:r>
          </w:p>
        </w:tc>
        <w:tc>
          <w:tcPr>
            <w:tcW w:w="1321" w:type="dxa"/>
            <w:vAlign w:val="center"/>
          </w:tcPr>
          <w:p w14:paraId="3896D28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c>
          <w:tcPr>
            <w:tcW w:w="1437" w:type="dxa"/>
            <w:vAlign w:val="center"/>
          </w:tcPr>
          <w:p w14:paraId="2B8F15D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+0.2</w:t>
            </w:r>
          </w:p>
        </w:tc>
        <w:tc>
          <w:tcPr>
            <w:tcW w:w="1437" w:type="dxa"/>
            <w:vAlign w:val="center"/>
          </w:tcPr>
          <w:p w14:paraId="2155228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污泥脱水</w:t>
            </w:r>
          </w:p>
        </w:tc>
        <w:tc>
          <w:tcPr>
            <w:tcW w:w="1341" w:type="dxa"/>
            <w:vAlign w:val="center"/>
          </w:tcPr>
          <w:p w14:paraId="4CABA41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0.5</w:t>
            </w:r>
            <w:r>
              <w:rPr>
                <w:rFonts w:hint="default" w:ascii="Times New Roman" w:hAnsi="Times New Roman" w:cs="Times New Roman"/>
                <w:color w:val="auto"/>
                <w:highlight w:val="none"/>
                <w:u w:val="none" w:color="auto"/>
              </w:rPr>
              <w:t>t</w:t>
            </w:r>
          </w:p>
        </w:tc>
      </w:tr>
      <w:tr w14:paraId="0C098D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719" w:type="dxa"/>
            <w:vMerge w:val="continue"/>
            <w:shd w:val="clear" w:color="auto" w:fill="auto"/>
            <w:noWrap/>
            <w:vAlign w:val="center"/>
          </w:tcPr>
          <w:p w14:paraId="570AFF6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1421" w:type="dxa"/>
            <w:shd w:val="clear" w:color="auto" w:fill="auto"/>
            <w:vAlign w:val="center"/>
          </w:tcPr>
          <w:p w14:paraId="765370C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rPr>
              <w:t>聚合氯化铝（PAC）</w:t>
            </w:r>
          </w:p>
        </w:tc>
        <w:tc>
          <w:tcPr>
            <w:tcW w:w="1362" w:type="dxa"/>
            <w:shd w:val="clear" w:color="auto" w:fill="auto"/>
            <w:noWrap/>
            <w:vAlign w:val="center"/>
          </w:tcPr>
          <w:p w14:paraId="4D0CB87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45</w:t>
            </w:r>
          </w:p>
        </w:tc>
        <w:tc>
          <w:tcPr>
            <w:tcW w:w="1321" w:type="dxa"/>
            <w:vAlign w:val="center"/>
          </w:tcPr>
          <w:p w14:paraId="2AD841D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250</w:t>
            </w:r>
          </w:p>
        </w:tc>
        <w:tc>
          <w:tcPr>
            <w:tcW w:w="1437" w:type="dxa"/>
            <w:vAlign w:val="center"/>
          </w:tcPr>
          <w:p w14:paraId="2766261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+210</w:t>
            </w:r>
          </w:p>
        </w:tc>
        <w:tc>
          <w:tcPr>
            <w:tcW w:w="1437" w:type="dxa"/>
            <w:vAlign w:val="center"/>
          </w:tcPr>
          <w:p w14:paraId="6DE28B1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混凝剂</w:t>
            </w:r>
          </w:p>
        </w:tc>
        <w:tc>
          <w:tcPr>
            <w:tcW w:w="1341" w:type="dxa"/>
            <w:vAlign w:val="center"/>
          </w:tcPr>
          <w:p w14:paraId="39C9CF6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25</w:t>
            </w:r>
          </w:p>
        </w:tc>
      </w:tr>
      <w:tr w14:paraId="708B7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719" w:type="dxa"/>
            <w:vMerge w:val="continue"/>
            <w:shd w:val="clear" w:color="auto" w:fill="auto"/>
            <w:noWrap/>
            <w:vAlign w:val="center"/>
          </w:tcPr>
          <w:p w14:paraId="4F78A57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1421" w:type="dxa"/>
            <w:shd w:val="clear" w:color="auto" w:fill="auto"/>
            <w:vAlign w:val="center"/>
          </w:tcPr>
          <w:p w14:paraId="4E84AF3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乙酸钠</w:t>
            </w:r>
          </w:p>
        </w:tc>
        <w:tc>
          <w:tcPr>
            <w:tcW w:w="1362" w:type="dxa"/>
            <w:shd w:val="clear" w:color="auto" w:fill="auto"/>
            <w:noWrap/>
            <w:vAlign w:val="center"/>
          </w:tcPr>
          <w:p w14:paraId="11EB79D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60</w:t>
            </w:r>
          </w:p>
        </w:tc>
        <w:tc>
          <w:tcPr>
            <w:tcW w:w="1321" w:type="dxa"/>
            <w:vAlign w:val="center"/>
          </w:tcPr>
          <w:p w14:paraId="5432109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100</w:t>
            </w:r>
          </w:p>
        </w:tc>
        <w:tc>
          <w:tcPr>
            <w:tcW w:w="1437" w:type="dxa"/>
            <w:vAlign w:val="center"/>
          </w:tcPr>
          <w:p w14:paraId="46005C0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+40</w:t>
            </w:r>
          </w:p>
        </w:tc>
        <w:tc>
          <w:tcPr>
            <w:tcW w:w="1437" w:type="dxa"/>
            <w:vAlign w:val="center"/>
          </w:tcPr>
          <w:p w14:paraId="50A2C1D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碳源</w:t>
            </w:r>
          </w:p>
        </w:tc>
        <w:tc>
          <w:tcPr>
            <w:tcW w:w="1341" w:type="dxa"/>
            <w:vAlign w:val="center"/>
          </w:tcPr>
          <w:p w14:paraId="18BBF16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15</w:t>
            </w:r>
          </w:p>
        </w:tc>
      </w:tr>
      <w:tr w14:paraId="62A29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719" w:type="dxa"/>
            <w:vMerge w:val="continue"/>
            <w:shd w:val="clear" w:color="auto" w:fill="auto"/>
            <w:noWrap/>
            <w:vAlign w:val="center"/>
          </w:tcPr>
          <w:p w14:paraId="78E98F2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1421" w:type="dxa"/>
            <w:shd w:val="clear" w:color="auto" w:fill="auto"/>
            <w:vAlign w:val="center"/>
          </w:tcPr>
          <w:p w14:paraId="5A4D855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氢氧化钠</w:t>
            </w:r>
          </w:p>
        </w:tc>
        <w:tc>
          <w:tcPr>
            <w:tcW w:w="1362" w:type="dxa"/>
            <w:shd w:val="clear" w:color="auto" w:fill="auto"/>
            <w:noWrap/>
            <w:vAlign w:val="center"/>
          </w:tcPr>
          <w:p w14:paraId="30E64EF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24</w:t>
            </w:r>
          </w:p>
        </w:tc>
        <w:tc>
          <w:tcPr>
            <w:tcW w:w="1321" w:type="dxa"/>
            <w:vAlign w:val="center"/>
          </w:tcPr>
          <w:p w14:paraId="38F0368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w:t>
            </w:r>
          </w:p>
        </w:tc>
        <w:tc>
          <w:tcPr>
            <w:tcW w:w="1437" w:type="dxa"/>
            <w:vAlign w:val="center"/>
          </w:tcPr>
          <w:p w14:paraId="022A5FE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-24</w:t>
            </w:r>
          </w:p>
        </w:tc>
        <w:tc>
          <w:tcPr>
            <w:tcW w:w="1437" w:type="dxa"/>
            <w:vAlign w:val="center"/>
          </w:tcPr>
          <w:p w14:paraId="08677F0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调节pH</w:t>
            </w:r>
          </w:p>
        </w:tc>
        <w:tc>
          <w:tcPr>
            <w:tcW w:w="1341" w:type="dxa"/>
            <w:vAlign w:val="center"/>
          </w:tcPr>
          <w:p w14:paraId="3B6A0AD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r w14:paraId="1FC2B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719" w:type="dxa"/>
            <w:vMerge w:val="continue"/>
            <w:shd w:val="clear" w:color="auto" w:fill="auto"/>
            <w:noWrap/>
            <w:vAlign w:val="center"/>
          </w:tcPr>
          <w:p w14:paraId="5854F85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1421" w:type="dxa"/>
            <w:shd w:val="clear" w:color="auto" w:fill="auto"/>
            <w:vAlign w:val="center"/>
          </w:tcPr>
          <w:p w14:paraId="46C99A8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工业盐</w:t>
            </w:r>
          </w:p>
        </w:tc>
        <w:tc>
          <w:tcPr>
            <w:tcW w:w="1362" w:type="dxa"/>
            <w:shd w:val="clear" w:color="auto" w:fill="auto"/>
            <w:noWrap/>
            <w:vAlign w:val="center"/>
          </w:tcPr>
          <w:p w14:paraId="78DDE2B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8</w:t>
            </w:r>
          </w:p>
        </w:tc>
        <w:tc>
          <w:tcPr>
            <w:tcW w:w="1321" w:type="dxa"/>
            <w:vAlign w:val="center"/>
          </w:tcPr>
          <w:p w14:paraId="6865ABB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20</w:t>
            </w:r>
          </w:p>
        </w:tc>
        <w:tc>
          <w:tcPr>
            <w:tcW w:w="1437" w:type="dxa"/>
            <w:vAlign w:val="center"/>
          </w:tcPr>
          <w:p w14:paraId="2C55A8D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+12</w:t>
            </w:r>
          </w:p>
        </w:tc>
        <w:tc>
          <w:tcPr>
            <w:tcW w:w="1437" w:type="dxa"/>
            <w:vAlign w:val="center"/>
          </w:tcPr>
          <w:p w14:paraId="3871321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制备次氯酸钠溶液</w:t>
            </w:r>
          </w:p>
        </w:tc>
        <w:tc>
          <w:tcPr>
            <w:tcW w:w="1341" w:type="dxa"/>
            <w:vAlign w:val="center"/>
          </w:tcPr>
          <w:p w14:paraId="7C7B65A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5t</w:t>
            </w:r>
          </w:p>
        </w:tc>
      </w:tr>
      <w:tr w14:paraId="405E8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719" w:type="dxa"/>
            <w:vMerge w:val="continue"/>
            <w:shd w:val="clear" w:color="auto" w:fill="auto"/>
            <w:noWrap/>
            <w:vAlign w:val="center"/>
          </w:tcPr>
          <w:p w14:paraId="3978A0F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421" w:type="dxa"/>
            <w:shd w:val="clear" w:color="auto" w:fill="auto"/>
            <w:vAlign w:val="center"/>
          </w:tcPr>
          <w:p w14:paraId="5412ADA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除臭剂</w:t>
            </w:r>
          </w:p>
        </w:tc>
        <w:tc>
          <w:tcPr>
            <w:tcW w:w="1362" w:type="dxa"/>
            <w:shd w:val="clear" w:color="auto" w:fill="auto"/>
            <w:noWrap/>
            <w:vAlign w:val="center"/>
          </w:tcPr>
          <w:p w14:paraId="5852306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321" w:type="dxa"/>
            <w:vAlign w:val="center"/>
          </w:tcPr>
          <w:p w14:paraId="0D6D649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0.3</w:t>
            </w:r>
          </w:p>
        </w:tc>
        <w:tc>
          <w:tcPr>
            <w:tcW w:w="1437" w:type="dxa"/>
            <w:vAlign w:val="center"/>
          </w:tcPr>
          <w:p w14:paraId="647A485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+0.3</w:t>
            </w:r>
          </w:p>
        </w:tc>
        <w:tc>
          <w:tcPr>
            <w:tcW w:w="1437" w:type="dxa"/>
            <w:vAlign w:val="center"/>
          </w:tcPr>
          <w:p w14:paraId="2A6C0F5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生物除臭</w:t>
            </w:r>
          </w:p>
        </w:tc>
        <w:tc>
          <w:tcPr>
            <w:tcW w:w="1341" w:type="dxa"/>
            <w:vAlign w:val="center"/>
          </w:tcPr>
          <w:p w14:paraId="0DD2FA3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0.1t</w:t>
            </w:r>
          </w:p>
        </w:tc>
      </w:tr>
      <w:tr w14:paraId="14AA0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719" w:type="dxa"/>
            <w:vMerge w:val="continue"/>
            <w:shd w:val="clear" w:color="auto" w:fill="auto"/>
            <w:noWrap/>
            <w:vAlign w:val="center"/>
          </w:tcPr>
          <w:p w14:paraId="21960DF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1421" w:type="dxa"/>
            <w:shd w:val="clear" w:color="auto" w:fill="auto"/>
            <w:vAlign w:val="center"/>
          </w:tcPr>
          <w:p w14:paraId="4F22150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消泡剂</w:t>
            </w:r>
          </w:p>
        </w:tc>
        <w:tc>
          <w:tcPr>
            <w:tcW w:w="1362" w:type="dxa"/>
            <w:shd w:val="clear" w:color="auto" w:fill="auto"/>
            <w:noWrap/>
            <w:vAlign w:val="center"/>
          </w:tcPr>
          <w:p w14:paraId="06B4ECB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321" w:type="dxa"/>
            <w:vAlign w:val="center"/>
          </w:tcPr>
          <w:p w14:paraId="73F6700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w:t>
            </w:r>
          </w:p>
        </w:tc>
        <w:tc>
          <w:tcPr>
            <w:tcW w:w="1437" w:type="dxa"/>
            <w:vAlign w:val="center"/>
          </w:tcPr>
          <w:p w14:paraId="5C587A2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w:t>
            </w:r>
          </w:p>
        </w:tc>
        <w:tc>
          <w:tcPr>
            <w:tcW w:w="1437" w:type="dxa"/>
            <w:vAlign w:val="center"/>
          </w:tcPr>
          <w:p w14:paraId="4D0A839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消泡</w:t>
            </w:r>
          </w:p>
        </w:tc>
        <w:tc>
          <w:tcPr>
            <w:tcW w:w="1341" w:type="dxa"/>
            <w:vAlign w:val="center"/>
          </w:tcPr>
          <w:p w14:paraId="4A050CE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0.5t</w:t>
            </w:r>
          </w:p>
        </w:tc>
      </w:tr>
      <w:tr w14:paraId="5125FD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719" w:type="dxa"/>
            <w:shd w:val="clear" w:color="auto" w:fill="auto"/>
            <w:noWrap/>
            <w:vAlign w:val="center"/>
          </w:tcPr>
          <w:p w14:paraId="268BBED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能源消耗</w:t>
            </w:r>
          </w:p>
        </w:tc>
        <w:tc>
          <w:tcPr>
            <w:tcW w:w="1421" w:type="dxa"/>
            <w:shd w:val="clear" w:color="auto" w:fill="auto"/>
            <w:vAlign w:val="center"/>
          </w:tcPr>
          <w:p w14:paraId="3E8F577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电</w:t>
            </w:r>
          </w:p>
        </w:tc>
        <w:tc>
          <w:tcPr>
            <w:tcW w:w="1362" w:type="dxa"/>
            <w:shd w:val="clear" w:color="auto" w:fill="auto"/>
            <w:noWrap/>
            <w:vAlign w:val="center"/>
          </w:tcPr>
          <w:p w14:paraId="58A05D3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26.4万kw·h</w:t>
            </w:r>
          </w:p>
        </w:tc>
        <w:tc>
          <w:tcPr>
            <w:tcW w:w="1321" w:type="dxa"/>
            <w:vAlign w:val="center"/>
          </w:tcPr>
          <w:p w14:paraId="01978D7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66万kw·h</w:t>
            </w:r>
          </w:p>
        </w:tc>
        <w:tc>
          <w:tcPr>
            <w:tcW w:w="1437" w:type="dxa"/>
            <w:vAlign w:val="center"/>
          </w:tcPr>
          <w:p w14:paraId="06C2325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+39.6</w:t>
            </w:r>
          </w:p>
        </w:tc>
        <w:tc>
          <w:tcPr>
            <w:tcW w:w="1437" w:type="dxa"/>
            <w:vAlign w:val="center"/>
          </w:tcPr>
          <w:p w14:paraId="7E0C869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341" w:type="dxa"/>
            <w:vAlign w:val="center"/>
          </w:tcPr>
          <w:p w14:paraId="21B3563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r>
    </w:tbl>
    <w:p w14:paraId="73B082FC">
      <w:pPr>
        <w:pStyle w:val="189"/>
        <w:ind w:left="0" w:leftChars="0" w:firstLine="48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聚合氯化铝（PAC）：聚合氯化铝是一种净水材料，无机高分子混凝剂，又被简称为聚铝，英文缩写为 PAC，由于氢氧根离子的架桥作用和多价阴离子的聚合作用而生产的分子量较大、电荷较高的无机高分子水处理药剂。在形态上又可以分为固体和液体两种。本项目选用的聚合氯化铝为液体状，为无色或黄褐色透明液体，有时因含杂质而呈灰黑色，有吸附、凝聚、沉淀等性能，是一种絮凝剂，广泛用于水质净化处理。</w:t>
      </w:r>
    </w:p>
    <w:p w14:paraId="4EF8702C">
      <w:pPr>
        <w:pStyle w:val="189"/>
        <w:ind w:left="0" w:leftChars="0" w:firstLine="48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聚丙烯酰胺（PAM）</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白色晶体，密度为 1.32g/cm</w:t>
      </w:r>
      <w:r>
        <w:rPr>
          <w:rFonts w:hint="default" w:ascii="Times New Roman" w:hAnsi="Times New Roman" w:cs="Times New Roman"/>
          <w:color w:val="auto"/>
          <w:highlight w:val="none"/>
          <w:u w:val="none" w:color="auto"/>
          <w:vertAlign w:val="superscript"/>
        </w:rPr>
        <w:t>3</w:t>
      </w:r>
      <w:r>
        <w:rPr>
          <w:rFonts w:hint="default" w:ascii="Times New Roman" w:hAnsi="Times New Roman" w:cs="Times New Roman"/>
          <w:color w:val="auto"/>
          <w:highlight w:val="none"/>
          <w:u w:val="none" w:color="auto"/>
        </w:rPr>
        <w:t>（23 度），其溶液为无色透明粘稠液体，聚丙烯酰胺是由丙烯酰胺（AM）单体经自由基引发聚合而成的水溶性线性高分子聚合物，具有良好的絮凝性，可以降低液体之间的摩擦阻力；同时兼具增稠性、耐剪切性、降阻性、分散性等宝贵性能，可用于污水处理污泥增稠处理。按离子特性分可分为非离子、阴离子、阳离子和两性型四种类型。聚丙烯酰胺（PAM）易溶于水，不溶于大多数有机溶剂，如甲醇、乙醇、丙酮、乙醚、脂肪烃和芳香烃，有少数极性有机溶剂除外，如乙酸、丙烯酸、氯乙酸、乙二醇、甘油、熔融尿素和甲酰胺。无毒、无腐蚀性。其水溶液几近透明的粘稠液体，属非危险品，无毒、无腐蚀性，固体PAM有吸湿性</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吸湿性随离子度的增加而增加，PAM热稳定性好；加热到100℃稳定性良好，但在150℃以上时易分解产生氮气，在分子间发生亚胺化作用而不溶于水，密度1.302（克）毫升23℃。玻璃化湿度153℃，PAM 在应力作用下表现出非牛顿流动性。</w:t>
      </w:r>
    </w:p>
    <w:p w14:paraId="2AE750AB">
      <w:pPr>
        <w:keepNext w:val="0"/>
        <w:keepLines w:val="0"/>
        <w:widowControl/>
        <w:suppressLineNumbers w:val="0"/>
        <w:jc w:val="left"/>
        <w:rPr>
          <w:rFonts w:hint="default" w:ascii="Times New Roman" w:hAnsi="Times New Roman" w:cs="Times New Roman" w:eastAsiaTheme="minorEastAsia"/>
          <w:color w:val="auto"/>
          <w:sz w:val="24"/>
          <w:szCs w:val="24"/>
          <w:highlight w:val="none"/>
          <w:u w:val="none" w:color="auto"/>
          <w:lang w:val="en-US" w:eastAsia="zh-CN" w:bidi="ar-SA"/>
        </w:rPr>
      </w:pPr>
      <w:r>
        <w:rPr>
          <w:rFonts w:hint="default" w:ascii="Times New Roman" w:hAnsi="Times New Roman" w:cs="Times New Roman" w:eastAsiaTheme="minorEastAsia"/>
          <w:color w:val="auto"/>
          <w:sz w:val="24"/>
          <w:szCs w:val="24"/>
          <w:highlight w:val="none"/>
          <w:u w:val="none" w:color="auto"/>
          <w:lang w:val="en-US" w:eastAsia="zh-CN" w:bidi="ar-SA"/>
        </w:rPr>
        <w:t>乙酸钠：又称醋酸钠，是一种有机物，分子式为 CH</w:t>
      </w:r>
      <w:r>
        <w:rPr>
          <w:rFonts w:hint="default" w:ascii="Times New Roman" w:hAnsi="Times New Roman" w:cs="Times New Roman" w:eastAsiaTheme="minorEastAsia"/>
          <w:color w:val="auto"/>
          <w:sz w:val="24"/>
          <w:szCs w:val="24"/>
          <w:highlight w:val="none"/>
          <w:u w:val="none" w:color="auto"/>
          <w:vertAlign w:val="subscript"/>
          <w:lang w:val="en-US" w:eastAsia="zh-CN" w:bidi="ar-SA"/>
        </w:rPr>
        <w:t>3</w:t>
      </w:r>
      <w:r>
        <w:rPr>
          <w:rFonts w:hint="default" w:ascii="Times New Roman" w:hAnsi="Times New Roman" w:cs="Times New Roman" w:eastAsiaTheme="minorEastAsia"/>
          <w:color w:val="auto"/>
          <w:sz w:val="24"/>
          <w:szCs w:val="24"/>
          <w:highlight w:val="none"/>
          <w:u w:val="none" w:color="auto"/>
          <w:lang w:val="en-US" w:eastAsia="zh-CN" w:bidi="ar-SA"/>
        </w:rPr>
        <w:t>COONa，分子量为 82.03，用作碳源，三水合物乙酸钠性状为白色结晶体，相对密度1.45，熔点为 58℃，在干燥空气中风化，在 120℃时失去结晶水，温度再高时分解；无水乙酸钠为无色透明结晶体，熔点324℃。易溶于水。</w:t>
      </w:r>
    </w:p>
    <w:p w14:paraId="3DA7FFD9">
      <w:pPr>
        <w:pStyle w:val="189"/>
        <w:ind w:left="0" w:leftChars="0" w:firstLine="480" w:firstLineChars="200"/>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消泡剂：主要成分有低碳醇、矿物油、有机极化化合物及有机硅树脂等，通过降低液体表面张力破坏泡沫稳定性，具有消泡力强、化学性质稳定、生理惰性、耐热、耐氧、抗腐蚀、溶气透气、易扩散渗透等特点，且难溶于处理体系不影响其理化性质。</w:t>
      </w:r>
    </w:p>
    <w:p w14:paraId="7A808638">
      <w:pPr>
        <w:pStyle w:val="21"/>
        <w:spacing w:line="240" w:lineRule="auto"/>
        <w:ind w:firstLine="482"/>
        <w:jc w:val="left"/>
        <w:rPr>
          <w:rFonts w:hint="default" w:ascii="Times New Roman" w:hAnsi="Times New Roman" w:cs="Times New Roman"/>
          <w:highlight w:val="none"/>
          <w:lang w:val="en-US" w:eastAsia="zh-CN"/>
        </w:rPr>
      </w:pPr>
      <w:r>
        <w:rPr>
          <w:rFonts w:hint="default" w:ascii="Times New Roman" w:hAnsi="Times New Roman" w:cs="Times New Roman"/>
          <w:b w:val="0"/>
          <w:bCs/>
          <w:color w:val="auto"/>
          <w:highlight w:val="none"/>
          <w:u w:val="none" w:color="auto"/>
          <w:lang w:val="en-US" w:eastAsia="zh-CN"/>
        </w:rPr>
        <w:t>项目建成后新增化验室，化验室试剂详见表3.3-7。化验室试剂理化性质详见表3.3-8。</w:t>
      </w:r>
    </w:p>
    <w:p w14:paraId="324A606F">
      <w:pPr>
        <w:pStyle w:val="21"/>
        <w:spacing w:line="240" w:lineRule="auto"/>
        <w:ind w:firstLine="482"/>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3.</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7</w:t>
      </w:r>
      <w:r>
        <w:rPr>
          <w:rFonts w:hint="default" w:ascii="Times New Roman" w:hAnsi="Times New Roman" w:cs="Times New Roman"/>
          <w:color w:val="auto"/>
          <w:highlight w:val="none"/>
          <w:u w:val="none" w:color="auto"/>
        </w:rPr>
        <w:t xml:space="preserve">  </w:t>
      </w:r>
      <w:r>
        <w:rPr>
          <w:rFonts w:hint="default" w:ascii="Times New Roman" w:hAnsi="Times New Roman" w:cs="Times New Roman"/>
          <w:color w:val="auto"/>
          <w:highlight w:val="none"/>
          <w:u w:val="none" w:color="auto"/>
          <w:lang w:val="en-US" w:eastAsia="zh-CN"/>
        </w:rPr>
        <w:t>化验室药剂</w:t>
      </w:r>
      <w:r>
        <w:rPr>
          <w:rFonts w:hint="default" w:ascii="Times New Roman" w:hAnsi="Times New Roman" w:cs="Times New Roman"/>
          <w:color w:val="auto"/>
          <w:highlight w:val="none"/>
          <w:u w:val="none" w:color="auto"/>
        </w:rPr>
        <w:t>一览表</w:t>
      </w:r>
    </w:p>
    <w:tbl>
      <w:tblPr>
        <w:tblStyle w:val="76"/>
        <w:tblW w:w="473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08"/>
        <w:gridCol w:w="2414"/>
        <w:gridCol w:w="1581"/>
        <w:gridCol w:w="2096"/>
      </w:tblGrid>
      <w:tr w14:paraId="09BF94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2708" w:type="dxa"/>
            <w:shd w:val="clear" w:color="auto" w:fill="auto"/>
            <w:vAlign w:val="center"/>
          </w:tcPr>
          <w:p w14:paraId="26C2D89D">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名称</w:t>
            </w:r>
          </w:p>
        </w:tc>
        <w:tc>
          <w:tcPr>
            <w:tcW w:w="2414" w:type="dxa"/>
            <w:vAlign w:val="center"/>
          </w:tcPr>
          <w:p w14:paraId="72915CB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规格/瓶</w:t>
            </w:r>
          </w:p>
        </w:tc>
        <w:tc>
          <w:tcPr>
            <w:tcW w:w="1581" w:type="dxa"/>
            <w:vAlign w:val="center"/>
          </w:tcPr>
          <w:p w14:paraId="6FAF693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用量（瓶）</w:t>
            </w:r>
          </w:p>
        </w:tc>
        <w:tc>
          <w:tcPr>
            <w:tcW w:w="2096" w:type="dxa"/>
            <w:vAlign w:val="center"/>
          </w:tcPr>
          <w:p w14:paraId="629A787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rPr>
              <w:t>厂内最大存储量</w:t>
            </w:r>
            <w:r>
              <w:rPr>
                <w:rFonts w:hint="default" w:ascii="Times New Roman" w:hAnsi="Times New Roman" w:cs="Times New Roman"/>
                <w:b/>
                <w:color w:val="auto"/>
                <w:highlight w:val="none"/>
                <w:u w:val="none" w:color="auto"/>
                <w:lang w:val="en-US" w:eastAsia="zh-CN"/>
              </w:rPr>
              <w:t>kg</w:t>
            </w:r>
          </w:p>
        </w:tc>
      </w:tr>
      <w:tr w14:paraId="130E0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799" w:type="dxa"/>
            <w:gridSpan w:val="4"/>
            <w:shd w:val="clear" w:color="auto" w:fill="auto"/>
            <w:vAlign w:val="center"/>
          </w:tcPr>
          <w:p w14:paraId="74EFB97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一般药剂用量</w:t>
            </w:r>
          </w:p>
        </w:tc>
      </w:tr>
      <w:tr w14:paraId="5400EC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2708" w:type="dxa"/>
            <w:shd w:val="clear" w:color="auto" w:fill="auto"/>
            <w:vAlign w:val="center"/>
          </w:tcPr>
          <w:p w14:paraId="209BFD6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钼酸铵</w:t>
            </w:r>
          </w:p>
        </w:tc>
        <w:tc>
          <w:tcPr>
            <w:tcW w:w="2414" w:type="dxa"/>
            <w:vAlign w:val="center"/>
          </w:tcPr>
          <w:p w14:paraId="6B1E7AE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0B01357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4CF36C3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20139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708" w:type="dxa"/>
            <w:shd w:val="clear" w:color="auto" w:fill="auto"/>
            <w:vAlign w:val="center"/>
          </w:tcPr>
          <w:p w14:paraId="69CC7F0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氯化铵</w:t>
            </w:r>
          </w:p>
        </w:tc>
        <w:tc>
          <w:tcPr>
            <w:tcW w:w="2414" w:type="dxa"/>
            <w:vAlign w:val="center"/>
          </w:tcPr>
          <w:p w14:paraId="444897A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082A8E1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316DE33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44E81B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708" w:type="dxa"/>
            <w:shd w:val="clear" w:color="auto" w:fill="auto"/>
            <w:vAlign w:val="center"/>
          </w:tcPr>
          <w:p w14:paraId="12D6A83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氯化钙</w:t>
            </w:r>
          </w:p>
        </w:tc>
        <w:tc>
          <w:tcPr>
            <w:tcW w:w="2414" w:type="dxa"/>
            <w:vAlign w:val="center"/>
          </w:tcPr>
          <w:p w14:paraId="6827723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1476943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7D528D3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7BCF8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708" w:type="dxa"/>
            <w:shd w:val="clear" w:color="auto" w:fill="auto"/>
            <w:vAlign w:val="center"/>
          </w:tcPr>
          <w:p w14:paraId="5401298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氧化钙</w:t>
            </w:r>
          </w:p>
        </w:tc>
        <w:tc>
          <w:tcPr>
            <w:tcW w:w="2414" w:type="dxa"/>
            <w:vAlign w:val="center"/>
          </w:tcPr>
          <w:p w14:paraId="3C1AB6C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73F8C55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21E070A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0E739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708" w:type="dxa"/>
            <w:shd w:val="clear" w:color="auto" w:fill="auto"/>
            <w:vAlign w:val="center"/>
          </w:tcPr>
          <w:p w14:paraId="1A3195A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变色硅胶</w:t>
            </w:r>
          </w:p>
        </w:tc>
        <w:tc>
          <w:tcPr>
            <w:tcW w:w="2414" w:type="dxa"/>
            <w:vAlign w:val="center"/>
          </w:tcPr>
          <w:p w14:paraId="32BF14F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3E8D1C6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23040A8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220445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2708" w:type="dxa"/>
            <w:shd w:val="clear" w:color="auto" w:fill="auto"/>
            <w:vAlign w:val="center"/>
          </w:tcPr>
          <w:p w14:paraId="579BE67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水杨酸</w:t>
            </w:r>
          </w:p>
        </w:tc>
        <w:tc>
          <w:tcPr>
            <w:tcW w:w="2414" w:type="dxa"/>
            <w:vAlign w:val="center"/>
          </w:tcPr>
          <w:p w14:paraId="15DB37C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250g</w:t>
            </w:r>
          </w:p>
        </w:tc>
        <w:tc>
          <w:tcPr>
            <w:tcW w:w="1581" w:type="dxa"/>
            <w:vAlign w:val="center"/>
          </w:tcPr>
          <w:p w14:paraId="47D1340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0020FB0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0.25</w:t>
            </w:r>
          </w:p>
        </w:tc>
      </w:tr>
      <w:tr w14:paraId="569DC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2708" w:type="dxa"/>
            <w:shd w:val="clear" w:color="auto" w:fill="auto"/>
            <w:vAlign w:val="center"/>
          </w:tcPr>
          <w:p w14:paraId="2D5E123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抗坏血酸</w:t>
            </w:r>
          </w:p>
        </w:tc>
        <w:tc>
          <w:tcPr>
            <w:tcW w:w="2414" w:type="dxa"/>
            <w:vAlign w:val="center"/>
          </w:tcPr>
          <w:p w14:paraId="08EB0AB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100g</w:t>
            </w:r>
          </w:p>
        </w:tc>
        <w:tc>
          <w:tcPr>
            <w:tcW w:w="1581" w:type="dxa"/>
            <w:vAlign w:val="center"/>
          </w:tcPr>
          <w:p w14:paraId="59EA530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10</w:t>
            </w:r>
          </w:p>
        </w:tc>
        <w:tc>
          <w:tcPr>
            <w:tcW w:w="2096" w:type="dxa"/>
            <w:vAlign w:val="center"/>
          </w:tcPr>
          <w:p w14:paraId="2AA56EE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r>
      <w:tr w14:paraId="6E6760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355A2CC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磷酸二氢钾</w:t>
            </w:r>
          </w:p>
        </w:tc>
        <w:tc>
          <w:tcPr>
            <w:tcW w:w="2414" w:type="dxa"/>
            <w:vAlign w:val="center"/>
          </w:tcPr>
          <w:p w14:paraId="49BF839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0147B53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37E354D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1876F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1E2BE35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碘化钾</w:t>
            </w:r>
          </w:p>
        </w:tc>
        <w:tc>
          <w:tcPr>
            <w:tcW w:w="2414" w:type="dxa"/>
            <w:vAlign w:val="center"/>
          </w:tcPr>
          <w:p w14:paraId="47B9041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0BC248A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28678CF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698F4D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55715D3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磷酸氢二钾</w:t>
            </w:r>
          </w:p>
        </w:tc>
        <w:tc>
          <w:tcPr>
            <w:tcW w:w="2414" w:type="dxa"/>
            <w:vAlign w:val="center"/>
          </w:tcPr>
          <w:p w14:paraId="2870D10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2294A7C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5381554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4115B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35861B7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氯化钾</w:t>
            </w:r>
          </w:p>
        </w:tc>
        <w:tc>
          <w:tcPr>
            <w:tcW w:w="2414" w:type="dxa"/>
            <w:vAlign w:val="center"/>
          </w:tcPr>
          <w:p w14:paraId="240259F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5D5267B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6C624CA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4C390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3AB241D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磷酸三钾</w:t>
            </w:r>
          </w:p>
        </w:tc>
        <w:tc>
          <w:tcPr>
            <w:tcW w:w="2414" w:type="dxa"/>
            <w:vAlign w:val="center"/>
          </w:tcPr>
          <w:p w14:paraId="6F3BD9A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766E664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241714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31259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740F522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十二水合硫酸铝钾</w:t>
            </w:r>
          </w:p>
        </w:tc>
        <w:tc>
          <w:tcPr>
            <w:tcW w:w="2414" w:type="dxa"/>
            <w:vAlign w:val="center"/>
          </w:tcPr>
          <w:p w14:paraId="72609AF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25B8B0C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57DFEEC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74664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607E1D4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硫酸铝</w:t>
            </w:r>
          </w:p>
        </w:tc>
        <w:tc>
          <w:tcPr>
            <w:tcW w:w="2414" w:type="dxa"/>
            <w:vAlign w:val="center"/>
          </w:tcPr>
          <w:p w14:paraId="4DEAFB7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1BDF88C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77296B8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1F0DAD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7BCEC78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硫酸镁</w:t>
            </w:r>
          </w:p>
        </w:tc>
        <w:tc>
          <w:tcPr>
            <w:tcW w:w="2414" w:type="dxa"/>
            <w:vAlign w:val="center"/>
          </w:tcPr>
          <w:p w14:paraId="2EFA153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1B7B5AC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29DDEE4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6A0E6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47EB30D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一水合硫酸锰</w:t>
            </w:r>
          </w:p>
        </w:tc>
        <w:tc>
          <w:tcPr>
            <w:tcW w:w="2414" w:type="dxa"/>
            <w:vAlign w:val="center"/>
          </w:tcPr>
          <w:p w14:paraId="662046B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138213A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792A8D9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7A5B9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5FE2395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草酸钠</w:t>
            </w:r>
          </w:p>
        </w:tc>
        <w:tc>
          <w:tcPr>
            <w:tcW w:w="2414" w:type="dxa"/>
            <w:vAlign w:val="center"/>
          </w:tcPr>
          <w:p w14:paraId="10043F1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44FDDFF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5108DB4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6E2C9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4C0A84D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氯化钠</w:t>
            </w:r>
          </w:p>
        </w:tc>
        <w:tc>
          <w:tcPr>
            <w:tcW w:w="2414" w:type="dxa"/>
            <w:vAlign w:val="center"/>
          </w:tcPr>
          <w:p w14:paraId="6B5E062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03477DC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80BF8D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4AA26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54C77E5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无水碳酸钠</w:t>
            </w:r>
          </w:p>
        </w:tc>
        <w:tc>
          <w:tcPr>
            <w:tcW w:w="2414" w:type="dxa"/>
            <w:vAlign w:val="center"/>
          </w:tcPr>
          <w:p w14:paraId="2A641DF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6EEE328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65F90D4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088B98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32E4E93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碳酸氢钠</w:t>
            </w:r>
          </w:p>
        </w:tc>
        <w:tc>
          <w:tcPr>
            <w:tcW w:w="2414" w:type="dxa"/>
            <w:vAlign w:val="center"/>
          </w:tcPr>
          <w:p w14:paraId="44266C0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48B375D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5A0580D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14F88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3A67A0A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二水合磷酸二氢钠</w:t>
            </w:r>
          </w:p>
        </w:tc>
        <w:tc>
          <w:tcPr>
            <w:tcW w:w="2414" w:type="dxa"/>
            <w:vAlign w:val="center"/>
          </w:tcPr>
          <w:p w14:paraId="4FB5444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124F96B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F67703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1BBD1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770DE92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磷酸氢二钠</w:t>
            </w:r>
          </w:p>
        </w:tc>
        <w:tc>
          <w:tcPr>
            <w:tcW w:w="2414" w:type="dxa"/>
            <w:vAlign w:val="center"/>
          </w:tcPr>
          <w:p w14:paraId="58774EC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78E6531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24013D2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773716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37961DC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无水亚硫酸钠</w:t>
            </w:r>
          </w:p>
        </w:tc>
        <w:tc>
          <w:tcPr>
            <w:tcW w:w="2414" w:type="dxa"/>
            <w:vAlign w:val="center"/>
          </w:tcPr>
          <w:p w14:paraId="5E488E1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3E838F2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DB9DB0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7B40F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6E3B2F4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硫代硫酸钠</w:t>
            </w:r>
          </w:p>
        </w:tc>
        <w:tc>
          <w:tcPr>
            <w:tcW w:w="2414" w:type="dxa"/>
            <w:vAlign w:val="center"/>
          </w:tcPr>
          <w:p w14:paraId="52FBAAB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67E79FF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53C2B2C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0184C7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79E6B5C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盐酸羟胺</w:t>
            </w:r>
          </w:p>
        </w:tc>
        <w:tc>
          <w:tcPr>
            <w:tcW w:w="2414" w:type="dxa"/>
            <w:vAlign w:val="center"/>
          </w:tcPr>
          <w:p w14:paraId="22E8E8A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100g</w:t>
            </w:r>
          </w:p>
        </w:tc>
        <w:tc>
          <w:tcPr>
            <w:tcW w:w="1581" w:type="dxa"/>
            <w:vAlign w:val="center"/>
          </w:tcPr>
          <w:p w14:paraId="7349126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6E31690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0.1</w:t>
            </w:r>
          </w:p>
        </w:tc>
      </w:tr>
      <w:tr w14:paraId="4AFF86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2708" w:type="dxa"/>
            <w:shd w:val="clear" w:color="auto" w:fill="auto"/>
            <w:vAlign w:val="center"/>
          </w:tcPr>
          <w:p w14:paraId="4752F08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六水合硫酸亚铁铵</w:t>
            </w:r>
          </w:p>
        </w:tc>
        <w:tc>
          <w:tcPr>
            <w:tcW w:w="2414" w:type="dxa"/>
            <w:vAlign w:val="center"/>
          </w:tcPr>
          <w:p w14:paraId="2F58950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0393380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2F1B0C5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27EE0E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14F08CD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七水合硫酸亚铁</w:t>
            </w:r>
          </w:p>
        </w:tc>
        <w:tc>
          <w:tcPr>
            <w:tcW w:w="2414" w:type="dxa"/>
            <w:vAlign w:val="center"/>
          </w:tcPr>
          <w:p w14:paraId="46EEBB6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227C72E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7934229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428366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71D8F05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硫酸锌</w:t>
            </w:r>
          </w:p>
        </w:tc>
        <w:tc>
          <w:tcPr>
            <w:tcW w:w="2414" w:type="dxa"/>
            <w:vAlign w:val="center"/>
          </w:tcPr>
          <w:p w14:paraId="38CBF37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188F160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2DBB2A7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1B4C2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43D7C25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硫酸银</w:t>
            </w:r>
          </w:p>
        </w:tc>
        <w:tc>
          <w:tcPr>
            <w:tcW w:w="2414" w:type="dxa"/>
            <w:vAlign w:val="center"/>
          </w:tcPr>
          <w:p w14:paraId="0DFFC0E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100g</w:t>
            </w:r>
          </w:p>
        </w:tc>
        <w:tc>
          <w:tcPr>
            <w:tcW w:w="1581" w:type="dxa"/>
            <w:vAlign w:val="center"/>
          </w:tcPr>
          <w:p w14:paraId="51779F9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6</w:t>
            </w:r>
          </w:p>
        </w:tc>
        <w:tc>
          <w:tcPr>
            <w:tcW w:w="2096" w:type="dxa"/>
            <w:vAlign w:val="center"/>
          </w:tcPr>
          <w:p w14:paraId="3CFA685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0.6</w:t>
            </w:r>
          </w:p>
        </w:tc>
      </w:tr>
      <w:tr w14:paraId="212600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612250B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酒石酸锑钾</w:t>
            </w:r>
          </w:p>
        </w:tc>
        <w:tc>
          <w:tcPr>
            <w:tcW w:w="2414" w:type="dxa"/>
            <w:vAlign w:val="center"/>
          </w:tcPr>
          <w:p w14:paraId="2DD68F6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4FDCC35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4FCF04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1A162B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exact"/>
          <w:jc w:val="center"/>
        </w:trPr>
        <w:tc>
          <w:tcPr>
            <w:tcW w:w="2708" w:type="dxa"/>
            <w:shd w:val="clear" w:color="auto" w:fill="auto"/>
            <w:vAlign w:val="center"/>
          </w:tcPr>
          <w:p w14:paraId="5665634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四水合酒石酸钾钠</w:t>
            </w:r>
          </w:p>
        </w:tc>
        <w:tc>
          <w:tcPr>
            <w:tcW w:w="2414" w:type="dxa"/>
            <w:vAlign w:val="center"/>
          </w:tcPr>
          <w:p w14:paraId="144D678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178597C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10</w:t>
            </w:r>
          </w:p>
        </w:tc>
        <w:tc>
          <w:tcPr>
            <w:tcW w:w="2096" w:type="dxa"/>
            <w:vAlign w:val="center"/>
          </w:tcPr>
          <w:p w14:paraId="028B125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2.5</w:t>
            </w:r>
          </w:p>
        </w:tc>
      </w:tr>
      <w:tr w14:paraId="791A0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5D18134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乳糖蛋白胨培养基</w:t>
            </w:r>
          </w:p>
        </w:tc>
        <w:tc>
          <w:tcPr>
            <w:tcW w:w="2414" w:type="dxa"/>
            <w:vAlign w:val="center"/>
          </w:tcPr>
          <w:p w14:paraId="613A0AD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250g</w:t>
            </w:r>
          </w:p>
        </w:tc>
        <w:tc>
          <w:tcPr>
            <w:tcW w:w="1581" w:type="dxa"/>
            <w:vAlign w:val="center"/>
          </w:tcPr>
          <w:p w14:paraId="68593E9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69FB828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0.25</w:t>
            </w:r>
          </w:p>
        </w:tc>
      </w:tr>
      <w:tr w14:paraId="12B0E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39AE5EC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EC肉汤</w:t>
            </w:r>
          </w:p>
        </w:tc>
        <w:tc>
          <w:tcPr>
            <w:tcW w:w="2414" w:type="dxa"/>
            <w:vAlign w:val="center"/>
          </w:tcPr>
          <w:p w14:paraId="4E01FE3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250g</w:t>
            </w:r>
          </w:p>
        </w:tc>
        <w:tc>
          <w:tcPr>
            <w:tcW w:w="1581" w:type="dxa"/>
            <w:vAlign w:val="center"/>
          </w:tcPr>
          <w:p w14:paraId="1D6FACB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48ED1F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0.25</w:t>
            </w:r>
          </w:p>
        </w:tc>
      </w:tr>
      <w:tr w14:paraId="22DFD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53C8BBA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可溶性淀粉</w:t>
            </w:r>
          </w:p>
        </w:tc>
        <w:tc>
          <w:tcPr>
            <w:tcW w:w="2414" w:type="dxa"/>
            <w:vAlign w:val="center"/>
          </w:tcPr>
          <w:p w14:paraId="381A3EA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0E61111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635EA65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1828DC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17C0B3D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葡萄糖</w:t>
            </w:r>
          </w:p>
        </w:tc>
        <w:tc>
          <w:tcPr>
            <w:tcW w:w="2414" w:type="dxa"/>
            <w:vAlign w:val="center"/>
          </w:tcPr>
          <w:p w14:paraId="41AF731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5AE2ED8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5A9CC5D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2297E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55D09F1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L-谷氨酸</w:t>
            </w:r>
          </w:p>
        </w:tc>
        <w:tc>
          <w:tcPr>
            <w:tcW w:w="2414" w:type="dxa"/>
            <w:vAlign w:val="center"/>
          </w:tcPr>
          <w:p w14:paraId="78B1A4B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100g</w:t>
            </w:r>
          </w:p>
        </w:tc>
        <w:tc>
          <w:tcPr>
            <w:tcW w:w="1581" w:type="dxa"/>
            <w:vAlign w:val="center"/>
          </w:tcPr>
          <w:p w14:paraId="1DAF578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78F4E25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0.1</w:t>
            </w:r>
          </w:p>
        </w:tc>
      </w:tr>
      <w:tr w14:paraId="54AB68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66FC8B3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乙二胺四乙酸二钠</w:t>
            </w:r>
          </w:p>
        </w:tc>
        <w:tc>
          <w:tcPr>
            <w:tcW w:w="2414" w:type="dxa"/>
            <w:vAlign w:val="center"/>
          </w:tcPr>
          <w:p w14:paraId="4EA3A2A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250g</w:t>
            </w:r>
          </w:p>
        </w:tc>
        <w:tc>
          <w:tcPr>
            <w:tcW w:w="1581" w:type="dxa"/>
            <w:vAlign w:val="center"/>
          </w:tcPr>
          <w:p w14:paraId="0CCF460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54835F4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0.25</w:t>
            </w:r>
          </w:p>
        </w:tc>
      </w:tr>
      <w:tr w14:paraId="190AC4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430E363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乙酸钠</w:t>
            </w:r>
          </w:p>
        </w:tc>
        <w:tc>
          <w:tcPr>
            <w:tcW w:w="2414" w:type="dxa"/>
            <w:vAlign w:val="center"/>
          </w:tcPr>
          <w:p w14:paraId="3C211E3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70BBB6B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6EFB102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6EEF2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64F56B2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邻苯二甲酸氢钾</w:t>
            </w:r>
          </w:p>
        </w:tc>
        <w:tc>
          <w:tcPr>
            <w:tcW w:w="2414" w:type="dxa"/>
            <w:vAlign w:val="center"/>
          </w:tcPr>
          <w:p w14:paraId="6965EDB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3F79948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3AB53B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3584F8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69CC6C5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酚酞</w:t>
            </w:r>
          </w:p>
        </w:tc>
        <w:tc>
          <w:tcPr>
            <w:tcW w:w="2414" w:type="dxa"/>
            <w:vAlign w:val="center"/>
          </w:tcPr>
          <w:p w14:paraId="761DF08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25g</w:t>
            </w:r>
          </w:p>
        </w:tc>
        <w:tc>
          <w:tcPr>
            <w:tcW w:w="1581" w:type="dxa"/>
            <w:vAlign w:val="center"/>
          </w:tcPr>
          <w:p w14:paraId="5F4A4C4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363E2F3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0.025</w:t>
            </w:r>
          </w:p>
        </w:tc>
      </w:tr>
      <w:tr w14:paraId="64F709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09F1933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1,10-菲啰啉</w:t>
            </w:r>
          </w:p>
        </w:tc>
        <w:tc>
          <w:tcPr>
            <w:tcW w:w="2414" w:type="dxa"/>
            <w:vAlign w:val="center"/>
          </w:tcPr>
          <w:p w14:paraId="4D20FF0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5g</w:t>
            </w:r>
          </w:p>
        </w:tc>
        <w:tc>
          <w:tcPr>
            <w:tcW w:w="1581" w:type="dxa"/>
            <w:vAlign w:val="center"/>
          </w:tcPr>
          <w:p w14:paraId="01C0704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4C4C6A5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0.005</w:t>
            </w:r>
          </w:p>
        </w:tc>
      </w:tr>
      <w:tr w14:paraId="1DE1B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68310DF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百里酚蓝</w:t>
            </w:r>
          </w:p>
        </w:tc>
        <w:tc>
          <w:tcPr>
            <w:tcW w:w="2414" w:type="dxa"/>
            <w:vAlign w:val="center"/>
          </w:tcPr>
          <w:p w14:paraId="47366F1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25g</w:t>
            </w:r>
          </w:p>
        </w:tc>
        <w:tc>
          <w:tcPr>
            <w:tcW w:w="1581" w:type="dxa"/>
            <w:vAlign w:val="center"/>
          </w:tcPr>
          <w:p w14:paraId="1990C05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2EC3453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0.025</w:t>
            </w:r>
          </w:p>
        </w:tc>
      </w:tr>
      <w:tr w14:paraId="43B956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7DE75E5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二甲酚橙</w:t>
            </w:r>
          </w:p>
        </w:tc>
        <w:tc>
          <w:tcPr>
            <w:tcW w:w="2414" w:type="dxa"/>
            <w:vAlign w:val="center"/>
          </w:tcPr>
          <w:p w14:paraId="2D7AB7A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5g</w:t>
            </w:r>
          </w:p>
        </w:tc>
        <w:tc>
          <w:tcPr>
            <w:tcW w:w="1581" w:type="dxa"/>
            <w:vAlign w:val="center"/>
          </w:tcPr>
          <w:p w14:paraId="4ECE423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61C1D7C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0.005</w:t>
            </w:r>
          </w:p>
        </w:tc>
      </w:tr>
      <w:tr w14:paraId="080DA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8799" w:type="dxa"/>
            <w:gridSpan w:val="4"/>
            <w:shd w:val="clear" w:color="auto" w:fill="auto"/>
            <w:vAlign w:val="center"/>
          </w:tcPr>
          <w:p w14:paraId="0343AB8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危化品用量</w:t>
            </w:r>
          </w:p>
        </w:tc>
      </w:tr>
      <w:tr w14:paraId="33219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641C1B9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硫酸</w:t>
            </w:r>
          </w:p>
        </w:tc>
        <w:tc>
          <w:tcPr>
            <w:tcW w:w="2414" w:type="dxa"/>
            <w:vAlign w:val="center"/>
          </w:tcPr>
          <w:p w14:paraId="287D38E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500mL</w:t>
            </w:r>
          </w:p>
        </w:tc>
        <w:tc>
          <w:tcPr>
            <w:tcW w:w="1581" w:type="dxa"/>
            <w:vAlign w:val="center"/>
          </w:tcPr>
          <w:p w14:paraId="483E892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150</w:t>
            </w:r>
          </w:p>
        </w:tc>
        <w:tc>
          <w:tcPr>
            <w:tcW w:w="2096" w:type="dxa"/>
            <w:vAlign w:val="center"/>
          </w:tcPr>
          <w:p w14:paraId="707D3CC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48瓶×0.92=44.16</w:t>
            </w:r>
          </w:p>
        </w:tc>
      </w:tr>
      <w:tr w14:paraId="3CE1E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247B705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盐酸</w:t>
            </w:r>
          </w:p>
        </w:tc>
        <w:tc>
          <w:tcPr>
            <w:tcW w:w="2414" w:type="dxa"/>
            <w:vAlign w:val="center"/>
          </w:tcPr>
          <w:p w14:paraId="283749E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500mL</w:t>
            </w:r>
          </w:p>
        </w:tc>
        <w:tc>
          <w:tcPr>
            <w:tcW w:w="1581" w:type="dxa"/>
            <w:vAlign w:val="center"/>
          </w:tcPr>
          <w:p w14:paraId="7E11AB0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30</w:t>
            </w:r>
          </w:p>
        </w:tc>
        <w:tc>
          <w:tcPr>
            <w:tcW w:w="2096" w:type="dxa"/>
            <w:vAlign w:val="center"/>
          </w:tcPr>
          <w:p w14:paraId="7FB6DFE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10瓶×0.575=5.75</w:t>
            </w:r>
          </w:p>
        </w:tc>
      </w:tr>
      <w:tr w14:paraId="1207A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472D614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高锰酸钾</w:t>
            </w:r>
          </w:p>
        </w:tc>
        <w:tc>
          <w:tcPr>
            <w:tcW w:w="2414" w:type="dxa"/>
            <w:vAlign w:val="center"/>
          </w:tcPr>
          <w:p w14:paraId="6BF6A90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52601BA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05F2BDA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0801E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0252F43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硝酸</w:t>
            </w:r>
          </w:p>
        </w:tc>
        <w:tc>
          <w:tcPr>
            <w:tcW w:w="2414" w:type="dxa"/>
            <w:vAlign w:val="center"/>
          </w:tcPr>
          <w:p w14:paraId="07FDF93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500mL</w:t>
            </w:r>
          </w:p>
        </w:tc>
        <w:tc>
          <w:tcPr>
            <w:tcW w:w="1581" w:type="dxa"/>
            <w:vAlign w:val="center"/>
          </w:tcPr>
          <w:p w14:paraId="2382171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7A5FB66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0.755</w:t>
            </w:r>
          </w:p>
        </w:tc>
      </w:tr>
      <w:tr w14:paraId="39E801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6CA95CD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重铬酸钾</w:t>
            </w:r>
          </w:p>
        </w:tc>
        <w:tc>
          <w:tcPr>
            <w:tcW w:w="2414" w:type="dxa"/>
            <w:vAlign w:val="center"/>
          </w:tcPr>
          <w:p w14:paraId="6C88E6F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2C7CA2C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6307A1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44BFFE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1FE2E6D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硝酸钾</w:t>
            </w:r>
          </w:p>
        </w:tc>
        <w:tc>
          <w:tcPr>
            <w:tcW w:w="2414" w:type="dxa"/>
            <w:vAlign w:val="center"/>
          </w:tcPr>
          <w:p w14:paraId="20064B3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119D204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1DDF40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24E55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13CCB60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硝酸银</w:t>
            </w:r>
          </w:p>
        </w:tc>
        <w:tc>
          <w:tcPr>
            <w:tcW w:w="2414" w:type="dxa"/>
            <w:vAlign w:val="center"/>
          </w:tcPr>
          <w:p w14:paraId="127C04D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100g</w:t>
            </w:r>
          </w:p>
        </w:tc>
        <w:tc>
          <w:tcPr>
            <w:tcW w:w="1581" w:type="dxa"/>
            <w:vAlign w:val="center"/>
          </w:tcPr>
          <w:p w14:paraId="4965437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096F096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0.1</w:t>
            </w:r>
          </w:p>
        </w:tc>
      </w:tr>
      <w:tr w14:paraId="6AC82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56BD7D1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硫酸汞</w:t>
            </w:r>
          </w:p>
        </w:tc>
        <w:tc>
          <w:tcPr>
            <w:tcW w:w="2414" w:type="dxa"/>
            <w:vAlign w:val="center"/>
          </w:tcPr>
          <w:p w14:paraId="652E6B3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250g</w:t>
            </w:r>
          </w:p>
        </w:tc>
        <w:tc>
          <w:tcPr>
            <w:tcW w:w="1581" w:type="dxa"/>
            <w:vAlign w:val="center"/>
          </w:tcPr>
          <w:p w14:paraId="7238822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10</w:t>
            </w:r>
          </w:p>
        </w:tc>
        <w:tc>
          <w:tcPr>
            <w:tcW w:w="2096" w:type="dxa"/>
            <w:vAlign w:val="center"/>
          </w:tcPr>
          <w:p w14:paraId="0E41AFC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1.25</w:t>
            </w:r>
          </w:p>
        </w:tc>
      </w:tr>
      <w:tr w14:paraId="73D42D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1854E15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碘化汞</w:t>
            </w:r>
          </w:p>
        </w:tc>
        <w:tc>
          <w:tcPr>
            <w:tcW w:w="2414" w:type="dxa"/>
            <w:vAlign w:val="center"/>
          </w:tcPr>
          <w:p w14:paraId="729246D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100g</w:t>
            </w:r>
          </w:p>
        </w:tc>
        <w:tc>
          <w:tcPr>
            <w:tcW w:w="1581" w:type="dxa"/>
            <w:vAlign w:val="center"/>
          </w:tcPr>
          <w:p w14:paraId="020752C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10</w:t>
            </w:r>
          </w:p>
        </w:tc>
        <w:tc>
          <w:tcPr>
            <w:tcW w:w="2096" w:type="dxa"/>
            <w:vAlign w:val="center"/>
          </w:tcPr>
          <w:p w14:paraId="37BD09E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w:t>
            </w:r>
          </w:p>
        </w:tc>
      </w:tr>
      <w:tr w14:paraId="29B6E9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4FA9392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铬酸钾</w:t>
            </w:r>
          </w:p>
        </w:tc>
        <w:tc>
          <w:tcPr>
            <w:tcW w:w="2414" w:type="dxa"/>
            <w:vAlign w:val="center"/>
          </w:tcPr>
          <w:p w14:paraId="45D9FCF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6BB8790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0DCC235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7BFBA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2DEAD6D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N-烯丙基硫脲</w:t>
            </w:r>
          </w:p>
        </w:tc>
        <w:tc>
          <w:tcPr>
            <w:tcW w:w="2414" w:type="dxa"/>
            <w:vAlign w:val="center"/>
          </w:tcPr>
          <w:p w14:paraId="625EBAB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100g</w:t>
            </w:r>
          </w:p>
        </w:tc>
        <w:tc>
          <w:tcPr>
            <w:tcW w:w="1581" w:type="dxa"/>
            <w:vAlign w:val="center"/>
          </w:tcPr>
          <w:p w14:paraId="459B138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564437D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0.1</w:t>
            </w:r>
          </w:p>
        </w:tc>
      </w:tr>
      <w:tr w14:paraId="7A505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22E9E18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硼酸</w:t>
            </w:r>
          </w:p>
        </w:tc>
        <w:tc>
          <w:tcPr>
            <w:tcW w:w="2414" w:type="dxa"/>
            <w:vAlign w:val="center"/>
          </w:tcPr>
          <w:p w14:paraId="6773B03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6739CFC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2A7DA8D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26307C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6EDED25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氢氧化钾</w:t>
            </w:r>
          </w:p>
        </w:tc>
        <w:tc>
          <w:tcPr>
            <w:tcW w:w="2414" w:type="dxa"/>
            <w:vAlign w:val="center"/>
          </w:tcPr>
          <w:p w14:paraId="6F0A5AF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744DD1F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AB6EE7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111962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26F1E79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氢氧化钠</w:t>
            </w:r>
          </w:p>
        </w:tc>
        <w:tc>
          <w:tcPr>
            <w:tcW w:w="2414" w:type="dxa"/>
            <w:vAlign w:val="center"/>
          </w:tcPr>
          <w:p w14:paraId="0402B12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4345B8B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w:t>
            </w:r>
          </w:p>
        </w:tc>
        <w:tc>
          <w:tcPr>
            <w:tcW w:w="2096" w:type="dxa"/>
            <w:vAlign w:val="center"/>
          </w:tcPr>
          <w:p w14:paraId="359A9DF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2.5</w:t>
            </w:r>
          </w:p>
        </w:tc>
      </w:tr>
      <w:tr w14:paraId="5CE22C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71E76F0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氨水</w:t>
            </w:r>
          </w:p>
        </w:tc>
        <w:tc>
          <w:tcPr>
            <w:tcW w:w="2414" w:type="dxa"/>
            <w:vAlign w:val="center"/>
          </w:tcPr>
          <w:p w14:paraId="7EC5CB4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500mL</w:t>
            </w:r>
          </w:p>
        </w:tc>
        <w:tc>
          <w:tcPr>
            <w:tcW w:w="1581" w:type="dxa"/>
            <w:vAlign w:val="center"/>
          </w:tcPr>
          <w:p w14:paraId="576F73A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227174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0.49</w:t>
            </w:r>
          </w:p>
        </w:tc>
      </w:tr>
      <w:tr w14:paraId="04744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5DF65D3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六水合三氯化铁</w:t>
            </w:r>
          </w:p>
        </w:tc>
        <w:tc>
          <w:tcPr>
            <w:tcW w:w="2414" w:type="dxa"/>
            <w:vAlign w:val="center"/>
          </w:tcPr>
          <w:p w14:paraId="1BE43ED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4545EF7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631AC7B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26C7C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2708" w:type="dxa"/>
            <w:shd w:val="clear" w:color="auto" w:fill="auto"/>
            <w:vAlign w:val="center"/>
          </w:tcPr>
          <w:p w14:paraId="04AF395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氯化锌</w:t>
            </w:r>
          </w:p>
        </w:tc>
        <w:tc>
          <w:tcPr>
            <w:tcW w:w="2414" w:type="dxa"/>
            <w:vAlign w:val="center"/>
          </w:tcPr>
          <w:p w14:paraId="052DE0C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3A503AD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1D771F4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w:t>
            </w:r>
          </w:p>
        </w:tc>
      </w:tr>
      <w:tr w14:paraId="7D4B88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7EDD77F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乙酸</w:t>
            </w:r>
          </w:p>
        </w:tc>
        <w:tc>
          <w:tcPr>
            <w:tcW w:w="2414" w:type="dxa"/>
            <w:vAlign w:val="center"/>
          </w:tcPr>
          <w:p w14:paraId="60D80D5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500mL</w:t>
            </w:r>
          </w:p>
        </w:tc>
        <w:tc>
          <w:tcPr>
            <w:tcW w:w="1581" w:type="dxa"/>
            <w:vAlign w:val="center"/>
          </w:tcPr>
          <w:p w14:paraId="2CFA1A7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08A2696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0.525</w:t>
            </w:r>
          </w:p>
        </w:tc>
      </w:tr>
      <w:tr w14:paraId="00B2E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3F7EC65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无水乙醇</w:t>
            </w:r>
          </w:p>
        </w:tc>
        <w:tc>
          <w:tcPr>
            <w:tcW w:w="2414" w:type="dxa"/>
            <w:vAlign w:val="center"/>
          </w:tcPr>
          <w:p w14:paraId="45CD6B8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500mL</w:t>
            </w:r>
          </w:p>
        </w:tc>
        <w:tc>
          <w:tcPr>
            <w:tcW w:w="1581" w:type="dxa"/>
            <w:vAlign w:val="center"/>
          </w:tcPr>
          <w:p w14:paraId="75026E3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w:t>
            </w:r>
          </w:p>
        </w:tc>
        <w:tc>
          <w:tcPr>
            <w:tcW w:w="2096" w:type="dxa"/>
            <w:vAlign w:val="center"/>
          </w:tcPr>
          <w:p w14:paraId="672C323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0.395</w:t>
            </w:r>
          </w:p>
        </w:tc>
      </w:tr>
      <w:tr w14:paraId="3C0D1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52A835E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过硫酸钾(Merck)</w:t>
            </w:r>
          </w:p>
        </w:tc>
        <w:tc>
          <w:tcPr>
            <w:tcW w:w="2414" w:type="dxa"/>
            <w:vAlign w:val="center"/>
          </w:tcPr>
          <w:p w14:paraId="08C1ED2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250g</w:t>
            </w:r>
          </w:p>
        </w:tc>
        <w:tc>
          <w:tcPr>
            <w:tcW w:w="1581" w:type="dxa"/>
            <w:vAlign w:val="center"/>
          </w:tcPr>
          <w:p w14:paraId="1AE82EB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4</w:t>
            </w:r>
          </w:p>
        </w:tc>
        <w:tc>
          <w:tcPr>
            <w:tcW w:w="2096" w:type="dxa"/>
            <w:vAlign w:val="center"/>
          </w:tcPr>
          <w:p w14:paraId="0E79AFD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w:t>
            </w:r>
          </w:p>
        </w:tc>
      </w:tr>
      <w:tr w14:paraId="41092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708" w:type="dxa"/>
            <w:shd w:val="clear" w:color="auto" w:fill="auto"/>
            <w:vAlign w:val="center"/>
          </w:tcPr>
          <w:p w14:paraId="3170D05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过硫酸钾</w:t>
            </w:r>
          </w:p>
        </w:tc>
        <w:tc>
          <w:tcPr>
            <w:tcW w:w="2414" w:type="dxa"/>
            <w:vAlign w:val="center"/>
          </w:tcPr>
          <w:p w14:paraId="3AF933A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500g</w:t>
            </w:r>
          </w:p>
        </w:tc>
        <w:tc>
          <w:tcPr>
            <w:tcW w:w="1581" w:type="dxa"/>
            <w:vAlign w:val="center"/>
          </w:tcPr>
          <w:p w14:paraId="0E30AA4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3</w:t>
            </w:r>
          </w:p>
        </w:tc>
        <w:tc>
          <w:tcPr>
            <w:tcW w:w="2096" w:type="dxa"/>
            <w:vAlign w:val="center"/>
          </w:tcPr>
          <w:p w14:paraId="1DB0A42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1.5</w:t>
            </w:r>
          </w:p>
        </w:tc>
      </w:tr>
      <w:tr w14:paraId="671996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8799" w:type="dxa"/>
            <w:gridSpan w:val="4"/>
            <w:shd w:val="clear" w:color="auto" w:fill="auto"/>
            <w:vAlign w:val="center"/>
          </w:tcPr>
          <w:p w14:paraId="564178DC">
            <w:pPr>
              <w:pStyle w:val="19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eastAsiaTheme="minorEastAsia"/>
                <w:b/>
                <w:bCs/>
                <w:color w:val="auto"/>
                <w:sz w:val="22"/>
                <w:szCs w:val="22"/>
                <w:highlight w:val="none"/>
                <w:u w:val="none" w:color="auto"/>
                <w:lang w:val="en-US" w:eastAsia="zh-CN" w:bidi="ar-SA"/>
              </w:rPr>
              <w:t>注：化验室试剂清单已考虑后期预处理厂的化验需求</w:t>
            </w:r>
          </w:p>
        </w:tc>
      </w:tr>
    </w:tbl>
    <w:p w14:paraId="77C07712">
      <w:pPr>
        <w:pStyle w:val="21"/>
        <w:spacing w:line="240" w:lineRule="auto"/>
        <w:ind w:firstLine="482"/>
        <w:jc w:val="center"/>
        <w:rPr>
          <w:rFonts w:hint="default" w:ascii="Times New Roman" w:hAnsi="Times New Roman" w:eastAsia="宋体" w:cs="Times New Roman"/>
          <w:color w:val="auto"/>
          <w:highlight w:val="none"/>
          <w:u w:val="none" w:color="auto"/>
          <w:lang w:val="en-US" w:eastAsia="zh-CN"/>
        </w:rPr>
      </w:pPr>
      <w:bookmarkStart w:id="58" w:name="9.7.3_结构选材_"/>
      <w:bookmarkEnd w:id="58"/>
    </w:p>
    <w:p w14:paraId="3B2A6AC0">
      <w:pPr>
        <w:pStyle w:val="21"/>
        <w:spacing w:line="240" w:lineRule="auto"/>
        <w:ind w:firstLine="482"/>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表3.3-8化验室试剂理化性质一览表</w:t>
      </w:r>
    </w:p>
    <w:tbl>
      <w:tblPr>
        <w:tblStyle w:val="77"/>
        <w:tblW w:w="93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8301"/>
      </w:tblGrid>
      <w:tr w14:paraId="43ACB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0" w:type="auto"/>
            <w:tcBorders>
              <w:tl2br w:val="nil"/>
              <w:tr2bl w:val="nil"/>
            </w:tcBorders>
            <w:vAlign w:val="center"/>
          </w:tcPr>
          <w:p w14:paraId="713FFCF2">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kern w:val="0"/>
                <w:sz w:val="21"/>
                <w:szCs w:val="21"/>
                <w:highlight w:val="none"/>
                <w:lang w:val="en-US" w:eastAsia="zh-CN" w:bidi="en-US"/>
              </w:rPr>
              <w:t>名称</w:t>
            </w:r>
          </w:p>
        </w:tc>
        <w:tc>
          <w:tcPr>
            <w:tcW w:w="8301" w:type="dxa"/>
            <w:tcBorders>
              <w:tl2br w:val="nil"/>
              <w:tr2bl w:val="nil"/>
            </w:tcBorders>
            <w:vAlign w:val="center"/>
          </w:tcPr>
          <w:p w14:paraId="53CDE5E5">
            <w:pPr>
              <w:keepNext w:val="0"/>
              <w:keepLines w:val="0"/>
              <w:widowControl/>
              <w:suppressLineNumbers w:val="0"/>
              <w:bidi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0"/>
                <w:highlight w:val="none"/>
                <w:lang w:val="en-US" w:eastAsia="zh-CN" w:bidi="en-US"/>
              </w:rPr>
            </w:pPr>
            <w:r>
              <w:rPr>
                <w:rFonts w:hint="default" w:ascii="Times New Roman" w:hAnsi="Times New Roman" w:eastAsia="宋体" w:cs="Times New Roman"/>
                <w:kern w:val="0"/>
                <w:sz w:val="21"/>
                <w:szCs w:val="20"/>
                <w:highlight w:val="none"/>
                <w:lang w:val="en-US" w:eastAsia="zh-CN" w:bidi="en-US"/>
              </w:rPr>
              <w:t>理化性质</w:t>
            </w:r>
          </w:p>
        </w:tc>
      </w:tr>
      <w:tr w14:paraId="2E4AE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0" w:type="auto"/>
            <w:tcBorders>
              <w:tl2br w:val="nil"/>
              <w:tr2bl w:val="nil"/>
            </w:tcBorders>
            <w:vAlign w:val="center"/>
          </w:tcPr>
          <w:p w14:paraId="755FD74B">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en-US" w:bidi="en-US"/>
              </w:rPr>
            </w:pPr>
            <w:r>
              <w:rPr>
                <w:rFonts w:hint="default" w:ascii="Times New Roman" w:hAnsi="Times New Roman" w:eastAsia="宋体" w:cs="Times New Roman"/>
                <w:kern w:val="0"/>
                <w:sz w:val="21"/>
                <w:szCs w:val="21"/>
                <w:highlight w:val="none"/>
                <w:lang w:val="en-US" w:eastAsia="zh-CN" w:bidi="en-US"/>
              </w:rPr>
              <w:t>乙醇</w:t>
            </w:r>
          </w:p>
        </w:tc>
        <w:tc>
          <w:tcPr>
            <w:tcW w:w="8301" w:type="dxa"/>
            <w:tcBorders>
              <w:tl2br w:val="nil"/>
              <w:tr2bl w:val="nil"/>
            </w:tcBorders>
            <w:vAlign w:val="center"/>
          </w:tcPr>
          <w:p w14:paraId="50FFCD8D">
            <w:pPr>
              <w:keepNext w:val="0"/>
              <w:keepLines w:val="0"/>
              <w:widowControl/>
              <w:suppressLineNumbers w:val="0"/>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kern w:val="0"/>
                <w:sz w:val="21"/>
                <w:szCs w:val="20"/>
                <w:highlight w:val="none"/>
                <w:lang w:val="en-US" w:eastAsia="zh-CN" w:bidi="en-US"/>
              </w:rPr>
            </w:pPr>
            <w:r>
              <w:rPr>
                <w:rFonts w:hint="default" w:ascii="Times New Roman" w:hAnsi="Times New Roman" w:eastAsia="宋体" w:cs="Times New Roman"/>
                <w:kern w:val="0"/>
                <w:sz w:val="21"/>
                <w:szCs w:val="20"/>
                <w:highlight w:val="none"/>
                <w:lang w:val="en-US" w:eastAsia="zh-CN" w:bidi="en-US"/>
              </w:rPr>
              <w:t>无色液体，有酒香；熔点：- 114.1℃；沸点： 78℃；溶解度：与水混溶，可混溶于醚、氯仿、甘油等多数有机溶剂；相对分子质量：46.07；相对密度0.789(水)，闪点：12℃ 。</w:t>
            </w:r>
          </w:p>
        </w:tc>
      </w:tr>
      <w:tr w14:paraId="40379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tcBorders>
              <w:tl2br w:val="nil"/>
              <w:tr2bl w:val="nil"/>
            </w:tcBorders>
            <w:vAlign w:val="center"/>
          </w:tcPr>
          <w:p w14:paraId="1F3D5EE6">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kern w:val="0"/>
                <w:sz w:val="21"/>
                <w:szCs w:val="21"/>
                <w:highlight w:val="none"/>
                <w:lang w:val="en-US" w:eastAsia="zh-CN" w:bidi="en-US"/>
              </w:rPr>
              <w:t>氢氧化钠</w:t>
            </w:r>
          </w:p>
        </w:tc>
        <w:tc>
          <w:tcPr>
            <w:tcW w:w="8301" w:type="dxa"/>
            <w:tcBorders>
              <w:tl2br w:val="nil"/>
              <w:tr2bl w:val="nil"/>
            </w:tcBorders>
            <w:vAlign w:val="center"/>
          </w:tcPr>
          <w:p w14:paraId="4150B2E5">
            <w:pPr>
              <w:keepNext w:val="0"/>
              <w:keepLines w:val="0"/>
              <w:widowControl/>
              <w:suppressLineNumbers w:val="0"/>
              <w:bidi w:val="0"/>
              <w:adjustRightInd w:val="0"/>
              <w:snapToGrid w:val="0"/>
              <w:spacing w:before="0" w:beforeAutospacing="0" w:after="0" w:afterAutospacing="0" w:line="240" w:lineRule="auto"/>
              <w:ind w:left="0" w:right="0"/>
              <w:jc w:val="both"/>
              <w:rPr>
                <w:rFonts w:hint="default" w:ascii="Times New Roman" w:hAnsi="Times New Roman" w:eastAsia="宋体" w:cs="Times New Roman"/>
                <w:kern w:val="0"/>
                <w:sz w:val="21"/>
                <w:szCs w:val="20"/>
                <w:highlight w:val="none"/>
                <w:lang w:val="en-US" w:eastAsia="zh-CN" w:bidi="en-US"/>
              </w:rPr>
            </w:pPr>
            <w:r>
              <w:rPr>
                <w:rFonts w:hint="default" w:ascii="Times New Roman" w:hAnsi="Times New Roman" w:eastAsia="宋体" w:cs="Times New Roman"/>
                <w:kern w:val="0"/>
                <w:sz w:val="21"/>
                <w:szCs w:val="20"/>
                <w:highlight w:val="none"/>
                <w:lang w:val="en-US" w:eastAsia="zh-CN" w:bidi="en-US"/>
              </w:rPr>
              <w:t>也称</w:t>
            </w:r>
            <w:r>
              <w:rPr>
                <w:rFonts w:hint="default" w:ascii="Times New Roman" w:hAnsi="Times New Roman" w:eastAsia="宋体" w:cs="Times New Roman"/>
                <w:kern w:val="0"/>
                <w:sz w:val="21"/>
                <w:szCs w:val="20"/>
                <w:highlight w:val="none"/>
                <w:lang w:val="en-US" w:eastAsia="en-US" w:bidi="en-US"/>
              </w:rPr>
              <w:fldChar w:fldCharType="begin"/>
            </w:r>
            <w:r>
              <w:rPr>
                <w:rFonts w:hint="default" w:ascii="Times New Roman" w:hAnsi="Times New Roman" w:eastAsia="宋体" w:cs="Times New Roman"/>
                <w:kern w:val="0"/>
                <w:sz w:val="21"/>
                <w:szCs w:val="20"/>
                <w:highlight w:val="none"/>
                <w:lang w:val="en-US" w:eastAsia="zh-CN" w:bidi="en-US"/>
              </w:rPr>
              <w:instrText xml:space="preserve"> HYPERLINK "https://baike.baidu.com/item/%E8%8B%9B%E6%80%A7%E9%92%A0/3926819?fromModule=lemma_inlink" \t "https://baike.baidu.com/item/%E6%B0%A2%E6%B0%A7%E5%8C%96%E9%92%A0/_blank" </w:instrText>
            </w:r>
            <w:r>
              <w:rPr>
                <w:rFonts w:hint="default" w:ascii="Times New Roman" w:hAnsi="Times New Roman" w:eastAsia="宋体" w:cs="Times New Roman"/>
                <w:kern w:val="0"/>
                <w:sz w:val="21"/>
                <w:szCs w:val="20"/>
                <w:highlight w:val="none"/>
                <w:lang w:val="en-US" w:eastAsia="en-US" w:bidi="en-US"/>
              </w:rPr>
              <w:fldChar w:fldCharType="separate"/>
            </w:r>
            <w:r>
              <w:rPr>
                <w:rFonts w:hint="default" w:ascii="Times New Roman" w:hAnsi="Times New Roman" w:eastAsia="宋体" w:cs="Times New Roman"/>
                <w:kern w:val="0"/>
                <w:sz w:val="21"/>
                <w:szCs w:val="20"/>
                <w:highlight w:val="none"/>
                <w:lang w:val="en-US" w:eastAsia="zh-CN" w:bidi="en-US"/>
              </w:rPr>
              <w:t>苛性钠</w:t>
            </w:r>
            <w:r>
              <w:rPr>
                <w:rFonts w:hint="default" w:ascii="Times New Roman" w:hAnsi="Times New Roman" w:eastAsia="宋体" w:cs="Times New Roman"/>
                <w:kern w:val="0"/>
                <w:sz w:val="21"/>
                <w:szCs w:val="20"/>
                <w:highlight w:val="none"/>
                <w:lang w:val="en-US" w:eastAsia="zh-CN" w:bidi="en-US"/>
              </w:rPr>
              <w:fldChar w:fldCharType="end"/>
            </w:r>
            <w:r>
              <w:rPr>
                <w:rFonts w:hint="default" w:ascii="Times New Roman" w:hAnsi="Times New Roman" w:eastAsia="宋体" w:cs="Times New Roman"/>
                <w:kern w:val="0"/>
                <w:sz w:val="21"/>
                <w:szCs w:val="20"/>
                <w:highlight w:val="none"/>
                <w:lang w:val="en-US" w:eastAsia="zh-CN" w:bidi="en-US"/>
              </w:rPr>
              <w:t>、</w:t>
            </w:r>
            <w:r>
              <w:rPr>
                <w:rFonts w:hint="default" w:ascii="Times New Roman" w:hAnsi="Times New Roman" w:eastAsia="宋体" w:cs="Times New Roman"/>
                <w:kern w:val="0"/>
                <w:sz w:val="21"/>
                <w:szCs w:val="20"/>
                <w:highlight w:val="none"/>
                <w:lang w:val="en-US" w:eastAsia="en-US" w:bidi="en-US"/>
              </w:rPr>
              <w:fldChar w:fldCharType="begin"/>
            </w:r>
            <w:r>
              <w:rPr>
                <w:rFonts w:hint="default" w:ascii="Times New Roman" w:hAnsi="Times New Roman" w:eastAsia="宋体" w:cs="Times New Roman"/>
                <w:kern w:val="0"/>
                <w:sz w:val="21"/>
                <w:szCs w:val="20"/>
                <w:highlight w:val="none"/>
                <w:lang w:val="en-US" w:eastAsia="en-US" w:bidi="en-US"/>
              </w:rPr>
              <w:instrText xml:space="preserve"> HYPERLINK "https://baike.baidu.com/item/%E7%83%A7%E7%A2%B1/1400538?fromModule=lemma_inlink" \t "https://baike.baidu.com/item/%E6%B0%A2%E6%B0%A7%E5%8C%96%E9%92%A0/_blank" </w:instrText>
            </w:r>
            <w:r>
              <w:rPr>
                <w:rFonts w:hint="default" w:ascii="Times New Roman" w:hAnsi="Times New Roman" w:eastAsia="宋体" w:cs="Times New Roman"/>
                <w:kern w:val="0"/>
                <w:sz w:val="21"/>
                <w:szCs w:val="20"/>
                <w:highlight w:val="none"/>
                <w:lang w:val="en-US" w:eastAsia="en-US" w:bidi="en-US"/>
              </w:rPr>
              <w:fldChar w:fldCharType="separate"/>
            </w:r>
            <w:r>
              <w:rPr>
                <w:rFonts w:hint="default" w:ascii="Times New Roman" w:hAnsi="Times New Roman" w:eastAsia="宋体" w:cs="Times New Roman"/>
                <w:kern w:val="0"/>
                <w:sz w:val="21"/>
                <w:szCs w:val="20"/>
                <w:highlight w:val="none"/>
                <w:lang w:val="en-US" w:eastAsia="zh-CN" w:bidi="en-US"/>
              </w:rPr>
              <w:t>烧碱</w:t>
            </w:r>
            <w:r>
              <w:rPr>
                <w:rFonts w:hint="default" w:ascii="Times New Roman" w:hAnsi="Times New Roman" w:eastAsia="宋体" w:cs="Times New Roman"/>
                <w:kern w:val="0"/>
                <w:sz w:val="21"/>
                <w:szCs w:val="20"/>
                <w:highlight w:val="none"/>
                <w:lang w:val="en-US" w:eastAsia="zh-CN" w:bidi="en-US"/>
              </w:rPr>
              <w:fldChar w:fldCharType="end"/>
            </w:r>
            <w:r>
              <w:rPr>
                <w:rFonts w:hint="default" w:ascii="Times New Roman" w:hAnsi="Times New Roman" w:eastAsia="宋体" w:cs="Times New Roman"/>
                <w:kern w:val="0"/>
                <w:sz w:val="21"/>
                <w:szCs w:val="20"/>
                <w:highlight w:val="none"/>
                <w:lang w:val="en-US" w:eastAsia="zh-CN" w:bidi="en-US"/>
              </w:rPr>
              <w:t>、</w:t>
            </w:r>
            <w:r>
              <w:rPr>
                <w:rFonts w:hint="default" w:ascii="Times New Roman" w:hAnsi="Times New Roman" w:eastAsia="宋体" w:cs="Times New Roman"/>
                <w:kern w:val="0"/>
                <w:sz w:val="21"/>
                <w:szCs w:val="20"/>
                <w:highlight w:val="none"/>
                <w:lang w:val="en-US" w:eastAsia="en-US" w:bidi="en-US"/>
              </w:rPr>
              <w:fldChar w:fldCharType="begin"/>
            </w:r>
            <w:r>
              <w:rPr>
                <w:rFonts w:hint="default" w:ascii="Times New Roman" w:hAnsi="Times New Roman" w:eastAsia="宋体" w:cs="Times New Roman"/>
                <w:kern w:val="0"/>
                <w:sz w:val="21"/>
                <w:szCs w:val="20"/>
                <w:highlight w:val="none"/>
                <w:lang w:val="en-US" w:eastAsia="en-US" w:bidi="en-US"/>
              </w:rPr>
              <w:instrText xml:space="preserve"> HYPERLINK "https://baike.baidu.com/item/%E7%81%AB%E7%A2%B1/2751638?fromModule=lemma_inlink" \t "https://baike.baidu.com/item/%E6%B0%A2%E6%B0%A7%E5%8C%96%E9%92%A0/_blank" </w:instrText>
            </w:r>
            <w:r>
              <w:rPr>
                <w:rFonts w:hint="default" w:ascii="Times New Roman" w:hAnsi="Times New Roman" w:eastAsia="宋体" w:cs="Times New Roman"/>
                <w:kern w:val="0"/>
                <w:sz w:val="21"/>
                <w:szCs w:val="20"/>
                <w:highlight w:val="none"/>
                <w:lang w:val="en-US" w:eastAsia="en-US" w:bidi="en-US"/>
              </w:rPr>
              <w:fldChar w:fldCharType="separate"/>
            </w:r>
            <w:r>
              <w:rPr>
                <w:rFonts w:hint="default" w:ascii="Times New Roman" w:hAnsi="Times New Roman" w:eastAsia="宋体" w:cs="Times New Roman"/>
                <w:kern w:val="0"/>
                <w:sz w:val="21"/>
                <w:szCs w:val="20"/>
                <w:highlight w:val="none"/>
                <w:lang w:val="en-US" w:eastAsia="zh-CN" w:bidi="en-US"/>
              </w:rPr>
              <w:t>火碱</w:t>
            </w:r>
            <w:r>
              <w:rPr>
                <w:rFonts w:hint="default" w:ascii="Times New Roman" w:hAnsi="Times New Roman" w:eastAsia="宋体" w:cs="Times New Roman"/>
                <w:kern w:val="0"/>
                <w:sz w:val="21"/>
                <w:szCs w:val="20"/>
                <w:highlight w:val="none"/>
                <w:lang w:val="en-US" w:eastAsia="zh-CN" w:bidi="en-US"/>
              </w:rPr>
              <w:fldChar w:fldCharType="end"/>
            </w:r>
            <w:r>
              <w:rPr>
                <w:rFonts w:hint="default" w:ascii="Times New Roman" w:hAnsi="Times New Roman" w:eastAsia="宋体" w:cs="Times New Roman"/>
                <w:kern w:val="0"/>
                <w:sz w:val="21"/>
                <w:szCs w:val="20"/>
                <w:highlight w:val="none"/>
                <w:lang w:val="en-US" w:eastAsia="zh-CN" w:bidi="en-US"/>
              </w:rPr>
              <w:t>、</w:t>
            </w:r>
            <w:r>
              <w:rPr>
                <w:rFonts w:hint="default" w:ascii="Times New Roman" w:hAnsi="Times New Roman" w:eastAsia="宋体" w:cs="Times New Roman"/>
                <w:kern w:val="0"/>
                <w:sz w:val="21"/>
                <w:szCs w:val="20"/>
                <w:highlight w:val="none"/>
                <w:lang w:val="en-US" w:eastAsia="en-US" w:bidi="en-US"/>
              </w:rPr>
              <w:fldChar w:fldCharType="begin"/>
            </w:r>
            <w:r>
              <w:rPr>
                <w:rFonts w:hint="default" w:ascii="Times New Roman" w:hAnsi="Times New Roman" w:eastAsia="宋体" w:cs="Times New Roman"/>
                <w:kern w:val="0"/>
                <w:sz w:val="21"/>
                <w:szCs w:val="20"/>
                <w:highlight w:val="none"/>
                <w:lang w:val="en-US" w:eastAsia="en-US" w:bidi="en-US"/>
              </w:rPr>
              <w:instrText xml:space="preserve"> HYPERLINK "https://baike.baidu.com/item/%E7%89%87%E7%A2%B1/10779075?fromModule=lemma_inlink" \t "https://baike.baidu.com/item/%E6%B0%A2%E6%B0%A7%E5%8C%96%E9%92%A0/_blank" </w:instrText>
            </w:r>
            <w:r>
              <w:rPr>
                <w:rFonts w:hint="default" w:ascii="Times New Roman" w:hAnsi="Times New Roman" w:eastAsia="宋体" w:cs="Times New Roman"/>
                <w:kern w:val="0"/>
                <w:sz w:val="21"/>
                <w:szCs w:val="20"/>
                <w:highlight w:val="none"/>
                <w:lang w:val="en-US" w:eastAsia="en-US" w:bidi="en-US"/>
              </w:rPr>
              <w:fldChar w:fldCharType="separate"/>
            </w:r>
            <w:r>
              <w:rPr>
                <w:rFonts w:hint="default" w:ascii="Times New Roman" w:hAnsi="Times New Roman" w:eastAsia="宋体" w:cs="Times New Roman"/>
                <w:kern w:val="0"/>
                <w:sz w:val="21"/>
                <w:szCs w:val="20"/>
                <w:highlight w:val="none"/>
                <w:lang w:val="en-US" w:eastAsia="zh-CN" w:bidi="en-US"/>
              </w:rPr>
              <w:t>片碱</w:t>
            </w:r>
            <w:r>
              <w:rPr>
                <w:rFonts w:hint="default" w:ascii="Times New Roman" w:hAnsi="Times New Roman" w:eastAsia="宋体" w:cs="Times New Roman"/>
                <w:kern w:val="0"/>
                <w:sz w:val="21"/>
                <w:szCs w:val="20"/>
                <w:highlight w:val="none"/>
                <w:lang w:val="en-US" w:eastAsia="zh-CN" w:bidi="en-US"/>
              </w:rPr>
              <w:fldChar w:fldCharType="end"/>
            </w:r>
            <w:r>
              <w:rPr>
                <w:rFonts w:hint="default" w:ascii="Times New Roman" w:hAnsi="Times New Roman" w:eastAsia="宋体" w:cs="Times New Roman"/>
                <w:kern w:val="0"/>
                <w:sz w:val="21"/>
                <w:szCs w:val="20"/>
                <w:highlight w:val="none"/>
                <w:lang w:val="en-US" w:eastAsia="zh-CN" w:bidi="en-US"/>
              </w:rPr>
              <w:t>，是一种无机化合物，化学式NaOH，相对分子量为39.9970，白色结晶性粉末。密度：2.130 g/cm³、熔点：318.4℃(591 K)；沸点：1390 ℃ (1663 K)、蒸气压：24.5mmHg( 25°C) 、饱和蒸气压：0.13 Kpa（739℃），易溶于水、乙醇、甘油，不溶于丙酮、乙醚。</w:t>
            </w:r>
          </w:p>
        </w:tc>
      </w:tr>
      <w:tr w14:paraId="5F646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0" w:type="auto"/>
            <w:tcBorders>
              <w:tl2br w:val="nil"/>
              <w:tr2bl w:val="nil"/>
            </w:tcBorders>
            <w:vAlign w:val="center"/>
          </w:tcPr>
          <w:p w14:paraId="1902966B">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kern w:val="0"/>
                <w:sz w:val="21"/>
                <w:szCs w:val="21"/>
                <w:highlight w:val="none"/>
                <w:lang w:val="en-US" w:eastAsia="zh-CN" w:bidi="en-US"/>
              </w:rPr>
              <w:t>硫酸</w:t>
            </w:r>
          </w:p>
        </w:tc>
        <w:tc>
          <w:tcPr>
            <w:tcW w:w="8301" w:type="dxa"/>
            <w:tcBorders>
              <w:tl2br w:val="nil"/>
              <w:tr2bl w:val="nil"/>
            </w:tcBorders>
            <w:vAlign w:val="center"/>
          </w:tcPr>
          <w:p w14:paraId="2B25E9B4">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1"/>
                <w:szCs w:val="20"/>
                <w:highlight w:val="none"/>
                <w:lang w:val="en-US" w:eastAsia="zh-CN" w:bidi="en-US"/>
              </w:rPr>
            </w:pPr>
            <w:r>
              <w:rPr>
                <w:rFonts w:hint="default" w:ascii="Times New Roman" w:hAnsi="Times New Roman" w:eastAsia="宋体" w:cs="Times New Roman"/>
                <w:kern w:val="0"/>
                <w:sz w:val="21"/>
                <w:szCs w:val="20"/>
                <w:highlight w:val="none"/>
                <w:lang w:val="en-US" w:eastAsia="zh-CN" w:bidi="en-US"/>
              </w:rPr>
              <w:t>硫酸是一种最活泼的二元无机强酸，能 和许多金属发生反应。高浓度的硫酸有 强烈吸水性。与水混合时，亦会放出大量热能。其具有强烈的腐蚀性和氧化性。纯硫酸一般为无色油状液体，密度1.84 g/cm³，沸点337℃，能与水以任意比例互溶。</w:t>
            </w:r>
          </w:p>
        </w:tc>
      </w:tr>
      <w:tr w14:paraId="751EE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0" w:type="auto"/>
            <w:tcBorders>
              <w:tl2br w:val="nil"/>
              <w:tr2bl w:val="nil"/>
            </w:tcBorders>
            <w:vAlign w:val="center"/>
          </w:tcPr>
          <w:p w14:paraId="3BC17CD4">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kern w:val="0"/>
                <w:sz w:val="21"/>
                <w:szCs w:val="21"/>
                <w:highlight w:val="none"/>
                <w:lang w:val="en-US" w:eastAsia="zh-CN" w:bidi="en-US"/>
              </w:rPr>
              <w:t>高锰酸钾</w:t>
            </w:r>
          </w:p>
        </w:tc>
        <w:tc>
          <w:tcPr>
            <w:tcW w:w="8301" w:type="dxa"/>
            <w:tcBorders>
              <w:tl2br w:val="nil"/>
              <w:tr2bl w:val="nil"/>
            </w:tcBorders>
            <w:vAlign w:val="center"/>
          </w:tcPr>
          <w:p w14:paraId="1FE487BB">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1"/>
                <w:szCs w:val="20"/>
                <w:highlight w:val="none"/>
                <w:lang w:val="en-US" w:eastAsia="zh-CN" w:bidi="en-US"/>
              </w:rPr>
            </w:pPr>
            <w:r>
              <w:rPr>
                <w:rFonts w:hint="default" w:ascii="Times New Roman" w:hAnsi="Times New Roman" w:eastAsia="宋体" w:cs="Times New Roman"/>
                <w:kern w:val="0"/>
                <w:sz w:val="21"/>
                <w:szCs w:val="20"/>
                <w:highlight w:val="none"/>
                <w:lang w:val="en-US" w:eastAsia="zh-CN" w:bidi="en-US"/>
              </w:rPr>
              <w:t>高锰酸钾是一种深紫色细长斜方柱状结晶，具有金属光泽。它的分子式为KMnO4，分子量为158.03。高锰酸钾易溶于水和碱液，微溶于甲醇、丙酮和硫酸</w:t>
            </w:r>
          </w:p>
        </w:tc>
      </w:tr>
      <w:tr w14:paraId="7DD55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0" w:type="auto"/>
            <w:tcBorders>
              <w:tl2br w:val="nil"/>
              <w:tr2bl w:val="nil"/>
            </w:tcBorders>
            <w:vAlign w:val="center"/>
          </w:tcPr>
          <w:p w14:paraId="46E1CF28">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kern w:val="0"/>
                <w:sz w:val="21"/>
                <w:szCs w:val="21"/>
                <w:highlight w:val="none"/>
                <w:lang w:val="en-US" w:eastAsia="zh-CN" w:bidi="en-US"/>
              </w:rPr>
              <w:t>盐酸</w:t>
            </w:r>
          </w:p>
        </w:tc>
        <w:tc>
          <w:tcPr>
            <w:tcW w:w="8301" w:type="dxa"/>
            <w:tcBorders>
              <w:tl2br w:val="nil"/>
              <w:tr2bl w:val="nil"/>
            </w:tcBorders>
            <w:vAlign w:val="center"/>
          </w:tcPr>
          <w:p w14:paraId="77C2F109">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0"/>
                <w:sz w:val="21"/>
                <w:szCs w:val="20"/>
                <w:highlight w:val="none"/>
                <w:lang w:val="en-US" w:eastAsia="zh-CN"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分子式</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HCl，</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透明无色或稍带黄色的强腐蚀性液体，有刺激性气味。</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CAS号7647-01-0，</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可与水和乙醇混溶。密度</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1.2g/ml（25℃）</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，熔点</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-35</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℃，沸点</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57</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℃。遇氨产生白烟。</w:t>
            </w:r>
          </w:p>
        </w:tc>
      </w:tr>
      <w:tr w14:paraId="6622C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tcBorders>
              <w:tl2br w:val="nil"/>
              <w:tr2bl w:val="nil"/>
            </w:tcBorders>
            <w:vAlign w:val="center"/>
          </w:tcPr>
          <w:p w14:paraId="51553225">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kern w:val="0"/>
                <w:sz w:val="21"/>
                <w:szCs w:val="21"/>
                <w:highlight w:val="none"/>
                <w:lang w:val="en-US" w:eastAsia="zh-CN" w:bidi="en-US"/>
              </w:rPr>
              <w:t>硝酸</w:t>
            </w:r>
          </w:p>
        </w:tc>
        <w:tc>
          <w:tcPr>
            <w:tcW w:w="8301" w:type="dxa"/>
            <w:tcBorders>
              <w:tl2br w:val="nil"/>
              <w:tr2bl w:val="nil"/>
            </w:tcBorders>
            <w:vAlign w:val="center"/>
          </w:tcPr>
          <w:p w14:paraId="398B7210">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分子式</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HNO</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zh-CN" w:bidi="en-US"/>
              </w:rPr>
              <w:t>3</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无色或黄色发烟液体，有令人窒息的气味。</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CAS号7697-37-2，</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在空气中形成黄色到棕红色的雾状气体。</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密度1.41g/ml（20℃）</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熔点-42℃，沸点</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120.5</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℃。硝酸不稳定，遇光或热会分解而放出二氧化氮，从而呈现浅黄色。浓硝酸是强氧化剂，遇有机物、木屑等能引起燃烧。</w:t>
            </w:r>
          </w:p>
        </w:tc>
      </w:tr>
      <w:tr w14:paraId="2DB5C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0" w:type="auto"/>
            <w:tcBorders>
              <w:tl2br w:val="nil"/>
              <w:tr2bl w:val="nil"/>
            </w:tcBorders>
            <w:vAlign w:val="center"/>
          </w:tcPr>
          <w:p w14:paraId="54214E9D">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color w:val="auto"/>
                <w:sz w:val="21"/>
                <w:szCs w:val="21"/>
                <w:highlight w:val="none"/>
                <w:u w:val="none" w:color="auto"/>
                <w:lang w:val="en-US" w:eastAsia="zh-CN"/>
              </w:rPr>
              <w:t>硝酸钾</w:t>
            </w:r>
          </w:p>
        </w:tc>
        <w:tc>
          <w:tcPr>
            <w:tcW w:w="8301" w:type="dxa"/>
            <w:tcBorders>
              <w:tl2br w:val="nil"/>
              <w:tr2bl w:val="nil"/>
            </w:tcBorders>
            <w:vAlign w:val="center"/>
          </w:tcPr>
          <w:p w14:paraId="616EF45F">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分子式</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KNO</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zh-CN" w:bidi="en-US"/>
              </w:rPr>
              <w:t>3</w:t>
            </w:r>
            <w:r>
              <w:rPr>
                <w:rFonts w:hint="default" w:ascii="Times New Roman" w:hAnsi="Times New Roman" w:eastAsia="宋体" w:cs="Times New Roman"/>
                <w:i w:val="0"/>
                <w:iCs w:val="0"/>
                <w:caps w:val="0"/>
                <w:color w:val="auto"/>
                <w:spacing w:val="0"/>
                <w:kern w:val="0"/>
                <w:sz w:val="21"/>
                <w:szCs w:val="21"/>
                <w:highlight w:val="none"/>
                <w:shd w:val="clear" w:fill="FFFFFF"/>
                <w:vertAlign w:val="baseline"/>
                <w:lang w:val="en-US" w:eastAsia="zh-CN" w:bidi="en-US"/>
              </w:rPr>
              <w:t>，</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无色透明斜方或三方晶系颗粒或白色粉末，CAS号7757-79-1，密度为2.1g/cm</w:t>
            </w:r>
            <w:r>
              <w:rPr>
                <w:rFonts w:hint="default" w:ascii="Times New Roman" w:hAnsi="Times New Roman" w:eastAsia="宋体" w:cs="Times New Roman"/>
                <w:i w:val="0"/>
                <w:iCs w:val="0"/>
                <w:caps w:val="0"/>
                <w:color w:val="auto"/>
                <w:spacing w:val="0"/>
                <w:kern w:val="0"/>
                <w:sz w:val="21"/>
                <w:szCs w:val="21"/>
                <w:highlight w:val="none"/>
                <w:shd w:val="clear" w:fill="FFFFFF"/>
                <w:vertAlign w:val="superscript"/>
                <w:lang w:val="en-US" w:eastAsia="zh-CN" w:bidi="en-US"/>
              </w:rPr>
              <w:t>3</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，易溶于水，不溶于无水乙醇、乙醚。</w:t>
            </w:r>
          </w:p>
        </w:tc>
      </w:tr>
      <w:tr w14:paraId="2C02E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0" w:type="auto"/>
            <w:tcBorders>
              <w:tl2br w:val="nil"/>
              <w:tr2bl w:val="nil"/>
            </w:tcBorders>
            <w:vAlign w:val="center"/>
          </w:tcPr>
          <w:p w14:paraId="2D746B6C">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color w:val="auto"/>
                <w:sz w:val="21"/>
                <w:szCs w:val="21"/>
                <w:highlight w:val="none"/>
                <w:u w:val="none" w:color="auto"/>
                <w:lang w:val="en-US" w:eastAsia="zh-CN"/>
              </w:rPr>
              <w:t>硝酸银</w:t>
            </w:r>
          </w:p>
        </w:tc>
        <w:tc>
          <w:tcPr>
            <w:tcW w:w="8301" w:type="dxa"/>
            <w:tcBorders>
              <w:tl2br w:val="nil"/>
              <w:tr2bl w:val="nil"/>
            </w:tcBorders>
            <w:vAlign w:val="center"/>
          </w:tcPr>
          <w:p w14:paraId="75DCC974">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分子式</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AgNO</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zh-CN" w:bidi="en-US"/>
              </w:rPr>
              <w:t>3</w:t>
            </w:r>
            <w:r>
              <w:rPr>
                <w:rFonts w:hint="default" w:ascii="Times New Roman" w:hAnsi="Times New Roman" w:eastAsia="宋体" w:cs="Times New Roman"/>
                <w:i w:val="0"/>
                <w:iCs w:val="0"/>
                <w:caps w:val="0"/>
                <w:color w:val="auto"/>
                <w:spacing w:val="0"/>
                <w:kern w:val="0"/>
                <w:sz w:val="21"/>
                <w:szCs w:val="21"/>
                <w:highlight w:val="none"/>
                <w:shd w:val="clear" w:fill="FFFFFF"/>
                <w:vertAlign w:val="baseline"/>
                <w:lang w:val="en-US" w:eastAsia="zh-CN" w:bidi="en-US"/>
              </w:rPr>
              <w:t>，</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无色透明斜方结晶或白色的结晶，有苦味，CAS号7761-88-8，相对密度为4.35，易溶于水、碱，微溶于乙醚。</w:t>
            </w:r>
          </w:p>
        </w:tc>
      </w:tr>
      <w:tr w14:paraId="6EC24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0" w:type="auto"/>
            <w:tcBorders>
              <w:tl2br w:val="nil"/>
              <w:tr2bl w:val="nil"/>
            </w:tcBorders>
            <w:vAlign w:val="center"/>
          </w:tcPr>
          <w:p w14:paraId="422BD53C">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color w:val="auto"/>
                <w:sz w:val="21"/>
                <w:szCs w:val="21"/>
                <w:highlight w:val="none"/>
                <w:u w:val="none" w:color="auto"/>
                <w:lang w:val="en-US" w:eastAsia="zh-CN"/>
              </w:rPr>
              <w:t>硫酸汞</w:t>
            </w:r>
          </w:p>
        </w:tc>
        <w:tc>
          <w:tcPr>
            <w:tcW w:w="8301" w:type="dxa"/>
            <w:tcBorders>
              <w:tl2br w:val="nil"/>
              <w:tr2bl w:val="nil"/>
            </w:tcBorders>
            <w:vAlign w:val="center"/>
          </w:tcPr>
          <w:p w14:paraId="569BE309">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分子式</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HgSO</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zh-CN" w:bidi="en-US"/>
              </w:rPr>
              <w:t>4</w:t>
            </w:r>
            <w:r>
              <w:rPr>
                <w:rFonts w:hint="default" w:ascii="Times New Roman" w:hAnsi="Times New Roman" w:eastAsia="宋体" w:cs="Times New Roman"/>
                <w:i w:val="0"/>
                <w:iCs w:val="0"/>
                <w:caps w:val="0"/>
                <w:color w:val="auto"/>
                <w:spacing w:val="0"/>
                <w:kern w:val="0"/>
                <w:sz w:val="21"/>
                <w:szCs w:val="21"/>
                <w:highlight w:val="none"/>
                <w:shd w:val="clear" w:fill="FFFFFF"/>
                <w:vertAlign w:val="baseline"/>
                <w:lang w:val="en-US" w:eastAsia="zh-CN" w:bidi="en-US"/>
              </w:rPr>
              <w:t>，</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无白色结晶粉末，无气味，CAS号7783-35-9，相对密度为6.47，溶于盐酸、热硫酸、浓氯化钠，不溶于丙酮、氨水。</w:t>
            </w:r>
          </w:p>
        </w:tc>
      </w:tr>
      <w:tr w14:paraId="42861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0" w:type="auto"/>
            <w:tcBorders>
              <w:tl2br w:val="nil"/>
              <w:tr2bl w:val="nil"/>
            </w:tcBorders>
            <w:vAlign w:val="center"/>
          </w:tcPr>
          <w:p w14:paraId="7EFE8784">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color w:val="auto"/>
                <w:sz w:val="21"/>
                <w:szCs w:val="21"/>
                <w:highlight w:val="none"/>
                <w:u w:val="none" w:color="auto"/>
                <w:lang w:val="en-US" w:eastAsia="zh-CN"/>
              </w:rPr>
              <w:t>铬酸钾</w:t>
            </w:r>
          </w:p>
        </w:tc>
        <w:tc>
          <w:tcPr>
            <w:tcW w:w="8301" w:type="dxa"/>
            <w:tcBorders>
              <w:tl2br w:val="nil"/>
              <w:tr2bl w:val="nil"/>
            </w:tcBorders>
            <w:vAlign w:val="center"/>
          </w:tcPr>
          <w:p w14:paraId="7147C517">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一种无机化合物，化学式为K</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zh-CN" w:bidi="en-US"/>
              </w:rPr>
              <w:t>2</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CrO</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zh-CN" w:bidi="en-US"/>
              </w:rPr>
              <w:t>4</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，为黄色结晶性粉末，是铬酸所成的钾盐，用于鉴别氯离子，铬酸钾中铬为六价，属于一级致癌物质，吸入或吞食会导致癌症。CAS号7789-00-6，溶于水，不溶于乙醇</w:t>
            </w:r>
          </w:p>
        </w:tc>
      </w:tr>
      <w:tr w14:paraId="7A067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0" w:type="auto"/>
            <w:tcBorders>
              <w:tl2br w:val="nil"/>
              <w:tr2bl w:val="nil"/>
            </w:tcBorders>
            <w:vAlign w:val="center"/>
          </w:tcPr>
          <w:p w14:paraId="126428FB">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kern w:val="0"/>
                <w:sz w:val="21"/>
                <w:szCs w:val="21"/>
                <w:highlight w:val="none"/>
                <w:lang w:val="en-US" w:eastAsia="zh-CN" w:bidi="en-US"/>
              </w:rPr>
              <w:t>N-烯丙基硫脲</w:t>
            </w:r>
          </w:p>
        </w:tc>
        <w:tc>
          <w:tcPr>
            <w:tcW w:w="8301" w:type="dxa"/>
            <w:tcBorders>
              <w:tl2br w:val="nil"/>
              <w:tr2bl w:val="nil"/>
            </w:tcBorders>
            <w:vAlign w:val="center"/>
          </w:tcPr>
          <w:p w14:paraId="21A546CE">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又称1-丙烯基-2-硫脲、N-丙烯基硫脲或硫代芥子油，是一种有机化合物，化学式为C</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4</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H</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8</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N</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2</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S，CAS号109-57-9，分子量116.19。 该物质呈白色结晶状，具有蒜臭味，味苦，熔点76-78.4℃，相对密度1.22。 水中溶解度6.7g/mL，溶于乙醇，微溶于乙醚，不溶于苯。 有毒，半数致死量（大鼠皮下）为850mg/kg，有刺激性。</w:t>
            </w:r>
          </w:p>
        </w:tc>
      </w:tr>
      <w:tr w14:paraId="18C58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0" w:type="auto"/>
            <w:tcBorders>
              <w:tl2br w:val="nil"/>
              <w:tr2bl w:val="nil"/>
            </w:tcBorders>
            <w:vAlign w:val="center"/>
          </w:tcPr>
          <w:p w14:paraId="5628E5A3">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color w:val="auto"/>
                <w:sz w:val="21"/>
                <w:szCs w:val="21"/>
                <w:highlight w:val="none"/>
                <w:u w:val="none" w:color="auto"/>
                <w:lang w:val="en-US" w:eastAsia="zh-CN"/>
              </w:rPr>
              <w:t>硼酸</w:t>
            </w:r>
          </w:p>
        </w:tc>
        <w:tc>
          <w:tcPr>
            <w:tcW w:w="8301" w:type="dxa"/>
            <w:tcBorders>
              <w:tl2br w:val="nil"/>
              <w:tr2bl w:val="nil"/>
            </w:tcBorders>
            <w:vAlign w:val="center"/>
          </w:tcPr>
          <w:p w14:paraId="20C2B872">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一种无机化合物，化学式为H</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3</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BO</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3</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，为白色结晶性粉末，有滑腻手感，无气味，微溶于冷水，易溶于热水、甘油和乙醇。是一种弱一元酸，酸性强于碳酸</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。CAS号10043-35-3</w:t>
            </w:r>
          </w:p>
        </w:tc>
      </w:tr>
      <w:tr w14:paraId="0682B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0" w:type="auto"/>
            <w:tcBorders>
              <w:tl2br w:val="nil"/>
              <w:tr2bl w:val="nil"/>
            </w:tcBorders>
            <w:vAlign w:val="center"/>
          </w:tcPr>
          <w:p w14:paraId="30C76B13">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color w:val="auto"/>
                <w:sz w:val="21"/>
                <w:szCs w:val="21"/>
                <w:highlight w:val="none"/>
                <w:u w:val="none" w:color="auto"/>
                <w:lang w:val="en-US" w:eastAsia="zh-CN"/>
              </w:rPr>
              <w:t>氢氧化钾</w:t>
            </w:r>
          </w:p>
        </w:tc>
        <w:tc>
          <w:tcPr>
            <w:tcW w:w="8301" w:type="dxa"/>
            <w:tcBorders>
              <w:tl2br w:val="nil"/>
              <w:tr2bl w:val="nil"/>
            </w:tcBorders>
            <w:vAlign w:val="center"/>
          </w:tcPr>
          <w:p w14:paraId="5E5BD1BB">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又称“苛性钾”，化学式KOH。是一种常见的强碱性无机化合物，常为白色片状。很易溶于水、</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fldChar w:fldCharType="begin"/>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instrText xml:space="preserve"> HYPERLINK "https://baike.baidu.com/item/%E4%B9%99%E9%86%87/135334?fromModule=lemma_inlink" \t "https://baike.baidu.com/item/%E6%B0%A2%E6%B0%A7%E5%8C%96%E9%92%BE/_blank" </w:instrTex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fldChar w:fldCharType="separate"/>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乙醇</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fldChar w:fldCharType="end"/>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，溶解时强烈放热，极易吸收空气中的水分及</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fldChar w:fldCharType="begin"/>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instrText xml:space="preserve"> HYPERLINK "https://baike.baidu.com/item/%E4%BA%8C%E6%B0%A7%E5%8C%96%E7%A2%B3/349143?fromModule=lemma_inlink" \t "https://baike.baidu.com/item/%E6%B0%A2%E6%B0%A7%E5%8C%96%E9%92%BE/_blank" </w:instrTex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fldChar w:fldCharType="separate"/>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二氧化碳</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fldChar w:fldCharType="end"/>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密度1.45g/ml（20℃）</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熔点</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361</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℃，沸点</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1320</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CAS号1310-58-3</w:t>
            </w:r>
          </w:p>
        </w:tc>
      </w:tr>
      <w:tr w14:paraId="0D4CD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0" w:type="auto"/>
            <w:tcBorders>
              <w:tl2br w:val="nil"/>
              <w:tr2bl w:val="nil"/>
            </w:tcBorders>
            <w:vAlign w:val="center"/>
          </w:tcPr>
          <w:p w14:paraId="0003227F">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kern w:val="0"/>
                <w:sz w:val="21"/>
                <w:szCs w:val="21"/>
                <w:highlight w:val="none"/>
                <w:lang w:val="en-US" w:eastAsia="zh-CN" w:bidi="en-US"/>
              </w:rPr>
              <w:t>氨水</w:t>
            </w:r>
          </w:p>
        </w:tc>
        <w:tc>
          <w:tcPr>
            <w:tcW w:w="8301" w:type="dxa"/>
            <w:tcBorders>
              <w:tl2br w:val="nil"/>
              <w:tr2bl w:val="nil"/>
            </w:tcBorders>
            <w:vAlign w:val="center"/>
          </w:tcPr>
          <w:p w14:paraId="060C5D35">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气体氨的水溶液，主要成分为NH</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3</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·H</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2</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O，即一水合氨，无色透明且具有刺激性臭味。氨水密度小于水，不稳定，易挥发，见光受热易分解。氨水本身是不燃烧、无爆炸危险的液体，从水中分离的氨气具有强烈刺鼻气味，对人体的眼、鼻和皮肤都有一定的刺激性和腐蚀性，且具有燃烧和爆炸危险</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。CAS号1336-21-6</w:t>
            </w:r>
          </w:p>
        </w:tc>
      </w:tr>
      <w:tr w14:paraId="00D3A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0" w:type="auto"/>
            <w:tcBorders>
              <w:tl2br w:val="nil"/>
              <w:tr2bl w:val="nil"/>
            </w:tcBorders>
            <w:vAlign w:val="center"/>
          </w:tcPr>
          <w:p w14:paraId="16F4FF29">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kern w:val="0"/>
                <w:sz w:val="21"/>
                <w:szCs w:val="21"/>
                <w:highlight w:val="none"/>
                <w:lang w:val="en-US" w:eastAsia="zh-CN" w:bidi="en-US"/>
              </w:rPr>
              <w:t>六水合三氯化铁</w:t>
            </w:r>
          </w:p>
        </w:tc>
        <w:tc>
          <w:tcPr>
            <w:tcW w:w="8301" w:type="dxa"/>
            <w:tcBorders>
              <w:tl2br w:val="nil"/>
              <w:tr2bl w:val="nil"/>
            </w:tcBorders>
            <w:vAlign w:val="center"/>
          </w:tcPr>
          <w:p w14:paraId="0D99C2A4">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分子式:FeCl</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3</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.6H</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2</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O 外观:褐黄色晶体性能:无臭味，有涩味，吸湿性强有潮解性，在空气中可潮解成红棕色液体。 极易溶于水，水溶液呈强酸性，可使蛋白质凝固。 易溶于乙醇、丙酮，也可溶于液体二氧化硫、乙胺、苯胺，不溶于甘油、三氯化磷。</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t>CAS号10025-77-1</w:t>
            </w:r>
          </w:p>
        </w:tc>
      </w:tr>
      <w:tr w14:paraId="526F4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0" w:type="auto"/>
            <w:tcBorders>
              <w:tl2br w:val="nil"/>
              <w:tr2bl w:val="nil"/>
            </w:tcBorders>
            <w:vAlign w:val="center"/>
          </w:tcPr>
          <w:p w14:paraId="382D4CF8">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color w:val="auto"/>
                <w:sz w:val="21"/>
                <w:szCs w:val="21"/>
                <w:highlight w:val="none"/>
                <w:u w:val="none" w:color="auto"/>
                <w:lang w:val="en-US" w:eastAsia="zh-CN"/>
              </w:rPr>
              <w:t>氯化锌</w:t>
            </w:r>
          </w:p>
        </w:tc>
        <w:tc>
          <w:tcPr>
            <w:tcW w:w="8301" w:type="dxa"/>
            <w:tcBorders>
              <w:tl2br w:val="nil"/>
              <w:tr2bl w:val="nil"/>
            </w:tcBorders>
            <w:vAlign w:val="center"/>
          </w:tcPr>
          <w:p w14:paraId="59FAC39F">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pP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t>一种无机化合物，又称为锌氯粉、二氯化锌，其化学式为ZnCl</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vertAlign w:val="subscript"/>
                <w:lang w:val="en-US" w:eastAsia="en-US" w:bidi="en-US"/>
              </w:rPr>
              <w:t>2</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t>，分子量为136.3。外观为白色粒状结晶或结晶粉末，属六方晶系，晶形有α和β型两种，密度2.91g/cm</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vertAlign w:val="superscript"/>
                <w:lang w:val="en-US" w:eastAsia="en-US" w:bidi="en-US"/>
              </w:rPr>
              <w:t>3</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t>，沸点732℃，熔点290℃。其潮解性强，易溶于水和乙醇、甘油、丙酮、乙醚等含氧有机溶剂和吡啶、苯胺等含氮溶剂。</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zh-CN" w:bidi="en-US"/>
              </w:rPr>
              <w:t>CAS号7646-85-7</w:t>
            </w:r>
          </w:p>
        </w:tc>
      </w:tr>
      <w:tr w14:paraId="1B209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0" w:type="auto"/>
            <w:tcBorders>
              <w:tl2br w:val="nil"/>
              <w:tr2bl w:val="nil"/>
            </w:tcBorders>
            <w:vAlign w:val="center"/>
          </w:tcPr>
          <w:p w14:paraId="663066E4">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kern w:val="0"/>
                <w:sz w:val="21"/>
                <w:szCs w:val="21"/>
                <w:highlight w:val="none"/>
                <w:lang w:val="en-US" w:eastAsia="zh-CN" w:bidi="en-US"/>
              </w:rPr>
              <w:t>乙酸</w:t>
            </w:r>
          </w:p>
        </w:tc>
        <w:tc>
          <w:tcPr>
            <w:tcW w:w="8301" w:type="dxa"/>
            <w:tcBorders>
              <w:tl2br w:val="nil"/>
              <w:tr2bl w:val="nil"/>
            </w:tcBorders>
            <w:vAlign w:val="center"/>
          </w:tcPr>
          <w:p w14:paraId="5228DC62">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zh-CN" w:bidi="en-US"/>
              </w:rPr>
            </w:pP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t>化学式为CH</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vertAlign w:val="subscript"/>
                <w:lang w:val="en-US" w:eastAsia="en-US" w:bidi="en-US"/>
              </w:rPr>
              <w:t>3</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t>COOH，别名为</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fldChar w:fldCharType="begin"/>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instrText xml:space="preserve"> HYPERLINK "https://baike.baidu.com/item/%E9%86%8B%E9%85%B8/1924165?fromModule=lemma_inlink" \t "https://baike.baidu.com/item/%E4%B9%99%E9%85%B8/_blank" </w:instrTex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fldChar w:fldCharType="separate"/>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t>醋酸</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fldChar w:fldCharType="end"/>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t>，是除</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fldChar w:fldCharType="begin"/>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instrText xml:space="preserve"> HYPERLINK "https://baike.baidu.com/item/%E7%94%B2%E9%85%B8/1401707?fromModule=lemma_inlink" \t "https://baike.baidu.com/item/%E4%B9%99%E9%85%B8/_blank" </w:instrTex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fldChar w:fldCharType="separate"/>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t>甲酸</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fldChar w:fldCharType="end"/>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t>以外最简单的有机</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fldChar w:fldCharType="begin"/>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instrText xml:space="preserve"> HYPERLINK "https://baike.baidu.com/item/%E4%B8%80%E5%85%83%E5%BC%B1%E9%85%B8/8947195?fromModule=lemma_inlink" \t "https://baike.baidu.com/item/%E4%B9%99%E9%85%B8/_blank" </w:instrTex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fldChar w:fldCharType="separate"/>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t>一元弱酸</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fldChar w:fldCharType="end"/>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en-US" w:bidi="en-US"/>
              </w:rPr>
              <w:t>（常温下pKa = 4.75），常温常压下为无色有刺激性气味的液体，常以符号HOAc或HAc表示，</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zh-CN" w:bidi="en-US"/>
              </w:rPr>
              <w:t>熔点16.6℃，沸点117.9℃。CAS号64-19-7</w:t>
            </w:r>
          </w:p>
        </w:tc>
      </w:tr>
      <w:tr w14:paraId="4F57E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0" w:type="auto"/>
            <w:tcBorders>
              <w:tl2br w:val="nil"/>
              <w:tr2bl w:val="nil"/>
            </w:tcBorders>
            <w:vAlign w:val="center"/>
          </w:tcPr>
          <w:p w14:paraId="441419A6">
            <w:pPr>
              <w:keepNext w:val="0"/>
              <w:keepLines w:val="0"/>
              <w:widowControl/>
              <w:suppressLineNumbers w:val="0"/>
              <w:bidi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kern w:val="0"/>
                <w:sz w:val="21"/>
                <w:szCs w:val="21"/>
                <w:highlight w:val="none"/>
                <w:lang w:val="en-US" w:eastAsia="zh-CN"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过硫酸钾</w:t>
            </w:r>
          </w:p>
        </w:tc>
        <w:tc>
          <w:tcPr>
            <w:tcW w:w="8301" w:type="dxa"/>
            <w:tcBorders>
              <w:tl2br w:val="nil"/>
              <w:tr2bl w:val="nil"/>
            </w:tcBorders>
            <w:vAlign w:val="center"/>
          </w:tcPr>
          <w:p w14:paraId="4F5AD6D8">
            <w:pPr>
              <w:keepNext w:val="0"/>
              <w:keepLines w:val="0"/>
              <w:widowControl/>
              <w:suppressLineNumbers w:val="0"/>
              <w:bidi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pP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一种无机化合物，化学式为K</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2</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S</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2</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O</w:t>
            </w:r>
            <w:r>
              <w:rPr>
                <w:rFonts w:hint="default" w:ascii="Times New Roman" w:hAnsi="Times New Roman" w:eastAsia="宋体" w:cs="Times New Roman"/>
                <w:i w:val="0"/>
                <w:iCs w:val="0"/>
                <w:caps w:val="0"/>
                <w:color w:val="auto"/>
                <w:spacing w:val="0"/>
                <w:kern w:val="0"/>
                <w:sz w:val="21"/>
                <w:szCs w:val="21"/>
                <w:highlight w:val="none"/>
                <w:shd w:val="clear" w:fill="FFFFFF"/>
                <w:vertAlign w:val="subscript"/>
                <w:lang w:val="en-US" w:eastAsia="en-US" w:bidi="en-US"/>
              </w:rPr>
              <w:t>8</w:t>
            </w:r>
            <w:r>
              <w:rPr>
                <w:rFonts w:hint="default" w:ascii="Times New Roman" w:hAnsi="Times New Roman" w:eastAsia="宋体" w:cs="Times New Roman"/>
                <w:i w:val="0"/>
                <w:iCs w:val="0"/>
                <w:caps w:val="0"/>
                <w:color w:val="auto"/>
                <w:spacing w:val="0"/>
                <w:kern w:val="0"/>
                <w:sz w:val="21"/>
                <w:szCs w:val="21"/>
                <w:highlight w:val="none"/>
                <w:shd w:val="clear" w:fill="FFFFFF"/>
                <w:lang w:val="en-US" w:eastAsia="en-US" w:bidi="en-US"/>
              </w:rPr>
              <w:t>，是一种白色结晶性粉末，溶于水、不溶于乙醇，具有强氧化性，常用作漂白剂、氧化剂，也可用作聚合反应引发剂，几乎不吸潮，常温下稳定性好，便于储存，具有方便和安全等优点。加热时分解放出氧而变为 焦硫酸钾，100℃时完全分解。 在潮湿空气中亦分解。 温度和pH值对分解速度的影响，温度越高，pH值对分解速度影响越小，有乳化剂和硫醇存在能加速分解</w:t>
            </w:r>
            <w:r>
              <w:rPr>
                <w:rFonts w:hint="default" w:ascii="Times New Roman" w:hAnsi="Times New Roman" w:eastAsia="宋体" w:cs="Times New Roman"/>
                <w:b w:val="0"/>
                <w:bCs w:val="0"/>
                <w:i w:val="0"/>
                <w:iCs w:val="0"/>
                <w:caps w:val="0"/>
                <w:color w:val="auto"/>
                <w:spacing w:val="0"/>
                <w:kern w:val="0"/>
                <w:sz w:val="21"/>
                <w:szCs w:val="21"/>
                <w:highlight w:val="none"/>
                <w:shd w:val="clear" w:fill="FFFFFF"/>
                <w:lang w:val="en-US" w:eastAsia="zh-CN" w:bidi="en-US"/>
              </w:rPr>
              <w:t>CAS号7727-21-1</w:t>
            </w:r>
          </w:p>
        </w:tc>
      </w:tr>
    </w:tbl>
    <w:p w14:paraId="59EF7C8F">
      <w:pPr>
        <w:pStyle w:val="4"/>
        <w:numPr>
          <w:ilvl w:val="1"/>
          <w:numId w:val="0"/>
        </w:numPr>
        <w:ind w:leftChars="0"/>
        <w:outlineLvl w:val="2"/>
        <w:rPr>
          <w:rFonts w:hint="default" w:ascii="Times New Roman" w:hAnsi="Times New Roman" w:cs="Times New Roman"/>
          <w:color w:val="auto"/>
          <w:sz w:val="28"/>
          <w:szCs w:val="28"/>
          <w:highlight w:val="none"/>
          <w:u w:val="none" w:color="auto"/>
          <w:lang w:val="en-US" w:eastAsia="zh-CN"/>
        </w:rPr>
      </w:pPr>
      <w:r>
        <w:rPr>
          <w:rFonts w:hint="default" w:ascii="Times New Roman" w:hAnsi="Times New Roman" w:cs="Times New Roman"/>
          <w:color w:val="auto"/>
          <w:sz w:val="28"/>
          <w:szCs w:val="28"/>
          <w:highlight w:val="none"/>
          <w:u w:val="none" w:color="auto"/>
          <w:lang w:val="en-US" w:eastAsia="zh-CN"/>
        </w:rPr>
        <w:t>3.3.6 污水处理工艺比选</w:t>
      </w:r>
    </w:p>
    <w:p w14:paraId="19830BA0">
      <w:pPr>
        <w:pStyle w:val="381"/>
        <w:numPr>
          <w:ilvl w:val="3"/>
          <w:numId w:val="0"/>
        </w:numPr>
        <w:ind w:leftChars="0" w:firstLine="482" w:firstLineChars="200"/>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lang w:val="en-US" w:eastAsia="zh-CN"/>
        </w:rPr>
        <w:t>3.3.6.1 污染物去除机理</w:t>
      </w:r>
    </w:p>
    <w:p w14:paraId="2B90D2E6">
      <w:pPr>
        <w:pStyle w:val="189"/>
        <w:ind w:left="0" w:leftChars="0" w:firstLine="48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在采用生物脱氮除磷的活性污泥工艺中，不同的污染物是以不同的处理方式去除的。</w:t>
      </w:r>
    </w:p>
    <w:p w14:paraId="6A132D3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①SS 的去除</w:t>
      </w:r>
    </w:p>
    <w:p w14:paraId="14B06C3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污水中 SS 的去除主要靠沉淀作用。污水中的无机颗粒和大直径的有机颗粒靠自然沉淀作用就可去除；小直径的有机颗粒靠微生物的降解作用去除，而小直径的无机颗粒（包括尺度大小在胶体和亚胶体范围内的无机颗粒）则要靠活性污泥絮体的吸附、网络作用，与活性污泥絮体同时沉淀被去除。</w:t>
      </w:r>
    </w:p>
    <w:p w14:paraId="726AE04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污水处理厂出水中悬浮物浓度不仅涉及到出水SS指标，出水中的 BOD</w:t>
      </w:r>
      <w:r>
        <w:rPr>
          <w:rFonts w:hint="default" w:ascii="Times New Roman" w:hAnsi="Times New Roman" w:cs="Times New Roman"/>
          <w:color w:val="auto"/>
          <w:highlight w:val="none"/>
          <w:u w:val="none" w:color="auto"/>
          <w:vertAlign w:val="subscript"/>
        </w:rPr>
        <w:t>5</w:t>
      </w:r>
      <w:r>
        <w:rPr>
          <w:rFonts w:hint="default" w:ascii="Times New Roman" w:hAnsi="Times New Roman" w:cs="Times New Roman"/>
          <w:color w:val="auto"/>
          <w:highlight w:val="none"/>
          <w:u w:val="none" w:color="auto"/>
        </w:rPr>
        <w:t>、COD</w:t>
      </w:r>
      <w:r>
        <w:rPr>
          <w:rFonts w:hint="default" w:ascii="Times New Roman" w:hAnsi="Times New Roman" w:cs="Times New Roman"/>
          <w:color w:val="auto"/>
          <w:highlight w:val="none"/>
          <w:u w:val="none" w:color="auto"/>
          <w:vertAlign w:val="subscript"/>
        </w:rPr>
        <w:t>Cr</w:t>
      </w:r>
      <w:r>
        <w:rPr>
          <w:rFonts w:hint="default" w:ascii="Times New Roman" w:hAnsi="Times New Roman" w:cs="Times New Roman"/>
          <w:color w:val="auto"/>
          <w:highlight w:val="none"/>
          <w:u w:val="none" w:color="auto"/>
        </w:rPr>
        <w:t>、</w:t>
      </w:r>
    </w:p>
    <w:p w14:paraId="6BFE012E">
      <w:pPr>
        <w:pStyle w:val="189"/>
        <w:ind w:left="0" w:lef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TP 等指标也与之有关。因为组成出水悬浮物的主要成分是活性污泥絮体，其本身的有机成份就高，而有机物本身就含磷，因此较高的出水悬浮物含量会使得出水的BOD</w:t>
      </w:r>
      <w:r>
        <w:rPr>
          <w:rFonts w:hint="default" w:ascii="Times New Roman" w:hAnsi="Times New Roman" w:cs="Times New Roman"/>
          <w:color w:val="auto"/>
          <w:highlight w:val="none"/>
          <w:u w:val="none" w:color="auto"/>
          <w:vertAlign w:val="subscript"/>
        </w:rPr>
        <w:t>5</w:t>
      </w:r>
      <w:r>
        <w:rPr>
          <w:rFonts w:hint="default" w:ascii="Times New Roman" w:hAnsi="Times New Roman" w:cs="Times New Roman"/>
          <w:color w:val="auto"/>
          <w:highlight w:val="none"/>
          <w:u w:val="none" w:color="auto"/>
        </w:rPr>
        <w:t>、COD</w:t>
      </w:r>
      <w:r>
        <w:rPr>
          <w:rFonts w:hint="default" w:ascii="Times New Roman" w:hAnsi="Times New Roman" w:cs="Times New Roman"/>
          <w:color w:val="auto"/>
          <w:highlight w:val="none"/>
          <w:u w:val="none" w:color="auto"/>
          <w:vertAlign w:val="subscript"/>
        </w:rPr>
        <w:t>Cr</w:t>
      </w:r>
      <w:r>
        <w:rPr>
          <w:rFonts w:hint="default" w:ascii="Times New Roman" w:hAnsi="Times New Roman" w:cs="Times New Roman"/>
          <w:color w:val="auto"/>
          <w:highlight w:val="none"/>
          <w:u w:val="none" w:color="auto"/>
        </w:rPr>
        <w:t>和TP增加。因此，控制污水厂出水的SS指标是最基本的，也是很重要的。</w:t>
      </w:r>
    </w:p>
    <w:p w14:paraId="6BC4C496">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②BOD</w:t>
      </w:r>
      <w:r>
        <w:rPr>
          <w:rFonts w:hint="default" w:ascii="Times New Roman" w:hAnsi="Times New Roman" w:cs="Times New Roman"/>
          <w:color w:val="auto"/>
          <w:highlight w:val="none"/>
          <w:u w:val="none" w:color="auto"/>
          <w:vertAlign w:val="subscript"/>
        </w:rPr>
        <w:t>5</w:t>
      </w:r>
      <w:r>
        <w:rPr>
          <w:rFonts w:hint="default" w:ascii="Times New Roman" w:hAnsi="Times New Roman" w:cs="Times New Roman"/>
          <w:color w:val="auto"/>
          <w:highlight w:val="none"/>
          <w:u w:val="none" w:color="auto"/>
        </w:rPr>
        <w:t>的去除</w:t>
      </w:r>
    </w:p>
    <w:p w14:paraId="1C6C5BDF">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污水中BOD</w:t>
      </w:r>
      <w:r>
        <w:rPr>
          <w:rFonts w:hint="default" w:ascii="Times New Roman" w:hAnsi="Times New Roman" w:cs="Times New Roman"/>
          <w:color w:val="auto"/>
          <w:highlight w:val="none"/>
          <w:u w:val="none" w:color="auto"/>
          <w:vertAlign w:val="subscript"/>
        </w:rPr>
        <w:t>5</w:t>
      </w:r>
      <w:r>
        <w:rPr>
          <w:rFonts w:hint="default" w:ascii="Times New Roman" w:hAnsi="Times New Roman" w:cs="Times New Roman"/>
          <w:color w:val="auto"/>
          <w:highlight w:val="none"/>
          <w:u w:val="none" w:color="auto"/>
        </w:rPr>
        <w:t>的去除是靠微生物的吸附作用和代谢作用，然后通过泥水分离来完</w:t>
      </w:r>
    </w:p>
    <w:p w14:paraId="05BFC843">
      <w:pPr>
        <w:pStyle w:val="189"/>
        <w:ind w:left="0" w:lef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成的。</w:t>
      </w:r>
    </w:p>
    <w:p w14:paraId="675FEBAC">
      <w:pPr>
        <w:pStyle w:val="189"/>
        <w:ind w:left="0" w:leftChars="0" w:firstLine="48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活性污泥中的微生物在有氧条件下将污水中的一部分有机物用于合成新的细胞，将另一部分有机物进行分解代谢以便获得细胞合成所需的能量，其最终产物是CO</w:t>
      </w:r>
      <w:r>
        <w:rPr>
          <w:rFonts w:hint="default" w:ascii="Times New Roman" w:hAnsi="Times New Roman" w:cs="Times New Roman"/>
          <w:color w:val="auto"/>
          <w:highlight w:val="none"/>
          <w:u w:val="none" w:color="auto"/>
          <w:vertAlign w:val="subscript"/>
        </w:rPr>
        <w:t>2</w:t>
      </w:r>
      <w:r>
        <w:rPr>
          <w:rFonts w:hint="default" w:ascii="Times New Roman" w:hAnsi="Times New Roman" w:cs="Times New Roman"/>
          <w:color w:val="auto"/>
          <w:highlight w:val="none"/>
          <w:u w:val="none" w:color="auto"/>
        </w:rPr>
        <w:t>和 H2O 等稳定物质，其实质是将液相的有机污染物质转化为固相物质，表现为活性污泥量的增长。</w:t>
      </w:r>
    </w:p>
    <w:p w14:paraId="58946793">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③CODcr 的去除</w:t>
      </w:r>
    </w:p>
    <w:p w14:paraId="3087DCFB">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污水中CODcr去除的原理与BOD</w:t>
      </w:r>
      <w:r>
        <w:rPr>
          <w:rFonts w:hint="default" w:ascii="Times New Roman" w:hAnsi="Times New Roman" w:cs="Times New Roman"/>
          <w:color w:val="auto"/>
          <w:highlight w:val="none"/>
          <w:u w:val="none" w:color="auto"/>
          <w:vertAlign w:val="subscript"/>
        </w:rPr>
        <w:t>5</w:t>
      </w:r>
      <w:r>
        <w:rPr>
          <w:rFonts w:hint="default" w:ascii="Times New Roman" w:hAnsi="Times New Roman" w:cs="Times New Roman"/>
          <w:color w:val="auto"/>
          <w:highlight w:val="none"/>
          <w:u w:val="none" w:color="auto"/>
        </w:rPr>
        <w:t>基本相同，污水厂出水中剩余的COD，即COD的去除率，取决于原污水的可生化性，它与城市污水的组成有关。污水厂进水的BOD</w:t>
      </w:r>
      <w:r>
        <w:rPr>
          <w:rFonts w:hint="default" w:ascii="Times New Roman" w:hAnsi="Times New Roman" w:cs="Times New Roman"/>
          <w:color w:val="auto"/>
          <w:highlight w:val="none"/>
          <w:u w:val="none" w:color="auto"/>
          <w:vertAlign w:val="subscript"/>
        </w:rPr>
        <w:t>5</w:t>
      </w:r>
      <w:r>
        <w:rPr>
          <w:rFonts w:hint="default" w:ascii="Times New Roman" w:hAnsi="Times New Roman" w:cs="Times New Roman"/>
          <w:color w:val="auto"/>
          <w:highlight w:val="none"/>
          <w:u w:val="none" w:color="auto"/>
        </w:rPr>
        <w:t>/CODcr&gt;0.3，可进行生化处理，采用二级处理工艺完全可使出水 CODcr≤60mg/L。</w:t>
      </w:r>
    </w:p>
    <w:p w14:paraId="2D11002A">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④N的去除</w:t>
      </w:r>
    </w:p>
    <w:p w14:paraId="1D9EEFAA">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污水处理工程一般采用生物脱氮的方法实现 N 的去除。</w:t>
      </w:r>
    </w:p>
    <w:p w14:paraId="7C5EA5F7">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氮是蛋白质不可缺少的组成部分，因此广泛存在于城市污水之中。在有机物被氧化的同时，污水中的有机氮也被氧化成氨氮，在溶解氧充足、泥龄较长的情况下，进一步被氧化成亚硝酸盐和硝酸盐，通常称之为硝化过程。经过好氧生物处理后的污水，其中大部分的凯氏氮都被氧化成为硝酸盐（NO</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lang w:val="en-US" w:eastAsia="zh-CN"/>
        </w:rPr>
        <w:t>-</w:t>
      </w:r>
      <w:r>
        <w:rPr>
          <w:rFonts w:hint="default" w:ascii="Times New Roman" w:hAnsi="Times New Roman" w:cs="Times New Roman"/>
          <w:color w:val="auto"/>
          <w:highlight w:val="none"/>
          <w:u w:val="none" w:color="auto"/>
        </w:rPr>
        <w:t>N），反硝化菌在溶解氧浓度极低或缺氧情况下可以利用硝酸盐中氮作为电子受体，氧化有机物，将硝酸盐中的氮还原成氮气(N2)，从而完成污水的脱氮过程，通常称之为反硝化过程。</w:t>
      </w:r>
    </w:p>
    <w:p w14:paraId="270DBF62">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按照上述原理，可组成缺氧池和好氧池，即A/O系统，实现N的去除。A/O系统设计中需控制的主要参数就是足够的污泥龄和进水的C/N比。</w:t>
      </w:r>
    </w:p>
    <w:p w14:paraId="2F07879A">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⑤P的去除</w:t>
      </w:r>
    </w:p>
    <w:p w14:paraId="2B835E8F">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污水除磷主要有生物除磷和化学除磷两大类。城市污水采用生物除磷为主，必要时辅以化学除磷作为补充，以确保出水磷浓度满足排放标准的要求，并尽可能地减少加药量，降低处理成本。</w:t>
      </w:r>
    </w:p>
    <w:p w14:paraId="0C6CE9D1">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生物除磷是污水中的聚磷菌在厌氧条件下，受到压抑而释放出体内的磷酸盐，产生能量用以吸收快速降解有机物，并转化为 PHB（聚 β 羟丁酸）储存起来。当这些聚磷菌进入好氧条件下时就降解体内储存的 PHB 产生能量，用于细胞的合成和吸磷，形成高浓度的含磷污泥，随剩余污泥一起排出系统，从而达到除磷的目的。生物除磷的优点在于不增加剩余污泥量，处理成本较低。缺点是为了避免剩余污泥中磷的再次释放，对污泥处理工艺的选择有一定的限制。</w:t>
      </w:r>
    </w:p>
    <w:p w14:paraId="25259A96">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生物除磷工艺的前提条件是聚磷菌必须在厌氧条件下受到抑制，而后进入富氧阶段才能增大磷的吸收量。因此，污水除磷的处理工艺必须在曝气池前设置厌氧段。</w:t>
      </w:r>
    </w:p>
    <w:p w14:paraId="1937D53D">
      <w:pPr>
        <w:pStyle w:val="381"/>
        <w:numPr>
          <w:ilvl w:val="3"/>
          <w:numId w:val="0"/>
        </w:numPr>
        <w:ind w:leftChars="0" w:firstLine="482" w:firstLineChars="200"/>
        <w:rPr>
          <w:rFonts w:hint="default" w:ascii="Times New Roman" w:hAnsi="Times New Roman" w:cs="Times New Roman"/>
          <w:color w:val="auto"/>
          <w:highlight w:val="none"/>
          <w:u w:val="none" w:color="auto"/>
        </w:rPr>
      </w:pPr>
      <w:bookmarkStart w:id="59" w:name="7.3.2_污染物去除及处理工艺要求"/>
      <w:bookmarkEnd w:id="59"/>
      <w:r>
        <w:rPr>
          <w:rFonts w:hint="default" w:ascii="Times New Roman" w:hAnsi="Times New Roman" w:cs="Times New Roman"/>
          <w:color w:val="auto"/>
          <w:highlight w:val="none"/>
          <w:u w:val="none" w:color="auto"/>
          <w:lang w:val="en-US" w:eastAsia="zh-CN"/>
        </w:rPr>
        <w:t>3.3.6.2 生化处理</w:t>
      </w:r>
      <w:r>
        <w:rPr>
          <w:rFonts w:hint="default" w:ascii="Times New Roman" w:hAnsi="Times New Roman" w:cs="Times New Roman"/>
          <w:color w:val="auto"/>
          <w:highlight w:val="none"/>
          <w:u w:val="none" w:color="auto"/>
        </w:rPr>
        <w:t>工艺</w:t>
      </w:r>
    </w:p>
    <w:p w14:paraId="52AE85F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根据项目进水水质，</w:t>
      </w:r>
      <w:r>
        <w:rPr>
          <w:rFonts w:hint="default" w:ascii="Times New Roman" w:hAnsi="Times New Roman" w:cs="Times New Roman"/>
          <w:color w:val="auto"/>
          <w:highlight w:val="none"/>
          <w:u w:val="none" w:color="auto"/>
        </w:rPr>
        <w:t>常规生物法能满足 CODCr、BOD</w:t>
      </w:r>
      <w:r>
        <w:rPr>
          <w:rFonts w:hint="default" w:ascii="Times New Roman" w:hAnsi="Times New Roman" w:cs="Times New Roman"/>
          <w:color w:val="auto"/>
          <w:highlight w:val="none"/>
          <w:u w:val="none" w:color="auto"/>
          <w:vertAlign w:val="subscript"/>
        </w:rPr>
        <w:t>5</w:t>
      </w:r>
      <w:r>
        <w:rPr>
          <w:rFonts w:hint="default" w:ascii="Times New Roman" w:hAnsi="Times New Roman" w:cs="Times New Roman"/>
          <w:color w:val="auto"/>
          <w:highlight w:val="none"/>
          <w:u w:val="none" w:color="auto"/>
        </w:rPr>
        <w:t>、SS 的去除率，对氮、磷的去除率相当有限，仅能从剩余污泥中排除氮、磷，其去除率氮约为 10～25%，磷约 12～20%，远远达不到国家《城镇污水处理厂污染物排放标准》所要求的一级排放标准中的 A 标准，因此本工程污水处理必须采用脱氮除磷工艺。</w:t>
      </w:r>
    </w:p>
    <w:p w14:paraId="1DAF4E32">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日处理能力在 10 万立方米以下的污水处理设施，除采用 A/O 法、A/A/O法外，也可选用具有除磷脱氮效果的氧化沟法、SBR法、水解好氧法和生物滤池法等。</w:t>
      </w:r>
      <w:r>
        <w:rPr>
          <w:rFonts w:hint="default" w:ascii="Times New Roman" w:hAnsi="Times New Roman" w:cs="Times New Roman"/>
          <w:color w:val="auto"/>
          <w:highlight w:val="none"/>
          <w:u w:val="none" w:color="auto"/>
          <w:lang w:val="en-US" w:eastAsia="zh-CN"/>
        </w:rPr>
        <w:t>结合本项目水质水量等实际情况的可行工艺有 A/A/O 法、氧化沟法。下面就这两种可行工艺作一简要介绍。</w:t>
      </w:r>
    </w:p>
    <w:p w14:paraId="699FC79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（1）A/A/O 工艺</w:t>
      </w:r>
    </w:p>
    <w:p w14:paraId="0C70205D">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A/A/O 工艺（Anaerbio-Ano×ic-O×ic）称为厌氧-缺氧-好氧三者结合系统。早在70年代美国在生物除氮方法的基础上发展的同步除磷脱氮污水处理工艺。</w:t>
      </w:r>
    </w:p>
    <w:p w14:paraId="1FD577DC">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物除磷，是利用聚磷菌的微生物，这种微生物能过量地、在数量上超出其生理需要的从外部环境摄取磷，磷以聚合的形态贮藏在菌体内，形成高磷污泥而排出系统外，达到从污水中除磷的效果。在厌氧条件下（DO=0，NO</w:t>
      </w:r>
      <w:r>
        <w:rPr>
          <w:rFonts w:hint="default" w:ascii="Times New Roman" w:hAnsi="Times New Roman" w:cs="Times New Roman"/>
          <w:color w:val="auto"/>
          <w:highlight w:val="none"/>
          <w:u w:val="none" w:color="auto"/>
          <w:vertAlign w:val="superscript"/>
        </w:rPr>
        <w:t>3-</w:t>
      </w:r>
      <w:r>
        <w:rPr>
          <w:rFonts w:hint="default" w:ascii="Times New Roman" w:hAnsi="Times New Roman" w:cs="Times New Roman"/>
          <w:color w:val="auto"/>
          <w:highlight w:val="none"/>
          <w:u w:val="none" w:color="auto"/>
        </w:rPr>
        <w:t>=0），聚磷菌体内的ATP进行水解，将H</w:t>
      </w:r>
      <w:r>
        <w:rPr>
          <w:rFonts w:hint="default" w:ascii="Times New Roman" w:hAnsi="Times New Roman" w:cs="Times New Roman"/>
          <w:color w:val="auto"/>
          <w:highlight w:val="none"/>
          <w:u w:val="none" w:color="auto"/>
          <w:vertAlign w:val="subscript"/>
        </w:rPr>
        <w:t>2</w:t>
      </w:r>
      <w:r>
        <w:rPr>
          <w:rFonts w:hint="default" w:ascii="Times New Roman" w:hAnsi="Times New Roman" w:cs="Times New Roman"/>
          <w:color w:val="auto"/>
          <w:highlight w:val="none"/>
          <w:u w:val="none" w:color="auto"/>
        </w:rPr>
        <w:t>PO</w:t>
      </w:r>
      <w:r>
        <w:rPr>
          <w:rFonts w:hint="default" w:ascii="Times New Roman" w:hAnsi="Times New Roman" w:cs="Times New Roman"/>
          <w:color w:val="auto"/>
          <w:highlight w:val="none"/>
          <w:u w:val="none" w:color="auto"/>
          <w:vertAlign w:val="subscript"/>
        </w:rPr>
        <w:t>4</w:t>
      </w:r>
      <w:r>
        <w:rPr>
          <w:rFonts w:hint="default" w:ascii="Times New Roman" w:hAnsi="Times New Roman" w:cs="Times New Roman"/>
          <w:color w:val="auto"/>
          <w:highlight w:val="none"/>
          <w:u w:val="none" w:color="auto"/>
        </w:rPr>
        <w:t>放出，并形成AOP同时也放出能量。</w:t>
      </w:r>
    </w:p>
    <w:p w14:paraId="260A4AC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因此，聚磷菌具有厌氧条件下释放 H</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PO</w:t>
      </w:r>
      <w:r>
        <w:rPr>
          <w:rFonts w:hint="default" w:ascii="Times New Roman" w:hAnsi="Times New Roman" w:cs="Times New Roman"/>
          <w:color w:val="auto"/>
          <w:highlight w:val="none"/>
          <w:u w:val="none" w:color="auto"/>
          <w:vertAlign w:val="subscript"/>
        </w:rPr>
        <w:t>4</w:t>
      </w:r>
      <w:r>
        <w:rPr>
          <w:rFonts w:hint="default" w:ascii="Times New Roman" w:hAnsi="Times New Roman" w:cs="Times New Roman"/>
          <w:color w:val="auto"/>
          <w:highlight w:val="none"/>
          <w:u w:val="none" w:color="auto"/>
        </w:rPr>
        <w:t>，在好氧条件下过剩摄取 H</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PO</w:t>
      </w:r>
      <w:r>
        <w:rPr>
          <w:rFonts w:hint="default" w:ascii="Times New Roman" w:hAnsi="Times New Roman" w:cs="Times New Roman"/>
          <w:color w:val="auto"/>
          <w:highlight w:val="none"/>
          <w:u w:val="none" w:color="auto"/>
          <w:vertAlign w:val="subscript"/>
        </w:rPr>
        <w:t>4</w:t>
      </w:r>
      <w:r>
        <w:rPr>
          <w:rFonts w:hint="default" w:ascii="Times New Roman" w:hAnsi="Times New Roman" w:cs="Times New Roman"/>
          <w:color w:val="auto"/>
          <w:highlight w:val="none"/>
          <w:u w:val="none" w:color="auto"/>
        </w:rPr>
        <w:t>的功能，生物除磷就是利用聚磷菌该功能开发了从污水中除磷的技术和工艺。</w:t>
      </w:r>
    </w:p>
    <w:p w14:paraId="4A5CD45F">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在好氧条件下，聚磷菌好氧呼吸，不断地氧化体内储存有机底物，也不断通过主动输送方式向体内输送有机底物，由于氧化分解，不断放出能量，能量被AOP所获得，并合成 ATP（三磷酸腺苷）。H</w:t>
      </w:r>
      <w:r>
        <w:rPr>
          <w:rFonts w:hint="default" w:ascii="Times New Roman" w:hAnsi="Times New Roman" w:cs="Times New Roman"/>
          <w:color w:val="auto"/>
          <w:highlight w:val="none"/>
          <w:u w:val="none" w:color="auto"/>
          <w:vertAlign w:val="subscript"/>
        </w:rPr>
        <w:t>2</w:t>
      </w:r>
      <w:r>
        <w:rPr>
          <w:rFonts w:hint="default" w:ascii="Times New Roman" w:hAnsi="Times New Roman" w:cs="Times New Roman"/>
          <w:color w:val="auto"/>
          <w:highlight w:val="none"/>
          <w:u w:val="none" w:color="auto"/>
        </w:rPr>
        <w:t>PO</w:t>
      </w:r>
      <w:r>
        <w:rPr>
          <w:rFonts w:hint="default" w:ascii="Times New Roman" w:hAnsi="Times New Roman" w:cs="Times New Roman"/>
          <w:color w:val="auto"/>
          <w:highlight w:val="none"/>
          <w:u w:val="none" w:color="auto"/>
          <w:vertAlign w:val="subscript"/>
        </w:rPr>
        <w:t>4</w:t>
      </w:r>
      <w:r>
        <w:rPr>
          <w:rFonts w:hint="default" w:ascii="Times New Roman" w:hAnsi="Times New Roman" w:cs="Times New Roman"/>
          <w:color w:val="auto"/>
          <w:highlight w:val="none"/>
          <w:u w:val="none" w:color="auto"/>
        </w:rPr>
        <w:t>是聚磷菌分解其体内聚磷酸盐而取得的，大部分是直接从体外摄取的。这样，聚磷菌就不断地利用能量，在透膜酶的催化作用下，通过主动输送的方法将环境中的 H</w:t>
      </w:r>
      <w:r>
        <w:rPr>
          <w:rFonts w:hint="default" w:ascii="Times New Roman" w:hAnsi="Times New Roman" w:cs="Times New Roman"/>
          <w:color w:val="auto"/>
          <w:highlight w:val="none"/>
          <w:u w:val="none" w:color="auto"/>
          <w:vertAlign w:val="subscript"/>
        </w:rPr>
        <w:t>2</w:t>
      </w:r>
      <w:r>
        <w:rPr>
          <w:rFonts w:hint="default" w:ascii="Times New Roman" w:hAnsi="Times New Roman" w:cs="Times New Roman"/>
          <w:color w:val="auto"/>
          <w:highlight w:val="none"/>
          <w:u w:val="none" w:color="auto"/>
        </w:rPr>
        <w:t>PO</w:t>
      </w:r>
      <w:r>
        <w:rPr>
          <w:rFonts w:hint="default" w:ascii="Times New Roman" w:hAnsi="Times New Roman" w:cs="Times New Roman"/>
          <w:color w:val="auto"/>
          <w:highlight w:val="none"/>
          <w:u w:val="none" w:color="auto"/>
          <w:vertAlign w:val="subscript"/>
        </w:rPr>
        <w:t>4</w:t>
      </w:r>
      <w:r>
        <w:rPr>
          <w:rFonts w:hint="default" w:ascii="Times New Roman" w:hAnsi="Times New Roman" w:cs="Times New Roman"/>
          <w:color w:val="auto"/>
          <w:highlight w:val="none"/>
          <w:u w:val="none" w:color="auto"/>
        </w:rPr>
        <w:t>摄入体内，并用于合成ATP，另一方面用于合成聚磷酸盐，这一过程为磷过剩摄取。</w:t>
      </w:r>
    </w:p>
    <w:p w14:paraId="53C1F8A6">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常规生物脱氮除磷工艺呈厌氧（A1）/缺氧（A2）/好氧（O）的布置形式。其典型工艺流程见下图。</w:t>
      </w:r>
    </w:p>
    <w:p w14:paraId="3FAE2F27">
      <w:pPr>
        <w:pStyle w:val="189"/>
        <w:spacing w:line="240" w:lineRule="auto"/>
        <w:ind w:left="0" w:leftChars="0" w:firstLine="420" w:firstLineChars="0"/>
        <w:rPr>
          <w:rFonts w:hint="default" w:ascii="Times New Roman" w:hAnsi="Times New Roman" w:cs="Times New Roman"/>
          <w:color w:val="FF0000"/>
          <w:highlight w:val="none"/>
          <w:u w:val="none" w:color="auto"/>
        </w:rPr>
      </w:pPr>
      <w:r>
        <w:rPr>
          <w:rFonts w:hint="default" w:ascii="Times New Roman" w:hAnsi="Times New Roman" w:cs="Times New Roman"/>
          <w:highlight w:val="none"/>
        </w:rPr>
        <w:drawing>
          <wp:inline distT="0" distB="0" distL="114300" distR="114300">
            <wp:extent cx="5224145" cy="145224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8"/>
                    <a:srcRect t="4247" b="2368"/>
                    <a:stretch>
                      <a:fillRect/>
                    </a:stretch>
                  </pic:blipFill>
                  <pic:spPr>
                    <a:xfrm>
                      <a:off x="0" y="0"/>
                      <a:ext cx="5224145" cy="1452245"/>
                    </a:xfrm>
                    <a:prstGeom prst="rect">
                      <a:avLst/>
                    </a:prstGeom>
                    <a:noFill/>
                    <a:ln>
                      <a:noFill/>
                    </a:ln>
                  </pic:spPr>
                </pic:pic>
              </a:graphicData>
            </a:graphic>
          </wp:inline>
        </w:drawing>
      </w:r>
    </w:p>
    <w:p w14:paraId="3E7F41A3">
      <w:pPr>
        <w:pStyle w:val="189"/>
        <w:spacing w:line="240" w:lineRule="auto"/>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lang w:val="en-US" w:eastAsia="zh-CN"/>
        </w:rPr>
        <w:t xml:space="preserve">图3.3-2 </w:t>
      </w:r>
      <w:r>
        <w:rPr>
          <w:rFonts w:hint="default" w:ascii="Times New Roman" w:hAnsi="Times New Roman" w:cs="Times New Roman"/>
          <w:b/>
          <w:bCs/>
          <w:color w:val="auto"/>
          <w:highlight w:val="none"/>
          <w:u w:val="none" w:color="auto"/>
        </w:rPr>
        <w:t>A/A/O 工艺流程图</w:t>
      </w:r>
    </w:p>
    <w:p w14:paraId="13E5C217">
      <w:pPr>
        <w:pStyle w:val="189"/>
        <w:ind w:left="0" w:leftChars="0" w:firstLine="420" w:firstLineChars="0"/>
        <w:rPr>
          <w:rFonts w:hint="default" w:ascii="Times New Roman" w:hAnsi="Times New Roman" w:cs="Times New Roman" w:eastAsiaTheme="minorEastAsia"/>
          <w:color w:val="auto"/>
          <w:highlight w:val="none"/>
          <w:u w:val="none" w:color="auto"/>
          <w:lang w:eastAsia="zh-CN"/>
        </w:rPr>
      </w:pPr>
      <w:r>
        <w:rPr>
          <w:rFonts w:hint="default" w:ascii="Times New Roman" w:hAnsi="Times New Roman" w:cs="Times New Roman"/>
          <w:color w:val="auto"/>
          <w:highlight w:val="none"/>
          <w:u w:val="none" w:color="auto"/>
        </w:rPr>
        <w:t>现在国内运行的 A/A/O工艺中许多污水处理厂还采用了初沉池，设计采用初沉池，在降低可沉物质的同时，也将大量碳源去除，而脱氮工艺对 COD/TKN 的要求为大于8，而一般城镇污水处理厂进水水质的COD约为300—500mg/L，NH</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-N约为20—35mg/L。在有初沉池的生化前处理工段，一般对COD的去除率为 30-50%，造成脱氮碳源不足。现在通过对北方运行的 A/A/O工艺污水处理厂若去掉初沉池，则使大量 SS 进入生化池，加重生化池负担，导致出水无保证。原设计加入初沉池，也是由于我国早先工业废水大量进入城市污水处理厂，致使污水COD浓度高；我国城市排水体制多为合流制，大量 SS 类物质进入污水处理厂，造成进厂负荷过重，因此在工艺中加入初沉池。随着我国排水体制的改变，我国环保治理力度的加大，我国污水水质的改善，在 A/A/O 工艺设计时，北方地区有选择的设计加入初沉池，南方地区可不用加入初沉池</w:t>
      </w:r>
      <w:r>
        <w:rPr>
          <w:rFonts w:hint="default" w:ascii="Times New Roman" w:hAnsi="Times New Roman" w:cs="Times New Roman"/>
          <w:color w:val="auto"/>
          <w:highlight w:val="none"/>
          <w:u w:val="none" w:color="auto"/>
          <w:lang w:eastAsia="zh-CN"/>
        </w:rPr>
        <w:t>。</w:t>
      </w:r>
    </w:p>
    <w:p w14:paraId="008A945C">
      <w:pPr>
        <w:pStyle w:val="189"/>
        <w:ind w:left="0" w:lef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混凝的目的在于向水中投加一些药剂，使水中难以沉淀的胶体颗粒脱稳而相互聚合，增大至能自然沉淀的程度，这种方法称为混凝。通过混凝可去除污水中的细分散固体颗粒、乳状油及胶体物质等。</w:t>
      </w:r>
    </w:p>
    <w:p w14:paraId="207321A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该工艺具有以下特点：</w:t>
      </w:r>
    </w:p>
    <w:p w14:paraId="304D986B">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1）厌氧、缺氧、好氧三种不同的环境条件和不同种类微生物菌群的有机配合，能同时具有去除有机物、脱氮除磷的功能。</w:t>
      </w:r>
    </w:p>
    <w:p w14:paraId="68AA2682">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2）在同时脱氧除磷去除有机物的工艺中，该工艺流程最为简单，总的水力停留时间也少于同类其他工艺。</w:t>
      </w:r>
    </w:p>
    <w:p w14:paraId="313CC7F0">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3）在厌氧—缺氧—好氧交替运行下，丝状菌不会大量繁殖，SVI一般小于100，不会发生污泥膨胀。</w:t>
      </w:r>
    </w:p>
    <w:p w14:paraId="45AAE29F">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4）污泥中磷含量高，一般为 2.5％以上。</w:t>
      </w:r>
    </w:p>
    <w:p w14:paraId="407B40B4">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5）脱氮效果受混合液回流比大小的影响，除磷效果则受回流污泥中夹带DO和硝酸态氧的影响，因而脱氮除磷效率不可能很高。如采用回流污泥反硝化，则可大大增强脱氮效果。</w:t>
      </w:r>
    </w:p>
    <w:p w14:paraId="48751F2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该工艺主要缺点：构筑物和机械设备相对较多，工艺较为复杂些，对于有一定污在水处理厂运行管理经验的项目较适合采用。</w:t>
      </w:r>
    </w:p>
    <w:p w14:paraId="765D2CB3">
      <w:pPr>
        <w:pStyle w:val="189"/>
        <w:numPr>
          <w:ilvl w:val="0"/>
          <w:numId w:val="13"/>
        </w:numPr>
        <w:ind w:left="0" w:leftChars="0" w:firstLine="480" w:firstLineChars="20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氧化沟工艺</w:t>
      </w:r>
    </w:p>
    <w:p w14:paraId="1CB23E02">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氧化沟是目前多种城市污水处理技术中出水水质最好、操作最稳定，应用最多的工艺之一，其中仅荷兰的卡鲁赛尔氧化沟在世界上的应用便有800座之多。在污水脱氮除磷的工艺设计中必须具备厌氧、缺氧、好氧 3 个基本条件，但是在一般脱氮除磷工艺的实施过程中由于所需的处理构筑物多、污泥回流量大，从而造成投资大、能耗多、运行管理复杂。Carrousel2000系统（A/A/C 氧化沟）将厌氧、缺氧、好氧过程集中在一个池内完成，各部分用隔墙分开自成体系，但彼此又有联系。该工艺充分利用污水在氧化沟内循环流动的特性，把好氧区和缺氧区有机结合起来，实现无动力回流，节省了去除硝酸盐氮所需混合液回流的能量消耗。</w:t>
      </w:r>
    </w:p>
    <w:p w14:paraId="751D7E11">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实践证明卡鲁赛尔氧化沟系统具有投资省、处理效率高、可靠性好、管理方便和无动力回流节能、运行维护费用低等优点。</w:t>
      </w:r>
    </w:p>
    <w:p w14:paraId="2DB34C4A">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1）Carrousel2000 氧化沟工艺的基本原理</w:t>
      </w:r>
    </w:p>
    <w:p w14:paraId="11D01FD5">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Carrousel氧化沟系统是1967年由荷兰的DHV公司开发研制。在原Carrousel系统的基础上DHV公司和其在美国的专利特许公司EIMCO又发明了Carrousel2000系统（A/A/C 氧化沟），实现了更高要求的生物脱氮和除磷功能。至今世界上已有850多座Carrousel和Carrousel2000系统正在运行。</w:t>
      </w:r>
    </w:p>
    <w:p w14:paraId="57A64B04">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最初的普通 Carrousel 氧化沟的工艺中污水直接与回流污泥一起进入氧化沟系统。表面曝气机使混合液中溶解氧DO的浓度增加到大约2～3mg/L。在这种充分掺氧的条件下，微生物得到足够的溶解氧来去除BOD；同时，氨也被氧化成硝酸盐和亚硝酸盐，此时，混合液处于有氧状态。在曝气机下游，水流由曝气区的湍流状态变成之后的平流状态，水流维持在最小流速，保证活性污泥处于悬浮状态（平均流速&gt;0.3m/s）。微生物的氧化过程消耗了水中溶解氧，直到DO值降为零，混合液呈缺氧状态。经过缺氧区的反硝化作用，混合液进入有氧区，完成一次循环。该系统中，BOD降解是一个连续过程，硝化作用和反硝化作用发生在同一池中。由于结构的限制，这种氧化沟虽然可以有效的去处BOD，但除磷脱氮的能力有限。</w:t>
      </w:r>
    </w:p>
    <w:p w14:paraId="57DD5B77">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为了取得更好的除磷脱氮的效果，Carrousel2000 系统在普通Carrousel 氧化沟前增加了一个厌氧区和缺氧区（又称前反硝化区）。全部回流污泥和 10-30%的污水进入厌氧区，可将回流污泥中的残留硝酸氮在缺氧和 10-30%碳源条件下完成反硝化，为以后的缺氧池创造缺氧条件。同时，厌氧区中的兼性细菌将可溶性BOD转化成VFA，聚磷菌获得 VFA 将其同化成 PHB，所需能量来源于聚磷的水解并导致磷酸盐的释放。厌氧区出水进入内部安装有搅拌器的绝氧区，所谓绝氧就是池内混合液既无分子氧，也无化合物氧（硝酸根），在此绝氧环境下，70-90%的污水可提供足够的碳源，使聚磷菌能充分释磷。绝氧区后接普通 Carrousel 氧化沟系统，进一步完成去除BOD、脱氮和除磷。最后，混合液在氧化沟富氧区排出，在富氧环境下聚磷菌过量吸磷，将磷从水中转移到污泥中，随剩余污泥排出系统。这样，在Carrousel2000系统内，较好的同时完成了去除 BOD、COD和脱氮除磷。Carrousel2000 系统（A/A/C 氧化沟）主要由 3 部分组成，即厌氧区Ⅰ、缺氧区Ⅱ、Carrousel 氧化沟区Ⅲ。</w:t>
      </w:r>
    </w:p>
    <w:p w14:paraId="53A5B1F3">
      <w:pPr>
        <w:pStyle w:val="189"/>
        <w:ind w:left="0" w:leftChars="0" w:firstLine="420" w:firstLineChars="0"/>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4908550" cy="2336800"/>
            <wp:effectExtent l="0" t="0" r="6350"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9"/>
                    <a:stretch>
                      <a:fillRect/>
                    </a:stretch>
                  </pic:blipFill>
                  <pic:spPr>
                    <a:xfrm>
                      <a:off x="0" y="0"/>
                      <a:ext cx="4908550" cy="2336800"/>
                    </a:xfrm>
                    <a:prstGeom prst="rect">
                      <a:avLst/>
                    </a:prstGeom>
                    <a:noFill/>
                    <a:ln>
                      <a:noFill/>
                    </a:ln>
                  </pic:spPr>
                </pic:pic>
              </a:graphicData>
            </a:graphic>
          </wp:inline>
        </w:drawing>
      </w:r>
    </w:p>
    <w:p w14:paraId="3E094D71">
      <w:pPr>
        <w:pStyle w:val="189"/>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lang w:val="en-US" w:eastAsia="zh-CN"/>
        </w:rPr>
        <w:t>图3.3-3 A2C氧化沟平面</w:t>
      </w:r>
      <w:r>
        <w:rPr>
          <w:rFonts w:hint="default" w:ascii="Times New Roman" w:hAnsi="Times New Roman" w:cs="Times New Roman"/>
          <w:b/>
          <w:bCs/>
          <w:color w:val="auto"/>
          <w:highlight w:val="none"/>
          <w:u w:val="none" w:color="auto"/>
        </w:rPr>
        <w:t>图</w:t>
      </w:r>
    </w:p>
    <w:p w14:paraId="1B231F23">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①厌氧区Ⅰ</w:t>
      </w:r>
    </w:p>
    <w:p w14:paraId="49DD7A78">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没有溶解氧和硝态氮存在的厌氧条件下，兼性细菌将溶解性BOD转化成低分子发酵产物，生物聚磷菌将优先吸附这些低分子发酵产物，并将其运送到细胞内、同化成胞内碳源存贮物，所需能量来源于聚磷的水解以及细胞内糖的水解，并导致磷酸盐的释放。经厌氧状态释放磷酸盐的聚磷菌在好氧状态下具有很强的吸磷能力，吸收、存贮超出生长需求的磷量，并合成新的聚磷菌细胞、产生富磷污泥，通过剩余污泥的排放将磷从系统中除去。根据其工作原理，在A/A/C氧化沟厌氧区Ⅰ的设计中分3格，第1格的功能在于使混合液中的微生物利用进水中的有机物去除回流污泥中的硝态氮，消除硝态氮对厌氧区的不利影响，保证第 2、3 格中磷酸盐的正常释放，同时还起到生物选择的作用。厌氧区Ⅰ的主要设计参数是混合液停留时间。泥水混合液在厌氧区的停留时间一般为 1～2h(释磷量就已达到可释磷总量的 80%左右)，过长的厌氧停留时间可导致没有低分子发酵产物的磷释放，使得碳源贮存量不足，不能在好氧区产生足够的能量来吸收所有释放的磷。对一般城市生活污水(BOD/TP≥20～25mg/L、出水磷浓度≤1.0mg/L)，厌氧区的停留时间一般为1.5h左右。</w:t>
      </w:r>
    </w:p>
    <w:p w14:paraId="79046E65">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②缺氧区Ⅱ</w:t>
      </w:r>
    </w:p>
    <w:p w14:paraId="71060E32">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泥水混合液由厌氧区Ⅰ进入缺氧区Ⅱ，一部分聚磷菌利用后续工艺的混合液(内回流带来的)中硝酸盐作为最终电子受体以分解细胞内的 PHB(聚 β 羟基丁酸)，产生的能量用于磷的吸收和聚磷的合成，同时反硝化菌利用内回流带来的硝酸盐，以及污水中可生物降解的有机物进行反硝化，达到部分脱碳与脱硝、除磷的目的。</w:t>
      </w:r>
    </w:p>
    <w:p w14:paraId="6E2DCB76">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③氧化沟区Ⅲ</w:t>
      </w:r>
    </w:p>
    <w:p w14:paraId="4813BC35">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氧化沟兼有推流型和完全混合型反应池两者的特性，完成一次循环所需时间约为5～20min，而总的停留时间却很长。氧化沟中有好氧、缺氧交替出现的区域，具有硝化、生物除磷、反硝化的条件。在氧化沟好氧区聚磷菌除了吸收、利用污水中的可生物降解有机物外，主要是分解体内贮积的 PHB，产生的能量可供自身生长繁殖，此外还可主动吸收周围环境中的溶解磷，并以聚磷的形式在体内超量贮积。在剩余污泥中含有大量能超量聚磷的聚磷菌，大大提高了A/A/C 氧化沟系统的除磷效果。同时污水中的氨氮被亚硝酸菌、硝酸菌转化为亚硝酸盐和硝酸盐，氧化1.0gNH4</w:t>
      </w:r>
      <w:r>
        <w:rPr>
          <w:rFonts w:hint="default" w:ascii="Times New Roman" w:hAnsi="Times New Roman" w:cs="Times New Roman"/>
          <w:highlight w:val="none"/>
          <w:vertAlign w:val="superscript"/>
          <w:lang w:val="en-US" w:eastAsia="zh-CN"/>
        </w:rPr>
        <w:t>+</w:t>
      </w:r>
      <w:r>
        <w:rPr>
          <w:rFonts w:hint="default" w:ascii="Times New Roman" w:hAnsi="Times New Roman" w:cs="Times New Roman"/>
          <w:highlight w:val="none"/>
          <w:lang w:val="en-US" w:eastAsia="zh-CN"/>
        </w:rPr>
        <w:t>-N 为NO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-N共耗氧 4.57g，消耗碱度为7.14g(以CaCO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计)。在缺氧区反硝化菌利用亚硝酸盐和硝酸盐中的N</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和 N</w:t>
      </w:r>
      <w:r>
        <w:rPr>
          <w:rFonts w:hint="default" w:ascii="Times New Roman" w:hAnsi="Times New Roman" w:cs="Times New Roman"/>
          <w:highlight w:val="none"/>
          <w:vertAlign w:val="superscript"/>
          <w:lang w:val="en-US" w:eastAsia="zh-CN"/>
        </w:rPr>
        <w:t>5+</w:t>
      </w:r>
      <w:r>
        <w:rPr>
          <w:rFonts w:hint="default" w:ascii="Times New Roman" w:hAnsi="Times New Roman" w:cs="Times New Roman"/>
          <w:highlight w:val="none"/>
          <w:lang w:val="en-US" w:eastAsia="zh-CN"/>
        </w:rPr>
        <w:t>(被还原为N</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)作为能量代谢中的电子受体，O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vertAlign w:val="superscript"/>
          <w:lang w:val="en-US" w:eastAsia="zh-CN"/>
        </w:rPr>
        <w:t>-</w:t>
      </w:r>
      <w:r>
        <w:rPr>
          <w:rFonts w:hint="default" w:ascii="Times New Roman" w:hAnsi="Times New Roman" w:cs="Times New Roman"/>
          <w:highlight w:val="none"/>
          <w:lang w:val="en-US" w:eastAsia="zh-CN"/>
        </w:rPr>
        <w:t>作为受氢体生成H</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O和OH</w:t>
      </w:r>
      <w:r>
        <w:rPr>
          <w:rFonts w:hint="default" w:ascii="Times New Roman" w:hAnsi="Times New Roman" w:cs="Times New Roman"/>
          <w:highlight w:val="none"/>
          <w:vertAlign w:val="superscript"/>
          <w:lang w:val="en-US" w:eastAsia="zh-CN"/>
        </w:rPr>
        <w:t>-</w:t>
      </w:r>
      <w:r>
        <w:rPr>
          <w:rFonts w:hint="default" w:ascii="Times New Roman" w:hAnsi="Times New Roman" w:cs="Times New Roman"/>
          <w:highlight w:val="none"/>
          <w:lang w:val="en-US" w:eastAsia="zh-CN"/>
        </w:rPr>
        <w:t>碱度，有机物作为碳源及电子供体提供能量并得到氧化稳定。将1.0gNO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-N 转化为N</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时消耗有机物(以 BOD 计)1.71g，将 1.0gNO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-N 转化为N</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时消耗有机物(以BOD计)2.86g，与此同时产生3.57g碱度(以CaCO</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计)。</w:t>
      </w:r>
    </w:p>
    <w:p w14:paraId="5F0E9038">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2）Carrousel 氧化沟工艺的特点</w:t>
      </w:r>
    </w:p>
    <w:p w14:paraId="573C06D3">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Carrousel氧化沟是由荷兰 DHV 技术咨询公司在六十年代后期发明的，当时开发这一工艺的主要目的是寻求一种渠道更深、效率更高和机械性能更好的系统设备来改善和弥补当时流行的转刷式氧化沟的技术缺陷。</w:t>
      </w:r>
    </w:p>
    <w:p w14:paraId="64AD29DD">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与其它池型氧化沟相比，其最大的特点是采用特殊设计的立式低速表曝机作曝气设备，由于曝气设备的不同(区别于其它水平轴式曝气装置)，使污水在混合曝气充氧的同时具有泵的局部水力提升作用，使混合液和原水得到彻底的混合。</w:t>
      </w:r>
    </w:p>
    <w:p w14:paraId="42624F85">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Carrousel 氧化沟有很长的污泥龄，非常适合世代周期长的硝化细菌生长。Carrousel 氧化沟溶解氧分布为上层 0.8～1.5mg/L，下层 0.5～0.8mg/L，两个曝气叶轮之间的溶解氧浓度是逐渐降低的，且下层溶解氧低于上层，但各沟道内并没有明显地形成缺氧段。测试数据显示硝化及反硝化反应在 Carrousel 氧化沟中同时发生，沟中的叶轮和沟道反应区，实现了完全混合和推流式反应器的最佳结合。</w:t>
      </w:r>
    </w:p>
    <w:p w14:paraId="1123BE64">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Carrousel 氧化沟具有出水水质好、抗冲击负荷能力强、除磷脱氮效率高、污泥易稳定、能耗省、便于自动化控制等优点。但也存在以下问题：</w:t>
      </w:r>
    </w:p>
    <w:p w14:paraId="6F224060">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A、污泥膨胀问题</w:t>
      </w:r>
    </w:p>
    <w:p w14:paraId="144CFCE6">
      <w:pPr>
        <w:pStyle w:val="189"/>
        <w:ind w:left="0" w:leftChars="0"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当废水中的碳水化合物较多，N、P 含量不平衡，pH 值偏低，氧化沟中污泥负荷过高，溶解氧浓度不足，排泥不畅等易引发丝状菌性污泥膨胀；非丝状菌性污泥膨胀主要发生在废水水温较低而污泥负荷较高时。微生物的负荷高，细菌吸取了大量营养物质，由于温度低，代谢速度较慢，积贮起大量高粘性的多糖类物质，使活性污泥的表面附着水大大增加，SVI值很高，形成污泥膨胀。</w:t>
      </w:r>
    </w:p>
    <w:p w14:paraId="34E0B92C">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B、泡沫问题</w:t>
      </w:r>
    </w:p>
    <w:p w14:paraId="0F315B09">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由于进水中带有大量油脂，处理系统不能完全有效地将其除去，部分油脂富集于污泥中，经转刷充氧搅拌，产生大量泡沫；泥龄偏长，污泥老化，也易产生泡沫。</w:t>
      </w:r>
    </w:p>
    <w:p w14:paraId="156FBBF6">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C、污泥上浮问题</w:t>
      </w:r>
    </w:p>
    <w:p w14:paraId="63E43A52">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当废水中含油量过大，整个系统泥质变轻，在操作过程中不能很好控制其在二沉池的停留时间，易造成缺氧，产生腐化污泥上浮；当曝气时间过长，在池中发生高度硝化作用，使硝酸盐浓度高，在二沉池易发生反硝化作用，产生氮气，使污泥上浮；另外，废水中含油量过大，污泥可能挟油上浮。</w:t>
      </w:r>
    </w:p>
    <w:p w14:paraId="1755BD23">
      <w:pPr>
        <w:pStyle w:val="189"/>
        <w:numPr>
          <w:ilvl w:val="0"/>
          <w:numId w:val="13"/>
        </w:numPr>
        <w:ind w:left="0" w:leftChars="0" w:firstLine="48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生化处理工艺比选结果</w:t>
      </w:r>
    </w:p>
    <w:p w14:paraId="62F04D87">
      <w:pPr>
        <w:pStyle w:val="189"/>
        <w:numPr>
          <w:ilvl w:val="0"/>
          <w:numId w:val="0"/>
        </w:numPr>
        <w:ind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氧化沟设计池深较浅，占地面积大，且机械曝气效率低，能耗高，而本项目污水厂用地较为紧张，因此，氧化沟工艺并不适应于本项目的建厂边界条件，本报告生化处理不推荐采用氧化沟方案。综合考察本项目的水质水量特性，结合本项目的用地条件比较紧张，卫生防护距离难以充分保证等周边环境和项目的可实施性，参照上述分析和国内已有的成熟经验，推荐 A/A/O 工艺为生化处理工艺。</w:t>
      </w:r>
    </w:p>
    <w:p w14:paraId="4A303250">
      <w:pPr>
        <w:pStyle w:val="381"/>
        <w:numPr>
          <w:ilvl w:val="3"/>
          <w:numId w:val="0"/>
        </w:numPr>
        <w:ind w:leftChars="0" w:firstLine="482" w:firstLineChars="200"/>
        <w:rPr>
          <w:rFonts w:hint="default" w:ascii="Times New Roman" w:hAnsi="Times New Roman" w:eastAsia="宋体" w:cs="Times New Roman"/>
          <w:color w:val="auto"/>
          <w:highlight w:val="none"/>
          <w:u w:val="none" w:color="auto"/>
          <w:lang w:val="en-US" w:eastAsia="zh-CN"/>
        </w:rPr>
      </w:pPr>
      <w:bookmarkStart w:id="60" w:name="7.3.3_污水生化处理工艺综述"/>
      <w:bookmarkEnd w:id="60"/>
      <w:r>
        <w:rPr>
          <w:rFonts w:hint="default" w:ascii="Times New Roman" w:hAnsi="Times New Roman" w:cs="Times New Roman"/>
          <w:color w:val="auto"/>
          <w:highlight w:val="none"/>
          <w:u w:val="none" w:color="auto"/>
          <w:lang w:val="en-US" w:eastAsia="zh-CN"/>
        </w:rPr>
        <w:t>3.3.6.3 深度处理工艺选择</w:t>
      </w:r>
    </w:p>
    <w:p w14:paraId="1E704A96">
      <w:pPr>
        <w:pStyle w:val="189"/>
        <w:ind w:left="0" w:leftChars="0" w:firstLine="48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本项目增加深度处理是为了达到一级 A 标准排放要求，对二级处理出水中残留的污染物进行的再处理，其处理对象主要是难降解有机物、可溶性无机营养物质（氮、磷）以及悬浮物等。</w:t>
      </w:r>
    </w:p>
    <w:p w14:paraId="11F0792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rPr>
        <w:t>）深度处理工艺介绍</w:t>
      </w:r>
    </w:p>
    <w:p w14:paraId="16F566B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深度处理工艺技术的方法主要为物化法：混凝、沉淀、澄清、过滤、吸附等方法。</w:t>
      </w:r>
    </w:p>
    <w:p w14:paraId="2E65647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深度处理的去除对象及采用的处理技术如下表所示：</w:t>
      </w:r>
    </w:p>
    <w:p w14:paraId="5F22A634">
      <w:pPr>
        <w:pStyle w:val="189"/>
        <w:spacing w:line="240" w:lineRule="auto"/>
        <w:ind w:left="0" w:leftChars="0" w:firstLine="0" w:firstLineChars="0"/>
        <w:jc w:val="center"/>
        <w:rPr>
          <w:rFonts w:hint="default" w:ascii="Times New Roman" w:hAnsi="Times New Roman" w:cs="Times New Roman" w:eastAsiaTheme="minorEastAsia"/>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表3.3-9 深度处理的去除对象及采用的处理技术表</w:t>
      </w:r>
    </w:p>
    <w:tbl>
      <w:tblPr>
        <w:tblStyle w:val="402"/>
        <w:tblW w:w="9154"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79"/>
        <w:gridCol w:w="1521"/>
        <w:gridCol w:w="2103"/>
        <w:gridCol w:w="4651"/>
      </w:tblGrid>
      <w:tr w14:paraId="3A1D6D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400" w:type="dxa"/>
            <w:gridSpan w:val="2"/>
            <w:tcBorders>
              <w:tl2br w:val="nil"/>
              <w:tr2bl w:val="nil"/>
            </w:tcBorders>
            <w:vAlign w:val="top"/>
          </w:tcPr>
          <w:p w14:paraId="50595B82">
            <w:pPr>
              <w:pStyle w:val="435"/>
              <w:widowControl w:val="0"/>
              <w:spacing w:before="36" w:line="205" w:lineRule="auto"/>
              <w:ind w:left="106"/>
              <w:jc w:val="center"/>
              <w:rPr>
                <w:rFonts w:hint="default" w:ascii="Times New Roman" w:hAnsi="Times New Roman" w:cs="Times New Roman"/>
                <w:sz w:val="21"/>
                <w:szCs w:val="21"/>
                <w:highlight w:val="none"/>
              </w:rPr>
            </w:pPr>
            <w:r>
              <w:rPr>
                <w:rFonts w:hint="default" w:ascii="Times New Roman" w:hAnsi="Times New Roman" w:cs="Times New Roman"/>
                <w:spacing w:val="-3"/>
                <w:sz w:val="21"/>
                <w:szCs w:val="21"/>
                <w:highlight w:val="none"/>
              </w:rPr>
              <w:t>去除对象</w:t>
            </w:r>
          </w:p>
        </w:tc>
        <w:tc>
          <w:tcPr>
            <w:tcW w:w="2103" w:type="dxa"/>
            <w:tcBorders>
              <w:tl2br w:val="nil"/>
              <w:tr2bl w:val="nil"/>
            </w:tcBorders>
            <w:vAlign w:val="top"/>
          </w:tcPr>
          <w:p w14:paraId="1614AF08">
            <w:pPr>
              <w:pStyle w:val="435"/>
              <w:widowControl w:val="0"/>
              <w:spacing w:before="36" w:line="205" w:lineRule="auto"/>
              <w:ind w:left="107"/>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有关指标</w:t>
            </w:r>
          </w:p>
        </w:tc>
        <w:tc>
          <w:tcPr>
            <w:tcW w:w="4651" w:type="dxa"/>
            <w:tcBorders>
              <w:tl2br w:val="nil"/>
              <w:tr2bl w:val="nil"/>
            </w:tcBorders>
            <w:vAlign w:val="top"/>
          </w:tcPr>
          <w:p w14:paraId="79AD385F">
            <w:pPr>
              <w:pStyle w:val="435"/>
              <w:widowControl w:val="0"/>
              <w:spacing w:before="36" w:line="205" w:lineRule="auto"/>
              <w:ind w:left="114"/>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主要处理技术</w:t>
            </w:r>
          </w:p>
        </w:tc>
      </w:tr>
      <w:tr w14:paraId="597956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879" w:type="dxa"/>
            <w:vMerge w:val="restart"/>
            <w:tcBorders>
              <w:tl2br w:val="nil"/>
              <w:tr2bl w:val="nil"/>
            </w:tcBorders>
            <w:vAlign w:val="top"/>
          </w:tcPr>
          <w:p w14:paraId="0257E1A1">
            <w:pPr>
              <w:pStyle w:val="435"/>
              <w:widowControl w:val="0"/>
              <w:spacing w:before="296" w:line="220" w:lineRule="auto"/>
              <w:ind w:left="104"/>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有机物</w:t>
            </w:r>
          </w:p>
        </w:tc>
        <w:tc>
          <w:tcPr>
            <w:tcW w:w="1521" w:type="dxa"/>
            <w:tcBorders>
              <w:tl2br w:val="nil"/>
              <w:tr2bl w:val="nil"/>
            </w:tcBorders>
            <w:vAlign w:val="top"/>
          </w:tcPr>
          <w:p w14:paraId="371C4A96">
            <w:pPr>
              <w:pStyle w:val="435"/>
              <w:widowControl w:val="0"/>
              <w:spacing w:before="31" w:line="206" w:lineRule="auto"/>
              <w:ind w:left="105"/>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悬浮状态</w:t>
            </w:r>
          </w:p>
        </w:tc>
        <w:tc>
          <w:tcPr>
            <w:tcW w:w="2103" w:type="dxa"/>
            <w:tcBorders>
              <w:tl2br w:val="nil"/>
              <w:tr2bl w:val="nil"/>
            </w:tcBorders>
            <w:vAlign w:val="top"/>
          </w:tcPr>
          <w:p w14:paraId="67277B58">
            <w:pPr>
              <w:pStyle w:val="435"/>
              <w:widowControl w:val="0"/>
              <w:spacing w:before="70" w:line="172" w:lineRule="auto"/>
              <w:ind w:left="111"/>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6"/>
                <w:sz w:val="21"/>
                <w:szCs w:val="21"/>
                <w:highlight w:val="none"/>
              </w:rPr>
              <w:t>SS</w:t>
            </w:r>
            <w:r>
              <w:rPr>
                <w:rFonts w:hint="default" w:ascii="Times New Roman" w:hAnsi="Times New Roman" w:eastAsia="Times New Roman" w:cs="Times New Roman"/>
                <w:spacing w:val="-29"/>
                <w:sz w:val="21"/>
                <w:szCs w:val="21"/>
                <w:highlight w:val="none"/>
              </w:rPr>
              <w:t xml:space="preserve"> </w:t>
            </w:r>
            <w:r>
              <w:rPr>
                <w:rFonts w:hint="default" w:ascii="Times New Roman" w:hAnsi="Times New Roman" w:cs="Times New Roman"/>
                <w:spacing w:val="-6"/>
                <w:sz w:val="21"/>
                <w:szCs w:val="21"/>
                <w:highlight w:val="none"/>
              </w:rPr>
              <w:t>、</w:t>
            </w:r>
            <w:r>
              <w:rPr>
                <w:rFonts w:hint="default" w:ascii="Times New Roman" w:hAnsi="Times New Roman" w:eastAsia="Times New Roman" w:cs="Times New Roman"/>
                <w:spacing w:val="-6"/>
                <w:sz w:val="21"/>
                <w:szCs w:val="21"/>
                <w:highlight w:val="none"/>
              </w:rPr>
              <w:t>VSS</w:t>
            </w:r>
          </w:p>
        </w:tc>
        <w:tc>
          <w:tcPr>
            <w:tcW w:w="4651" w:type="dxa"/>
            <w:tcBorders>
              <w:tl2br w:val="nil"/>
              <w:tr2bl w:val="nil"/>
            </w:tcBorders>
            <w:vAlign w:val="top"/>
          </w:tcPr>
          <w:p w14:paraId="76033D62">
            <w:pPr>
              <w:pStyle w:val="435"/>
              <w:widowControl w:val="0"/>
              <w:spacing w:before="31" w:line="206" w:lineRule="auto"/>
              <w:ind w:left="115"/>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混凝沉淀、过滤</w:t>
            </w:r>
          </w:p>
        </w:tc>
      </w:tr>
      <w:tr w14:paraId="46A635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79" w:type="dxa"/>
            <w:vMerge w:val="continue"/>
            <w:tcBorders>
              <w:tl2br w:val="nil"/>
              <w:tr2bl w:val="nil"/>
            </w:tcBorders>
            <w:vAlign w:val="top"/>
          </w:tcPr>
          <w:p w14:paraId="2873D4FE">
            <w:pPr>
              <w:jc w:val="center"/>
              <w:rPr>
                <w:rFonts w:hint="default" w:ascii="Times New Roman" w:hAnsi="Times New Roman" w:cs="Times New Roman"/>
                <w:sz w:val="21"/>
                <w:highlight w:val="none"/>
              </w:rPr>
            </w:pPr>
          </w:p>
        </w:tc>
        <w:tc>
          <w:tcPr>
            <w:tcW w:w="1521" w:type="dxa"/>
            <w:tcBorders>
              <w:tl2br w:val="nil"/>
              <w:tr2bl w:val="nil"/>
            </w:tcBorders>
            <w:vAlign w:val="top"/>
          </w:tcPr>
          <w:p w14:paraId="7867F12A">
            <w:pPr>
              <w:pStyle w:val="435"/>
              <w:widowControl w:val="0"/>
              <w:spacing w:before="153" w:line="221" w:lineRule="auto"/>
              <w:ind w:left="105"/>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溶解状态</w:t>
            </w:r>
          </w:p>
        </w:tc>
        <w:tc>
          <w:tcPr>
            <w:tcW w:w="2103" w:type="dxa"/>
            <w:tcBorders>
              <w:tl2br w:val="nil"/>
              <w:tr2bl w:val="nil"/>
            </w:tcBorders>
            <w:vAlign w:val="top"/>
          </w:tcPr>
          <w:p w14:paraId="03CB1C8A">
            <w:pPr>
              <w:pStyle w:val="435"/>
              <w:widowControl w:val="0"/>
              <w:spacing w:before="73" w:line="201" w:lineRule="auto"/>
              <w:ind w:left="103" w:right="29" w:hanging="2"/>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7"/>
                <w:sz w:val="21"/>
                <w:szCs w:val="21"/>
                <w:highlight w:val="none"/>
              </w:rPr>
              <w:t>BOD</w:t>
            </w:r>
            <w:r>
              <w:rPr>
                <w:rFonts w:hint="default" w:ascii="Times New Roman" w:hAnsi="Times New Roman" w:eastAsia="Times New Roman" w:cs="Times New Roman"/>
                <w:spacing w:val="-7"/>
                <w:position w:val="-2"/>
                <w:sz w:val="13"/>
                <w:szCs w:val="13"/>
                <w:highlight w:val="none"/>
              </w:rPr>
              <w:t>5</w:t>
            </w:r>
            <w:r>
              <w:rPr>
                <w:rFonts w:hint="default" w:ascii="Times New Roman" w:hAnsi="Times New Roman" w:eastAsia="Times New Roman" w:cs="Times New Roman"/>
                <w:spacing w:val="-2"/>
                <w:position w:val="-2"/>
                <w:sz w:val="13"/>
                <w:szCs w:val="13"/>
                <w:highlight w:val="none"/>
              </w:rPr>
              <w:t xml:space="preserve"> </w:t>
            </w:r>
            <w:r>
              <w:rPr>
                <w:rFonts w:hint="default" w:ascii="Times New Roman" w:hAnsi="Times New Roman" w:cs="Times New Roman"/>
                <w:spacing w:val="-7"/>
                <w:sz w:val="21"/>
                <w:szCs w:val="21"/>
                <w:highlight w:val="none"/>
              </w:rPr>
              <w:t>、</w:t>
            </w:r>
            <w:r>
              <w:rPr>
                <w:rFonts w:hint="default" w:ascii="Times New Roman" w:hAnsi="Times New Roman" w:eastAsia="Times New Roman" w:cs="Times New Roman"/>
                <w:spacing w:val="-7"/>
                <w:sz w:val="21"/>
                <w:szCs w:val="21"/>
                <w:highlight w:val="none"/>
              </w:rPr>
              <w:t>COD</w:t>
            </w:r>
            <w:r>
              <w:rPr>
                <w:rFonts w:hint="default" w:ascii="Times New Roman" w:hAnsi="Times New Roman" w:eastAsia="Times New Roman" w:cs="Times New Roman"/>
                <w:spacing w:val="-28"/>
                <w:sz w:val="21"/>
                <w:szCs w:val="21"/>
                <w:highlight w:val="none"/>
              </w:rPr>
              <w:t xml:space="preserve"> </w:t>
            </w:r>
            <w:r>
              <w:rPr>
                <w:rFonts w:hint="default" w:ascii="Times New Roman" w:hAnsi="Times New Roman" w:cs="Times New Roman"/>
                <w:spacing w:val="-7"/>
                <w:sz w:val="21"/>
                <w:szCs w:val="21"/>
                <w:highlight w:val="none"/>
              </w:rPr>
              <w:t>、</w:t>
            </w:r>
            <w:r>
              <w:rPr>
                <w:rFonts w:hint="default" w:ascii="Times New Roman" w:hAnsi="Times New Roman" w:eastAsia="Times New Roman" w:cs="Times New Roman"/>
                <w:spacing w:val="-7"/>
                <w:sz w:val="21"/>
                <w:szCs w:val="21"/>
                <w:highlight w:val="none"/>
              </w:rPr>
              <w:t>TOC</w:t>
            </w:r>
            <w:r>
              <w:rPr>
                <w:rFonts w:hint="default" w:ascii="Times New Roman" w:hAnsi="Times New Roman" w:cs="Times New Roman"/>
                <w:spacing w:val="-7"/>
                <w:sz w:val="21"/>
                <w:szCs w:val="21"/>
                <w:highlight w:val="none"/>
              </w:rPr>
              <w:t>、</w:t>
            </w:r>
            <w:r>
              <w:rPr>
                <w:rFonts w:hint="default" w:ascii="Times New Roman" w:hAnsi="Times New Roman" w:cs="Times New Roman"/>
                <w:sz w:val="21"/>
                <w:szCs w:val="21"/>
                <w:highlight w:val="none"/>
              </w:rPr>
              <w:t xml:space="preserve"> </w:t>
            </w:r>
            <w:r>
              <w:rPr>
                <w:rFonts w:hint="default" w:ascii="Times New Roman" w:hAnsi="Times New Roman" w:eastAsia="Times New Roman" w:cs="Times New Roman"/>
                <w:spacing w:val="-3"/>
                <w:sz w:val="21"/>
                <w:szCs w:val="21"/>
                <w:highlight w:val="none"/>
              </w:rPr>
              <w:t>TOD</w:t>
            </w:r>
          </w:p>
        </w:tc>
        <w:tc>
          <w:tcPr>
            <w:tcW w:w="4651" w:type="dxa"/>
            <w:tcBorders>
              <w:tl2br w:val="nil"/>
              <w:tr2bl w:val="nil"/>
            </w:tcBorders>
            <w:vAlign w:val="top"/>
          </w:tcPr>
          <w:p w14:paraId="0FCACEAC">
            <w:pPr>
              <w:pStyle w:val="435"/>
              <w:widowControl w:val="0"/>
              <w:spacing w:before="154" w:line="220" w:lineRule="auto"/>
              <w:ind w:left="115"/>
              <w:jc w:val="center"/>
              <w:rPr>
                <w:rFonts w:hint="default" w:ascii="Times New Roman" w:hAnsi="Times New Roman" w:cs="Times New Roman"/>
                <w:sz w:val="21"/>
                <w:szCs w:val="21"/>
                <w:highlight w:val="none"/>
              </w:rPr>
            </w:pPr>
            <w:r>
              <w:rPr>
                <w:rFonts w:hint="default" w:ascii="Times New Roman" w:hAnsi="Times New Roman" w:cs="Times New Roman"/>
                <w:spacing w:val="-1"/>
                <w:sz w:val="21"/>
                <w:szCs w:val="21"/>
                <w:highlight w:val="none"/>
              </w:rPr>
              <w:t>混凝沉淀、活性炭吸附、臭氧氧化</w:t>
            </w:r>
          </w:p>
        </w:tc>
      </w:tr>
      <w:tr w14:paraId="69748A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879" w:type="dxa"/>
            <w:vMerge w:val="restart"/>
            <w:tcBorders>
              <w:tl2br w:val="nil"/>
              <w:tr2bl w:val="nil"/>
            </w:tcBorders>
            <w:vAlign w:val="top"/>
          </w:tcPr>
          <w:p w14:paraId="0222573E">
            <w:pPr>
              <w:pStyle w:val="435"/>
              <w:widowControl w:val="0"/>
              <w:spacing w:before="239" w:line="241" w:lineRule="auto"/>
              <w:ind w:right="116"/>
              <w:jc w:val="center"/>
              <w:rPr>
                <w:rFonts w:hint="default" w:ascii="Times New Roman" w:hAnsi="Times New Roman" w:cs="Times New Roman"/>
                <w:sz w:val="21"/>
                <w:szCs w:val="21"/>
                <w:highlight w:val="none"/>
              </w:rPr>
            </w:pPr>
            <w:r>
              <w:rPr>
                <w:rFonts w:hint="default" w:ascii="Times New Roman" w:hAnsi="Times New Roman" w:cs="Times New Roman"/>
                <w:spacing w:val="4"/>
                <w:sz w:val="21"/>
                <w:szCs w:val="21"/>
                <w:highlight w:val="none"/>
              </w:rPr>
              <w:t>植物性营养盐</w:t>
            </w:r>
            <w:r>
              <w:rPr>
                <w:rFonts w:hint="default" w:ascii="Times New Roman" w:hAnsi="Times New Roman" w:cs="Times New Roman"/>
                <w:sz w:val="21"/>
                <w:szCs w:val="21"/>
                <w:highlight w:val="none"/>
              </w:rPr>
              <w:t>类</w:t>
            </w:r>
          </w:p>
        </w:tc>
        <w:tc>
          <w:tcPr>
            <w:tcW w:w="1521" w:type="dxa"/>
            <w:tcBorders>
              <w:tl2br w:val="nil"/>
              <w:tr2bl w:val="nil"/>
            </w:tcBorders>
            <w:vAlign w:val="top"/>
          </w:tcPr>
          <w:p w14:paraId="5E0600CE">
            <w:pPr>
              <w:pStyle w:val="435"/>
              <w:widowControl w:val="0"/>
              <w:spacing w:before="175" w:line="220" w:lineRule="auto"/>
              <w:ind w:left="101"/>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氮</w:t>
            </w:r>
          </w:p>
        </w:tc>
        <w:tc>
          <w:tcPr>
            <w:tcW w:w="2103" w:type="dxa"/>
            <w:tcBorders>
              <w:tl2br w:val="nil"/>
              <w:tr2bl w:val="nil"/>
            </w:tcBorders>
            <w:vAlign w:val="top"/>
          </w:tcPr>
          <w:p w14:paraId="4C3C55CB">
            <w:pPr>
              <w:pStyle w:val="435"/>
              <w:widowControl w:val="0"/>
              <w:spacing w:before="93" w:line="204" w:lineRule="auto"/>
              <w:ind w:left="95" w:right="31" w:firstLine="8"/>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12"/>
                <w:w w:val="96"/>
                <w:sz w:val="21"/>
                <w:szCs w:val="21"/>
                <w:highlight w:val="none"/>
              </w:rPr>
              <w:t>TN</w:t>
            </w:r>
            <w:r>
              <w:rPr>
                <w:rFonts w:hint="default" w:ascii="Times New Roman" w:hAnsi="Times New Roman" w:cs="Times New Roman"/>
                <w:spacing w:val="-12"/>
                <w:w w:val="96"/>
                <w:sz w:val="21"/>
                <w:szCs w:val="21"/>
                <w:highlight w:val="none"/>
              </w:rPr>
              <w:t>、</w:t>
            </w:r>
            <w:r>
              <w:rPr>
                <w:rFonts w:hint="default" w:ascii="Times New Roman" w:hAnsi="Times New Roman" w:eastAsia="Times New Roman" w:cs="Times New Roman"/>
                <w:spacing w:val="-12"/>
                <w:w w:val="96"/>
                <w:sz w:val="21"/>
                <w:szCs w:val="21"/>
                <w:highlight w:val="none"/>
              </w:rPr>
              <w:t>NH</w:t>
            </w:r>
            <w:r>
              <w:rPr>
                <w:rFonts w:hint="default" w:ascii="Times New Roman" w:hAnsi="Times New Roman" w:eastAsia="Times New Roman" w:cs="Times New Roman"/>
                <w:spacing w:val="1"/>
                <w:position w:val="-2"/>
                <w:sz w:val="13"/>
                <w:szCs w:val="13"/>
                <w:highlight w:val="none"/>
              </w:rPr>
              <w:t>3</w:t>
            </w:r>
            <w:r>
              <w:rPr>
                <w:rFonts w:hint="default" w:ascii="Times New Roman" w:hAnsi="Times New Roman" w:eastAsia="Times New Roman" w:cs="Times New Roman"/>
                <w:spacing w:val="1"/>
                <w:sz w:val="21"/>
                <w:szCs w:val="21"/>
                <w:highlight w:val="none"/>
              </w:rPr>
              <w:t>-N</w:t>
            </w:r>
            <w:r>
              <w:rPr>
                <w:rFonts w:hint="default" w:ascii="Times New Roman" w:hAnsi="Times New Roman" w:cs="Times New Roman"/>
                <w:spacing w:val="-19"/>
                <w:w w:val="95"/>
                <w:sz w:val="21"/>
                <w:szCs w:val="21"/>
                <w:highlight w:val="none"/>
              </w:rPr>
              <w:t>、</w:t>
            </w:r>
            <w:r>
              <w:rPr>
                <w:rFonts w:hint="default" w:ascii="Times New Roman" w:hAnsi="Times New Roman" w:eastAsia="Times New Roman" w:cs="Times New Roman"/>
                <w:spacing w:val="-19"/>
                <w:w w:val="95"/>
                <w:sz w:val="21"/>
                <w:szCs w:val="21"/>
                <w:highlight w:val="none"/>
              </w:rPr>
              <w:t>NO</w:t>
            </w:r>
            <w:r>
              <w:rPr>
                <w:rFonts w:hint="default" w:ascii="Times New Roman" w:hAnsi="Times New Roman" w:eastAsia="Times New Roman" w:cs="Times New Roman"/>
                <w:spacing w:val="-6"/>
                <w:position w:val="-2"/>
                <w:sz w:val="13"/>
                <w:szCs w:val="13"/>
                <w:highlight w:val="none"/>
              </w:rPr>
              <w:t>2</w:t>
            </w:r>
            <w:r>
              <w:rPr>
                <w:rFonts w:hint="default" w:ascii="Times New Roman" w:hAnsi="Times New Roman" w:eastAsia="Times New Roman" w:cs="Times New Roman"/>
                <w:spacing w:val="-6"/>
                <w:sz w:val="21"/>
                <w:szCs w:val="21"/>
                <w:highlight w:val="none"/>
              </w:rPr>
              <w:t>--N</w:t>
            </w:r>
            <w:r>
              <w:rPr>
                <w:rFonts w:hint="default" w:ascii="Times New Roman" w:hAnsi="Times New Roman" w:cs="Times New Roman"/>
                <w:spacing w:val="-6"/>
                <w:sz w:val="21"/>
                <w:szCs w:val="21"/>
                <w:highlight w:val="none"/>
              </w:rPr>
              <w:t>、</w:t>
            </w:r>
            <w:r>
              <w:rPr>
                <w:rFonts w:hint="default" w:ascii="Times New Roman" w:hAnsi="Times New Roman" w:cs="Times New Roman"/>
                <w:spacing w:val="2"/>
                <w:sz w:val="21"/>
                <w:szCs w:val="21"/>
                <w:highlight w:val="none"/>
              </w:rPr>
              <w:t xml:space="preserve"> </w:t>
            </w:r>
            <w:r>
              <w:rPr>
                <w:rFonts w:hint="default" w:ascii="Times New Roman" w:hAnsi="Times New Roman" w:eastAsia="Times New Roman" w:cs="Times New Roman"/>
                <w:sz w:val="21"/>
                <w:szCs w:val="21"/>
                <w:highlight w:val="none"/>
              </w:rPr>
              <w:t>NO</w:t>
            </w:r>
            <w:r>
              <w:rPr>
                <w:rFonts w:hint="default" w:ascii="Times New Roman" w:hAnsi="Times New Roman" w:eastAsia="Times New Roman" w:cs="Times New Roman"/>
                <w:spacing w:val="2"/>
                <w:position w:val="-2"/>
                <w:sz w:val="13"/>
                <w:szCs w:val="13"/>
                <w:highlight w:val="none"/>
              </w:rPr>
              <w:t>3</w:t>
            </w:r>
            <w:r>
              <w:rPr>
                <w:rFonts w:hint="default" w:ascii="Times New Roman" w:hAnsi="Times New Roman" w:eastAsia="Times New Roman" w:cs="Times New Roman"/>
                <w:spacing w:val="2"/>
                <w:sz w:val="21"/>
                <w:szCs w:val="21"/>
                <w:highlight w:val="none"/>
              </w:rPr>
              <w:t>--N</w:t>
            </w:r>
          </w:p>
        </w:tc>
        <w:tc>
          <w:tcPr>
            <w:tcW w:w="4651" w:type="dxa"/>
            <w:tcBorders>
              <w:tl2br w:val="nil"/>
              <w:tr2bl w:val="nil"/>
            </w:tcBorders>
            <w:vAlign w:val="top"/>
          </w:tcPr>
          <w:p w14:paraId="6DE7EB7C">
            <w:pPr>
              <w:pStyle w:val="435"/>
              <w:widowControl w:val="0"/>
              <w:spacing w:before="38" w:line="218" w:lineRule="auto"/>
              <w:ind w:left="111" w:right="95" w:firstLine="12"/>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吹脱、折点加氯、吸附、离子交换脱氮、生物脱氮</w:t>
            </w:r>
          </w:p>
        </w:tc>
      </w:tr>
      <w:tr w14:paraId="7A6467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879" w:type="dxa"/>
            <w:vMerge w:val="continue"/>
            <w:tcBorders>
              <w:tl2br w:val="nil"/>
              <w:tr2bl w:val="nil"/>
            </w:tcBorders>
            <w:vAlign w:val="top"/>
          </w:tcPr>
          <w:p w14:paraId="4AC41C3D">
            <w:pPr>
              <w:jc w:val="center"/>
              <w:rPr>
                <w:rFonts w:hint="default" w:ascii="Times New Roman" w:hAnsi="Times New Roman" w:cs="Times New Roman"/>
                <w:sz w:val="21"/>
                <w:highlight w:val="none"/>
              </w:rPr>
            </w:pPr>
          </w:p>
        </w:tc>
        <w:tc>
          <w:tcPr>
            <w:tcW w:w="1521" w:type="dxa"/>
            <w:tcBorders>
              <w:tl2br w:val="nil"/>
              <w:tr2bl w:val="nil"/>
            </w:tcBorders>
            <w:vAlign w:val="top"/>
          </w:tcPr>
          <w:p w14:paraId="55100D90">
            <w:pPr>
              <w:pStyle w:val="435"/>
              <w:widowControl w:val="0"/>
              <w:spacing w:before="240" w:line="221" w:lineRule="auto"/>
              <w:ind w:left="102"/>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磷</w:t>
            </w:r>
          </w:p>
        </w:tc>
        <w:tc>
          <w:tcPr>
            <w:tcW w:w="2103" w:type="dxa"/>
            <w:tcBorders>
              <w:tl2br w:val="nil"/>
              <w:tr2bl w:val="nil"/>
            </w:tcBorders>
            <w:vAlign w:val="top"/>
          </w:tcPr>
          <w:p w14:paraId="127CF724">
            <w:pPr>
              <w:pStyle w:val="435"/>
              <w:widowControl w:val="0"/>
              <w:spacing w:before="224" w:line="290" w:lineRule="exact"/>
              <w:ind w:left="101"/>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2"/>
                <w:position w:val="1"/>
                <w:sz w:val="21"/>
                <w:szCs w:val="21"/>
                <w:highlight w:val="none"/>
              </w:rPr>
              <w:t>PO</w:t>
            </w:r>
            <w:r>
              <w:rPr>
                <w:rFonts w:hint="default" w:ascii="Times New Roman" w:hAnsi="Times New Roman" w:eastAsia="Times New Roman" w:cs="Times New Roman"/>
                <w:spacing w:val="-2"/>
                <w:position w:val="-2"/>
                <w:sz w:val="13"/>
                <w:szCs w:val="13"/>
                <w:highlight w:val="none"/>
              </w:rPr>
              <w:t>4</w:t>
            </w:r>
            <w:r>
              <w:rPr>
                <w:rFonts w:hint="default" w:ascii="Times New Roman" w:hAnsi="Times New Roman" w:eastAsia="Times New Roman" w:cs="Times New Roman"/>
                <w:spacing w:val="-2"/>
                <w:position w:val="10"/>
                <w:sz w:val="13"/>
                <w:szCs w:val="13"/>
                <w:highlight w:val="none"/>
              </w:rPr>
              <w:t>3-</w:t>
            </w:r>
            <w:r>
              <w:rPr>
                <w:rFonts w:hint="default" w:ascii="Times New Roman" w:hAnsi="Times New Roman" w:eastAsia="Times New Roman" w:cs="Times New Roman"/>
                <w:spacing w:val="-2"/>
                <w:position w:val="1"/>
                <w:sz w:val="21"/>
                <w:szCs w:val="21"/>
                <w:highlight w:val="none"/>
              </w:rPr>
              <w:t>-P</w:t>
            </w:r>
            <w:r>
              <w:rPr>
                <w:rFonts w:hint="default" w:ascii="Times New Roman" w:hAnsi="Times New Roman" w:eastAsia="Times New Roman" w:cs="Times New Roman"/>
                <w:spacing w:val="-21"/>
                <w:position w:val="1"/>
                <w:sz w:val="21"/>
                <w:szCs w:val="21"/>
                <w:highlight w:val="none"/>
              </w:rPr>
              <w:t xml:space="preserve"> </w:t>
            </w:r>
            <w:r>
              <w:rPr>
                <w:rFonts w:hint="default" w:ascii="Times New Roman" w:hAnsi="Times New Roman" w:cs="Times New Roman"/>
                <w:spacing w:val="-2"/>
                <w:position w:val="1"/>
                <w:sz w:val="21"/>
                <w:szCs w:val="21"/>
                <w:highlight w:val="none"/>
              </w:rPr>
              <w:t>、</w:t>
            </w:r>
            <w:r>
              <w:rPr>
                <w:rFonts w:hint="default" w:ascii="Times New Roman" w:hAnsi="Times New Roman" w:eastAsia="Times New Roman" w:cs="Times New Roman"/>
                <w:spacing w:val="-2"/>
                <w:position w:val="1"/>
                <w:sz w:val="21"/>
                <w:szCs w:val="21"/>
                <w:highlight w:val="none"/>
              </w:rPr>
              <w:t>TP</w:t>
            </w:r>
          </w:p>
        </w:tc>
        <w:tc>
          <w:tcPr>
            <w:tcW w:w="4651" w:type="dxa"/>
            <w:tcBorders>
              <w:tl2br w:val="nil"/>
              <w:tr2bl w:val="nil"/>
            </w:tcBorders>
            <w:vAlign w:val="top"/>
          </w:tcPr>
          <w:p w14:paraId="139DF856">
            <w:pPr>
              <w:pStyle w:val="435"/>
              <w:widowControl w:val="0"/>
              <w:spacing w:before="240" w:line="221" w:lineRule="auto"/>
              <w:ind w:left="114"/>
              <w:jc w:val="center"/>
              <w:rPr>
                <w:rFonts w:hint="default" w:ascii="Times New Roman" w:hAnsi="Times New Roman" w:cs="Times New Roman"/>
                <w:sz w:val="21"/>
                <w:szCs w:val="21"/>
                <w:highlight w:val="none"/>
              </w:rPr>
            </w:pPr>
            <w:r>
              <w:rPr>
                <w:rFonts w:hint="default" w:ascii="Times New Roman" w:hAnsi="Times New Roman" w:cs="Times New Roman"/>
                <w:spacing w:val="-1"/>
                <w:sz w:val="21"/>
                <w:szCs w:val="21"/>
                <w:highlight w:val="none"/>
              </w:rPr>
              <w:t>金属盐混凝沉淀、石灰混凝沉淀晶析、生物除磷</w:t>
            </w:r>
          </w:p>
        </w:tc>
      </w:tr>
      <w:tr w14:paraId="5EE251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79" w:type="dxa"/>
            <w:vMerge w:val="restart"/>
            <w:tcBorders>
              <w:tl2br w:val="nil"/>
              <w:tr2bl w:val="nil"/>
            </w:tcBorders>
            <w:vAlign w:val="top"/>
          </w:tcPr>
          <w:p w14:paraId="16CCDDF8">
            <w:pPr>
              <w:pStyle w:val="435"/>
              <w:widowControl w:val="0"/>
              <w:spacing w:before="56" w:line="225" w:lineRule="auto"/>
              <w:ind w:left="105" w:right="116" w:hanging="2"/>
              <w:jc w:val="center"/>
              <w:rPr>
                <w:rFonts w:hint="default" w:ascii="Times New Roman" w:hAnsi="Times New Roman" w:cs="Times New Roman"/>
                <w:sz w:val="21"/>
                <w:szCs w:val="21"/>
                <w:highlight w:val="none"/>
              </w:rPr>
            </w:pPr>
            <w:r>
              <w:rPr>
                <w:rFonts w:hint="default" w:ascii="Times New Roman" w:hAnsi="Times New Roman" w:cs="Times New Roman"/>
                <w:spacing w:val="4"/>
                <w:sz w:val="21"/>
                <w:szCs w:val="21"/>
                <w:highlight w:val="none"/>
              </w:rPr>
              <w:t>微量成</w:t>
            </w:r>
            <w:r>
              <w:rPr>
                <w:rFonts w:hint="default" w:ascii="Times New Roman" w:hAnsi="Times New Roman" w:cs="Times New Roman"/>
                <w:sz w:val="21"/>
                <w:szCs w:val="21"/>
                <w:highlight w:val="none"/>
              </w:rPr>
              <w:t>分</w:t>
            </w:r>
          </w:p>
        </w:tc>
        <w:tc>
          <w:tcPr>
            <w:tcW w:w="1521" w:type="dxa"/>
            <w:tcBorders>
              <w:tl2br w:val="nil"/>
              <w:tr2bl w:val="nil"/>
            </w:tcBorders>
            <w:vAlign w:val="top"/>
          </w:tcPr>
          <w:p w14:paraId="7ACF0AA2">
            <w:pPr>
              <w:pStyle w:val="435"/>
              <w:widowControl w:val="0"/>
              <w:spacing w:before="49" w:line="190" w:lineRule="auto"/>
              <w:ind w:left="105"/>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溶解性无机盐</w:t>
            </w:r>
          </w:p>
        </w:tc>
        <w:tc>
          <w:tcPr>
            <w:tcW w:w="2103" w:type="dxa"/>
            <w:tcBorders>
              <w:tl2br w:val="nil"/>
              <w:tr2bl w:val="nil"/>
            </w:tcBorders>
            <w:vAlign w:val="top"/>
          </w:tcPr>
          <w:p w14:paraId="56EAAA60">
            <w:pPr>
              <w:pStyle w:val="435"/>
              <w:widowControl w:val="0"/>
              <w:spacing w:before="35" w:line="203" w:lineRule="auto"/>
              <w:ind w:left="95"/>
              <w:jc w:val="center"/>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pacing w:val="-2"/>
                <w:position w:val="-2"/>
                <w:sz w:val="21"/>
                <w:szCs w:val="21"/>
                <w:highlight w:val="none"/>
              </w:rPr>
              <w:t>Na</w:t>
            </w:r>
            <w:r>
              <w:rPr>
                <w:rFonts w:hint="default" w:ascii="Times New Roman" w:hAnsi="Times New Roman" w:eastAsia="Times New Roman" w:cs="Times New Roman"/>
                <w:spacing w:val="-2"/>
                <w:position w:val="7"/>
                <w:sz w:val="13"/>
                <w:szCs w:val="13"/>
                <w:highlight w:val="none"/>
              </w:rPr>
              <w:t>+</w:t>
            </w:r>
            <w:r>
              <w:rPr>
                <w:rFonts w:hint="default" w:ascii="Times New Roman" w:hAnsi="Times New Roman" w:eastAsia="Times New Roman" w:cs="Times New Roman"/>
                <w:spacing w:val="-7"/>
                <w:position w:val="7"/>
                <w:sz w:val="13"/>
                <w:szCs w:val="13"/>
                <w:highlight w:val="none"/>
              </w:rPr>
              <w:t xml:space="preserve"> </w:t>
            </w:r>
            <w:r>
              <w:rPr>
                <w:rFonts w:hint="default" w:ascii="Times New Roman" w:hAnsi="Times New Roman" w:cs="Times New Roman"/>
                <w:spacing w:val="-2"/>
                <w:position w:val="-2"/>
                <w:sz w:val="21"/>
                <w:szCs w:val="21"/>
                <w:highlight w:val="none"/>
              </w:rPr>
              <w:t>、</w:t>
            </w:r>
            <w:r>
              <w:rPr>
                <w:rFonts w:hint="default" w:ascii="Times New Roman" w:hAnsi="Times New Roman" w:eastAsia="Times New Roman" w:cs="Times New Roman"/>
                <w:spacing w:val="-2"/>
                <w:position w:val="-2"/>
                <w:sz w:val="21"/>
                <w:szCs w:val="21"/>
                <w:highlight w:val="none"/>
              </w:rPr>
              <w:t>Ca</w:t>
            </w:r>
            <w:r>
              <w:rPr>
                <w:rFonts w:hint="default" w:ascii="Times New Roman" w:hAnsi="Times New Roman" w:eastAsia="Times New Roman" w:cs="Times New Roman"/>
                <w:spacing w:val="-2"/>
                <w:position w:val="7"/>
                <w:sz w:val="13"/>
                <w:szCs w:val="13"/>
                <w:highlight w:val="none"/>
              </w:rPr>
              <w:t>2+</w:t>
            </w:r>
            <w:r>
              <w:rPr>
                <w:rFonts w:hint="default" w:ascii="Times New Roman" w:hAnsi="Times New Roman" w:eastAsia="Times New Roman" w:cs="Times New Roman"/>
                <w:spacing w:val="-11"/>
                <w:position w:val="7"/>
                <w:sz w:val="13"/>
                <w:szCs w:val="13"/>
                <w:highlight w:val="none"/>
              </w:rPr>
              <w:t xml:space="preserve"> </w:t>
            </w:r>
            <w:r>
              <w:rPr>
                <w:rFonts w:hint="default" w:ascii="Times New Roman" w:hAnsi="Times New Roman" w:cs="Times New Roman"/>
                <w:spacing w:val="-2"/>
                <w:position w:val="-2"/>
                <w:sz w:val="21"/>
                <w:szCs w:val="21"/>
                <w:highlight w:val="none"/>
              </w:rPr>
              <w:t>、</w:t>
            </w:r>
            <w:r>
              <w:rPr>
                <w:rFonts w:hint="default" w:ascii="Times New Roman" w:hAnsi="Times New Roman" w:eastAsia="Times New Roman" w:cs="Times New Roman"/>
                <w:spacing w:val="-2"/>
                <w:position w:val="-2"/>
                <w:sz w:val="21"/>
                <w:szCs w:val="21"/>
                <w:highlight w:val="none"/>
              </w:rPr>
              <w:t>Cl</w:t>
            </w:r>
            <w:r>
              <w:rPr>
                <w:rFonts w:hint="default" w:ascii="Times New Roman" w:hAnsi="Times New Roman" w:eastAsia="Times New Roman" w:cs="Times New Roman"/>
                <w:spacing w:val="-2"/>
                <w:position w:val="7"/>
                <w:sz w:val="13"/>
                <w:szCs w:val="13"/>
                <w:highlight w:val="none"/>
              </w:rPr>
              <w:t>-</w:t>
            </w:r>
          </w:p>
        </w:tc>
        <w:tc>
          <w:tcPr>
            <w:tcW w:w="4651" w:type="dxa"/>
            <w:tcBorders>
              <w:tl2br w:val="nil"/>
              <w:tr2bl w:val="nil"/>
            </w:tcBorders>
            <w:vAlign w:val="top"/>
          </w:tcPr>
          <w:p w14:paraId="1ECC0862">
            <w:pPr>
              <w:pStyle w:val="435"/>
              <w:widowControl w:val="0"/>
              <w:spacing w:before="49" w:line="190" w:lineRule="auto"/>
              <w:ind w:left="114"/>
              <w:jc w:val="center"/>
              <w:rPr>
                <w:rFonts w:hint="default" w:ascii="Times New Roman" w:hAnsi="Times New Roman" w:cs="Times New Roman"/>
                <w:sz w:val="21"/>
                <w:szCs w:val="21"/>
                <w:highlight w:val="none"/>
              </w:rPr>
            </w:pPr>
            <w:r>
              <w:rPr>
                <w:rFonts w:hint="default" w:ascii="Times New Roman" w:hAnsi="Times New Roman" w:cs="Times New Roman"/>
                <w:spacing w:val="-1"/>
                <w:sz w:val="21"/>
                <w:szCs w:val="21"/>
                <w:highlight w:val="none"/>
              </w:rPr>
              <w:t>反渗透、电渗析、离子交换、电吸附</w:t>
            </w:r>
          </w:p>
        </w:tc>
      </w:tr>
      <w:tr w14:paraId="45B25D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79" w:type="dxa"/>
            <w:vMerge w:val="continue"/>
            <w:tcBorders>
              <w:tl2br w:val="nil"/>
              <w:tr2bl w:val="nil"/>
            </w:tcBorders>
            <w:vAlign w:val="top"/>
          </w:tcPr>
          <w:p w14:paraId="04E71869">
            <w:pPr>
              <w:jc w:val="center"/>
              <w:rPr>
                <w:rFonts w:hint="default" w:ascii="Times New Roman" w:hAnsi="Times New Roman" w:cs="Times New Roman"/>
                <w:sz w:val="21"/>
                <w:highlight w:val="none"/>
              </w:rPr>
            </w:pPr>
          </w:p>
        </w:tc>
        <w:tc>
          <w:tcPr>
            <w:tcW w:w="1521" w:type="dxa"/>
            <w:tcBorders>
              <w:tl2br w:val="nil"/>
              <w:tr2bl w:val="nil"/>
            </w:tcBorders>
            <w:vAlign w:val="top"/>
          </w:tcPr>
          <w:p w14:paraId="1A85D49E">
            <w:pPr>
              <w:pStyle w:val="435"/>
              <w:widowControl w:val="0"/>
              <w:spacing w:before="52" w:line="206" w:lineRule="auto"/>
              <w:ind w:left="102"/>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微生物</w:t>
            </w:r>
          </w:p>
        </w:tc>
        <w:tc>
          <w:tcPr>
            <w:tcW w:w="2103" w:type="dxa"/>
            <w:tcBorders>
              <w:tl2br w:val="nil"/>
              <w:tr2bl w:val="nil"/>
            </w:tcBorders>
            <w:vAlign w:val="top"/>
          </w:tcPr>
          <w:p w14:paraId="0C35836A">
            <w:pPr>
              <w:pStyle w:val="435"/>
              <w:widowControl w:val="0"/>
              <w:spacing w:before="52" w:line="206" w:lineRule="auto"/>
              <w:ind w:left="107"/>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细菌、病毒</w:t>
            </w:r>
          </w:p>
        </w:tc>
        <w:tc>
          <w:tcPr>
            <w:tcW w:w="4651" w:type="dxa"/>
            <w:tcBorders>
              <w:tl2br w:val="nil"/>
              <w:tr2bl w:val="nil"/>
            </w:tcBorders>
            <w:vAlign w:val="top"/>
          </w:tcPr>
          <w:p w14:paraId="50D872F4">
            <w:pPr>
              <w:pStyle w:val="435"/>
              <w:widowControl w:val="0"/>
              <w:spacing w:before="52" w:line="206" w:lineRule="auto"/>
              <w:ind w:left="113"/>
              <w:jc w:val="center"/>
              <w:rPr>
                <w:rFonts w:hint="default" w:ascii="Times New Roman" w:hAnsi="Times New Roman" w:cs="Times New Roman"/>
                <w:sz w:val="21"/>
                <w:szCs w:val="21"/>
                <w:highlight w:val="none"/>
              </w:rPr>
            </w:pPr>
            <w:r>
              <w:rPr>
                <w:rFonts w:hint="default" w:ascii="Times New Roman" w:hAnsi="Times New Roman" w:cs="Times New Roman"/>
                <w:spacing w:val="-1"/>
                <w:sz w:val="21"/>
                <w:szCs w:val="21"/>
                <w:highlight w:val="none"/>
              </w:rPr>
              <w:t>臭氧氧化、消毒（氯气、次氯酸钠、紫外线）</w:t>
            </w:r>
          </w:p>
        </w:tc>
      </w:tr>
    </w:tbl>
    <w:p w14:paraId="370C8B4D">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根据项目实际情况，</w:t>
      </w:r>
      <w:r>
        <w:rPr>
          <w:rFonts w:hint="default" w:ascii="Times New Roman" w:hAnsi="Times New Roman" w:cs="Times New Roman"/>
          <w:color w:val="000000" w:themeColor="text1"/>
          <w:highlight w:val="none"/>
          <w:u w:val="none" w:color="auto"/>
          <w14:textFill>
            <w14:solidFill>
              <w14:schemeClr w14:val="tx1"/>
            </w14:solidFill>
          </w14:textFill>
        </w:rPr>
        <w:t>深度处理的目的主要是进一步去除TP及SS，以确保出水达标。从上表中可以看到，混凝沉淀和过滤是去除TP及SS的主要技术手段。</w:t>
      </w:r>
    </w:p>
    <w:p w14:paraId="1F6B0CA3">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（1）混凝沉淀</w:t>
      </w:r>
    </w:p>
    <w:p w14:paraId="5B7C2095">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混凝沉淀工艺在城市污水深度处理中主要起以下作用：</w:t>
      </w:r>
    </w:p>
    <w:p w14:paraId="4A87B31F">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①进一步去除悬浮物、BOD</w:t>
      </w:r>
      <w:r>
        <w:rPr>
          <w:rFonts w:hint="default" w:ascii="Times New Roman" w:hAnsi="Times New Roman" w:cs="Times New Roman"/>
          <w:color w:val="000000" w:themeColor="text1"/>
          <w:highlight w:val="none"/>
          <w:u w:val="none" w:color="auto"/>
          <w:vertAlign w:val="subscript"/>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t>及CODCr。</w:t>
      </w:r>
    </w:p>
    <w:p w14:paraId="08E4EB6F">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②除磷：因污水中的磷酸盐大部为可溶性，一般的二级处理也只能去除 20~40%左右，混凝沉淀能去除磷 90~95%，是最有效的除磷方法。</w:t>
      </w:r>
    </w:p>
    <w:p w14:paraId="7DE873D8">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③由于去除了悬浮物和其它干扰物质，因而可增进消毒效率，并降低消毒剂用量。根据《污水再生利用工程设计规范》给出的深度处理单元技术的处理效率和处理目标，见下表。</w:t>
      </w:r>
    </w:p>
    <w:p w14:paraId="695A912B">
      <w:pPr>
        <w:pStyle w:val="189"/>
        <w:spacing w:line="240" w:lineRule="auto"/>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表3.3-10二级出水进行混凝沉淀、过滤的处理效率与目标</w:t>
      </w:r>
    </w:p>
    <w:tbl>
      <w:tblPr>
        <w:tblStyle w:val="402"/>
        <w:tblW w:w="885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89"/>
        <w:gridCol w:w="1605"/>
        <w:gridCol w:w="1605"/>
        <w:gridCol w:w="1254"/>
        <w:gridCol w:w="1386"/>
        <w:gridCol w:w="2018"/>
      </w:tblGrid>
      <w:tr w14:paraId="342246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989" w:type="dxa"/>
            <w:vMerge w:val="restart"/>
            <w:tcBorders>
              <w:tl2br w:val="nil"/>
              <w:tr2bl w:val="nil"/>
            </w:tcBorders>
            <w:vAlign w:val="center"/>
          </w:tcPr>
          <w:p w14:paraId="238C686C">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val="en-US" w:eastAsia="en-US"/>
              </w:rPr>
            </w:pPr>
            <w:r>
              <w:rPr>
                <w:rFonts w:hint="default" w:ascii="Times New Roman" w:hAnsi="Times New Roman" w:eastAsia="宋体" w:cs="Times New Roman"/>
                <w:spacing w:val="-1"/>
                <w:sz w:val="21"/>
                <w:szCs w:val="21"/>
                <w:highlight w:val="none"/>
                <w:lang w:val="en-US" w:eastAsia="en-US"/>
              </w:rPr>
              <w:t>序号</w:t>
            </w:r>
          </w:p>
        </w:tc>
        <w:tc>
          <w:tcPr>
            <w:tcW w:w="1605" w:type="dxa"/>
            <w:vMerge w:val="restart"/>
            <w:tcBorders>
              <w:tl2br w:val="nil"/>
              <w:tr2bl w:val="nil"/>
            </w:tcBorders>
            <w:vAlign w:val="center"/>
          </w:tcPr>
          <w:p w14:paraId="7E95A719">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val="en-US" w:eastAsia="en-US"/>
              </w:rPr>
            </w:pPr>
            <w:r>
              <w:rPr>
                <w:rFonts w:hint="default" w:ascii="Times New Roman" w:hAnsi="Times New Roman" w:eastAsia="宋体" w:cs="Times New Roman"/>
                <w:spacing w:val="-1"/>
                <w:sz w:val="21"/>
                <w:szCs w:val="21"/>
                <w:highlight w:val="none"/>
                <w:lang w:val="en-US" w:eastAsia="en-US"/>
              </w:rPr>
              <w:t>项目</w:t>
            </w:r>
          </w:p>
        </w:tc>
        <w:tc>
          <w:tcPr>
            <w:tcW w:w="4245" w:type="dxa"/>
            <w:gridSpan w:val="3"/>
            <w:tcBorders>
              <w:tl2br w:val="nil"/>
              <w:tr2bl w:val="nil"/>
            </w:tcBorders>
            <w:vAlign w:val="center"/>
          </w:tcPr>
          <w:p w14:paraId="5D3DD632">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val="en-US" w:eastAsia="en-US"/>
              </w:rPr>
            </w:pPr>
            <w:r>
              <w:rPr>
                <w:rFonts w:hint="default" w:ascii="Times New Roman" w:hAnsi="Times New Roman" w:eastAsia="宋体" w:cs="Times New Roman"/>
                <w:spacing w:val="-1"/>
                <w:sz w:val="21"/>
                <w:szCs w:val="21"/>
                <w:highlight w:val="none"/>
                <w:lang w:val="en-US" w:eastAsia="en-US"/>
              </w:rPr>
              <w:t>处理效率（%）</w:t>
            </w:r>
          </w:p>
        </w:tc>
        <w:tc>
          <w:tcPr>
            <w:tcW w:w="2018" w:type="dxa"/>
            <w:vMerge w:val="restart"/>
            <w:tcBorders>
              <w:tl2br w:val="nil"/>
              <w:tr2bl w:val="nil"/>
            </w:tcBorders>
            <w:vAlign w:val="center"/>
          </w:tcPr>
          <w:p w14:paraId="63123649">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val="en-US" w:eastAsia="en-US"/>
              </w:rPr>
            </w:pPr>
            <w:r>
              <w:rPr>
                <w:rFonts w:hint="default" w:ascii="Times New Roman" w:hAnsi="Times New Roman" w:eastAsia="宋体" w:cs="Times New Roman"/>
                <w:spacing w:val="-1"/>
                <w:sz w:val="21"/>
                <w:szCs w:val="21"/>
                <w:highlight w:val="none"/>
                <w:lang w:val="en-US" w:eastAsia="en-US"/>
              </w:rPr>
              <w:t>目标水质（mg/L）</w:t>
            </w:r>
          </w:p>
        </w:tc>
      </w:tr>
      <w:tr w14:paraId="06E19A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989" w:type="dxa"/>
            <w:vMerge w:val="continue"/>
            <w:tcBorders>
              <w:tl2br w:val="nil"/>
              <w:tr2bl w:val="nil"/>
            </w:tcBorders>
            <w:vAlign w:val="top"/>
          </w:tcPr>
          <w:p w14:paraId="0641A600">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p>
        </w:tc>
        <w:tc>
          <w:tcPr>
            <w:tcW w:w="1605" w:type="dxa"/>
            <w:vMerge w:val="continue"/>
            <w:tcBorders>
              <w:tl2br w:val="nil"/>
              <w:tr2bl w:val="nil"/>
            </w:tcBorders>
            <w:vAlign w:val="top"/>
          </w:tcPr>
          <w:p w14:paraId="6AAF9B1A">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p>
        </w:tc>
        <w:tc>
          <w:tcPr>
            <w:tcW w:w="1605" w:type="dxa"/>
            <w:tcBorders>
              <w:tl2br w:val="nil"/>
              <w:tr2bl w:val="nil"/>
            </w:tcBorders>
            <w:vAlign w:val="top"/>
          </w:tcPr>
          <w:p w14:paraId="7C01445C">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val="en-US" w:eastAsia="en-US"/>
              </w:rPr>
            </w:pPr>
            <w:r>
              <w:rPr>
                <w:rFonts w:hint="default" w:ascii="Times New Roman" w:hAnsi="Times New Roman" w:eastAsia="宋体" w:cs="Times New Roman"/>
                <w:spacing w:val="-1"/>
                <w:sz w:val="21"/>
                <w:szCs w:val="21"/>
                <w:highlight w:val="none"/>
                <w:lang w:val="en-US" w:eastAsia="en-US"/>
              </w:rPr>
              <w:t>混凝沉淀</w:t>
            </w:r>
          </w:p>
        </w:tc>
        <w:tc>
          <w:tcPr>
            <w:tcW w:w="1254" w:type="dxa"/>
            <w:tcBorders>
              <w:tl2br w:val="nil"/>
              <w:tr2bl w:val="nil"/>
            </w:tcBorders>
            <w:vAlign w:val="top"/>
          </w:tcPr>
          <w:p w14:paraId="77D4E23A">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val="en-US" w:eastAsia="en-US"/>
              </w:rPr>
            </w:pPr>
            <w:r>
              <w:rPr>
                <w:rFonts w:hint="default" w:ascii="Times New Roman" w:hAnsi="Times New Roman" w:eastAsia="宋体" w:cs="Times New Roman"/>
                <w:spacing w:val="-1"/>
                <w:sz w:val="21"/>
                <w:szCs w:val="21"/>
                <w:highlight w:val="none"/>
                <w:lang w:val="en-US" w:eastAsia="en-US"/>
              </w:rPr>
              <w:t>过滤</w:t>
            </w:r>
          </w:p>
        </w:tc>
        <w:tc>
          <w:tcPr>
            <w:tcW w:w="1386" w:type="dxa"/>
            <w:tcBorders>
              <w:tl2br w:val="nil"/>
              <w:tr2bl w:val="nil"/>
            </w:tcBorders>
            <w:vAlign w:val="top"/>
          </w:tcPr>
          <w:p w14:paraId="6E76921E">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val="en-US" w:eastAsia="en-US"/>
              </w:rPr>
            </w:pPr>
            <w:r>
              <w:rPr>
                <w:rFonts w:hint="default" w:ascii="Times New Roman" w:hAnsi="Times New Roman" w:eastAsia="宋体" w:cs="Times New Roman"/>
                <w:spacing w:val="-1"/>
                <w:sz w:val="21"/>
                <w:szCs w:val="21"/>
                <w:highlight w:val="none"/>
                <w:lang w:val="en-US" w:eastAsia="en-US"/>
              </w:rPr>
              <w:t>综合</w:t>
            </w:r>
          </w:p>
        </w:tc>
        <w:tc>
          <w:tcPr>
            <w:tcW w:w="2018" w:type="dxa"/>
            <w:vMerge w:val="continue"/>
            <w:tcBorders>
              <w:tl2br w:val="nil"/>
              <w:tr2bl w:val="nil"/>
            </w:tcBorders>
            <w:vAlign w:val="top"/>
          </w:tcPr>
          <w:p w14:paraId="19FF1FA6">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p>
        </w:tc>
      </w:tr>
      <w:tr w14:paraId="3AE38F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989" w:type="dxa"/>
            <w:tcBorders>
              <w:tl2br w:val="nil"/>
              <w:tr2bl w:val="nil"/>
            </w:tcBorders>
            <w:vAlign w:val="top"/>
          </w:tcPr>
          <w:p w14:paraId="13B32F11">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1</w:t>
            </w:r>
          </w:p>
        </w:tc>
        <w:tc>
          <w:tcPr>
            <w:tcW w:w="1605" w:type="dxa"/>
            <w:tcBorders>
              <w:tl2br w:val="nil"/>
              <w:tr2bl w:val="nil"/>
            </w:tcBorders>
            <w:vAlign w:val="top"/>
          </w:tcPr>
          <w:p w14:paraId="3CE20EF3">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SS</w:t>
            </w:r>
          </w:p>
        </w:tc>
        <w:tc>
          <w:tcPr>
            <w:tcW w:w="1605" w:type="dxa"/>
            <w:tcBorders>
              <w:tl2br w:val="nil"/>
              <w:tr2bl w:val="nil"/>
            </w:tcBorders>
            <w:vAlign w:val="top"/>
          </w:tcPr>
          <w:p w14:paraId="791EC249">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40~60</w:t>
            </w:r>
          </w:p>
        </w:tc>
        <w:tc>
          <w:tcPr>
            <w:tcW w:w="1254" w:type="dxa"/>
            <w:tcBorders>
              <w:tl2br w:val="nil"/>
              <w:tr2bl w:val="nil"/>
            </w:tcBorders>
            <w:vAlign w:val="top"/>
          </w:tcPr>
          <w:p w14:paraId="6C7AA186">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40~60</w:t>
            </w:r>
          </w:p>
        </w:tc>
        <w:tc>
          <w:tcPr>
            <w:tcW w:w="1386" w:type="dxa"/>
            <w:tcBorders>
              <w:tl2br w:val="nil"/>
              <w:tr2bl w:val="nil"/>
            </w:tcBorders>
            <w:vAlign w:val="top"/>
          </w:tcPr>
          <w:p w14:paraId="39F1A751">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70~80</w:t>
            </w:r>
          </w:p>
        </w:tc>
        <w:tc>
          <w:tcPr>
            <w:tcW w:w="2018" w:type="dxa"/>
            <w:tcBorders>
              <w:tl2br w:val="nil"/>
              <w:tr2bl w:val="nil"/>
            </w:tcBorders>
            <w:vAlign w:val="top"/>
          </w:tcPr>
          <w:p w14:paraId="07E7C3B7">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5~10</w:t>
            </w:r>
          </w:p>
        </w:tc>
      </w:tr>
      <w:tr w14:paraId="082D0A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989" w:type="dxa"/>
            <w:tcBorders>
              <w:tl2br w:val="nil"/>
              <w:tr2bl w:val="nil"/>
            </w:tcBorders>
            <w:vAlign w:val="top"/>
          </w:tcPr>
          <w:p w14:paraId="7B89064B">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2</w:t>
            </w:r>
          </w:p>
        </w:tc>
        <w:tc>
          <w:tcPr>
            <w:tcW w:w="1605" w:type="dxa"/>
            <w:tcBorders>
              <w:tl2br w:val="nil"/>
              <w:tr2bl w:val="nil"/>
            </w:tcBorders>
            <w:vAlign w:val="top"/>
          </w:tcPr>
          <w:p w14:paraId="6B4AB723">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BOD5</w:t>
            </w:r>
          </w:p>
        </w:tc>
        <w:tc>
          <w:tcPr>
            <w:tcW w:w="1605" w:type="dxa"/>
            <w:tcBorders>
              <w:tl2br w:val="nil"/>
              <w:tr2bl w:val="nil"/>
            </w:tcBorders>
            <w:vAlign w:val="top"/>
          </w:tcPr>
          <w:p w14:paraId="5911FA5D">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30~50</w:t>
            </w:r>
          </w:p>
        </w:tc>
        <w:tc>
          <w:tcPr>
            <w:tcW w:w="1254" w:type="dxa"/>
            <w:tcBorders>
              <w:tl2br w:val="nil"/>
              <w:tr2bl w:val="nil"/>
            </w:tcBorders>
            <w:vAlign w:val="top"/>
          </w:tcPr>
          <w:p w14:paraId="5DD46787">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25~50</w:t>
            </w:r>
          </w:p>
        </w:tc>
        <w:tc>
          <w:tcPr>
            <w:tcW w:w="1386" w:type="dxa"/>
            <w:tcBorders>
              <w:tl2br w:val="nil"/>
              <w:tr2bl w:val="nil"/>
            </w:tcBorders>
            <w:vAlign w:val="top"/>
          </w:tcPr>
          <w:p w14:paraId="1A307AB2">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60~70</w:t>
            </w:r>
          </w:p>
        </w:tc>
        <w:tc>
          <w:tcPr>
            <w:tcW w:w="2018" w:type="dxa"/>
            <w:tcBorders>
              <w:tl2br w:val="nil"/>
              <w:tr2bl w:val="nil"/>
            </w:tcBorders>
            <w:vAlign w:val="top"/>
          </w:tcPr>
          <w:p w14:paraId="71B6FA36">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5~10</w:t>
            </w:r>
          </w:p>
        </w:tc>
      </w:tr>
      <w:tr w14:paraId="59D6E9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989" w:type="dxa"/>
            <w:tcBorders>
              <w:tl2br w:val="nil"/>
              <w:tr2bl w:val="nil"/>
            </w:tcBorders>
            <w:vAlign w:val="top"/>
          </w:tcPr>
          <w:p w14:paraId="281C2D14">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3</w:t>
            </w:r>
          </w:p>
        </w:tc>
        <w:tc>
          <w:tcPr>
            <w:tcW w:w="1605" w:type="dxa"/>
            <w:tcBorders>
              <w:tl2br w:val="nil"/>
              <w:tr2bl w:val="nil"/>
            </w:tcBorders>
            <w:vAlign w:val="top"/>
          </w:tcPr>
          <w:p w14:paraId="63E8F390">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CODCr</w:t>
            </w:r>
          </w:p>
        </w:tc>
        <w:tc>
          <w:tcPr>
            <w:tcW w:w="1605" w:type="dxa"/>
            <w:tcBorders>
              <w:tl2br w:val="nil"/>
              <w:tr2bl w:val="nil"/>
            </w:tcBorders>
            <w:vAlign w:val="top"/>
          </w:tcPr>
          <w:p w14:paraId="1C38ABC2">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25~35</w:t>
            </w:r>
          </w:p>
        </w:tc>
        <w:tc>
          <w:tcPr>
            <w:tcW w:w="1254" w:type="dxa"/>
            <w:tcBorders>
              <w:tl2br w:val="nil"/>
              <w:tr2bl w:val="nil"/>
            </w:tcBorders>
            <w:vAlign w:val="top"/>
          </w:tcPr>
          <w:p w14:paraId="04A1C0BE">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15~25</w:t>
            </w:r>
          </w:p>
        </w:tc>
        <w:tc>
          <w:tcPr>
            <w:tcW w:w="1386" w:type="dxa"/>
            <w:tcBorders>
              <w:tl2br w:val="nil"/>
              <w:tr2bl w:val="nil"/>
            </w:tcBorders>
            <w:vAlign w:val="top"/>
          </w:tcPr>
          <w:p w14:paraId="1EB2223F">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35~45</w:t>
            </w:r>
          </w:p>
        </w:tc>
        <w:tc>
          <w:tcPr>
            <w:tcW w:w="2018" w:type="dxa"/>
            <w:tcBorders>
              <w:tl2br w:val="nil"/>
              <w:tr2bl w:val="nil"/>
            </w:tcBorders>
            <w:vAlign w:val="top"/>
          </w:tcPr>
          <w:p w14:paraId="509DA1F6">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40~50</w:t>
            </w:r>
          </w:p>
        </w:tc>
      </w:tr>
      <w:tr w14:paraId="55E4A2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989" w:type="dxa"/>
            <w:tcBorders>
              <w:tl2br w:val="nil"/>
              <w:tr2bl w:val="nil"/>
            </w:tcBorders>
            <w:vAlign w:val="top"/>
          </w:tcPr>
          <w:p w14:paraId="09337822">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4</w:t>
            </w:r>
          </w:p>
        </w:tc>
        <w:tc>
          <w:tcPr>
            <w:tcW w:w="1605" w:type="dxa"/>
            <w:tcBorders>
              <w:tl2br w:val="nil"/>
              <w:tr2bl w:val="nil"/>
            </w:tcBorders>
            <w:vAlign w:val="top"/>
          </w:tcPr>
          <w:p w14:paraId="083446D4">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val="en-US" w:eastAsia="en-US"/>
              </w:rPr>
            </w:pPr>
            <w:r>
              <w:rPr>
                <w:rFonts w:hint="default" w:ascii="Times New Roman" w:hAnsi="Times New Roman" w:eastAsia="宋体" w:cs="Times New Roman"/>
                <w:spacing w:val="-1"/>
                <w:sz w:val="21"/>
                <w:szCs w:val="21"/>
                <w:highlight w:val="none"/>
                <w:lang w:val="en-US" w:eastAsia="en-US"/>
              </w:rPr>
              <w:t>总氮</w:t>
            </w:r>
          </w:p>
        </w:tc>
        <w:tc>
          <w:tcPr>
            <w:tcW w:w="1605" w:type="dxa"/>
            <w:tcBorders>
              <w:tl2br w:val="nil"/>
              <w:tr2bl w:val="nil"/>
            </w:tcBorders>
            <w:vAlign w:val="top"/>
          </w:tcPr>
          <w:p w14:paraId="5AE78635">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5~15</w:t>
            </w:r>
          </w:p>
        </w:tc>
        <w:tc>
          <w:tcPr>
            <w:tcW w:w="1254" w:type="dxa"/>
            <w:tcBorders>
              <w:tl2br w:val="nil"/>
              <w:tr2bl w:val="nil"/>
            </w:tcBorders>
            <w:vAlign w:val="top"/>
          </w:tcPr>
          <w:p w14:paraId="24E9A349">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5~15</w:t>
            </w:r>
          </w:p>
        </w:tc>
        <w:tc>
          <w:tcPr>
            <w:tcW w:w="1386" w:type="dxa"/>
            <w:tcBorders>
              <w:tl2br w:val="nil"/>
              <w:tr2bl w:val="nil"/>
            </w:tcBorders>
            <w:vAlign w:val="top"/>
          </w:tcPr>
          <w:p w14:paraId="2D39279B">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10~20</w:t>
            </w:r>
          </w:p>
        </w:tc>
        <w:tc>
          <w:tcPr>
            <w:tcW w:w="2018" w:type="dxa"/>
            <w:tcBorders>
              <w:tl2br w:val="nil"/>
              <w:tr2bl w:val="nil"/>
            </w:tcBorders>
            <w:vAlign w:val="top"/>
          </w:tcPr>
          <w:p w14:paraId="39F5956B">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15</w:t>
            </w:r>
          </w:p>
        </w:tc>
      </w:tr>
      <w:tr w14:paraId="51741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989" w:type="dxa"/>
            <w:tcBorders>
              <w:tl2br w:val="nil"/>
              <w:tr2bl w:val="nil"/>
            </w:tcBorders>
            <w:vAlign w:val="top"/>
          </w:tcPr>
          <w:p w14:paraId="792F72A2">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5</w:t>
            </w:r>
          </w:p>
        </w:tc>
        <w:tc>
          <w:tcPr>
            <w:tcW w:w="1605" w:type="dxa"/>
            <w:tcBorders>
              <w:tl2br w:val="nil"/>
              <w:tr2bl w:val="nil"/>
            </w:tcBorders>
            <w:vAlign w:val="top"/>
          </w:tcPr>
          <w:p w14:paraId="737505B7">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val="en-US" w:eastAsia="en-US"/>
              </w:rPr>
            </w:pPr>
            <w:r>
              <w:rPr>
                <w:rFonts w:hint="default" w:ascii="Times New Roman" w:hAnsi="Times New Roman" w:eastAsia="宋体" w:cs="Times New Roman"/>
                <w:spacing w:val="-1"/>
                <w:sz w:val="21"/>
                <w:szCs w:val="21"/>
                <w:highlight w:val="none"/>
                <w:lang w:val="en-US" w:eastAsia="en-US"/>
              </w:rPr>
              <w:t>总磷</w:t>
            </w:r>
          </w:p>
        </w:tc>
        <w:tc>
          <w:tcPr>
            <w:tcW w:w="1605" w:type="dxa"/>
            <w:tcBorders>
              <w:tl2br w:val="nil"/>
              <w:tr2bl w:val="nil"/>
            </w:tcBorders>
            <w:vAlign w:val="top"/>
          </w:tcPr>
          <w:p w14:paraId="19DA9576">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40~60</w:t>
            </w:r>
          </w:p>
        </w:tc>
        <w:tc>
          <w:tcPr>
            <w:tcW w:w="1254" w:type="dxa"/>
            <w:tcBorders>
              <w:tl2br w:val="nil"/>
              <w:tr2bl w:val="nil"/>
            </w:tcBorders>
            <w:vAlign w:val="top"/>
          </w:tcPr>
          <w:p w14:paraId="593F8A1C">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30~40</w:t>
            </w:r>
          </w:p>
        </w:tc>
        <w:tc>
          <w:tcPr>
            <w:tcW w:w="1386" w:type="dxa"/>
            <w:tcBorders>
              <w:tl2br w:val="nil"/>
              <w:tr2bl w:val="nil"/>
            </w:tcBorders>
            <w:vAlign w:val="top"/>
          </w:tcPr>
          <w:p w14:paraId="60036A40">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60~80</w:t>
            </w:r>
          </w:p>
        </w:tc>
        <w:tc>
          <w:tcPr>
            <w:tcW w:w="2018" w:type="dxa"/>
            <w:tcBorders>
              <w:tl2br w:val="nil"/>
              <w:tr2bl w:val="nil"/>
            </w:tcBorders>
            <w:vAlign w:val="top"/>
          </w:tcPr>
          <w:p w14:paraId="4727A606">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0.5</w:t>
            </w:r>
          </w:p>
        </w:tc>
      </w:tr>
    </w:tbl>
    <w:p w14:paraId="45F0C2CA">
      <w:pPr>
        <w:pStyle w:val="189"/>
        <w:numPr>
          <w:ilvl w:val="0"/>
          <w:numId w:val="0"/>
        </w:numPr>
        <w:ind w:left="420" w:left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（2）深度处理工艺选择</w:t>
      </w:r>
    </w:p>
    <w:p w14:paraId="11774121">
      <w:pPr>
        <w:pStyle w:val="31"/>
        <w:spacing w:before="78" w:line="359" w:lineRule="auto"/>
        <w:ind w:left="228" w:right="131" w:firstLine="478"/>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本项目 NH</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-N 、BOD</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 、COD在二级生物处理阶段完成较好，可不作为深度处理的重点内容。本工程深度处理的目的主要是去除仍然较高的TP及进一步降低SS值，确保出水达标。污水厂出水悬浮物浓度不仅涉及到出水SS指标，BOD</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、COD 等指标也与之有关。这是因为组成出水悬浮物的主体是活性污泥絮体， 其本身的有机成分就很高，较高的出水悬浮物含量会使得出水的 BOD</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 、COD、氮、磷均增加。因此，降低SS值不只是单纯地使 SS 值指标合格，同时会更进一步去掉 BOD</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、COD 及其他污染指标。因此本次深度处理工程把 SS  的去除作为重点目标之一。国内外污水回用深度处理实践,污水深度处理常用工艺有以下4种：絮凝+沉淀+过滤、气浮+过滤、直接过滤、膜过滤。</w:t>
      </w:r>
    </w:p>
    <w:p w14:paraId="5AB2A1D6">
      <w:pPr>
        <w:pStyle w:val="31"/>
        <w:spacing w:before="78" w:line="359" w:lineRule="auto"/>
        <w:ind w:left="228" w:right="131" w:firstLine="478"/>
        <w:rPr>
          <w:rFonts w:hint="default" w:ascii="Times New Roman" w:hAnsi="Times New Roman" w:cs="Times New Roman"/>
          <w:highlight w:val="none"/>
        </w:rPr>
      </w:pPr>
      <w:r>
        <w:rPr>
          <w:rFonts w:hint="default" w:ascii="Times New Roman" w:hAnsi="Times New Roman" w:cs="Times New Roman"/>
          <w:spacing w:val="-1"/>
          <w:highlight w:val="none"/>
        </w:rPr>
        <w:t>上述工艺中，膜过滤工艺出水水质好，但运行成本很高，适宜于小水量处理且对</w:t>
      </w:r>
      <w:r>
        <w:rPr>
          <w:rFonts w:hint="default" w:ascii="Times New Roman" w:hAnsi="Times New Roman" w:cs="Times New Roman"/>
          <w:spacing w:val="-2"/>
          <w:highlight w:val="none"/>
        </w:rPr>
        <w:t>水质要求很高的情况，因此不宜在本工程中采</w:t>
      </w:r>
      <w:r>
        <w:rPr>
          <w:rFonts w:hint="default" w:ascii="Times New Roman" w:hAnsi="Times New Roman" w:cs="Times New Roman"/>
          <w:spacing w:val="-3"/>
          <w:highlight w:val="none"/>
        </w:rPr>
        <w:t>用。</w:t>
      </w:r>
    </w:p>
    <w:p w14:paraId="4D765C52">
      <w:pPr>
        <w:pStyle w:val="31"/>
        <w:spacing w:before="4" w:line="357" w:lineRule="auto"/>
        <w:ind w:left="224" w:right="44" w:firstLine="484"/>
        <w:jc w:val="both"/>
        <w:rPr>
          <w:rFonts w:hint="default" w:ascii="Times New Roman" w:hAnsi="Times New Roman" w:cs="Times New Roman"/>
          <w:highlight w:val="none"/>
        </w:rPr>
      </w:pPr>
      <w:r>
        <w:rPr>
          <w:rFonts w:hint="default" w:ascii="Times New Roman" w:hAnsi="Times New Roman" w:cs="Times New Roman"/>
          <w:spacing w:val="-1"/>
          <w:highlight w:val="none"/>
        </w:rPr>
        <w:t>前三种工艺较稳妥，运行稳定，出水水质保证率高。我国国内一些污水回用工程</w:t>
      </w:r>
      <w:r>
        <w:rPr>
          <w:rFonts w:hint="default" w:ascii="Times New Roman" w:hAnsi="Times New Roman" w:cs="Times New Roman"/>
          <w:spacing w:val="-5"/>
          <w:highlight w:val="none"/>
        </w:rPr>
        <w:t>均采用这些工艺的不同组合形式。在前三种单元技术组合中</w:t>
      </w:r>
      <w:r>
        <w:rPr>
          <w:rFonts w:hint="default" w:ascii="Times New Roman" w:hAnsi="Times New Roman" w:cs="Times New Roman"/>
          <w:spacing w:val="-6"/>
          <w:highlight w:val="none"/>
        </w:rPr>
        <w:t>，</w:t>
      </w:r>
      <w:r>
        <w:rPr>
          <w:rFonts w:hint="default" w:ascii="Times New Roman" w:hAnsi="Times New Roman" w:cs="Times New Roman"/>
          <w:spacing w:val="61"/>
          <w:highlight w:val="none"/>
        </w:rPr>
        <w:t xml:space="preserve"> </w:t>
      </w:r>
      <w:r>
        <w:rPr>
          <w:rFonts w:hint="default" w:ascii="Times New Roman" w:hAnsi="Times New Roman" w:cs="Times New Roman"/>
          <w:spacing w:val="-6"/>
          <w:highlight w:val="none"/>
        </w:rPr>
        <w:t>过滤起保障出水水质的</w:t>
      </w:r>
      <w:r>
        <w:rPr>
          <w:rFonts w:hint="default" w:ascii="Times New Roman" w:hAnsi="Times New Roman" w:cs="Times New Roman"/>
          <w:spacing w:val="-4"/>
          <w:highlight w:val="none"/>
        </w:rPr>
        <w:t>作用，一般情况下是必需的。本工程出水中主要控制污染物（如</w:t>
      </w:r>
      <w:r>
        <w:rPr>
          <w:rFonts w:hint="default" w:ascii="Times New Roman" w:hAnsi="Times New Roman" w:cs="Times New Roman"/>
          <w:spacing w:val="-29"/>
          <w:highlight w:val="none"/>
        </w:rPr>
        <w:t xml:space="preserve"> </w:t>
      </w:r>
      <w:r>
        <w:rPr>
          <w:rFonts w:hint="default" w:ascii="Times New Roman" w:hAnsi="Times New Roman" w:eastAsia="Times New Roman" w:cs="Times New Roman"/>
          <w:spacing w:val="-4"/>
          <w:highlight w:val="none"/>
        </w:rPr>
        <w:t>TN</w:t>
      </w:r>
      <w:r>
        <w:rPr>
          <w:rFonts w:hint="default" w:ascii="Times New Roman" w:hAnsi="Times New Roman" w:cs="Times New Roman"/>
          <w:spacing w:val="-4"/>
          <w:highlight w:val="none"/>
        </w:rPr>
        <w:t>、</w:t>
      </w:r>
      <w:r>
        <w:rPr>
          <w:rFonts w:hint="default" w:ascii="Times New Roman" w:hAnsi="Times New Roman" w:eastAsia="Times New Roman" w:cs="Times New Roman"/>
          <w:spacing w:val="-4"/>
          <w:highlight w:val="none"/>
        </w:rPr>
        <w:t>NH</w:t>
      </w:r>
      <w:r>
        <w:rPr>
          <w:rFonts w:hint="default" w:ascii="Times New Roman" w:hAnsi="Times New Roman" w:eastAsia="Times New Roman" w:cs="Times New Roman"/>
          <w:spacing w:val="-4"/>
          <w:position w:val="-3"/>
          <w:sz w:val="16"/>
          <w:szCs w:val="16"/>
          <w:highlight w:val="none"/>
        </w:rPr>
        <w:t>3</w:t>
      </w:r>
      <w:r>
        <w:rPr>
          <w:rFonts w:hint="default" w:ascii="Times New Roman" w:hAnsi="Times New Roman" w:eastAsia="Times New Roman" w:cs="Times New Roman"/>
          <w:spacing w:val="-4"/>
          <w:highlight w:val="none"/>
        </w:rPr>
        <w:t>-N</w:t>
      </w:r>
      <w:r>
        <w:rPr>
          <w:rFonts w:hint="default" w:ascii="Times New Roman" w:hAnsi="Times New Roman" w:cs="Times New Roman"/>
          <w:spacing w:val="-4"/>
          <w:highlight w:val="none"/>
        </w:rPr>
        <w:t>、</w:t>
      </w:r>
      <w:r>
        <w:rPr>
          <w:rFonts w:hint="default" w:ascii="Times New Roman" w:hAnsi="Times New Roman" w:eastAsia="Times New Roman" w:cs="Times New Roman"/>
          <w:spacing w:val="-4"/>
          <w:highlight w:val="none"/>
        </w:rPr>
        <w:t>BOD</w:t>
      </w:r>
      <w:r>
        <w:rPr>
          <w:rFonts w:hint="default" w:ascii="Times New Roman" w:hAnsi="Times New Roman" w:eastAsia="Times New Roman" w:cs="Times New Roman"/>
          <w:spacing w:val="-4"/>
          <w:position w:val="-3"/>
          <w:sz w:val="16"/>
          <w:szCs w:val="16"/>
          <w:highlight w:val="none"/>
        </w:rPr>
        <w:t>5</w:t>
      </w:r>
      <w:r>
        <w:rPr>
          <w:rFonts w:hint="default" w:ascii="Times New Roman" w:hAnsi="Times New Roman" w:cs="Times New Roman"/>
          <w:spacing w:val="-4"/>
          <w:highlight w:val="none"/>
        </w:rPr>
        <w:t>、</w:t>
      </w:r>
      <w:r>
        <w:rPr>
          <w:rFonts w:hint="default" w:ascii="Times New Roman" w:hAnsi="Times New Roman" w:cs="Times New Roman"/>
          <w:highlight w:val="none"/>
        </w:rPr>
        <w:t xml:space="preserve"> </w:t>
      </w:r>
      <w:r>
        <w:rPr>
          <w:rFonts w:hint="default" w:ascii="Times New Roman" w:hAnsi="Times New Roman" w:eastAsia="Times New Roman" w:cs="Times New Roman"/>
          <w:spacing w:val="-2"/>
          <w:highlight w:val="none"/>
        </w:rPr>
        <w:t>COD</w:t>
      </w:r>
      <w:r>
        <w:rPr>
          <w:rFonts w:hint="default" w:ascii="Times New Roman" w:hAnsi="Times New Roman" w:cs="Times New Roman"/>
          <w:spacing w:val="-2"/>
          <w:highlight w:val="none"/>
        </w:rPr>
        <w:t xml:space="preserve">）在二级生物处理阶段完成较好，主要目标是去除 </w:t>
      </w:r>
      <w:r>
        <w:rPr>
          <w:rFonts w:hint="default" w:ascii="Times New Roman" w:hAnsi="Times New Roman" w:eastAsia="Times New Roman" w:cs="Times New Roman"/>
          <w:spacing w:val="-2"/>
          <w:highlight w:val="none"/>
        </w:rPr>
        <w:t xml:space="preserve">SS  </w:t>
      </w:r>
      <w:r>
        <w:rPr>
          <w:rFonts w:hint="default" w:ascii="Times New Roman" w:hAnsi="Times New Roman" w:cs="Times New Roman"/>
          <w:spacing w:val="-2"/>
          <w:highlight w:val="none"/>
        </w:rPr>
        <w:t xml:space="preserve">和 </w:t>
      </w:r>
      <w:r>
        <w:rPr>
          <w:rFonts w:hint="default" w:ascii="Times New Roman" w:hAnsi="Times New Roman" w:eastAsia="Times New Roman" w:cs="Times New Roman"/>
          <w:spacing w:val="-2"/>
          <w:highlight w:val="none"/>
        </w:rPr>
        <w:t>TP</w:t>
      </w:r>
      <w:r>
        <w:rPr>
          <w:rFonts w:hint="default" w:ascii="Times New Roman" w:hAnsi="Times New Roman" w:cs="Times New Roman"/>
          <w:spacing w:val="-2"/>
          <w:highlight w:val="none"/>
        </w:rPr>
        <w:t>。推荐采用混凝</w:t>
      </w:r>
      <w:r>
        <w:rPr>
          <w:rFonts w:hint="default" w:ascii="Times New Roman" w:hAnsi="Times New Roman" w:eastAsia="Times New Roman" w:cs="Times New Roman"/>
          <w:spacing w:val="-2"/>
          <w:highlight w:val="none"/>
        </w:rPr>
        <w:t>-</w:t>
      </w:r>
      <w:r>
        <w:rPr>
          <w:rFonts w:hint="default" w:ascii="Times New Roman" w:hAnsi="Times New Roman" w:cs="Times New Roman"/>
          <w:spacing w:val="-2"/>
          <w:highlight w:val="none"/>
        </w:rPr>
        <w:t>沉</w:t>
      </w:r>
      <w:r>
        <w:rPr>
          <w:rFonts w:hint="default" w:ascii="Times New Roman" w:hAnsi="Times New Roman" w:cs="Times New Roman"/>
          <w:spacing w:val="-3"/>
          <w:highlight w:val="none"/>
        </w:rPr>
        <w:t>淀</w:t>
      </w:r>
      <w:r>
        <w:rPr>
          <w:rFonts w:hint="default" w:ascii="Times New Roman" w:hAnsi="Times New Roman" w:eastAsia="Times New Roman" w:cs="Times New Roman"/>
          <w:spacing w:val="-3"/>
          <w:highlight w:val="none"/>
        </w:rPr>
        <w:t>-</w:t>
      </w:r>
      <w:r>
        <w:rPr>
          <w:rFonts w:hint="default" w:ascii="Times New Roman" w:hAnsi="Times New Roman" w:cs="Times New Roman"/>
          <w:spacing w:val="-3"/>
          <w:highlight w:val="none"/>
        </w:rPr>
        <w:t>过滤作为本工程的深度处理工艺。</w:t>
      </w:r>
    </w:p>
    <w:p w14:paraId="6C48ECB0">
      <w:pPr>
        <w:pStyle w:val="381"/>
        <w:numPr>
          <w:ilvl w:val="3"/>
          <w:numId w:val="0"/>
        </w:numP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3.3.6.4 混凝工艺选择</w:t>
      </w:r>
    </w:p>
    <w:p w14:paraId="73DF3A73">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絮凝设备是紧接混合设备后，完成混凝过程的最终设备。和混合结合非常紧密。絮凝分为水力和机械搅拌两类。具体常用的絮凝设备有：隔板絮凝池、网格絮凝池、折板絮凝池及机械絮凝池，其中除机械絮凝池，其余均属水力絮凝池。</w:t>
      </w:r>
    </w:p>
    <w:p w14:paraId="073148CC">
      <w:pPr>
        <w:pStyle w:val="189"/>
        <w:numPr>
          <w:ilvl w:val="0"/>
          <w:numId w:val="14"/>
        </w:numPr>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隔板絮凝池有多种型式，如水平往复式，垂直往复式，水平回转式、网格式等。主要优点是设备相对简单， 短流相对少，絮凝效果好。主要缺点是随着流量降低，絮凝效果相对有所降低；多数型式</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G</w:t>
      </w:r>
      <w:r>
        <w:rPr>
          <w:rFonts w:hint="default" w:ascii="Times New Roman" w:hAnsi="Times New Roman" w:cs="Times New Roman"/>
          <w:color w:val="000000" w:themeColor="text1"/>
          <w:highlight w:val="none"/>
          <w:u w:val="none" w:color="auto"/>
          <w14:textFill>
            <w14:solidFill>
              <w14:schemeClr w14:val="tx1"/>
            </w14:solidFill>
          </w14:textFill>
        </w:rPr>
        <w:t>值在絮凝过程中分布相对不均匀。</w:t>
      </w:r>
    </w:p>
    <w:p w14:paraId="5302CD59">
      <w:pPr>
        <w:pStyle w:val="189"/>
        <w:numPr>
          <w:ilvl w:val="0"/>
          <w:numId w:val="14"/>
        </w:numPr>
        <w:ind w:left="0" w:leftChars="0" w:firstLine="420" w:firstLineChars="0"/>
        <w:rPr>
          <w:rFonts w:hint="default" w:ascii="Times New Roman" w:hAnsi="Times New Roman" w:cs="Times New Roman"/>
          <w:highlight w:val="none"/>
        </w:rPr>
      </w:pPr>
      <w:r>
        <w:rPr>
          <w:rFonts w:hint="default" w:ascii="Times New Roman" w:hAnsi="Times New Roman" w:cs="Times New Roman"/>
          <w:color w:val="000000" w:themeColor="text1"/>
          <w:highlight w:val="none"/>
          <w:u w:val="none" w:color="auto"/>
          <w14:textFill>
            <w14:solidFill>
              <w14:schemeClr w14:val="tx1"/>
            </w14:solidFill>
          </w14:textFill>
        </w:rPr>
        <w:t>网格絮凝池是应用紊流理论的絮凝池，是隔板絮凝池的一种。由于池高适当，可与斜板沉淀池或斜管沉淀池合建。网格絮凝池的平面布置由多格竖井串联而成。絮凝池分成许多方格，进水水流顺序从一格流向下一格，上下交错流动，直至出口。一般在全池三分之二的分格内，水平放置网格。通过网格的空隙时，水流收缩，过网孔后水流扩大，形成良好絮凝条件。</w:t>
      </w:r>
    </w:p>
    <w:p w14:paraId="174A67A8">
      <w:pPr>
        <w:pStyle w:val="189"/>
        <w:numPr>
          <w:ilvl w:val="0"/>
          <w:numId w:val="14"/>
        </w:numPr>
        <w:ind w:left="0" w:leftChars="0" w:firstLine="420" w:firstLineChars="0"/>
        <w:rPr>
          <w:rFonts w:hint="default" w:ascii="Times New Roman" w:hAnsi="Times New Roman" w:cs="Times New Roman"/>
          <w:highlight w:val="none"/>
        </w:rPr>
      </w:pPr>
      <w:r>
        <w:rPr>
          <w:rFonts w:hint="default" w:ascii="Times New Roman" w:hAnsi="Times New Roman" w:cs="Times New Roman"/>
          <w:color w:val="000000" w:themeColor="text1"/>
          <w:highlight w:val="none"/>
          <w:u w:val="none" w:color="auto"/>
          <w14:textFill>
            <w14:solidFill>
              <w14:schemeClr w14:val="tx1"/>
            </w14:solidFill>
          </w14:textFill>
        </w:rPr>
        <w:t>折板絮凝池是利用在池中加设一些扰动单元以达到絮凝所要求的紊流状态，</w:t>
      </w:r>
      <w:r>
        <w:rPr>
          <w:rFonts w:hint="default" w:ascii="Times New Roman" w:hAnsi="Times New Roman" w:cs="Times New Roman"/>
          <w:spacing w:val="-1"/>
          <w:highlight w:val="none"/>
        </w:rPr>
        <w:t>使能量损失得到充分利用，停留时间缩短。与隔板絮凝池相比，水流条件改善，在总的水流能量消耗中，有效能量消耗比例提高，所需絮凝时间缩短，池子体积减小。主</w:t>
      </w:r>
      <w:r>
        <w:rPr>
          <w:rFonts w:hint="default" w:ascii="Times New Roman" w:hAnsi="Times New Roman" w:cs="Times New Roman"/>
          <w:spacing w:val="-5"/>
          <w:highlight w:val="none"/>
        </w:rPr>
        <w:t>要缺点是对水量水质变化适应能力较差。折板絮</w:t>
      </w:r>
      <w:r>
        <w:rPr>
          <w:rFonts w:hint="default" w:ascii="Times New Roman" w:hAnsi="Times New Roman" w:cs="Times New Roman"/>
          <w:spacing w:val="-6"/>
          <w:highlight w:val="none"/>
        </w:rPr>
        <w:t>凝具有多种形式，</w:t>
      </w:r>
      <w:r>
        <w:rPr>
          <w:rFonts w:hint="default" w:ascii="Times New Roman" w:hAnsi="Times New Roman" w:cs="Times New Roman"/>
          <w:spacing w:val="66"/>
          <w:highlight w:val="none"/>
        </w:rPr>
        <w:t xml:space="preserve"> </w:t>
      </w:r>
      <w:r>
        <w:rPr>
          <w:rFonts w:hint="default" w:ascii="Times New Roman" w:hAnsi="Times New Roman" w:cs="Times New Roman"/>
          <w:spacing w:val="-6"/>
          <w:highlight w:val="none"/>
        </w:rPr>
        <w:t>常用的有多通道和</w:t>
      </w:r>
      <w:r>
        <w:rPr>
          <w:rFonts w:hint="default" w:ascii="Times New Roman" w:hAnsi="Times New Roman" w:cs="Times New Roman"/>
          <w:spacing w:val="-2"/>
          <w:highlight w:val="none"/>
        </w:rPr>
        <w:t>单通道的平折板、波纹板等。折板絮凝池可布置成竖流或平流式。</w:t>
      </w:r>
    </w:p>
    <w:p w14:paraId="75443F4B">
      <w:pPr>
        <w:pStyle w:val="189"/>
        <w:numPr>
          <w:ilvl w:val="0"/>
          <w:numId w:val="14"/>
        </w:numPr>
        <w:ind w:left="0" w:leftChars="0" w:firstLine="420" w:firstLineChars="0"/>
        <w:rPr>
          <w:rFonts w:hint="default" w:ascii="Times New Roman" w:hAnsi="Times New Roman" w:cs="Times New Roman"/>
          <w:highlight w:val="none"/>
        </w:rPr>
      </w:pPr>
      <w:r>
        <w:rPr>
          <w:rFonts w:hint="default" w:ascii="Times New Roman" w:hAnsi="Times New Roman" w:cs="Times New Roman"/>
          <w:spacing w:val="3"/>
          <w:highlight w:val="none"/>
        </w:rPr>
        <w:t>机械絮凝池主要优点为水量降低时，絮凝效果不降低并稍有提高</w:t>
      </w:r>
      <w:r>
        <w:rPr>
          <w:rFonts w:hint="default" w:ascii="Times New Roman" w:hAnsi="Times New Roman" w:cs="Times New Roman"/>
          <w:spacing w:val="2"/>
          <w:highlight w:val="none"/>
        </w:rPr>
        <w:t>，根据温度</w:t>
      </w:r>
      <w:r>
        <w:rPr>
          <w:rFonts w:hint="default" w:ascii="Times New Roman" w:hAnsi="Times New Roman" w:cs="Times New Roman"/>
          <w:spacing w:val="-6"/>
          <w:highlight w:val="none"/>
        </w:rPr>
        <w:t>等条件变化</w:t>
      </w:r>
      <w:r>
        <w:rPr>
          <w:rFonts w:hint="default" w:ascii="Times New Roman" w:hAnsi="Times New Roman" w:cs="Times New Roman"/>
          <w:spacing w:val="-51"/>
          <w:highlight w:val="none"/>
        </w:rPr>
        <w:t xml:space="preserve"> </w:t>
      </w:r>
      <w:r>
        <w:rPr>
          <w:rFonts w:hint="default" w:ascii="Times New Roman" w:hAnsi="Times New Roman" w:eastAsia="Times New Roman" w:cs="Times New Roman"/>
          <w:spacing w:val="-6"/>
          <w:highlight w:val="none"/>
        </w:rPr>
        <w:t>G</w:t>
      </w:r>
      <w:r>
        <w:rPr>
          <w:rFonts w:hint="default" w:ascii="Times New Roman" w:hAnsi="Times New Roman" w:cs="Times New Roman"/>
          <w:spacing w:val="-6"/>
          <w:highlight w:val="none"/>
        </w:rPr>
        <w:t>值可调节，对水量水质适应能力强。近几年来，由于使</w:t>
      </w:r>
      <w:r>
        <w:rPr>
          <w:rFonts w:hint="default" w:ascii="Times New Roman" w:hAnsi="Times New Roman" w:cs="Times New Roman"/>
          <w:spacing w:val="-7"/>
          <w:highlight w:val="none"/>
        </w:rPr>
        <w:t>用优质的材料和</w:t>
      </w:r>
      <w:r>
        <w:rPr>
          <w:rFonts w:hint="default" w:ascii="Times New Roman" w:hAnsi="Times New Roman" w:cs="Times New Roman"/>
          <w:highlight w:val="none"/>
        </w:rPr>
        <w:t>加工技术的不断提高，机械絮凝设备质量已能满</w:t>
      </w:r>
      <w:r>
        <w:rPr>
          <w:rFonts w:hint="default" w:ascii="Times New Roman" w:hAnsi="Times New Roman" w:cs="Times New Roman"/>
          <w:spacing w:val="-1"/>
          <w:highlight w:val="none"/>
        </w:rPr>
        <w:t>足使用要求。机械絮凝的最大优点就</w:t>
      </w:r>
      <w:r>
        <w:rPr>
          <w:rFonts w:hint="default" w:ascii="Times New Roman" w:hAnsi="Times New Roman" w:cs="Times New Roman"/>
          <w:spacing w:val="-6"/>
          <w:highlight w:val="none"/>
        </w:rPr>
        <w:t>是能适应水质、水量和药剂品种的变化，</w:t>
      </w:r>
      <w:r>
        <w:rPr>
          <w:rFonts w:hint="default" w:ascii="Times New Roman" w:hAnsi="Times New Roman" w:cs="Times New Roman"/>
          <w:spacing w:val="84"/>
          <w:highlight w:val="none"/>
        </w:rPr>
        <w:t xml:space="preserve"> </w:t>
      </w:r>
      <w:r>
        <w:rPr>
          <w:rFonts w:hint="default" w:ascii="Times New Roman" w:hAnsi="Times New Roman" w:cs="Times New Roman"/>
          <w:spacing w:val="-6"/>
          <w:highlight w:val="none"/>
        </w:rPr>
        <w:t>能适应任何规模水厂及污水厂，缺点是短流</w:t>
      </w:r>
      <w:r>
        <w:rPr>
          <w:rFonts w:hint="default" w:ascii="Times New Roman" w:hAnsi="Times New Roman" w:cs="Times New Roman"/>
          <w:spacing w:val="-3"/>
          <w:highlight w:val="none"/>
        </w:rPr>
        <w:t>相对较大，设备较易损坏，维修量大。</w:t>
      </w:r>
    </w:p>
    <w:p w14:paraId="77D0486D">
      <w:pPr>
        <w:pStyle w:val="189"/>
        <w:rPr>
          <w:rFonts w:hint="default" w:ascii="Times New Roman" w:hAnsi="Times New Roman" w:cs="Times New Roman"/>
          <w:spacing w:val="-3"/>
          <w:highlight w:val="none"/>
        </w:rPr>
      </w:pPr>
      <w:r>
        <w:rPr>
          <w:rFonts w:hint="default" w:ascii="Times New Roman" w:hAnsi="Times New Roman" w:cs="Times New Roman"/>
          <w:spacing w:val="-3"/>
          <w:highlight w:val="none"/>
        </w:rPr>
        <w:t>下表列出了常用的两种絮凝工艺的比较。</w:t>
      </w:r>
    </w:p>
    <w:p w14:paraId="2206BA74">
      <w:pPr>
        <w:pStyle w:val="189"/>
        <w:spacing w:line="240" w:lineRule="auto"/>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表3.3-11 絮凝工艺比较表</w:t>
      </w:r>
    </w:p>
    <w:tbl>
      <w:tblPr>
        <w:tblStyle w:val="402"/>
        <w:tblW w:w="9077" w:type="dxa"/>
        <w:tblInd w:w="2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37"/>
        <w:gridCol w:w="3699"/>
        <w:gridCol w:w="2715"/>
        <w:gridCol w:w="926"/>
      </w:tblGrid>
      <w:tr w14:paraId="5D0D2A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17" w:hRule="atLeast"/>
        </w:trPr>
        <w:tc>
          <w:tcPr>
            <w:tcW w:w="1737" w:type="dxa"/>
            <w:tcBorders>
              <w:tl2br w:val="nil"/>
              <w:tr2bl w:val="nil"/>
            </w:tcBorders>
            <w:vAlign w:val="top"/>
          </w:tcPr>
          <w:p w14:paraId="711587BC">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形式</w:t>
            </w:r>
          </w:p>
        </w:tc>
        <w:tc>
          <w:tcPr>
            <w:tcW w:w="3699" w:type="dxa"/>
            <w:tcBorders>
              <w:tl2br w:val="nil"/>
              <w:tr2bl w:val="nil"/>
            </w:tcBorders>
            <w:vAlign w:val="top"/>
          </w:tcPr>
          <w:p w14:paraId="038BCF75">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优缺点</w:t>
            </w:r>
          </w:p>
        </w:tc>
        <w:tc>
          <w:tcPr>
            <w:tcW w:w="2715" w:type="dxa"/>
            <w:tcBorders>
              <w:tl2br w:val="nil"/>
              <w:tr2bl w:val="nil"/>
            </w:tcBorders>
            <w:vAlign w:val="top"/>
          </w:tcPr>
          <w:p w14:paraId="19C96494">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适用条件</w:t>
            </w:r>
          </w:p>
        </w:tc>
        <w:tc>
          <w:tcPr>
            <w:tcW w:w="926" w:type="dxa"/>
            <w:tcBorders>
              <w:tl2br w:val="nil"/>
              <w:tr2bl w:val="nil"/>
            </w:tcBorders>
            <w:vAlign w:val="top"/>
          </w:tcPr>
          <w:p w14:paraId="5296652F">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备注</w:t>
            </w:r>
          </w:p>
        </w:tc>
      </w:tr>
      <w:tr w14:paraId="76ECF9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96" w:hRule="atLeast"/>
        </w:trPr>
        <w:tc>
          <w:tcPr>
            <w:tcW w:w="1737" w:type="dxa"/>
            <w:tcBorders>
              <w:tl2br w:val="nil"/>
              <w:tr2bl w:val="nil"/>
            </w:tcBorders>
            <w:vAlign w:val="center"/>
          </w:tcPr>
          <w:p w14:paraId="28BC4D2F">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折板絮凝池</w:t>
            </w:r>
          </w:p>
        </w:tc>
        <w:tc>
          <w:tcPr>
            <w:tcW w:w="3699" w:type="dxa"/>
            <w:tcBorders>
              <w:tl2br w:val="nil"/>
              <w:tr2bl w:val="nil"/>
            </w:tcBorders>
            <w:vAlign w:val="center"/>
          </w:tcPr>
          <w:p w14:paraId="5DFD4511">
            <w:pPr>
              <w:pStyle w:val="435"/>
              <w:widowControl w:val="0"/>
              <w:spacing w:before="49" w:line="240" w:lineRule="auto"/>
              <w:ind w:left="114"/>
              <w:jc w:val="both"/>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优点：</w:t>
            </w:r>
            <w:r>
              <w:rPr>
                <w:rFonts w:hint="default" w:ascii="Times New Roman" w:hAnsi="Times New Roman" w:eastAsia="宋体" w:cs="Times New Roman"/>
                <w:spacing w:val="-1"/>
                <w:sz w:val="21"/>
                <w:szCs w:val="21"/>
                <w:highlight w:val="none"/>
                <w:lang w:val="en-US" w:eastAsia="zh-CN"/>
              </w:rPr>
              <w:t>①</w:t>
            </w:r>
            <w:r>
              <w:rPr>
                <w:rFonts w:hint="default" w:ascii="Times New Roman" w:hAnsi="Times New Roman" w:eastAsia="宋体" w:cs="Times New Roman"/>
                <w:spacing w:val="-1"/>
                <w:sz w:val="21"/>
                <w:szCs w:val="21"/>
                <w:highlight w:val="none"/>
                <w:lang w:eastAsia="en-US"/>
              </w:rPr>
              <w:t>絮凝时间较短</w:t>
            </w:r>
            <w:r>
              <w:rPr>
                <w:rFonts w:hint="default" w:ascii="Times New Roman" w:hAnsi="Times New Roman" w:eastAsia="宋体" w:cs="Times New Roman"/>
                <w:spacing w:val="-1"/>
                <w:sz w:val="21"/>
                <w:szCs w:val="21"/>
                <w:highlight w:val="none"/>
                <w:lang w:val="en-US" w:eastAsia="zh-CN"/>
              </w:rPr>
              <w:t xml:space="preserve"> ②</w:t>
            </w:r>
            <w:r>
              <w:rPr>
                <w:rFonts w:hint="default" w:ascii="Times New Roman" w:hAnsi="Times New Roman" w:eastAsia="宋体" w:cs="Times New Roman"/>
                <w:spacing w:val="-1"/>
                <w:sz w:val="21"/>
                <w:szCs w:val="21"/>
                <w:highlight w:val="none"/>
                <w:lang w:eastAsia="en-US"/>
              </w:rPr>
              <w:t>絮凝效果好</w:t>
            </w:r>
          </w:p>
          <w:p w14:paraId="7D777336">
            <w:pPr>
              <w:pStyle w:val="435"/>
              <w:widowControl w:val="0"/>
              <w:spacing w:before="49" w:line="240" w:lineRule="auto"/>
              <w:ind w:left="114"/>
              <w:jc w:val="both"/>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缺点：</w:t>
            </w:r>
            <w:r>
              <w:rPr>
                <w:rFonts w:hint="default" w:ascii="Times New Roman" w:hAnsi="Times New Roman" w:eastAsia="宋体" w:cs="Times New Roman"/>
                <w:spacing w:val="-1"/>
                <w:sz w:val="21"/>
                <w:szCs w:val="21"/>
                <w:highlight w:val="none"/>
                <w:lang w:val="en-US" w:eastAsia="zh-CN"/>
              </w:rPr>
              <w:t>①</w:t>
            </w:r>
            <w:r>
              <w:rPr>
                <w:rFonts w:hint="default" w:ascii="Times New Roman" w:hAnsi="Times New Roman" w:eastAsia="宋体" w:cs="Times New Roman"/>
                <w:spacing w:val="-1"/>
                <w:sz w:val="21"/>
                <w:szCs w:val="21"/>
                <w:highlight w:val="none"/>
                <w:lang w:eastAsia="en-US"/>
              </w:rPr>
              <w:t>构造较复杂</w:t>
            </w:r>
            <w:r>
              <w:rPr>
                <w:rFonts w:hint="default" w:ascii="Times New Roman" w:hAnsi="Times New Roman" w:eastAsia="宋体" w:cs="Times New Roman"/>
                <w:spacing w:val="-1"/>
                <w:sz w:val="21"/>
                <w:szCs w:val="21"/>
                <w:highlight w:val="none"/>
                <w:lang w:val="en-US" w:eastAsia="zh-CN"/>
              </w:rPr>
              <w:t xml:space="preserve"> ②</w:t>
            </w:r>
            <w:r>
              <w:rPr>
                <w:rFonts w:hint="default" w:ascii="Times New Roman" w:hAnsi="Times New Roman" w:eastAsia="宋体" w:cs="Times New Roman"/>
                <w:spacing w:val="-1"/>
                <w:sz w:val="21"/>
                <w:szCs w:val="21"/>
                <w:highlight w:val="none"/>
                <w:lang w:eastAsia="en-US"/>
              </w:rPr>
              <w:t>水量变化影响絮凝效果</w:t>
            </w:r>
          </w:p>
        </w:tc>
        <w:tc>
          <w:tcPr>
            <w:tcW w:w="2715" w:type="dxa"/>
            <w:tcBorders>
              <w:tl2br w:val="nil"/>
              <w:tr2bl w:val="nil"/>
            </w:tcBorders>
            <w:vAlign w:val="center"/>
          </w:tcPr>
          <w:p w14:paraId="52EA26D7">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处理水量变动小</w:t>
            </w:r>
          </w:p>
        </w:tc>
        <w:tc>
          <w:tcPr>
            <w:tcW w:w="926" w:type="dxa"/>
            <w:tcBorders>
              <w:tl2br w:val="nil"/>
              <w:tr2bl w:val="nil"/>
            </w:tcBorders>
            <w:vAlign w:val="center"/>
          </w:tcPr>
          <w:p w14:paraId="5ED56702">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p>
        </w:tc>
      </w:tr>
      <w:tr w14:paraId="6CD862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737" w:type="dxa"/>
            <w:tcBorders>
              <w:tl2br w:val="nil"/>
              <w:tr2bl w:val="nil"/>
            </w:tcBorders>
            <w:vAlign w:val="center"/>
          </w:tcPr>
          <w:p w14:paraId="0A15D072">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机械絮凝池</w:t>
            </w:r>
          </w:p>
        </w:tc>
        <w:tc>
          <w:tcPr>
            <w:tcW w:w="3699" w:type="dxa"/>
            <w:tcBorders>
              <w:tl2br w:val="nil"/>
              <w:tr2bl w:val="nil"/>
            </w:tcBorders>
            <w:vAlign w:val="center"/>
          </w:tcPr>
          <w:p w14:paraId="6B9A6165">
            <w:pPr>
              <w:pStyle w:val="435"/>
              <w:widowControl w:val="0"/>
              <w:spacing w:before="49" w:line="240" w:lineRule="auto"/>
              <w:jc w:val="both"/>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优点：</w:t>
            </w:r>
            <w:r>
              <w:rPr>
                <w:rFonts w:hint="default" w:ascii="Times New Roman" w:hAnsi="Times New Roman" w:eastAsia="宋体" w:cs="Times New Roman"/>
                <w:spacing w:val="-1"/>
                <w:sz w:val="21"/>
                <w:szCs w:val="21"/>
                <w:highlight w:val="none"/>
                <w:lang w:val="en-US" w:eastAsia="zh-CN"/>
              </w:rPr>
              <w:t>①</w:t>
            </w:r>
            <w:r>
              <w:rPr>
                <w:rFonts w:hint="default" w:ascii="Times New Roman" w:hAnsi="Times New Roman" w:eastAsia="宋体" w:cs="Times New Roman"/>
                <w:spacing w:val="-1"/>
                <w:sz w:val="21"/>
                <w:szCs w:val="21"/>
                <w:highlight w:val="none"/>
                <w:lang w:eastAsia="en-US"/>
              </w:rPr>
              <w:t>絮凝效果好</w:t>
            </w:r>
            <w:r>
              <w:rPr>
                <w:rFonts w:hint="default" w:ascii="Times New Roman" w:hAnsi="Times New Roman" w:eastAsia="宋体" w:cs="Times New Roman"/>
                <w:spacing w:val="-1"/>
                <w:sz w:val="21"/>
                <w:szCs w:val="21"/>
                <w:highlight w:val="none"/>
                <w:lang w:val="en-US" w:eastAsia="zh-CN"/>
              </w:rPr>
              <w:t xml:space="preserve"> ②</w:t>
            </w:r>
            <w:r>
              <w:rPr>
                <w:rFonts w:hint="default" w:ascii="Times New Roman" w:hAnsi="Times New Roman" w:eastAsia="宋体" w:cs="Times New Roman"/>
                <w:spacing w:val="-1"/>
                <w:sz w:val="21"/>
                <w:szCs w:val="21"/>
                <w:highlight w:val="none"/>
                <w:lang w:eastAsia="en-US"/>
              </w:rPr>
              <w:t>水头损失小</w:t>
            </w:r>
            <w:r>
              <w:rPr>
                <w:rFonts w:hint="default" w:ascii="Times New Roman" w:hAnsi="Times New Roman" w:eastAsia="宋体" w:cs="Times New Roman"/>
                <w:spacing w:val="-1"/>
                <w:sz w:val="21"/>
                <w:szCs w:val="21"/>
                <w:highlight w:val="none"/>
                <w:lang w:val="en-US" w:eastAsia="zh-CN"/>
              </w:rPr>
              <w:t xml:space="preserve"> ③</w:t>
            </w:r>
            <w:r>
              <w:rPr>
                <w:rFonts w:hint="default" w:ascii="Times New Roman" w:hAnsi="Times New Roman" w:eastAsia="宋体" w:cs="Times New Roman"/>
                <w:spacing w:val="-1"/>
                <w:sz w:val="21"/>
                <w:szCs w:val="21"/>
                <w:highlight w:val="none"/>
                <w:lang w:eastAsia="en-US"/>
              </w:rPr>
              <w:t>可适应水质水量变化</w:t>
            </w:r>
          </w:p>
          <w:p w14:paraId="38FF4329">
            <w:pPr>
              <w:pStyle w:val="435"/>
              <w:widowControl w:val="0"/>
              <w:spacing w:before="49" w:line="240" w:lineRule="auto"/>
              <w:jc w:val="both"/>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缺点：需机械设备和经常维修</w:t>
            </w:r>
          </w:p>
        </w:tc>
        <w:tc>
          <w:tcPr>
            <w:tcW w:w="2715" w:type="dxa"/>
            <w:tcBorders>
              <w:tl2br w:val="nil"/>
              <w:tr2bl w:val="nil"/>
            </w:tcBorders>
            <w:vAlign w:val="center"/>
          </w:tcPr>
          <w:p w14:paraId="2D2820B4">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大小处理水量均适用，并适用水量变化较大的规模</w:t>
            </w:r>
          </w:p>
        </w:tc>
        <w:tc>
          <w:tcPr>
            <w:tcW w:w="926" w:type="dxa"/>
            <w:tcBorders>
              <w:tl2br w:val="nil"/>
              <w:tr2bl w:val="nil"/>
            </w:tcBorders>
            <w:vAlign w:val="center"/>
          </w:tcPr>
          <w:p w14:paraId="11C91658">
            <w:pPr>
              <w:pStyle w:val="435"/>
              <w:widowControl w:val="0"/>
              <w:spacing w:before="49" w:line="240" w:lineRule="auto"/>
              <w:ind w:left="114"/>
              <w:jc w:val="center"/>
              <w:rPr>
                <w:rFonts w:hint="default" w:ascii="Times New Roman" w:hAnsi="Times New Roman" w:eastAsia="宋体" w:cs="Times New Roman"/>
                <w:spacing w:val="-1"/>
                <w:sz w:val="21"/>
                <w:szCs w:val="21"/>
                <w:highlight w:val="none"/>
                <w:lang w:eastAsia="en-US"/>
              </w:rPr>
            </w:pPr>
            <w:r>
              <w:rPr>
                <w:rFonts w:hint="default" w:ascii="Times New Roman" w:hAnsi="Times New Roman" w:eastAsia="宋体" w:cs="Times New Roman"/>
                <w:spacing w:val="-1"/>
                <w:sz w:val="21"/>
                <w:szCs w:val="21"/>
                <w:highlight w:val="none"/>
                <w:lang w:eastAsia="en-US"/>
              </w:rPr>
              <w:t>推荐工艺</w:t>
            </w:r>
          </w:p>
        </w:tc>
      </w:tr>
    </w:tbl>
    <w:p w14:paraId="64DC42C7">
      <w:pPr>
        <w:pStyle w:val="381"/>
        <w:numPr>
          <w:ilvl w:val="3"/>
          <w:numId w:val="0"/>
        </w:numP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3.3.6.5 沉淀工艺选择</w:t>
      </w:r>
    </w:p>
    <w:p w14:paraId="5110C146">
      <w:pPr>
        <w:pStyle w:val="189"/>
        <w:ind w:left="0" w:leftChars="0" w:firstLine="420" w:firstLineChars="0"/>
        <w:rPr>
          <w:rFonts w:hint="default" w:ascii="Times New Roman" w:hAnsi="Times New Roman" w:cs="Times New Roman"/>
          <w:spacing w:val="-3"/>
          <w:highlight w:val="none"/>
        </w:rPr>
      </w:pPr>
      <w:r>
        <w:rPr>
          <w:rFonts w:hint="default" w:ascii="Times New Roman" w:hAnsi="Times New Roman" w:cs="Times New Roman"/>
          <w:spacing w:val="-3"/>
          <w:highlight w:val="none"/>
        </w:rPr>
        <w:t>工程可选择的沉淀（澄清）池形式较多，如国内常用的平流式沉淀池、迷宫斜板沉淀池、斜管沉淀、机械搅拌澄清池及近年来从国外引进的高效澄清池。</w:t>
      </w:r>
    </w:p>
    <w:p w14:paraId="745C5D63">
      <w:pPr>
        <w:pStyle w:val="189"/>
        <w:rPr>
          <w:rFonts w:hint="default" w:ascii="Times New Roman" w:hAnsi="Times New Roman" w:cs="Times New Roman"/>
          <w:spacing w:val="-3"/>
          <w:highlight w:val="none"/>
        </w:rPr>
      </w:pPr>
      <w:r>
        <w:rPr>
          <w:rFonts w:hint="default" w:ascii="Times New Roman" w:hAnsi="Times New Roman" w:cs="Times New Roman"/>
          <w:spacing w:val="-3"/>
          <w:highlight w:val="none"/>
        </w:rPr>
        <w:t>平流沉淀池是目前我国大中型水厂最广泛使用的池型，具有构造简单、管理方便、耐冲击负荷强等优点。通过合理加药和絮凝， 目前平流沉淀池的出水浊度基本可控制在 1～3NTU。平流沉淀池的缺点是停留时间长，占地面积大。</w:t>
      </w:r>
    </w:p>
    <w:p w14:paraId="4C5F26B8">
      <w:pPr>
        <w:pStyle w:val="189"/>
        <w:rPr>
          <w:rFonts w:hint="default" w:ascii="Times New Roman" w:hAnsi="Times New Roman" w:cs="Times New Roman"/>
          <w:spacing w:val="-3"/>
          <w:highlight w:val="none"/>
        </w:rPr>
      </w:pPr>
      <w:r>
        <w:rPr>
          <w:rFonts w:hint="default" w:ascii="Times New Roman" w:hAnsi="Times New Roman" w:cs="Times New Roman"/>
          <w:spacing w:val="-3"/>
          <w:highlight w:val="none"/>
        </w:rPr>
        <w:t>斜管（板）沉淀池是基于浅层沉淀理论，在平流沉淀基础上发展起来的沉淀池型，它具有占地小，沉淀效率高的特点。但由于斜管沉淀池在池体较大情况下存在配水不均匀问题，使斜管沉淀池总体出水水质难以进一步提高，也限制了传统斜管沉淀池大型化的发展，适应用规模不大的小水厂。</w:t>
      </w:r>
    </w:p>
    <w:p w14:paraId="059DAC81">
      <w:pPr>
        <w:pStyle w:val="189"/>
        <w:rPr>
          <w:rFonts w:hint="default" w:ascii="Times New Roman" w:hAnsi="Times New Roman" w:cs="Times New Roman"/>
          <w:spacing w:val="-3"/>
          <w:highlight w:val="none"/>
        </w:rPr>
      </w:pPr>
      <w:r>
        <w:rPr>
          <w:rFonts w:hint="default" w:ascii="Times New Roman" w:hAnsi="Times New Roman" w:cs="Times New Roman"/>
          <w:spacing w:val="-3"/>
          <w:highlight w:val="none"/>
        </w:rPr>
        <w:t>机械搅拌澄清池是将第一反应室聚积的泥渣回流到第二反应室与原水混和，增加原水中的颗粒浓度，加强颗粒絮凝，形成形体大、密度高的矾花，到分离区澄清，从而达到高浓度泥水较快分离和分离彻底的效果。因此， 机械搅拌澄清池的优点是：絮凝、澄清一体化、产水能力高，比较适应处理低浊度水。它的缺点是结构比较复杂，施工难度较大；由于回流泥渣浓度较低，回流水量很大，最大的困难是排泥量很难控制，经常会因过量排泥，造成絮凝效果差，影响出水水质。此外，对水量水质变化的适应性较差，且水下设备较多，维护量大，自动化控制手段少，运行管理难度较高。</w:t>
      </w:r>
    </w:p>
    <w:p w14:paraId="461CF286">
      <w:pPr>
        <w:pStyle w:val="189"/>
        <w:rPr>
          <w:rFonts w:hint="default" w:ascii="Times New Roman" w:hAnsi="Times New Roman" w:cs="Times New Roman"/>
          <w:spacing w:val="-3"/>
          <w:highlight w:val="none"/>
        </w:rPr>
      </w:pPr>
      <w:r>
        <w:rPr>
          <w:rFonts w:hint="default" w:ascii="Times New Roman" w:hAnsi="Times New Roman" w:cs="Times New Roman"/>
          <w:spacing w:val="-3"/>
          <w:highlight w:val="none"/>
        </w:rPr>
        <w:t>高效澄清池是近年来从国外引进的池型，其净水工艺原理基本类同于机械搅拌澄清池，属于内部泥渣循环型澄清池，不同之处在于其采用了机械混合、外部浓缩污泥回流、进水投加高分子助凝剂、澄清区上部设置斜管和下部设置污泥浓缩区及刮泥浓缩机，以及排泥泵等工艺措施。其主要特点是运行负荷高， 占地面积只有同规模平流池的 25～30％，在以江河水为水源的情况下，其排泥浓度一般可超过 3％以上，可直接进行脱水，而不需对排泥水再进行浓缩。该工艺比较适合场地条件特别紧张的场合，如老厂改造扩建等。</w:t>
      </w:r>
    </w:p>
    <w:p w14:paraId="47E85EAC">
      <w:pPr>
        <w:pStyle w:val="189"/>
        <w:rPr>
          <w:rFonts w:hint="default" w:ascii="Times New Roman" w:hAnsi="Times New Roman" w:cs="Times New Roman"/>
          <w:spacing w:val="-3"/>
          <w:highlight w:val="none"/>
        </w:rPr>
      </w:pPr>
      <w:r>
        <w:rPr>
          <w:rFonts w:hint="default" w:ascii="Times New Roman" w:hAnsi="Times New Roman" w:cs="Times New Roman"/>
          <w:spacing w:val="-3"/>
          <w:highlight w:val="none"/>
        </w:rPr>
        <w:t>但是，高密度沉淀池的净水原理决定其必须始终多点投加有机高分子助凝剂，除运行费用较高外其运行药耗成本也会增加。由于其停留时间短， 出水中会带有残留的少量高分子有机物悬浮颗粒，进入砂滤池后易造成滤池表面结膜，降低滤料截污能力，缩短过滤周期。</w:t>
      </w:r>
    </w:p>
    <w:p w14:paraId="34F1D311">
      <w:pPr>
        <w:pStyle w:val="189"/>
        <w:rPr>
          <w:rFonts w:hint="default" w:ascii="Times New Roman" w:hAnsi="Times New Roman" w:cs="Times New Roman"/>
          <w:spacing w:val="-3"/>
          <w:highlight w:val="none"/>
        </w:rPr>
      </w:pPr>
      <w:r>
        <w:rPr>
          <w:rFonts w:hint="default" w:ascii="Times New Roman" w:hAnsi="Times New Roman" w:cs="Times New Roman"/>
          <w:spacing w:val="-3"/>
          <w:highlight w:val="none"/>
        </w:rPr>
        <w:t>因此，与此工艺相结合的砂滤池进水中必须再次投加少量混凝剂，以保证过滤效果。此外， 其水下设备量较大、维护量大、加药系统复杂、斜管易老化， 管理和难度较高。</w:t>
      </w:r>
    </w:p>
    <w:p w14:paraId="78628E1C">
      <w:pPr>
        <w:pStyle w:val="189"/>
        <w:rPr>
          <w:rFonts w:hint="default" w:ascii="Times New Roman" w:hAnsi="Times New Roman" w:cs="Times New Roman"/>
          <w:spacing w:val="-3"/>
          <w:highlight w:val="none"/>
        </w:rPr>
      </w:pPr>
      <w:r>
        <w:rPr>
          <w:rFonts w:hint="default" w:ascii="Times New Roman" w:hAnsi="Times New Roman" w:cs="Times New Roman"/>
          <w:spacing w:val="-3"/>
          <w:highlight w:val="none"/>
        </w:rPr>
        <w:t>综合上述各种沉淀（澄清）工艺的特点分析比较，结合本工程的规模、场地条件、生产管理单位的运行经验、运行成本以及维护管理的难度和要求等因素，本工程采用占地少、沉淀效率高的斜管（板）沉淀池，并与絮凝合建，是一种较合理的选择。</w:t>
      </w:r>
    </w:p>
    <w:p w14:paraId="4F10DCF4">
      <w:pPr>
        <w:pStyle w:val="381"/>
        <w:numPr>
          <w:ilvl w:val="3"/>
          <w:numId w:val="0"/>
        </w:numP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3.3.6.6 过滤工艺选择</w:t>
      </w:r>
    </w:p>
    <w:p w14:paraId="290A453D">
      <w:pPr>
        <w:pStyle w:val="31"/>
        <w:spacing w:before="78" w:line="360" w:lineRule="auto"/>
        <w:ind w:left="39"/>
        <w:rPr>
          <w:rFonts w:hint="default" w:ascii="Times New Roman" w:hAnsi="Times New Roman" w:cs="Times New Roman" w:eastAsiaTheme="minorEastAsia"/>
          <w:spacing w:val="-3"/>
          <w:kern w:val="0"/>
          <w:sz w:val="24"/>
          <w:szCs w:val="24"/>
          <w:highlight w:val="none"/>
          <w:lang w:val="en-US" w:eastAsia="zh-CN" w:bidi="ar-SA"/>
        </w:rPr>
      </w:pPr>
      <w:r>
        <w:rPr>
          <w:rFonts w:hint="default" w:ascii="Times New Roman" w:hAnsi="Times New Roman" w:cs="Times New Roman" w:eastAsiaTheme="minorEastAsia"/>
          <w:spacing w:val="-3"/>
          <w:kern w:val="0"/>
          <w:sz w:val="24"/>
          <w:szCs w:val="24"/>
          <w:highlight w:val="none"/>
          <w:lang w:val="en-US" w:eastAsia="zh-CN" w:bidi="ar-SA"/>
        </w:rPr>
        <w:t>过滤的形式主要有 V 型过滤池、纤维转盘滤池（平面过滤）、活性砂滤池、精密过滤器等。</w:t>
      </w:r>
    </w:p>
    <w:p w14:paraId="27A491FC">
      <w:pPr>
        <w:pStyle w:val="31"/>
        <w:spacing w:before="78" w:line="360" w:lineRule="auto"/>
        <w:ind w:left="39"/>
        <w:rPr>
          <w:rFonts w:hint="default" w:ascii="Times New Roman" w:hAnsi="Times New Roman" w:cs="Times New Roman" w:eastAsiaTheme="minorEastAsia"/>
          <w:spacing w:val="-3"/>
          <w:kern w:val="0"/>
          <w:sz w:val="24"/>
          <w:szCs w:val="24"/>
          <w:highlight w:val="none"/>
          <w:lang w:val="en-US" w:eastAsia="zh-CN" w:bidi="ar-SA"/>
        </w:rPr>
      </w:pPr>
      <w:r>
        <w:rPr>
          <w:rFonts w:hint="default" w:ascii="Times New Roman" w:hAnsi="Times New Roman" w:cs="Times New Roman" w:eastAsiaTheme="minorEastAsia"/>
          <w:spacing w:val="-3"/>
          <w:kern w:val="0"/>
          <w:sz w:val="24"/>
          <w:szCs w:val="24"/>
          <w:highlight w:val="none"/>
          <w:lang w:val="en-US" w:eastAsia="zh-CN" w:bidi="ar-SA"/>
        </w:rPr>
        <w:t>根据污水处理厂常用的出水水质处理工艺，本工程结合污水的特点和处理要求，选择几种有代表性的水质保障处理工艺，从技术、管理和经济等方便综合进行比较，如下表所示。</w:t>
      </w:r>
    </w:p>
    <w:p w14:paraId="366B76EA">
      <w:pPr>
        <w:pStyle w:val="189"/>
        <w:spacing w:line="240" w:lineRule="auto"/>
        <w:jc w:val="center"/>
        <w:rPr>
          <w:rFonts w:hint="default" w:ascii="Times New Roman" w:hAnsi="Times New Roman" w:eastAsia="Arial" w:cs="Times New Roman"/>
          <w:snapToGrid w:val="0"/>
          <w:color w:val="000000"/>
          <w:kern w:val="0"/>
          <w:sz w:val="21"/>
          <w:szCs w:val="21"/>
          <w:highlight w:val="none"/>
          <w:lang w:eastAsia="en-US"/>
        </w:rPr>
      </w:pPr>
      <w:r>
        <w:rPr>
          <w:rFonts w:hint="default" w:ascii="Times New Roman" w:hAnsi="Times New Roman" w:cs="Times New Roman"/>
          <w:b/>
          <w:bCs/>
          <w:color w:val="auto"/>
          <w:highlight w:val="none"/>
          <w:u w:val="none" w:color="auto"/>
          <w:lang w:val="en-US" w:eastAsia="en-US"/>
        </w:rPr>
        <w:t>表 3.</w:t>
      </w:r>
      <w:r>
        <w:rPr>
          <w:rFonts w:hint="default" w:ascii="Times New Roman" w:hAnsi="Times New Roman" w:cs="Times New Roman"/>
          <w:b/>
          <w:bCs/>
          <w:color w:val="auto"/>
          <w:highlight w:val="none"/>
          <w:u w:val="none" w:color="auto"/>
          <w:lang w:val="en-US" w:eastAsia="zh-CN"/>
        </w:rPr>
        <w:t>3-12</w:t>
      </w:r>
      <w:r>
        <w:rPr>
          <w:rFonts w:hint="default" w:ascii="Times New Roman" w:hAnsi="Times New Roman" w:cs="Times New Roman"/>
          <w:b/>
          <w:bCs/>
          <w:color w:val="auto"/>
          <w:highlight w:val="none"/>
          <w:u w:val="none" w:color="auto"/>
          <w:lang w:val="en-US" w:eastAsia="en-US"/>
        </w:rPr>
        <w:t xml:space="preserve"> 出水水质保障处理常用工艺投资及运行费用比较表</w:t>
      </w:r>
    </w:p>
    <w:tbl>
      <w:tblPr>
        <w:tblStyle w:val="402"/>
        <w:tblW w:w="9194"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617"/>
        <w:gridCol w:w="1596"/>
        <w:gridCol w:w="1886"/>
        <w:gridCol w:w="1597"/>
        <w:gridCol w:w="1498"/>
      </w:tblGrid>
      <w:tr w14:paraId="1A8195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17" w:type="dxa"/>
            <w:tcBorders>
              <w:tl2br w:val="nil"/>
              <w:tr2bl w:val="nil"/>
            </w:tcBorders>
            <w:vAlign w:val="center"/>
          </w:tcPr>
          <w:p w14:paraId="1725AF3A">
            <w:pPr>
              <w:kinsoku w:val="0"/>
              <w:autoSpaceDE w:val="0"/>
              <w:autoSpaceDN w:val="0"/>
              <w:adjustRightInd w:val="0"/>
              <w:snapToGrid w:val="0"/>
              <w:spacing w:before="33"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3"/>
                <w:kern w:val="0"/>
                <w:sz w:val="21"/>
                <w:szCs w:val="21"/>
                <w:highlight w:val="none"/>
                <w:lang w:val="en-US" w:eastAsia="en-US" w:bidi="ar-SA"/>
              </w:rPr>
              <w:t>项目</w:t>
            </w:r>
          </w:p>
        </w:tc>
        <w:tc>
          <w:tcPr>
            <w:tcW w:w="1596" w:type="dxa"/>
            <w:tcBorders>
              <w:tl2br w:val="nil"/>
              <w:tr2bl w:val="nil"/>
            </w:tcBorders>
            <w:vAlign w:val="center"/>
          </w:tcPr>
          <w:p w14:paraId="439DF97B">
            <w:pPr>
              <w:kinsoku w:val="0"/>
              <w:autoSpaceDE w:val="0"/>
              <w:autoSpaceDN w:val="0"/>
              <w:adjustRightInd w:val="0"/>
              <w:snapToGrid w:val="0"/>
              <w:spacing w:before="33" w:line="223"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Times New Roman" w:cs="Times New Roman"/>
                <w:snapToGrid w:val="0"/>
                <w:color w:val="000000"/>
                <w:spacing w:val="-4"/>
                <w:kern w:val="0"/>
                <w:sz w:val="21"/>
                <w:szCs w:val="21"/>
                <w:highlight w:val="none"/>
                <w:lang w:val="en-US" w:eastAsia="en-US" w:bidi="ar-SA"/>
              </w:rPr>
              <w:t>V</w:t>
            </w:r>
            <w:r>
              <w:rPr>
                <w:rFonts w:hint="default" w:ascii="Times New Roman" w:hAnsi="Times New Roman" w:eastAsia="Times New Roman" w:cs="Times New Roman"/>
                <w:snapToGrid w:val="0"/>
                <w:color w:val="000000"/>
                <w:spacing w:val="16"/>
                <w:w w:val="101"/>
                <w:kern w:val="0"/>
                <w:sz w:val="21"/>
                <w:szCs w:val="21"/>
                <w:highlight w:val="none"/>
                <w:lang w:val="en-US" w:eastAsia="en-US" w:bidi="ar-SA"/>
              </w:rPr>
              <w:t xml:space="preserve"> </w:t>
            </w:r>
            <w:r>
              <w:rPr>
                <w:rFonts w:hint="default" w:ascii="Times New Roman" w:hAnsi="Times New Roman" w:eastAsia="宋体" w:cs="Times New Roman"/>
                <w:snapToGrid w:val="0"/>
                <w:color w:val="000000"/>
                <w:spacing w:val="-4"/>
                <w:kern w:val="0"/>
                <w:sz w:val="21"/>
                <w:szCs w:val="21"/>
                <w:highlight w:val="none"/>
                <w:lang w:val="en-US" w:eastAsia="en-US" w:bidi="ar-SA"/>
              </w:rPr>
              <w:t>型过滤</w:t>
            </w:r>
          </w:p>
        </w:tc>
        <w:tc>
          <w:tcPr>
            <w:tcW w:w="1886" w:type="dxa"/>
            <w:tcBorders>
              <w:tl2br w:val="nil"/>
              <w:tr2bl w:val="nil"/>
            </w:tcBorders>
            <w:vAlign w:val="center"/>
          </w:tcPr>
          <w:p w14:paraId="7933BB8A">
            <w:pPr>
              <w:kinsoku w:val="0"/>
              <w:autoSpaceDE w:val="0"/>
              <w:autoSpaceDN w:val="0"/>
              <w:adjustRightInd w:val="0"/>
              <w:snapToGrid w:val="0"/>
              <w:spacing w:before="33"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活性砂过滤</w:t>
            </w:r>
          </w:p>
        </w:tc>
        <w:tc>
          <w:tcPr>
            <w:tcW w:w="1597" w:type="dxa"/>
            <w:tcBorders>
              <w:tl2br w:val="nil"/>
              <w:tr2bl w:val="nil"/>
            </w:tcBorders>
            <w:vAlign w:val="center"/>
          </w:tcPr>
          <w:p w14:paraId="372F921A">
            <w:pPr>
              <w:kinsoku w:val="0"/>
              <w:autoSpaceDE w:val="0"/>
              <w:autoSpaceDN w:val="0"/>
              <w:adjustRightInd w:val="0"/>
              <w:snapToGrid w:val="0"/>
              <w:spacing w:before="33"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纤维转盘滤池</w:t>
            </w:r>
          </w:p>
        </w:tc>
        <w:tc>
          <w:tcPr>
            <w:tcW w:w="1498" w:type="dxa"/>
            <w:tcBorders>
              <w:tl2br w:val="nil"/>
              <w:tr2bl w:val="nil"/>
            </w:tcBorders>
            <w:vAlign w:val="center"/>
          </w:tcPr>
          <w:p w14:paraId="295B2AC1">
            <w:pPr>
              <w:kinsoku w:val="0"/>
              <w:autoSpaceDE w:val="0"/>
              <w:autoSpaceDN w:val="0"/>
              <w:adjustRightInd w:val="0"/>
              <w:snapToGrid w:val="0"/>
              <w:spacing w:before="33" w:line="220"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1"/>
                <w:kern w:val="0"/>
                <w:sz w:val="21"/>
                <w:szCs w:val="21"/>
                <w:highlight w:val="none"/>
                <w:lang w:val="en-US" w:eastAsia="en-US" w:bidi="ar-SA"/>
              </w:rPr>
              <w:t>精密过滤器</w:t>
            </w:r>
          </w:p>
        </w:tc>
      </w:tr>
      <w:tr w14:paraId="014AA3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617" w:type="dxa"/>
            <w:tcBorders>
              <w:tl2br w:val="nil"/>
              <w:tr2bl w:val="nil"/>
            </w:tcBorders>
            <w:vAlign w:val="center"/>
          </w:tcPr>
          <w:p w14:paraId="6406E5AD">
            <w:pPr>
              <w:kinsoku w:val="0"/>
              <w:autoSpaceDE w:val="0"/>
              <w:autoSpaceDN w:val="0"/>
              <w:adjustRightInd w:val="0"/>
              <w:snapToGrid w:val="0"/>
              <w:spacing w:before="18" w:line="283" w:lineRule="exact"/>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position w:val="1"/>
                <w:sz w:val="21"/>
                <w:szCs w:val="21"/>
                <w:highlight w:val="none"/>
                <w:lang w:val="en-US" w:eastAsia="en-US" w:bidi="ar-SA"/>
              </w:rPr>
              <w:t>投资总费用（元</w:t>
            </w:r>
            <w:r>
              <w:rPr>
                <w:rFonts w:hint="default" w:ascii="Times New Roman" w:hAnsi="Times New Roman" w:eastAsia="Times New Roman" w:cs="Times New Roman"/>
                <w:snapToGrid w:val="0"/>
                <w:color w:val="000000"/>
                <w:spacing w:val="-2"/>
                <w:kern w:val="0"/>
                <w:position w:val="1"/>
                <w:sz w:val="21"/>
                <w:szCs w:val="21"/>
                <w:highlight w:val="none"/>
                <w:lang w:val="en-US" w:eastAsia="en-US" w:bidi="ar-SA"/>
              </w:rPr>
              <w:t>/m</w:t>
            </w:r>
            <w:r>
              <w:rPr>
                <w:rFonts w:hint="default" w:ascii="Times New Roman" w:hAnsi="Times New Roman" w:eastAsia="Times New Roman" w:cs="Times New Roman"/>
                <w:snapToGrid w:val="0"/>
                <w:color w:val="000000"/>
                <w:spacing w:val="-2"/>
                <w:kern w:val="0"/>
                <w:position w:val="10"/>
                <w:sz w:val="13"/>
                <w:szCs w:val="13"/>
                <w:highlight w:val="none"/>
                <w:lang w:val="en-US" w:eastAsia="en-US" w:bidi="ar-SA"/>
              </w:rPr>
              <w:t>3</w:t>
            </w:r>
            <w:r>
              <w:rPr>
                <w:rFonts w:hint="default" w:ascii="Times New Roman" w:hAnsi="Times New Roman" w:eastAsia="Times New Roman" w:cs="Times New Roman"/>
                <w:snapToGrid w:val="0"/>
                <w:color w:val="000000"/>
                <w:spacing w:val="19"/>
                <w:w w:val="102"/>
                <w:kern w:val="0"/>
                <w:position w:val="10"/>
                <w:sz w:val="13"/>
                <w:szCs w:val="13"/>
                <w:highlight w:val="none"/>
                <w:lang w:val="en-US" w:eastAsia="en-US" w:bidi="ar-SA"/>
              </w:rPr>
              <w:t xml:space="preserve"> </w:t>
            </w:r>
            <w:r>
              <w:rPr>
                <w:rFonts w:hint="default" w:ascii="Times New Roman" w:hAnsi="Times New Roman" w:eastAsia="宋体" w:cs="Times New Roman"/>
                <w:snapToGrid w:val="0"/>
                <w:color w:val="000000"/>
                <w:spacing w:val="-2"/>
                <w:kern w:val="0"/>
                <w:position w:val="1"/>
                <w:sz w:val="21"/>
                <w:szCs w:val="21"/>
                <w:highlight w:val="none"/>
                <w:lang w:val="en-US" w:eastAsia="en-US" w:bidi="ar-SA"/>
              </w:rPr>
              <w:t>水）</w:t>
            </w:r>
          </w:p>
        </w:tc>
        <w:tc>
          <w:tcPr>
            <w:tcW w:w="1596" w:type="dxa"/>
            <w:tcBorders>
              <w:tl2br w:val="nil"/>
              <w:tr2bl w:val="nil"/>
            </w:tcBorders>
            <w:vAlign w:val="center"/>
          </w:tcPr>
          <w:p w14:paraId="73A8CE32">
            <w:pPr>
              <w:widowControl/>
              <w:kinsoku w:val="0"/>
              <w:snapToGrid w:val="0"/>
              <w:spacing w:before="69" w:line="234" w:lineRule="auto"/>
              <w:ind w:left="0" w:leftChars="0" w:firstLine="0" w:firstLineChars="0"/>
              <w:jc w:val="center"/>
              <w:textAlignment w:val="baseline"/>
              <w:rPr>
                <w:rFonts w:hint="default" w:ascii="Times New Roman" w:hAnsi="Times New Roman" w:eastAsia="Times New Roman" w:cs="Times New Roman"/>
                <w:snapToGrid w:val="0"/>
                <w:color w:val="000000"/>
                <w:kern w:val="0"/>
                <w:sz w:val="21"/>
                <w:szCs w:val="21"/>
                <w:highlight w:val="none"/>
                <w:lang w:eastAsia="en-US"/>
              </w:rPr>
            </w:pPr>
            <w:r>
              <w:rPr>
                <w:rFonts w:hint="default" w:ascii="Times New Roman" w:hAnsi="Times New Roman" w:eastAsia="Times New Roman" w:cs="Times New Roman"/>
                <w:snapToGrid w:val="0"/>
                <w:color w:val="000000"/>
                <w:spacing w:val="-4"/>
                <w:kern w:val="0"/>
                <w:sz w:val="21"/>
                <w:szCs w:val="21"/>
                <w:highlight w:val="none"/>
                <w:lang w:eastAsia="en-US"/>
              </w:rPr>
              <w:t>150~250</w:t>
            </w:r>
          </w:p>
        </w:tc>
        <w:tc>
          <w:tcPr>
            <w:tcW w:w="1886" w:type="dxa"/>
            <w:tcBorders>
              <w:tl2br w:val="nil"/>
              <w:tr2bl w:val="nil"/>
            </w:tcBorders>
            <w:vAlign w:val="center"/>
          </w:tcPr>
          <w:p w14:paraId="4873421B">
            <w:pPr>
              <w:widowControl/>
              <w:kinsoku w:val="0"/>
              <w:snapToGrid w:val="0"/>
              <w:spacing w:before="69" w:line="233" w:lineRule="auto"/>
              <w:ind w:left="0" w:leftChars="0" w:firstLine="0" w:firstLineChars="0"/>
              <w:jc w:val="center"/>
              <w:textAlignment w:val="baseline"/>
              <w:rPr>
                <w:rFonts w:hint="default" w:ascii="Times New Roman" w:hAnsi="Times New Roman" w:eastAsia="Times New Roman" w:cs="Times New Roman"/>
                <w:snapToGrid w:val="0"/>
                <w:color w:val="000000"/>
                <w:kern w:val="0"/>
                <w:sz w:val="21"/>
                <w:szCs w:val="21"/>
                <w:highlight w:val="none"/>
                <w:lang w:eastAsia="en-US"/>
              </w:rPr>
            </w:pPr>
            <w:r>
              <w:rPr>
                <w:rFonts w:hint="default" w:ascii="Times New Roman" w:hAnsi="Times New Roman" w:eastAsia="Times New Roman" w:cs="Times New Roman"/>
                <w:snapToGrid w:val="0"/>
                <w:color w:val="000000"/>
                <w:spacing w:val="-4"/>
                <w:kern w:val="0"/>
                <w:sz w:val="21"/>
                <w:szCs w:val="21"/>
                <w:highlight w:val="none"/>
                <w:lang w:eastAsia="en-US"/>
              </w:rPr>
              <w:t>190~200</w:t>
            </w:r>
          </w:p>
        </w:tc>
        <w:tc>
          <w:tcPr>
            <w:tcW w:w="1597" w:type="dxa"/>
            <w:tcBorders>
              <w:tl2br w:val="nil"/>
              <w:tr2bl w:val="nil"/>
            </w:tcBorders>
            <w:vAlign w:val="center"/>
          </w:tcPr>
          <w:p w14:paraId="76878F1F">
            <w:pPr>
              <w:widowControl/>
              <w:kinsoku w:val="0"/>
              <w:snapToGrid w:val="0"/>
              <w:spacing w:before="69" w:line="234" w:lineRule="auto"/>
              <w:ind w:left="0" w:leftChars="0" w:firstLine="0" w:firstLineChars="0"/>
              <w:jc w:val="center"/>
              <w:textAlignment w:val="baseline"/>
              <w:rPr>
                <w:rFonts w:hint="default" w:ascii="Times New Roman" w:hAnsi="Times New Roman" w:eastAsia="Times New Roman" w:cs="Times New Roman"/>
                <w:snapToGrid w:val="0"/>
                <w:color w:val="000000"/>
                <w:kern w:val="0"/>
                <w:sz w:val="21"/>
                <w:szCs w:val="21"/>
                <w:highlight w:val="none"/>
                <w:lang w:eastAsia="en-US"/>
              </w:rPr>
            </w:pPr>
            <w:r>
              <w:rPr>
                <w:rFonts w:hint="default" w:ascii="Times New Roman" w:hAnsi="Times New Roman" w:eastAsia="Times New Roman" w:cs="Times New Roman"/>
                <w:snapToGrid w:val="0"/>
                <w:color w:val="000000"/>
                <w:spacing w:val="-4"/>
                <w:kern w:val="0"/>
                <w:sz w:val="21"/>
                <w:szCs w:val="21"/>
                <w:highlight w:val="none"/>
                <w:lang w:eastAsia="en-US"/>
              </w:rPr>
              <w:t>150~200</w:t>
            </w:r>
          </w:p>
        </w:tc>
        <w:tc>
          <w:tcPr>
            <w:tcW w:w="1498" w:type="dxa"/>
            <w:tcBorders>
              <w:tl2br w:val="nil"/>
              <w:tr2bl w:val="nil"/>
            </w:tcBorders>
            <w:vAlign w:val="center"/>
          </w:tcPr>
          <w:p w14:paraId="33182B68">
            <w:pPr>
              <w:widowControl/>
              <w:kinsoku w:val="0"/>
              <w:snapToGrid w:val="0"/>
              <w:spacing w:before="69" w:line="234" w:lineRule="auto"/>
              <w:ind w:left="0" w:leftChars="0" w:firstLine="0" w:firstLineChars="0"/>
              <w:jc w:val="center"/>
              <w:textAlignment w:val="baseline"/>
              <w:rPr>
                <w:rFonts w:hint="default" w:ascii="Times New Roman" w:hAnsi="Times New Roman" w:eastAsia="Times New Roman" w:cs="Times New Roman"/>
                <w:snapToGrid w:val="0"/>
                <w:color w:val="000000"/>
                <w:kern w:val="0"/>
                <w:sz w:val="21"/>
                <w:szCs w:val="21"/>
                <w:highlight w:val="none"/>
                <w:lang w:eastAsia="en-US"/>
              </w:rPr>
            </w:pPr>
            <w:r>
              <w:rPr>
                <w:rFonts w:hint="default" w:ascii="Times New Roman" w:hAnsi="Times New Roman" w:eastAsia="Times New Roman" w:cs="Times New Roman"/>
                <w:snapToGrid w:val="0"/>
                <w:color w:val="000000"/>
                <w:spacing w:val="-4"/>
                <w:kern w:val="0"/>
                <w:sz w:val="21"/>
                <w:szCs w:val="21"/>
                <w:highlight w:val="none"/>
                <w:lang w:eastAsia="en-US"/>
              </w:rPr>
              <w:t>150~200</w:t>
            </w:r>
          </w:p>
        </w:tc>
      </w:tr>
      <w:tr w14:paraId="131DEA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617" w:type="dxa"/>
            <w:tcBorders>
              <w:tl2br w:val="nil"/>
              <w:tr2bl w:val="nil"/>
            </w:tcBorders>
            <w:vAlign w:val="center"/>
          </w:tcPr>
          <w:p w14:paraId="1D08A83A">
            <w:pPr>
              <w:kinsoku w:val="0"/>
              <w:autoSpaceDE w:val="0"/>
              <w:autoSpaceDN w:val="0"/>
              <w:adjustRightInd w:val="0"/>
              <w:snapToGrid w:val="0"/>
              <w:spacing w:before="19" w:line="282" w:lineRule="exact"/>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position w:val="1"/>
                <w:sz w:val="21"/>
                <w:szCs w:val="21"/>
                <w:highlight w:val="none"/>
                <w:lang w:val="en-US" w:eastAsia="en-US" w:bidi="ar-SA"/>
              </w:rPr>
              <w:t>运行费用（元</w:t>
            </w:r>
            <w:r>
              <w:rPr>
                <w:rFonts w:hint="default" w:ascii="Times New Roman" w:hAnsi="Times New Roman" w:eastAsia="Times New Roman" w:cs="Times New Roman"/>
                <w:snapToGrid w:val="0"/>
                <w:color w:val="000000"/>
                <w:spacing w:val="-2"/>
                <w:kern w:val="0"/>
                <w:position w:val="1"/>
                <w:sz w:val="21"/>
                <w:szCs w:val="21"/>
                <w:highlight w:val="none"/>
                <w:lang w:val="en-US" w:eastAsia="en-US" w:bidi="ar-SA"/>
              </w:rPr>
              <w:t>/m</w:t>
            </w:r>
            <w:r>
              <w:rPr>
                <w:rFonts w:hint="default" w:ascii="Times New Roman" w:hAnsi="Times New Roman" w:eastAsia="Times New Roman" w:cs="Times New Roman"/>
                <w:snapToGrid w:val="0"/>
                <w:color w:val="000000"/>
                <w:spacing w:val="-2"/>
                <w:kern w:val="0"/>
                <w:position w:val="10"/>
                <w:sz w:val="13"/>
                <w:szCs w:val="13"/>
                <w:highlight w:val="none"/>
                <w:lang w:val="en-US" w:eastAsia="en-US" w:bidi="ar-SA"/>
              </w:rPr>
              <w:t>3</w:t>
            </w:r>
            <w:r>
              <w:rPr>
                <w:rFonts w:hint="default" w:ascii="Times New Roman" w:hAnsi="Times New Roman" w:eastAsia="Times New Roman" w:cs="Times New Roman"/>
                <w:snapToGrid w:val="0"/>
                <w:color w:val="000000"/>
                <w:spacing w:val="19"/>
                <w:kern w:val="0"/>
                <w:position w:val="10"/>
                <w:sz w:val="13"/>
                <w:szCs w:val="13"/>
                <w:highlight w:val="none"/>
                <w:lang w:val="en-US" w:eastAsia="en-US" w:bidi="ar-SA"/>
              </w:rPr>
              <w:t xml:space="preserve"> </w:t>
            </w:r>
            <w:r>
              <w:rPr>
                <w:rFonts w:hint="default" w:ascii="Times New Roman" w:hAnsi="Times New Roman" w:eastAsia="宋体" w:cs="Times New Roman"/>
                <w:snapToGrid w:val="0"/>
                <w:color w:val="000000"/>
                <w:spacing w:val="-2"/>
                <w:kern w:val="0"/>
                <w:position w:val="1"/>
                <w:sz w:val="21"/>
                <w:szCs w:val="21"/>
                <w:highlight w:val="none"/>
                <w:lang w:val="en-US" w:eastAsia="en-US" w:bidi="ar-SA"/>
              </w:rPr>
              <w:t>水）</w:t>
            </w:r>
          </w:p>
        </w:tc>
        <w:tc>
          <w:tcPr>
            <w:tcW w:w="1596" w:type="dxa"/>
            <w:tcBorders>
              <w:tl2br w:val="nil"/>
              <w:tr2bl w:val="nil"/>
            </w:tcBorders>
            <w:vAlign w:val="center"/>
          </w:tcPr>
          <w:p w14:paraId="07EF01DE">
            <w:pPr>
              <w:widowControl/>
              <w:kinsoku w:val="0"/>
              <w:snapToGrid w:val="0"/>
              <w:spacing w:before="72" w:line="233" w:lineRule="auto"/>
              <w:ind w:left="0" w:leftChars="0" w:firstLine="0" w:firstLineChars="0"/>
              <w:jc w:val="center"/>
              <w:textAlignment w:val="baseline"/>
              <w:rPr>
                <w:rFonts w:hint="default" w:ascii="Times New Roman" w:hAnsi="Times New Roman" w:eastAsia="Times New Roman" w:cs="Times New Roman"/>
                <w:snapToGrid w:val="0"/>
                <w:color w:val="000000"/>
                <w:kern w:val="0"/>
                <w:sz w:val="21"/>
                <w:szCs w:val="21"/>
                <w:highlight w:val="none"/>
                <w:lang w:eastAsia="en-US"/>
              </w:rPr>
            </w:pPr>
            <w:r>
              <w:rPr>
                <w:rFonts w:hint="default" w:ascii="Times New Roman" w:hAnsi="Times New Roman" w:eastAsia="Times New Roman" w:cs="Times New Roman"/>
                <w:snapToGrid w:val="0"/>
                <w:color w:val="000000"/>
                <w:spacing w:val="-2"/>
                <w:kern w:val="0"/>
                <w:sz w:val="21"/>
                <w:szCs w:val="21"/>
                <w:highlight w:val="none"/>
                <w:lang w:eastAsia="en-US"/>
              </w:rPr>
              <w:t>0.3</w:t>
            </w:r>
          </w:p>
        </w:tc>
        <w:tc>
          <w:tcPr>
            <w:tcW w:w="1886" w:type="dxa"/>
            <w:tcBorders>
              <w:tl2br w:val="nil"/>
              <w:tr2bl w:val="nil"/>
            </w:tcBorders>
            <w:vAlign w:val="center"/>
          </w:tcPr>
          <w:p w14:paraId="1E87ED6A">
            <w:pPr>
              <w:widowControl/>
              <w:kinsoku w:val="0"/>
              <w:snapToGrid w:val="0"/>
              <w:spacing w:before="72" w:line="233" w:lineRule="auto"/>
              <w:ind w:left="0" w:leftChars="0" w:firstLine="0" w:firstLineChars="0"/>
              <w:jc w:val="center"/>
              <w:textAlignment w:val="baseline"/>
              <w:rPr>
                <w:rFonts w:hint="default" w:ascii="Times New Roman" w:hAnsi="Times New Roman" w:eastAsia="Times New Roman" w:cs="Times New Roman"/>
                <w:snapToGrid w:val="0"/>
                <w:color w:val="000000"/>
                <w:kern w:val="0"/>
                <w:sz w:val="21"/>
                <w:szCs w:val="21"/>
                <w:highlight w:val="none"/>
                <w:lang w:eastAsia="en-US"/>
              </w:rPr>
            </w:pPr>
            <w:r>
              <w:rPr>
                <w:rFonts w:hint="default" w:ascii="Times New Roman" w:hAnsi="Times New Roman" w:eastAsia="Times New Roman" w:cs="Times New Roman"/>
                <w:snapToGrid w:val="0"/>
                <w:color w:val="000000"/>
                <w:spacing w:val="-1"/>
                <w:kern w:val="0"/>
                <w:sz w:val="21"/>
                <w:szCs w:val="21"/>
                <w:highlight w:val="none"/>
                <w:lang w:eastAsia="en-US"/>
              </w:rPr>
              <w:t>0.023</w:t>
            </w:r>
          </w:p>
        </w:tc>
        <w:tc>
          <w:tcPr>
            <w:tcW w:w="1597" w:type="dxa"/>
            <w:tcBorders>
              <w:tl2br w:val="nil"/>
              <w:tr2bl w:val="nil"/>
            </w:tcBorders>
            <w:vAlign w:val="center"/>
          </w:tcPr>
          <w:p w14:paraId="336EBB14">
            <w:pPr>
              <w:widowControl/>
              <w:kinsoku w:val="0"/>
              <w:snapToGrid w:val="0"/>
              <w:spacing w:before="72" w:line="233" w:lineRule="auto"/>
              <w:ind w:left="0" w:leftChars="0" w:firstLine="0" w:firstLineChars="0"/>
              <w:jc w:val="center"/>
              <w:textAlignment w:val="baseline"/>
              <w:rPr>
                <w:rFonts w:hint="default" w:ascii="Times New Roman" w:hAnsi="Times New Roman" w:eastAsia="Times New Roman" w:cs="Times New Roman"/>
                <w:snapToGrid w:val="0"/>
                <w:color w:val="000000"/>
                <w:kern w:val="0"/>
                <w:sz w:val="21"/>
                <w:szCs w:val="21"/>
                <w:highlight w:val="none"/>
                <w:lang w:eastAsia="en-US"/>
              </w:rPr>
            </w:pPr>
            <w:r>
              <w:rPr>
                <w:rFonts w:hint="default" w:ascii="Times New Roman" w:hAnsi="Times New Roman" w:eastAsia="Times New Roman" w:cs="Times New Roman"/>
                <w:snapToGrid w:val="0"/>
                <w:color w:val="000000"/>
                <w:spacing w:val="-2"/>
                <w:kern w:val="0"/>
                <w:sz w:val="21"/>
                <w:szCs w:val="21"/>
                <w:highlight w:val="none"/>
                <w:lang w:eastAsia="en-US"/>
              </w:rPr>
              <w:t>0.05</w:t>
            </w:r>
          </w:p>
        </w:tc>
        <w:tc>
          <w:tcPr>
            <w:tcW w:w="1498" w:type="dxa"/>
            <w:tcBorders>
              <w:tl2br w:val="nil"/>
              <w:tr2bl w:val="nil"/>
            </w:tcBorders>
            <w:vAlign w:val="center"/>
          </w:tcPr>
          <w:p w14:paraId="37337EB3">
            <w:pPr>
              <w:widowControl/>
              <w:kinsoku w:val="0"/>
              <w:snapToGrid w:val="0"/>
              <w:spacing w:before="72" w:line="233" w:lineRule="auto"/>
              <w:ind w:left="0" w:leftChars="0" w:firstLine="0" w:firstLineChars="0"/>
              <w:jc w:val="center"/>
              <w:textAlignment w:val="baseline"/>
              <w:rPr>
                <w:rFonts w:hint="default" w:ascii="Times New Roman" w:hAnsi="Times New Roman" w:eastAsia="Times New Roman" w:cs="Times New Roman"/>
                <w:snapToGrid w:val="0"/>
                <w:color w:val="000000"/>
                <w:kern w:val="0"/>
                <w:sz w:val="21"/>
                <w:szCs w:val="21"/>
                <w:highlight w:val="none"/>
                <w:lang w:eastAsia="en-US"/>
              </w:rPr>
            </w:pPr>
            <w:r>
              <w:rPr>
                <w:rFonts w:hint="default" w:ascii="Times New Roman" w:hAnsi="Times New Roman" w:eastAsia="Times New Roman" w:cs="Times New Roman"/>
                <w:snapToGrid w:val="0"/>
                <w:color w:val="000000"/>
                <w:spacing w:val="-2"/>
                <w:kern w:val="0"/>
                <w:sz w:val="21"/>
                <w:szCs w:val="21"/>
                <w:highlight w:val="none"/>
                <w:lang w:eastAsia="en-US"/>
              </w:rPr>
              <w:t>0.04</w:t>
            </w:r>
          </w:p>
        </w:tc>
      </w:tr>
      <w:tr w14:paraId="68ACF5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617" w:type="dxa"/>
            <w:tcBorders>
              <w:tl2br w:val="nil"/>
              <w:tr2bl w:val="nil"/>
            </w:tcBorders>
            <w:vAlign w:val="center"/>
          </w:tcPr>
          <w:p w14:paraId="589D6383">
            <w:pPr>
              <w:kinsoku w:val="0"/>
              <w:autoSpaceDE w:val="0"/>
              <w:autoSpaceDN w:val="0"/>
              <w:adjustRightInd w:val="0"/>
              <w:snapToGrid w:val="0"/>
              <w:spacing w:before="37"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是否需二沉池</w:t>
            </w:r>
          </w:p>
        </w:tc>
        <w:tc>
          <w:tcPr>
            <w:tcW w:w="1596" w:type="dxa"/>
            <w:tcBorders>
              <w:tl2br w:val="nil"/>
              <w:tr2bl w:val="nil"/>
            </w:tcBorders>
            <w:vAlign w:val="center"/>
          </w:tcPr>
          <w:p w14:paraId="71940D67">
            <w:pPr>
              <w:kinsoku w:val="0"/>
              <w:autoSpaceDE w:val="0"/>
              <w:autoSpaceDN w:val="0"/>
              <w:adjustRightInd w:val="0"/>
              <w:snapToGrid w:val="0"/>
              <w:spacing w:before="37" w:line="224"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是</w:t>
            </w:r>
          </w:p>
        </w:tc>
        <w:tc>
          <w:tcPr>
            <w:tcW w:w="1886" w:type="dxa"/>
            <w:tcBorders>
              <w:tl2br w:val="nil"/>
              <w:tr2bl w:val="nil"/>
            </w:tcBorders>
            <w:vAlign w:val="center"/>
          </w:tcPr>
          <w:p w14:paraId="24FD9489">
            <w:pPr>
              <w:kinsoku w:val="0"/>
              <w:autoSpaceDE w:val="0"/>
              <w:autoSpaceDN w:val="0"/>
              <w:adjustRightInd w:val="0"/>
              <w:snapToGrid w:val="0"/>
              <w:spacing w:before="37" w:line="224"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是</w:t>
            </w:r>
          </w:p>
        </w:tc>
        <w:tc>
          <w:tcPr>
            <w:tcW w:w="1597" w:type="dxa"/>
            <w:tcBorders>
              <w:tl2br w:val="nil"/>
              <w:tr2bl w:val="nil"/>
            </w:tcBorders>
            <w:vAlign w:val="center"/>
          </w:tcPr>
          <w:p w14:paraId="6658316C">
            <w:pPr>
              <w:kinsoku w:val="0"/>
              <w:autoSpaceDE w:val="0"/>
              <w:autoSpaceDN w:val="0"/>
              <w:adjustRightInd w:val="0"/>
              <w:snapToGrid w:val="0"/>
              <w:spacing w:before="37" w:line="224"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是</w:t>
            </w:r>
          </w:p>
        </w:tc>
        <w:tc>
          <w:tcPr>
            <w:tcW w:w="1498" w:type="dxa"/>
            <w:tcBorders>
              <w:tl2br w:val="nil"/>
              <w:tr2bl w:val="nil"/>
            </w:tcBorders>
            <w:vAlign w:val="center"/>
          </w:tcPr>
          <w:p w14:paraId="564336B9">
            <w:pPr>
              <w:kinsoku w:val="0"/>
              <w:autoSpaceDE w:val="0"/>
              <w:autoSpaceDN w:val="0"/>
              <w:adjustRightInd w:val="0"/>
              <w:snapToGrid w:val="0"/>
              <w:spacing w:before="37" w:line="224"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是</w:t>
            </w:r>
          </w:p>
        </w:tc>
      </w:tr>
      <w:tr w14:paraId="4D4890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617" w:type="dxa"/>
            <w:tcBorders>
              <w:tl2br w:val="nil"/>
              <w:tr2bl w:val="nil"/>
            </w:tcBorders>
            <w:vAlign w:val="center"/>
          </w:tcPr>
          <w:p w14:paraId="7B10A01E">
            <w:pPr>
              <w:kinsoku w:val="0"/>
              <w:autoSpaceDE w:val="0"/>
              <w:autoSpaceDN w:val="0"/>
              <w:adjustRightInd w:val="0"/>
              <w:snapToGrid w:val="0"/>
              <w:spacing w:before="42"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10"/>
                <w:kern w:val="0"/>
                <w:sz w:val="21"/>
                <w:szCs w:val="21"/>
                <w:highlight w:val="none"/>
                <w:lang w:val="en-US" w:eastAsia="en-US" w:bidi="ar-SA"/>
              </w:rPr>
              <w:t>占地面积</w:t>
            </w:r>
          </w:p>
        </w:tc>
        <w:tc>
          <w:tcPr>
            <w:tcW w:w="1596" w:type="dxa"/>
            <w:tcBorders>
              <w:tl2br w:val="nil"/>
              <w:tr2bl w:val="nil"/>
            </w:tcBorders>
            <w:vAlign w:val="center"/>
          </w:tcPr>
          <w:p w14:paraId="17DFEBC7">
            <w:pPr>
              <w:kinsoku w:val="0"/>
              <w:autoSpaceDE w:val="0"/>
              <w:autoSpaceDN w:val="0"/>
              <w:adjustRightInd w:val="0"/>
              <w:snapToGrid w:val="0"/>
              <w:spacing w:before="42"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大</w:t>
            </w:r>
          </w:p>
        </w:tc>
        <w:tc>
          <w:tcPr>
            <w:tcW w:w="1886" w:type="dxa"/>
            <w:tcBorders>
              <w:tl2br w:val="nil"/>
              <w:tr2bl w:val="nil"/>
            </w:tcBorders>
            <w:vAlign w:val="center"/>
          </w:tcPr>
          <w:p w14:paraId="4354CFF3">
            <w:pPr>
              <w:kinsoku w:val="0"/>
              <w:autoSpaceDE w:val="0"/>
              <w:autoSpaceDN w:val="0"/>
              <w:adjustRightInd w:val="0"/>
              <w:snapToGrid w:val="0"/>
              <w:spacing w:before="42" w:line="223"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较小</w:t>
            </w:r>
          </w:p>
        </w:tc>
        <w:tc>
          <w:tcPr>
            <w:tcW w:w="1597" w:type="dxa"/>
            <w:tcBorders>
              <w:tl2br w:val="nil"/>
              <w:tr2bl w:val="nil"/>
            </w:tcBorders>
            <w:vAlign w:val="center"/>
          </w:tcPr>
          <w:p w14:paraId="54E3A7CD">
            <w:pPr>
              <w:kinsoku w:val="0"/>
              <w:autoSpaceDE w:val="0"/>
              <w:autoSpaceDN w:val="0"/>
              <w:adjustRightInd w:val="0"/>
              <w:snapToGrid w:val="0"/>
              <w:spacing w:before="42" w:line="223"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较小</w:t>
            </w:r>
          </w:p>
        </w:tc>
        <w:tc>
          <w:tcPr>
            <w:tcW w:w="1498" w:type="dxa"/>
            <w:tcBorders>
              <w:tl2br w:val="nil"/>
              <w:tr2bl w:val="nil"/>
            </w:tcBorders>
            <w:vAlign w:val="center"/>
          </w:tcPr>
          <w:p w14:paraId="6330EE3F">
            <w:pPr>
              <w:kinsoku w:val="0"/>
              <w:autoSpaceDE w:val="0"/>
              <w:autoSpaceDN w:val="0"/>
              <w:adjustRightInd w:val="0"/>
              <w:snapToGrid w:val="0"/>
              <w:spacing w:before="42" w:line="223"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小</w:t>
            </w:r>
          </w:p>
        </w:tc>
      </w:tr>
      <w:tr w14:paraId="61EDD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617" w:type="dxa"/>
            <w:tcBorders>
              <w:tl2br w:val="nil"/>
              <w:tr2bl w:val="nil"/>
            </w:tcBorders>
            <w:vAlign w:val="center"/>
          </w:tcPr>
          <w:p w14:paraId="108A4068">
            <w:pPr>
              <w:kinsoku w:val="0"/>
              <w:autoSpaceDE w:val="0"/>
              <w:autoSpaceDN w:val="0"/>
              <w:adjustRightInd w:val="0"/>
              <w:snapToGrid w:val="0"/>
              <w:spacing w:before="43"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工艺流程</w:t>
            </w:r>
          </w:p>
        </w:tc>
        <w:tc>
          <w:tcPr>
            <w:tcW w:w="1596" w:type="dxa"/>
            <w:tcBorders>
              <w:tl2br w:val="nil"/>
              <w:tr2bl w:val="nil"/>
            </w:tcBorders>
            <w:vAlign w:val="center"/>
          </w:tcPr>
          <w:p w14:paraId="3C33C01C">
            <w:pPr>
              <w:kinsoku w:val="0"/>
              <w:autoSpaceDE w:val="0"/>
              <w:autoSpaceDN w:val="0"/>
              <w:adjustRightInd w:val="0"/>
              <w:snapToGrid w:val="0"/>
              <w:spacing w:before="42"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较复杂</w:t>
            </w:r>
          </w:p>
        </w:tc>
        <w:tc>
          <w:tcPr>
            <w:tcW w:w="1886" w:type="dxa"/>
            <w:tcBorders>
              <w:tl2br w:val="nil"/>
              <w:tr2bl w:val="nil"/>
            </w:tcBorders>
            <w:vAlign w:val="center"/>
          </w:tcPr>
          <w:p w14:paraId="60AEB9F3">
            <w:pPr>
              <w:kinsoku w:val="0"/>
              <w:autoSpaceDE w:val="0"/>
              <w:autoSpaceDN w:val="0"/>
              <w:adjustRightInd w:val="0"/>
              <w:snapToGrid w:val="0"/>
              <w:spacing w:before="42" w:line="220"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3"/>
                <w:kern w:val="0"/>
                <w:sz w:val="21"/>
                <w:szCs w:val="21"/>
                <w:highlight w:val="none"/>
                <w:lang w:val="en-US" w:eastAsia="en-US" w:bidi="ar-SA"/>
              </w:rPr>
              <w:t>简洁</w:t>
            </w:r>
          </w:p>
        </w:tc>
        <w:tc>
          <w:tcPr>
            <w:tcW w:w="1597" w:type="dxa"/>
            <w:tcBorders>
              <w:tl2br w:val="nil"/>
              <w:tr2bl w:val="nil"/>
            </w:tcBorders>
            <w:vAlign w:val="center"/>
          </w:tcPr>
          <w:p w14:paraId="719F36F3">
            <w:pPr>
              <w:kinsoku w:val="0"/>
              <w:autoSpaceDE w:val="0"/>
              <w:autoSpaceDN w:val="0"/>
              <w:adjustRightInd w:val="0"/>
              <w:snapToGrid w:val="0"/>
              <w:spacing w:before="42" w:line="220"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3"/>
                <w:kern w:val="0"/>
                <w:sz w:val="21"/>
                <w:szCs w:val="21"/>
                <w:highlight w:val="none"/>
                <w:lang w:val="en-US" w:eastAsia="en-US" w:bidi="ar-SA"/>
              </w:rPr>
              <w:t>简洁</w:t>
            </w:r>
          </w:p>
        </w:tc>
        <w:tc>
          <w:tcPr>
            <w:tcW w:w="1498" w:type="dxa"/>
            <w:tcBorders>
              <w:tl2br w:val="nil"/>
              <w:tr2bl w:val="nil"/>
            </w:tcBorders>
            <w:vAlign w:val="center"/>
          </w:tcPr>
          <w:p w14:paraId="17B0D3FC">
            <w:pPr>
              <w:kinsoku w:val="0"/>
              <w:autoSpaceDE w:val="0"/>
              <w:autoSpaceDN w:val="0"/>
              <w:adjustRightInd w:val="0"/>
              <w:snapToGrid w:val="0"/>
              <w:spacing w:before="42" w:line="220"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3"/>
                <w:kern w:val="0"/>
                <w:sz w:val="21"/>
                <w:szCs w:val="21"/>
                <w:highlight w:val="none"/>
                <w:lang w:val="en-US" w:eastAsia="en-US" w:bidi="ar-SA"/>
              </w:rPr>
              <w:t>简洁</w:t>
            </w:r>
          </w:p>
        </w:tc>
      </w:tr>
      <w:tr w14:paraId="1D3054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617" w:type="dxa"/>
            <w:tcBorders>
              <w:tl2br w:val="nil"/>
              <w:tr2bl w:val="nil"/>
            </w:tcBorders>
            <w:vAlign w:val="center"/>
          </w:tcPr>
          <w:p w14:paraId="20A2F2CB">
            <w:pPr>
              <w:kinsoku w:val="0"/>
              <w:autoSpaceDE w:val="0"/>
              <w:autoSpaceDN w:val="0"/>
              <w:adjustRightInd w:val="0"/>
              <w:snapToGrid w:val="0"/>
              <w:spacing w:before="45" w:line="222"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反冲洗系统</w:t>
            </w:r>
          </w:p>
        </w:tc>
        <w:tc>
          <w:tcPr>
            <w:tcW w:w="1596" w:type="dxa"/>
            <w:tcBorders>
              <w:tl2br w:val="nil"/>
              <w:tr2bl w:val="nil"/>
            </w:tcBorders>
            <w:vAlign w:val="center"/>
          </w:tcPr>
          <w:p w14:paraId="1ECC6B81">
            <w:pPr>
              <w:kinsoku w:val="0"/>
              <w:autoSpaceDE w:val="0"/>
              <w:autoSpaceDN w:val="0"/>
              <w:adjustRightInd w:val="0"/>
              <w:snapToGrid w:val="0"/>
              <w:spacing w:before="45"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有</w:t>
            </w:r>
          </w:p>
        </w:tc>
        <w:tc>
          <w:tcPr>
            <w:tcW w:w="1886" w:type="dxa"/>
            <w:tcBorders>
              <w:tl2br w:val="nil"/>
              <w:tr2bl w:val="nil"/>
            </w:tcBorders>
            <w:vAlign w:val="center"/>
          </w:tcPr>
          <w:p w14:paraId="55E1A817">
            <w:pPr>
              <w:kinsoku w:val="0"/>
              <w:autoSpaceDE w:val="0"/>
              <w:autoSpaceDN w:val="0"/>
              <w:adjustRightInd w:val="0"/>
              <w:snapToGrid w:val="0"/>
              <w:spacing w:before="45"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有</w:t>
            </w:r>
          </w:p>
        </w:tc>
        <w:tc>
          <w:tcPr>
            <w:tcW w:w="1597" w:type="dxa"/>
            <w:tcBorders>
              <w:tl2br w:val="nil"/>
              <w:tr2bl w:val="nil"/>
            </w:tcBorders>
            <w:vAlign w:val="center"/>
          </w:tcPr>
          <w:p w14:paraId="1FADD02E">
            <w:pPr>
              <w:kinsoku w:val="0"/>
              <w:autoSpaceDE w:val="0"/>
              <w:autoSpaceDN w:val="0"/>
              <w:adjustRightInd w:val="0"/>
              <w:snapToGrid w:val="0"/>
              <w:spacing w:before="45"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有</w:t>
            </w:r>
          </w:p>
        </w:tc>
        <w:tc>
          <w:tcPr>
            <w:tcW w:w="1498" w:type="dxa"/>
            <w:tcBorders>
              <w:tl2br w:val="nil"/>
              <w:tr2bl w:val="nil"/>
            </w:tcBorders>
            <w:vAlign w:val="center"/>
          </w:tcPr>
          <w:p w14:paraId="6A3782FC">
            <w:pPr>
              <w:kinsoku w:val="0"/>
              <w:autoSpaceDE w:val="0"/>
              <w:autoSpaceDN w:val="0"/>
              <w:adjustRightInd w:val="0"/>
              <w:snapToGrid w:val="0"/>
              <w:spacing w:before="45"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有</w:t>
            </w:r>
          </w:p>
        </w:tc>
      </w:tr>
      <w:tr w14:paraId="67611C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617" w:type="dxa"/>
            <w:tcBorders>
              <w:tl2br w:val="nil"/>
              <w:tr2bl w:val="nil"/>
            </w:tcBorders>
            <w:vAlign w:val="center"/>
          </w:tcPr>
          <w:p w14:paraId="6A8871EF">
            <w:pPr>
              <w:kinsoku w:val="0"/>
              <w:autoSpaceDE w:val="0"/>
              <w:autoSpaceDN w:val="0"/>
              <w:adjustRightInd w:val="0"/>
              <w:snapToGrid w:val="0"/>
              <w:spacing w:before="47"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1"/>
                <w:kern w:val="0"/>
                <w:sz w:val="21"/>
                <w:szCs w:val="21"/>
                <w:highlight w:val="none"/>
                <w:lang w:val="en-US" w:eastAsia="en-US" w:bidi="ar-SA"/>
              </w:rPr>
              <w:t>对操作人员技术要求</w:t>
            </w:r>
          </w:p>
        </w:tc>
        <w:tc>
          <w:tcPr>
            <w:tcW w:w="1596" w:type="dxa"/>
            <w:tcBorders>
              <w:tl2br w:val="nil"/>
              <w:tr2bl w:val="nil"/>
            </w:tcBorders>
            <w:vAlign w:val="center"/>
          </w:tcPr>
          <w:p w14:paraId="4150FBD4">
            <w:pPr>
              <w:kinsoku w:val="0"/>
              <w:autoSpaceDE w:val="0"/>
              <w:autoSpaceDN w:val="0"/>
              <w:adjustRightInd w:val="0"/>
              <w:snapToGrid w:val="0"/>
              <w:spacing w:before="47"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较高</w:t>
            </w:r>
          </w:p>
        </w:tc>
        <w:tc>
          <w:tcPr>
            <w:tcW w:w="1886" w:type="dxa"/>
            <w:tcBorders>
              <w:tl2br w:val="nil"/>
              <w:tr2bl w:val="nil"/>
            </w:tcBorders>
            <w:vAlign w:val="center"/>
          </w:tcPr>
          <w:p w14:paraId="44B88AD4">
            <w:pPr>
              <w:kinsoku w:val="0"/>
              <w:autoSpaceDE w:val="0"/>
              <w:autoSpaceDN w:val="0"/>
              <w:adjustRightInd w:val="0"/>
              <w:snapToGrid w:val="0"/>
              <w:spacing w:before="47" w:line="222"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低</w:t>
            </w:r>
          </w:p>
        </w:tc>
        <w:tc>
          <w:tcPr>
            <w:tcW w:w="1597" w:type="dxa"/>
            <w:tcBorders>
              <w:tl2br w:val="nil"/>
              <w:tr2bl w:val="nil"/>
            </w:tcBorders>
            <w:vAlign w:val="center"/>
          </w:tcPr>
          <w:p w14:paraId="27960E81">
            <w:pPr>
              <w:kinsoku w:val="0"/>
              <w:autoSpaceDE w:val="0"/>
              <w:autoSpaceDN w:val="0"/>
              <w:adjustRightInd w:val="0"/>
              <w:snapToGrid w:val="0"/>
              <w:spacing w:before="47" w:line="222"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低</w:t>
            </w:r>
          </w:p>
        </w:tc>
        <w:tc>
          <w:tcPr>
            <w:tcW w:w="1498" w:type="dxa"/>
            <w:tcBorders>
              <w:tl2br w:val="nil"/>
              <w:tr2bl w:val="nil"/>
            </w:tcBorders>
            <w:vAlign w:val="center"/>
          </w:tcPr>
          <w:p w14:paraId="55D959D4">
            <w:pPr>
              <w:kinsoku w:val="0"/>
              <w:autoSpaceDE w:val="0"/>
              <w:autoSpaceDN w:val="0"/>
              <w:adjustRightInd w:val="0"/>
              <w:snapToGrid w:val="0"/>
              <w:spacing w:before="47" w:line="222"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kern w:val="0"/>
                <w:sz w:val="21"/>
                <w:szCs w:val="21"/>
                <w:highlight w:val="none"/>
                <w:lang w:val="en-US" w:eastAsia="en-US" w:bidi="ar-SA"/>
              </w:rPr>
              <w:t>低</w:t>
            </w:r>
          </w:p>
        </w:tc>
      </w:tr>
      <w:tr w14:paraId="2C1C69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617" w:type="dxa"/>
            <w:tcBorders>
              <w:tl2br w:val="nil"/>
              <w:tr2bl w:val="nil"/>
            </w:tcBorders>
            <w:vAlign w:val="center"/>
          </w:tcPr>
          <w:p w14:paraId="1EC99E0C">
            <w:pPr>
              <w:kinsoku w:val="0"/>
              <w:autoSpaceDE w:val="0"/>
              <w:autoSpaceDN w:val="0"/>
              <w:adjustRightInd w:val="0"/>
              <w:snapToGrid w:val="0"/>
              <w:spacing w:before="49"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3"/>
                <w:kern w:val="0"/>
                <w:sz w:val="21"/>
                <w:szCs w:val="21"/>
                <w:highlight w:val="none"/>
                <w:lang w:val="en-US" w:eastAsia="en-US" w:bidi="ar-SA"/>
              </w:rPr>
              <w:t>维护管理</w:t>
            </w:r>
          </w:p>
        </w:tc>
        <w:tc>
          <w:tcPr>
            <w:tcW w:w="1596" w:type="dxa"/>
            <w:tcBorders>
              <w:tl2br w:val="nil"/>
              <w:tr2bl w:val="nil"/>
            </w:tcBorders>
            <w:vAlign w:val="center"/>
          </w:tcPr>
          <w:p w14:paraId="189AF66E">
            <w:pPr>
              <w:kinsoku w:val="0"/>
              <w:autoSpaceDE w:val="0"/>
              <w:autoSpaceDN w:val="0"/>
              <w:adjustRightInd w:val="0"/>
              <w:snapToGrid w:val="0"/>
              <w:spacing w:before="49"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较复杂</w:t>
            </w:r>
          </w:p>
        </w:tc>
        <w:tc>
          <w:tcPr>
            <w:tcW w:w="1886" w:type="dxa"/>
            <w:tcBorders>
              <w:tl2br w:val="nil"/>
              <w:tr2bl w:val="nil"/>
            </w:tcBorders>
            <w:vAlign w:val="center"/>
          </w:tcPr>
          <w:p w14:paraId="2EEDB281">
            <w:pPr>
              <w:kinsoku w:val="0"/>
              <w:autoSpaceDE w:val="0"/>
              <w:autoSpaceDN w:val="0"/>
              <w:adjustRightInd w:val="0"/>
              <w:snapToGrid w:val="0"/>
              <w:spacing w:before="50" w:line="220"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3"/>
                <w:kern w:val="0"/>
                <w:sz w:val="21"/>
                <w:szCs w:val="21"/>
                <w:highlight w:val="none"/>
                <w:lang w:val="en-US" w:eastAsia="en-US" w:bidi="ar-SA"/>
              </w:rPr>
              <w:t>简单</w:t>
            </w:r>
          </w:p>
        </w:tc>
        <w:tc>
          <w:tcPr>
            <w:tcW w:w="1597" w:type="dxa"/>
            <w:tcBorders>
              <w:tl2br w:val="nil"/>
              <w:tr2bl w:val="nil"/>
            </w:tcBorders>
            <w:vAlign w:val="center"/>
          </w:tcPr>
          <w:p w14:paraId="55D059E3">
            <w:pPr>
              <w:kinsoku w:val="0"/>
              <w:autoSpaceDE w:val="0"/>
              <w:autoSpaceDN w:val="0"/>
              <w:adjustRightInd w:val="0"/>
              <w:snapToGrid w:val="0"/>
              <w:spacing w:before="50" w:line="220"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3"/>
                <w:kern w:val="0"/>
                <w:sz w:val="21"/>
                <w:szCs w:val="21"/>
                <w:highlight w:val="none"/>
                <w:lang w:val="en-US" w:eastAsia="en-US" w:bidi="ar-SA"/>
              </w:rPr>
              <w:t>简单</w:t>
            </w:r>
          </w:p>
        </w:tc>
        <w:tc>
          <w:tcPr>
            <w:tcW w:w="1498" w:type="dxa"/>
            <w:tcBorders>
              <w:tl2br w:val="nil"/>
              <w:tr2bl w:val="nil"/>
            </w:tcBorders>
            <w:vAlign w:val="center"/>
          </w:tcPr>
          <w:p w14:paraId="3110F73C">
            <w:pPr>
              <w:kinsoku w:val="0"/>
              <w:autoSpaceDE w:val="0"/>
              <w:autoSpaceDN w:val="0"/>
              <w:adjustRightInd w:val="0"/>
              <w:snapToGrid w:val="0"/>
              <w:spacing w:before="50" w:line="220"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3"/>
                <w:kern w:val="0"/>
                <w:sz w:val="21"/>
                <w:szCs w:val="21"/>
                <w:highlight w:val="none"/>
                <w:lang w:val="en-US" w:eastAsia="en-US" w:bidi="ar-SA"/>
              </w:rPr>
              <w:t>简单</w:t>
            </w:r>
          </w:p>
        </w:tc>
      </w:tr>
      <w:tr w14:paraId="22A4FD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2617" w:type="dxa"/>
            <w:tcBorders>
              <w:tl2br w:val="nil"/>
              <w:tr2bl w:val="nil"/>
            </w:tcBorders>
            <w:vAlign w:val="center"/>
          </w:tcPr>
          <w:p w14:paraId="45630970">
            <w:pPr>
              <w:kinsoku w:val="0"/>
              <w:autoSpaceDE w:val="0"/>
              <w:autoSpaceDN w:val="0"/>
              <w:adjustRightInd w:val="0"/>
              <w:snapToGrid w:val="0"/>
              <w:spacing w:before="54"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3"/>
                <w:kern w:val="0"/>
                <w:sz w:val="21"/>
                <w:szCs w:val="21"/>
                <w:highlight w:val="none"/>
                <w:lang w:val="en-US" w:eastAsia="en-US" w:bidi="ar-SA"/>
              </w:rPr>
              <w:t>出水水质及稳定性</w:t>
            </w:r>
          </w:p>
        </w:tc>
        <w:tc>
          <w:tcPr>
            <w:tcW w:w="1596" w:type="dxa"/>
            <w:tcBorders>
              <w:tl2br w:val="nil"/>
              <w:tr2bl w:val="nil"/>
            </w:tcBorders>
            <w:vAlign w:val="center"/>
          </w:tcPr>
          <w:p w14:paraId="18054ACA">
            <w:pPr>
              <w:kinsoku w:val="0"/>
              <w:autoSpaceDE w:val="0"/>
              <w:autoSpaceDN w:val="0"/>
              <w:adjustRightInd w:val="0"/>
              <w:snapToGrid w:val="0"/>
              <w:spacing w:before="54"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较好</w:t>
            </w:r>
          </w:p>
        </w:tc>
        <w:tc>
          <w:tcPr>
            <w:tcW w:w="1886" w:type="dxa"/>
            <w:tcBorders>
              <w:tl2br w:val="nil"/>
              <w:tr2bl w:val="nil"/>
            </w:tcBorders>
            <w:vAlign w:val="center"/>
          </w:tcPr>
          <w:p w14:paraId="3361D17B">
            <w:pPr>
              <w:kinsoku w:val="0"/>
              <w:autoSpaceDE w:val="0"/>
              <w:autoSpaceDN w:val="0"/>
              <w:adjustRightInd w:val="0"/>
              <w:snapToGrid w:val="0"/>
              <w:spacing w:before="54"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较好</w:t>
            </w:r>
          </w:p>
        </w:tc>
        <w:tc>
          <w:tcPr>
            <w:tcW w:w="1597" w:type="dxa"/>
            <w:tcBorders>
              <w:tl2br w:val="nil"/>
              <w:tr2bl w:val="nil"/>
            </w:tcBorders>
            <w:vAlign w:val="center"/>
          </w:tcPr>
          <w:p w14:paraId="079E40FE">
            <w:pPr>
              <w:kinsoku w:val="0"/>
              <w:autoSpaceDE w:val="0"/>
              <w:autoSpaceDN w:val="0"/>
              <w:adjustRightInd w:val="0"/>
              <w:snapToGrid w:val="0"/>
              <w:spacing w:before="54"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较好</w:t>
            </w:r>
          </w:p>
        </w:tc>
        <w:tc>
          <w:tcPr>
            <w:tcW w:w="1498" w:type="dxa"/>
            <w:tcBorders>
              <w:tl2br w:val="nil"/>
              <w:tr2bl w:val="nil"/>
            </w:tcBorders>
            <w:vAlign w:val="center"/>
          </w:tcPr>
          <w:p w14:paraId="5D266D53">
            <w:pPr>
              <w:kinsoku w:val="0"/>
              <w:autoSpaceDE w:val="0"/>
              <w:autoSpaceDN w:val="0"/>
              <w:adjustRightInd w:val="0"/>
              <w:snapToGrid w:val="0"/>
              <w:spacing w:before="54" w:line="221" w:lineRule="auto"/>
              <w:jc w:val="center"/>
              <w:textAlignment w:val="baseline"/>
              <w:rPr>
                <w:rFonts w:hint="default" w:ascii="Times New Roman" w:hAnsi="Times New Roman" w:eastAsia="宋体" w:cs="Times New Roman"/>
                <w:snapToGrid w:val="0"/>
                <w:color w:val="000000"/>
                <w:kern w:val="0"/>
                <w:sz w:val="21"/>
                <w:szCs w:val="21"/>
                <w:highlight w:val="none"/>
                <w:lang w:val="en-US" w:eastAsia="en-US" w:bidi="ar-SA"/>
              </w:rPr>
            </w:pPr>
            <w:r>
              <w:rPr>
                <w:rFonts w:hint="default" w:ascii="Times New Roman" w:hAnsi="Times New Roman" w:eastAsia="宋体" w:cs="Times New Roman"/>
                <w:snapToGrid w:val="0"/>
                <w:color w:val="000000"/>
                <w:spacing w:val="-2"/>
                <w:kern w:val="0"/>
                <w:sz w:val="21"/>
                <w:szCs w:val="21"/>
                <w:highlight w:val="none"/>
                <w:lang w:val="en-US" w:eastAsia="en-US" w:bidi="ar-SA"/>
              </w:rPr>
              <w:t>较好</w:t>
            </w:r>
          </w:p>
        </w:tc>
      </w:tr>
    </w:tbl>
    <w:p w14:paraId="03F1ECCC">
      <w:pPr>
        <w:pStyle w:val="31"/>
        <w:spacing w:before="78" w:line="360" w:lineRule="auto"/>
        <w:ind w:left="39"/>
        <w:rPr>
          <w:rFonts w:hint="default" w:ascii="Times New Roman" w:hAnsi="Times New Roman" w:cs="Times New Roman" w:eastAsiaTheme="minorEastAsia"/>
          <w:spacing w:val="-3"/>
          <w:kern w:val="0"/>
          <w:sz w:val="24"/>
          <w:szCs w:val="24"/>
          <w:highlight w:val="none"/>
          <w:lang w:val="en-US" w:eastAsia="zh-CN" w:bidi="ar-SA"/>
        </w:rPr>
      </w:pPr>
      <w:r>
        <w:rPr>
          <w:rFonts w:hint="default" w:ascii="Times New Roman" w:hAnsi="Times New Roman" w:cs="Times New Roman" w:eastAsiaTheme="minorEastAsia"/>
          <w:spacing w:val="-3"/>
          <w:kern w:val="0"/>
          <w:sz w:val="24"/>
          <w:szCs w:val="24"/>
          <w:highlight w:val="none"/>
          <w:lang w:val="en-US" w:eastAsia="zh-CN" w:bidi="ar-SA"/>
        </w:rPr>
        <w:t>综合考虑，本工程的深度处理工艺主要是为了满足因二级处理无法满足出水SS、 TP 等指标，并应对水质水量波动保障出水达标。因此， 结合本工程处理规模及滤前采用的絮凝沉淀工艺，根据上表的比较，在保证出水稳定性的前提下，为满足工程用地要求，本工程推荐选用精密过滤单元。</w:t>
      </w:r>
    </w:p>
    <w:p w14:paraId="3B8CADB9">
      <w:pPr>
        <w:pStyle w:val="381"/>
        <w:numPr>
          <w:ilvl w:val="3"/>
          <w:numId w:val="0"/>
        </w:numP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3.3.6.7 出水消毒工艺选择</w:t>
      </w:r>
    </w:p>
    <w:p w14:paraId="55CAA7B1">
      <w:pPr>
        <w:pStyle w:val="381"/>
        <w:numPr>
          <w:ilvl w:val="3"/>
          <w:numId w:val="0"/>
        </w:numPr>
        <w:outlineLvl w:val="9"/>
        <w:rPr>
          <w:rFonts w:hint="default" w:ascii="Times New Roman" w:hAnsi="Times New Roman" w:cs="Times New Roman" w:eastAsiaTheme="minorEastAsia"/>
          <w:b w:val="0"/>
          <w:bCs w:val="0"/>
          <w:spacing w:val="-3"/>
          <w:kern w:val="0"/>
          <w:sz w:val="24"/>
          <w:szCs w:val="24"/>
          <w:highlight w:val="none"/>
          <w:lang w:val="en-US" w:eastAsia="zh-CN" w:bidi="ar-SA"/>
        </w:rPr>
      </w:pPr>
      <w:r>
        <w:rPr>
          <w:rFonts w:hint="default" w:ascii="Times New Roman" w:hAnsi="Times New Roman" w:cs="Times New Roman" w:eastAsiaTheme="minorEastAsia"/>
          <w:b w:val="0"/>
          <w:bCs w:val="0"/>
          <w:spacing w:val="-3"/>
          <w:kern w:val="0"/>
          <w:sz w:val="24"/>
          <w:szCs w:val="24"/>
          <w:highlight w:val="none"/>
          <w:lang w:val="en-US" w:eastAsia="zh-CN" w:bidi="ar-SA"/>
        </w:rPr>
        <w:tab/>
      </w:r>
      <w:r>
        <w:rPr>
          <w:rFonts w:hint="default" w:ascii="Times New Roman" w:hAnsi="Times New Roman" w:cs="Times New Roman" w:eastAsiaTheme="minorEastAsia"/>
          <w:b w:val="0"/>
          <w:bCs w:val="0"/>
          <w:spacing w:val="-3"/>
          <w:kern w:val="0"/>
          <w:sz w:val="24"/>
          <w:szCs w:val="24"/>
          <w:highlight w:val="none"/>
          <w:lang w:val="en-US" w:eastAsia="zh-CN" w:bidi="ar-SA"/>
        </w:rPr>
        <w:t>根据《城镇污水处理厂污染物排放标准》</w:t>
      </w:r>
      <w:r>
        <w:rPr>
          <w:rFonts w:hint="eastAsia" w:cs="Times New Roman" w:eastAsiaTheme="minorEastAsia"/>
          <w:b w:val="0"/>
          <w:bCs w:val="0"/>
          <w:spacing w:val="-3"/>
          <w:kern w:val="0"/>
          <w:sz w:val="24"/>
          <w:szCs w:val="24"/>
          <w:highlight w:val="none"/>
          <w:lang w:val="en-US" w:eastAsia="zh-CN" w:bidi="ar-SA"/>
        </w:rPr>
        <w:t>（GB18918-2002）修改单</w:t>
      </w:r>
      <w:r>
        <w:rPr>
          <w:rFonts w:hint="default" w:ascii="Times New Roman" w:hAnsi="Times New Roman" w:cs="Times New Roman" w:eastAsiaTheme="minorEastAsia"/>
          <w:b w:val="0"/>
          <w:bCs w:val="0"/>
          <w:spacing w:val="-3"/>
          <w:kern w:val="0"/>
          <w:sz w:val="24"/>
          <w:szCs w:val="24"/>
          <w:highlight w:val="none"/>
          <w:lang w:val="en-US" w:eastAsia="zh-CN" w:bidi="ar-SA"/>
        </w:rPr>
        <w:t>的规定，污水处理厂出水必须进行消毒处理。</w:t>
      </w:r>
    </w:p>
    <w:p w14:paraId="48F79686">
      <w:pPr>
        <w:pStyle w:val="31"/>
        <w:spacing w:before="18" w:line="219" w:lineRule="auto"/>
        <w:ind w:left="0" w:leftChars="0" w:firstLine="420" w:firstLineChars="0"/>
        <w:rPr>
          <w:rFonts w:hint="default" w:ascii="Times New Roman" w:hAnsi="Times New Roman" w:cs="Times New Roman" w:eastAsiaTheme="minorEastAsia"/>
          <w:b w:val="0"/>
          <w:bCs w:val="0"/>
          <w:spacing w:val="-3"/>
          <w:kern w:val="0"/>
          <w:sz w:val="24"/>
          <w:szCs w:val="24"/>
          <w:highlight w:val="none"/>
          <w:lang w:val="en-US" w:eastAsia="zh-CN" w:bidi="ar-SA"/>
        </w:rPr>
      </w:pPr>
      <w:r>
        <w:rPr>
          <w:rFonts w:hint="default" w:ascii="Times New Roman" w:hAnsi="Times New Roman" w:cs="Times New Roman" w:eastAsiaTheme="minorEastAsia"/>
          <w:b w:val="0"/>
          <w:bCs w:val="0"/>
          <w:spacing w:val="-3"/>
          <w:kern w:val="0"/>
          <w:sz w:val="24"/>
          <w:szCs w:val="24"/>
          <w:highlight w:val="none"/>
          <w:lang w:val="en-US" w:eastAsia="zh-CN" w:bidi="ar-SA"/>
        </w:rPr>
        <w:t>常用的消毒方法有加氯消毒、氧化法消毒、紫外线消毒等。</w:t>
      </w:r>
    </w:p>
    <w:p w14:paraId="10559DCA">
      <w:pPr>
        <w:pStyle w:val="189"/>
        <w:ind w:left="0" w:leftChars="0" w:firstLine="420" w:firstLineChars="0"/>
        <w:rPr>
          <w:rFonts w:hint="default" w:ascii="Times New Roman" w:hAnsi="Times New Roman" w:cs="Times New Roman"/>
          <w:spacing w:val="-10"/>
          <w:highlight w:val="none"/>
        </w:rPr>
      </w:pPr>
      <w:r>
        <w:rPr>
          <w:rFonts w:hint="default" w:ascii="Times New Roman" w:hAnsi="Times New Roman" w:cs="Times New Roman" w:eastAsiaTheme="minorEastAsia"/>
          <w:b w:val="0"/>
          <w:bCs w:val="0"/>
          <w:spacing w:val="-3"/>
          <w:kern w:val="0"/>
          <w:sz w:val="24"/>
          <w:szCs w:val="24"/>
          <w:highlight w:val="none"/>
          <w:lang w:val="en-US" w:eastAsia="zh-CN" w:bidi="ar-SA"/>
        </w:rPr>
        <w:t>目前广泛应用于我国城市污水处理厂的消毒方法主要有液氯、次氯酸钠和紫外线消毒等</w:t>
      </w:r>
      <w:r>
        <w:rPr>
          <w:rFonts w:hint="default" w:ascii="Times New Roman" w:hAnsi="Times New Roman" w:cs="Times New Roman"/>
          <w:spacing w:val="-10"/>
          <w:highlight w:val="none"/>
        </w:rPr>
        <w:t>。</w:t>
      </w:r>
    </w:p>
    <w:p w14:paraId="401785CD">
      <w:pPr>
        <w:pStyle w:val="189"/>
        <w:spacing w:line="240" w:lineRule="auto"/>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表3.3-13 常用消毒技术比较表</w:t>
      </w:r>
    </w:p>
    <w:tbl>
      <w:tblPr>
        <w:tblStyle w:val="402"/>
        <w:tblW w:w="9178" w:type="dxa"/>
        <w:tblInd w:w="15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45"/>
        <w:gridCol w:w="4112"/>
        <w:gridCol w:w="3821"/>
      </w:tblGrid>
      <w:tr w14:paraId="132FFE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45" w:type="dxa"/>
            <w:tcBorders>
              <w:tl2br w:val="nil"/>
              <w:tr2bl w:val="nil"/>
            </w:tcBorders>
            <w:vAlign w:val="top"/>
          </w:tcPr>
          <w:p w14:paraId="649C284F">
            <w:pPr>
              <w:pStyle w:val="435"/>
              <w:widowControl w:val="0"/>
              <w:spacing w:before="179" w:line="221" w:lineRule="auto"/>
              <w:ind w:left="153"/>
              <w:rPr>
                <w:rFonts w:hint="default" w:ascii="Times New Roman" w:hAnsi="Times New Roman" w:cs="Times New Roman"/>
                <w:sz w:val="21"/>
                <w:szCs w:val="21"/>
                <w:highlight w:val="none"/>
              </w:rPr>
            </w:pPr>
            <w:r>
              <w:rPr>
                <w:rFonts w:hint="default" w:ascii="Times New Roman" w:hAnsi="Times New Roman" w:cs="Times New Roman"/>
                <w:spacing w:val="-3"/>
                <w:sz w:val="21"/>
                <w:szCs w:val="21"/>
                <w:highlight w:val="none"/>
              </w:rPr>
              <w:t>消毒技术</w:t>
            </w:r>
          </w:p>
        </w:tc>
        <w:tc>
          <w:tcPr>
            <w:tcW w:w="4112" w:type="dxa"/>
            <w:tcBorders>
              <w:tl2br w:val="nil"/>
              <w:tr2bl w:val="nil"/>
            </w:tcBorders>
            <w:vAlign w:val="top"/>
          </w:tcPr>
          <w:p w14:paraId="2184FFD2">
            <w:pPr>
              <w:pStyle w:val="435"/>
              <w:widowControl w:val="0"/>
              <w:spacing w:before="179" w:line="221" w:lineRule="auto"/>
              <w:ind w:left="1700"/>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优点</w:t>
            </w:r>
          </w:p>
        </w:tc>
        <w:tc>
          <w:tcPr>
            <w:tcW w:w="3821" w:type="dxa"/>
            <w:tcBorders>
              <w:tl2br w:val="nil"/>
              <w:tr2bl w:val="nil"/>
            </w:tcBorders>
            <w:vAlign w:val="top"/>
          </w:tcPr>
          <w:p w14:paraId="3D1B1F4B">
            <w:pPr>
              <w:pStyle w:val="435"/>
              <w:widowControl w:val="0"/>
              <w:spacing w:before="180" w:line="221" w:lineRule="auto"/>
              <w:ind w:left="1568"/>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缺点</w:t>
            </w:r>
          </w:p>
        </w:tc>
      </w:tr>
      <w:tr w14:paraId="6B36A2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29" w:hRule="atLeast"/>
        </w:trPr>
        <w:tc>
          <w:tcPr>
            <w:tcW w:w="1245" w:type="dxa"/>
            <w:tcBorders>
              <w:tl2br w:val="nil"/>
              <w:tr2bl w:val="nil"/>
            </w:tcBorders>
            <w:vAlign w:val="top"/>
          </w:tcPr>
          <w:p w14:paraId="62B357A2">
            <w:pPr>
              <w:spacing w:line="330" w:lineRule="auto"/>
              <w:rPr>
                <w:rFonts w:hint="default" w:ascii="Times New Roman" w:hAnsi="Times New Roman" w:cs="Times New Roman"/>
                <w:sz w:val="21"/>
                <w:highlight w:val="none"/>
              </w:rPr>
            </w:pPr>
          </w:p>
          <w:p w14:paraId="34320CAD">
            <w:pPr>
              <w:pStyle w:val="435"/>
              <w:widowControl w:val="0"/>
              <w:spacing w:before="69"/>
              <w:ind w:left="361" w:right="265" w:hanging="104"/>
              <w:rPr>
                <w:rFonts w:hint="default" w:ascii="Times New Roman" w:hAnsi="Times New Roman" w:cs="Times New Roman"/>
                <w:sz w:val="21"/>
                <w:szCs w:val="21"/>
                <w:highlight w:val="none"/>
              </w:rPr>
            </w:pPr>
            <w:r>
              <w:rPr>
                <w:rFonts w:hint="default" w:ascii="Times New Roman" w:hAnsi="Times New Roman" w:cs="Times New Roman"/>
                <w:spacing w:val="-4"/>
                <w:sz w:val="21"/>
                <w:szCs w:val="21"/>
                <w:highlight w:val="none"/>
              </w:rPr>
              <w:t>紫外线</w:t>
            </w:r>
            <w:r>
              <w:rPr>
                <w:rFonts w:hint="default" w:ascii="Times New Roman" w:hAnsi="Times New Roman" w:cs="Times New Roman"/>
                <w:spacing w:val="-3"/>
                <w:sz w:val="21"/>
                <w:szCs w:val="21"/>
                <w:highlight w:val="none"/>
              </w:rPr>
              <w:t>消毒</w:t>
            </w:r>
          </w:p>
        </w:tc>
        <w:tc>
          <w:tcPr>
            <w:tcW w:w="4112" w:type="dxa"/>
            <w:tcBorders>
              <w:tl2br w:val="nil"/>
              <w:tr2bl w:val="nil"/>
            </w:tcBorders>
            <w:vAlign w:val="top"/>
          </w:tcPr>
          <w:p w14:paraId="2447CD8C">
            <w:pPr>
              <w:pStyle w:val="435"/>
              <w:widowControl w:val="0"/>
              <w:spacing w:before="127" w:line="234" w:lineRule="auto"/>
              <w:ind w:left="118"/>
              <w:rPr>
                <w:rFonts w:hint="default" w:ascii="Times New Roman" w:hAnsi="Times New Roman" w:cs="Times New Roman"/>
                <w:sz w:val="21"/>
                <w:szCs w:val="21"/>
                <w:highlight w:val="none"/>
              </w:rPr>
            </w:pPr>
            <w:r>
              <w:rPr>
                <w:rFonts w:hint="default" w:ascii="Times New Roman" w:hAnsi="Times New Roman" w:eastAsia="Times New Roman" w:cs="Times New Roman"/>
                <w:spacing w:val="-4"/>
                <w:sz w:val="21"/>
                <w:szCs w:val="21"/>
                <w:highlight w:val="none"/>
              </w:rPr>
              <w:t>1</w:t>
            </w:r>
            <w:r>
              <w:rPr>
                <w:rFonts w:hint="default" w:ascii="Times New Roman" w:hAnsi="Times New Roman" w:eastAsia="Times New Roman" w:cs="Times New Roman"/>
                <w:spacing w:val="17"/>
                <w:w w:val="101"/>
                <w:sz w:val="21"/>
                <w:szCs w:val="21"/>
                <w:highlight w:val="none"/>
              </w:rPr>
              <w:t xml:space="preserve"> </w:t>
            </w:r>
            <w:r>
              <w:rPr>
                <w:rFonts w:hint="default" w:ascii="Times New Roman" w:hAnsi="Times New Roman" w:cs="Times New Roman"/>
                <w:spacing w:val="-4"/>
                <w:sz w:val="21"/>
                <w:szCs w:val="21"/>
                <w:highlight w:val="none"/>
              </w:rPr>
              <w:t>消毒速度快，效率高</w:t>
            </w:r>
          </w:p>
          <w:p w14:paraId="534A43BB">
            <w:pPr>
              <w:pStyle w:val="435"/>
              <w:widowControl w:val="0"/>
              <w:spacing w:before="7" w:line="234" w:lineRule="auto"/>
              <w:ind w:left="98"/>
              <w:rPr>
                <w:rFonts w:hint="default" w:ascii="Times New Roman" w:hAnsi="Times New Roman" w:cs="Times New Roman"/>
                <w:sz w:val="21"/>
                <w:szCs w:val="21"/>
                <w:highlight w:val="none"/>
              </w:rPr>
            </w:pPr>
            <w:r>
              <w:rPr>
                <w:rFonts w:hint="default" w:ascii="Times New Roman" w:hAnsi="Times New Roman" w:eastAsia="Times New Roman" w:cs="Times New Roman"/>
                <w:spacing w:val="-1"/>
                <w:sz w:val="21"/>
                <w:szCs w:val="21"/>
                <w:highlight w:val="none"/>
              </w:rPr>
              <w:t xml:space="preserve">2 </w:t>
            </w:r>
            <w:r>
              <w:rPr>
                <w:rFonts w:hint="default" w:ascii="Times New Roman" w:hAnsi="Times New Roman" w:cs="Times New Roman"/>
                <w:spacing w:val="-1"/>
                <w:sz w:val="21"/>
                <w:szCs w:val="21"/>
                <w:highlight w:val="none"/>
              </w:rPr>
              <w:t>不影响水的物理和化学成分</w:t>
            </w:r>
          </w:p>
          <w:p w14:paraId="7B16D633">
            <w:pPr>
              <w:pStyle w:val="435"/>
              <w:widowControl w:val="0"/>
              <w:spacing w:before="4" w:line="231" w:lineRule="auto"/>
              <w:ind w:left="115" w:right="458" w:hanging="13"/>
              <w:rPr>
                <w:rFonts w:hint="default" w:ascii="Times New Roman" w:hAnsi="Times New Roman" w:cs="Times New Roman"/>
                <w:sz w:val="21"/>
                <w:szCs w:val="21"/>
                <w:highlight w:val="none"/>
              </w:rPr>
            </w:pPr>
            <w:r>
              <w:rPr>
                <w:rFonts w:hint="default" w:ascii="Times New Roman" w:hAnsi="Times New Roman" w:eastAsia="Times New Roman" w:cs="Times New Roman"/>
                <w:spacing w:val="-4"/>
                <w:sz w:val="21"/>
                <w:szCs w:val="21"/>
                <w:highlight w:val="none"/>
              </w:rPr>
              <w:t xml:space="preserve">3 </w:t>
            </w:r>
            <w:r>
              <w:rPr>
                <w:rFonts w:hint="default" w:ascii="Times New Roman" w:hAnsi="Times New Roman" w:cs="Times New Roman"/>
                <w:spacing w:val="-4"/>
                <w:sz w:val="21"/>
                <w:szCs w:val="21"/>
                <w:highlight w:val="none"/>
              </w:rPr>
              <w:t>模块化设备操作简单，便于管理，</w:t>
            </w:r>
            <w:r>
              <w:rPr>
                <w:rFonts w:hint="default" w:ascii="Times New Roman" w:hAnsi="Times New Roman" w:cs="Times New Roman"/>
                <w:spacing w:val="-3"/>
                <w:sz w:val="21"/>
                <w:szCs w:val="21"/>
                <w:highlight w:val="none"/>
              </w:rPr>
              <w:t>易于实现自动化。</w:t>
            </w:r>
          </w:p>
        </w:tc>
        <w:tc>
          <w:tcPr>
            <w:tcW w:w="3821" w:type="dxa"/>
            <w:tcBorders>
              <w:tl2br w:val="nil"/>
              <w:tr2bl w:val="nil"/>
            </w:tcBorders>
            <w:vAlign w:val="top"/>
          </w:tcPr>
          <w:p w14:paraId="06F623F7">
            <w:pPr>
              <w:spacing w:line="466" w:lineRule="auto"/>
              <w:rPr>
                <w:rFonts w:hint="default" w:ascii="Times New Roman" w:hAnsi="Times New Roman" w:cs="Times New Roman"/>
                <w:sz w:val="21"/>
                <w:highlight w:val="none"/>
              </w:rPr>
            </w:pPr>
          </w:p>
          <w:p w14:paraId="0F4F6E6A">
            <w:pPr>
              <w:pStyle w:val="435"/>
              <w:widowControl w:val="0"/>
              <w:spacing w:before="68" w:line="234" w:lineRule="auto"/>
              <w:ind w:left="130"/>
              <w:rPr>
                <w:rFonts w:hint="default" w:ascii="Times New Roman" w:hAnsi="Times New Roman" w:cs="Times New Roman"/>
                <w:sz w:val="21"/>
                <w:szCs w:val="21"/>
                <w:highlight w:val="none"/>
              </w:rPr>
            </w:pPr>
            <w:r>
              <w:rPr>
                <w:rFonts w:hint="default" w:ascii="Times New Roman" w:hAnsi="Times New Roman" w:eastAsia="Times New Roman" w:cs="Times New Roman"/>
                <w:spacing w:val="-11"/>
                <w:sz w:val="21"/>
                <w:szCs w:val="21"/>
                <w:highlight w:val="none"/>
              </w:rPr>
              <w:t>1</w:t>
            </w:r>
            <w:r>
              <w:rPr>
                <w:rFonts w:hint="default" w:ascii="Times New Roman" w:hAnsi="Times New Roman" w:eastAsia="Times New Roman" w:cs="Times New Roman"/>
                <w:spacing w:val="33"/>
                <w:sz w:val="21"/>
                <w:szCs w:val="21"/>
                <w:highlight w:val="none"/>
              </w:rPr>
              <w:t xml:space="preserve"> </w:t>
            </w:r>
            <w:r>
              <w:rPr>
                <w:rFonts w:hint="default" w:ascii="Times New Roman" w:hAnsi="Times New Roman" w:cs="Times New Roman"/>
                <w:spacing w:val="-11"/>
                <w:sz w:val="21"/>
                <w:szCs w:val="21"/>
                <w:highlight w:val="none"/>
              </w:rPr>
              <w:t>电耗较大</w:t>
            </w:r>
          </w:p>
        </w:tc>
      </w:tr>
      <w:tr w14:paraId="7FC9E5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31" w:hRule="atLeast"/>
        </w:trPr>
        <w:tc>
          <w:tcPr>
            <w:tcW w:w="1245" w:type="dxa"/>
            <w:tcBorders>
              <w:tl2br w:val="nil"/>
              <w:tr2bl w:val="nil"/>
            </w:tcBorders>
            <w:vAlign w:val="top"/>
          </w:tcPr>
          <w:p w14:paraId="06F358E2">
            <w:pPr>
              <w:pStyle w:val="435"/>
              <w:widowControl w:val="0"/>
              <w:spacing w:before="301" w:line="243" w:lineRule="auto"/>
              <w:ind w:left="361" w:right="371" w:hanging="2"/>
              <w:rPr>
                <w:rFonts w:hint="default" w:ascii="Times New Roman" w:hAnsi="Times New Roman" w:cs="Times New Roman"/>
                <w:sz w:val="21"/>
                <w:szCs w:val="21"/>
                <w:highlight w:val="none"/>
              </w:rPr>
            </w:pPr>
            <w:r>
              <w:rPr>
                <w:rFonts w:hint="default" w:ascii="Times New Roman" w:hAnsi="Times New Roman" w:cs="Times New Roman"/>
                <w:spacing w:val="-4"/>
                <w:sz w:val="21"/>
                <w:szCs w:val="21"/>
                <w:highlight w:val="none"/>
              </w:rPr>
              <w:t>液氯</w:t>
            </w:r>
            <w:r>
              <w:rPr>
                <w:rFonts w:hint="default" w:ascii="Times New Roman" w:hAnsi="Times New Roman" w:cs="Times New Roman"/>
                <w:spacing w:val="-6"/>
                <w:sz w:val="21"/>
                <w:szCs w:val="21"/>
                <w:highlight w:val="none"/>
              </w:rPr>
              <w:t>消毒</w:t>
            </w:r>
          </w:p>
        </w:tc>
        <w:tc>
          <w:tcPr>
            <w:tcW w:w="4112" w:type="dxa"/>
            <w:tcBorders>
              <w:tl2br w:val="nil"/>
              <w:tr2bl w:val="nil"/>
            </w:tcBorders>
            <w:vAlign w:val="top"/>
          </w:tcPr>
          <w:p w14:paraId="38441348">
            <w:pPr>
              <w:pStyle w:val="435"/>
              <w:widowControl w:val="0"/>
              <w:spacing w:before="302" w:line="234" w:lineRule="auto"/>
              <w:ind w:left="118"/>
              <w:rPr>
                <w:rFonts w:hint="default" w:ascii="Times New Roman" w:hAnsi="Times New Roman" w:cs="Times New Roman"/>
                <w:sz w:val="21"/>
                <w:szCs w:val="21"/>
                <w:highlight w:val="none"/>
              </w:rPr>
            </w:pPr>
            <w:r>
              <w:rPr>
                <w:rFonts w:hint="default" w:ascii="Times New Roman" w:hAnsi="Times New Roman" w:eastAsia="Times New Roman" w:cs="Times New Roman"/>
                <w:spacing w:val="-4"/>
                <w:sz w:val="21"/>
                <w:szCs w:val="21"/>
                <w:highlight w:val="none"/>
              </w:rPr>
              <w:t>1</w:t>
            </w:r>
            <w:r>
              <w:rPr>
                <w:rFonts w:hint="default" w:ascii="Times New Roman" w:hAnsi="Times New Roman" w:eastAsia="Times New Roman" w:cs="Times New Roman"/>
                <w:spacing w:val="17"/>
                <w:w w:val="101"/>
                <w:sz w:val="21"/>
                <w:szCs w:val="21"/>
                <w:highlight w:val="none"/>
              </w:rPr>
              <w:t xml:space="preserve"> </w:t>
            </w:r>
            <w:r>
              <w:rPr>
                <w:rFonts w:hint="default" w:ascii="Times New Roman" w:hAnsi="Times New Roman" w:cs="Times New Roman"/>
                <w:spacing w:val="-4"/>
                <w:sz w:val="21"/>
                <w:szCs w:val="21"/>
                <w:highlight w:val="none"/>
              </w:rPr>
              <w:t>效果可靠，成本较低</w:t>
            </w:r>
          </w:p>
          <w:p w14:paraId="6EEB2563">
            <w:pPr>
              <w:pStyle w:val="435"/>
              <w:widowControl w:val="0"/>
              <w:spacing w:before="7" w:line="234" w:lineRule="auto"/>
              <w:ind w:left="98"/>
              <w:rPr>
                <w:rFonts w:hint="default" w:ascii="Times New Roman" w:hAnsi="Times New Roman" w:cs="Times New Roman"/>
                <w:sz w:val="21"/>
                <w:szCs w:val="21"/>
                <w:highlight w:val="none"/>
              </w:rPr>
            </w:pPr>
            <w:r>
              <w:rPr>
                <w:rFonts w:hint="default" w:ascii="Times New Roman" w:hAnsi="Times New Roman" w:eastAsia="Times New Roman" w:cs="Times New Roman"/>
                <w:spacing w:val="-1"/>
                <w:sz w:val="21"/>
                <w:szCs w:val="21"/>
                <w:highlight w:val="none"/>
              </w:rPr>
              <w:t xml:space="preserve">2 </w:t>
            </w:r>
            <w:r>
              <w:rPr>
                <w:rFonts w:hint="default" w:ascii="Times New Roman" w:hAnsi="Times New Roman" w:cs="Times New Roman"/>
                <w:spacing w:val="-1"/>
                <w:sz w:val="21"/>
                <w:szCs w:val="21"/>
                <w:highlight w:val="none"/>
              </w:rPr>
              <w:t>投配设备简单，投量准确</w:t>
            </w:r>
          </w:p>
        </w:tc>
        <w:tc>
          <w:tcPr>
            <w:tcW w:w="3821" w:type="dxa"/>
            <w:tcBorders>
              <w:tl2br w:val="nil"/>
              <w:tr2bl w:val="nil"/>
            </w:tcBorders>
            <w:vAlign w:val="top"/>
          </w:tcPr>
          <w:p w14:paraId="278F5C12">
            <w:pPr>
              <w:pStyle w:val="435"/>
              <w:widowControl w:val="0"/>
              <w:spacing w:before="168" w:line="234" w:lineRule="auto"/>
              <w:ind w:left="130"/>
              <w:rPr>
                <w:rFonts w:hint="default" w:ascii="Times New Roman" w:hAnsi="Times New Roman" w:cs="Times New Roman"/>
                <w:sz w:val="21"/>
                <w:szCs w:val="21"/>
                <w:highlight w:val="none"/>
              </w:rPr>
            </w:pPr>
            <w:r>
              <w:rPr>
                <w:rFonts w:hint="default" w:ascii="Times New Roman" w:hAnsi="Times New Roman" w:eastAsia="Times New Roman" w:cs="Times New Roman"/>
                <w:spacing w:val="-5"/>
                <w:sz w:val="21"/>
                <w:szCs w:val="21"/>
                <w:highlight w:val="none"/>
              </w:rPr>
              <w:t>1</w:t>
            </w:r>
            <w:r>
              <w:rPr>
                <w:rFonts w:hint="default" w:ascii="Times New Roman" w:hAnsi="Times New Roman" w:eastAsia="Times New Roman" w:cs="Times New Roman"/>
                <w:spacing w:val="27"/>
                <w:sz w:val="21"/>
                <w:szCs w:val="21"/>
                <w:highlight w:val="none"/>
              </w:rPr>
              <w:t xml:space="preserve"> </w:t>
            </w:r>
            <w:r>
              <w:rPr>
                <w:rFonts w:hint="default" w:ascii="Times New Roman" w:hAnsi="Times New Roman" w:cs="Times New Roman"/>
                <w:spacing w:val="-5"/>
                <w:sz w:val="21"/>
                <w:szCs w:val="21"/>
                <w:highlight w:val="none"/>
              </w:rPr>
              <w:t>易产生</w:t>
            </w:r>
            <w:r>
              <w:rPr>
                <w:rFonts w:hint="default" w:ascii="Times New Roman" w:hAnsi="Times New Roman" w:eastAsia="Times New Roman" w:cs="Times New Roman"/>
                <w:spacing w:val="-5"/>
                <w:sz w:val="21"/>
                <w:szCs w:val="21"/>
                <w:highlight w:val="none"/>
              </w:rPr>
              <w:t>“</w:t>
            </w:r>
            <w:r>
              <w:rPr>
                <w:rFonts w:hint="default" w:ascii="Times New Roman" w:hAnsi="Times New Roman" w:cs="Times New Roman"/>
                <w:spacing w:val="-5"/>
                <w:sz w:val="21"/>
                <w:szCs w:val="21"/>
                <w:highlight w:val="none"/>
              </w:rPr>
              <w:t>三致</w:t>
            </w:r>
            <w:r>
              <w:rPr>
                <w:rFonts w:hint="default" w:ascii="Times New Roman" w:hAnsi="Times New Roman" w:eastAsia="Times New Roman" w:cs="Times New Roman"/>
                <w:spacing w:val="-5"/>
                <w:sz w:val="21"/>
                <w:szCs w:val="21"/>
                <w:highlight w:val="none"/>
              </w:rPr>
              <w:t>”</w:t>
            </w:r>
            <w:r>
              <w:rPr>
                <w:rFonts w:hint="default" w:ascii="Times New Roman" w:hAnsi="Times New Roman" w:cs="Times New Roman"/>
                <w:spacing w:val="-5"/>
                <w:sz w:val="21"/>
                <w:szCs w:val="21"/>
                <w:highlight w:val="none"/>
              </w:rPr>
              <w:t>物质</w:t>
            </w:r>
          </w:p>
          <w:p w14:paraId="34E6B814">
            <w:pPr>
              <w:pStyle w:val="435"/>
              <w:widowControl w:val="0"/>
              <w:spacing w:before="3" w:line="231" w:lineRule="auto"/>
              <w:ind w:left="112" w:right="118" w:hanging="2"/>
              <w:rPr>
                <w:rFonts w:hint="default" w:ascii="Times New Roman" w:hAnsi="Times New Roman" w:cs="Times New Roman"/>
                <w:sz w:val="21"/>
                <w:szCs w:val="21"/>
                <w:highlight w:val="none"/>
              </w:rPr>
            </w:pPr>
            <w:r>
              <w:rPr>
                <w:rFonts w:hint="default" w:ascii="Times New Roman" w:hAnsi="Times New Roman" w:eastAsia="Times New Roman" w:cs="Times New Roman"/>
                <w:sz w:val="21"/>
                <w:szCs w:val="21"/>
                <w:highlight w:val="none"/>
              </w:rPr>
              <w:t xml:space="preserve">2 </w:t>
            </w:r>
            <w:r>
              <w:rPr>
                <w:rFonts w:hint="default" w:ascii="Times New Roman" w:hAnsi="Times New Roman" w:cs="Times New Roman"/>
                <w:sz w:val="21"/>
                <w:szCs w:val="21"/>
                <w:highlight w:val="none"/>
              </w:rPr>
              <w:t>氯化形成的余氯及某些含氯化合物</w:t>
            </w:r>
            <w:r>
              <w:rPr>
                <w:rFonts w:hint="default" w:ascii="Times New Roman" w:hAnsi="Times New Roman" w:cs="Times New Roman"/>
                <w:spacing w:val="-1"/>
                <w:sz w:val="21"/>
                <w:szCs w:val="21"/>
                <w:highlight w:val="none"/>
              </w:rPr>
              <w:t>对水生物有毒害</w:t>
            </w:r>
          </w:p>
        </w:tc>
      </w:tr>
      <w:tr w14:paraId="59B34D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245" w:type="dxa"/>
            <w:tcBorders>
              <w:tl2br w:val="nil"/>
              <w:tr2bl w:val="nil"/>
            </w:tcBorders>
            <w:vAlign w:val="top"/>
          </w:tcPr>
          <w:p w14:paraId="4CCFC43A">
            <w:pPr>
              <w:pStyle w:val="435"/>
              <w:widowControl w:val="0"/>
              <w:spacing w:before="82" w:line="231" w:lineRule="auto"/>
              <w:ind w:left="361" w:right="160" w:hanging="207"/>
              <w:rPr>
                <w:rFonts w:hint="default" w:ascii="Times New Roman" w:hAnsi="Times New Roman" w:cs="Times New Roman"/>
                <w:sz w:val="21"/>
                <w:szCs w:val="21"/>
                <w:highlight w:val="none"/>
              </w:rPr>
            </w:pPr>
            <w:r>
              <w:rPr>
                <w:rFonts w:hint="default" w:ascii="Times New Roman" w:hAnsi="Times New Roman" w:cs="Times New Roman"/>
                <w:spacing w:val="-3"/>
                <w:sz w:val="21"/>
                <w:szCs w:val="21"/>
                <w:highlight w:val="none"/>
              </w:rPr>
              <w:t>次氯酸钠消毒</w:t>
            </w:r>
          </w:p>
        </w:tc>
        <w:tc>
          <w:tcPr>
            <w:tcW w:w="4112" w:type="dxa"/>
            <w:tcBorders>
              <w:tl2br w:val="nil"/>
              <w:tr2bl w:val="nil"/>
            </w:tcBorders>
            <w:vAlign w:val="top"/>
          </w:tcPr>
          <w:p w14:paraId="765A2FFC">
            <w:pPr>
              <w:pStyle w:val="435"/>
              <w:widowControl w:val="0"/>
              <w:spacing w:before="83" w:line="234" w:lineRule="auto"/>
              <w:ind w:left="118"/>
              <w:rPr>
                <w:rFonts w:hint="default" w:ascii="Times New Roman" w:hAnsi="Times New Roman" w:cs="Times New Roman"/>
                <w:sz w:val="21"/>
                <w:szCs w:val="21"/>
                <w:highlight w:val="none"/>
              </w:rPr>
            </w:pPr>
            <w:r>
              <w:rPr>
                <w:rFonts w:hint="default" w:ascii="Times New Roman" w:hAnsi="Times New Roman" w:eastAsia="Times New Roman" w:cs="Times New Roman"/>
                <w:spacing w:val="-4"/>
                <w:sz w:val="21"/>
                <w:szCs w:val="21"/>
                <w:highlight w:val="none"/>
              </w:rPr>
              <w:t>1</w:t>
            </w:r>
            <w:r>
              <w:rPr>
                <w:rFonts w:hint="default" w:ascii="Times New Roman" w:hAnsi="Times New Roman" w:eastAsia="Times New Roman" w:cs="Times New Roman"/>
                <w:spacing w:val="17"/>
                <w:w w:val="101"/>
                <w:sz w:val="21"/>
                <w:szCs w:val="21"/>
                <w:highlight w:val="none"/>
              </w:rPr>
              <w:t xml:space="preserve"> </w:t>
            </w:r>
            <w:r>
              <w:rPr>
                <w:rFonts w:hint="default" w:ascii="Times New Roman" w:hAnsi="Times New Roman" w:cs="Times New Roman"/>
                <w:spacing w:val="-4"/>
                <w:sz w:val="21"/>
                <w:szCs w:val="21"/>
                <w:highlight w:val="none"/>
              </w:rPr>
              <w:t>具有较好的消毒效果</w:t>
            </w:r>
          </w:p>
          <w:p w14:paraId="3942F4DE">
            <w:pPr>
              <w:pStyle w:val="435"/>
              <w:widowControl w:val="0"/>
              <w:spacing w:before="4" w:line="223" w:lineRule="auto"/>
              <w:ind w:left="98"/>
              <w:rPr>
                <w:rFonts w:hint="default" w:ascii="Times New Roman" w:hAnsi="Times New Roman" w:cs="Times New Roman"/>
                <w:sz w:val="21"/>
                <w:szCs w:val="21"/>
                <w:highlight w:val="none"/>
              </w:rPr>
            </w:pPr>
            <w:r>
              <w:rPr>
                <w:rFonts w:hint="default" w:ascii="Times New Roman" w:hAnsi="Times New Roman" w:eastAsia="Times New Roman" w:cs="Times New Roman"/>
                <w:spacing w:val="-1"/>
                <w:sz w:val="21"/>
                <w:szCs w:val="21"/>
                <w:highlight w:val="none"/>
              </w:rPr>
              <w:t xml:space="preserve">2 </w:t>
            </w:r>
            <w:r>
              <w:rPr>
                <w:rFonts w:hint="default" w:ascii="Times New Roman" w:hAnsi="Times New Roman" w:cs="Times New Roman"/>
                <w:spacing w:val="-1"/>
                <w:sz w:val="21"/>
                <w:szCs w:val="21"/>
                <w:highlight w:val="none"/>
              </w:rPr>
              <w:t>不会产生</w:t>
            </w:r>
            <w:r>
              <w:rPr>
                <w:rFonts w:hint="default" w:ascii="Times New Roman" w:hAnsi="Times New Roman" w:eastAsia="Times New Roman" w:cs="Times New Roman"/>
                <w:spacing w:val="-1"/>
                <w:sz w:val="21"/>
                <w:szCs w:val="21"/>
                <w:highlight w:val="none"/>
              </w:rPr>
              <w:t>“</w:t>
            </w:r>
            <w:r>
              <w:rPr>
                <w:rFonts w:hint="default" w:ascii="Times New Roman" w:hAnsi="Times New Roman" w:cs="Times New Roman"/>
                <w:spacing w:val="-1"/>
                <w:sz w:val="21"/>
                <w:szCs w:val="21"/>
                <w:highlight w:val="none"/>
              </w:rPr>
              <w:t>三致</w:t>
            </w:r>
            <w:r>
              <w:rPr>
                <w:rFonts w:hint="default" w:ascii="Times New Roman" w:hAnsi="Times New Roman" w:eastAsia="Times New Roman" w:cs="Times New Roman"/>
                <w:spacing w:val="-1"/>
                <w:sz w:val="21"/>
                <w:szCs w:val="21"/>
                <w:highlight w:val="none"/>
              </w:rPr>
              <w:t>”</w:t>
            </w:r>
            <w:r>
              <w:rPr>
                <w:rFonts w:hint="default" w:ascii="Times New Roman" w:hAnsi="Times New Roman" w:cs="Times New Roman"/>
                <w:spacing w:val="-1"/>
                <w:sz w:val="21"/>
                <w:szCs w:val="21"/>
                <w:highlight w:val="none"/>
              </w:rPr>
              <w:t>物质</w:t>
            </w:r>
          </w:p>
        </w:tc>
        <w:tc>
          <w:tcPr>
            <w:tcW w:w="3821" w:type="dxa"/>
            <w:tcBorders>
              <w:tl2br w:val="nil"/>
              <w:tr2bl w:val="nil"/>
            </w:tcBorders>
            <w:vAlign w:val="top"/>
          </w:tcPr>
          <w:p w14:paraId="13317FCF">
            <w:pPr>
              <w:pStyle w:val="435"/>
              <w:widowControl w:val="0"/>
              <w:spacing w:before="82" w:line="223" w:lineRule="auto"/>
              <w:ind w:left="130"/>
              <w:rPr>
                <w:rFonts w:hint="default" w:ascii="Times New Roman" w:hAnsi="Times New Roman" w:cs="Times New Roman"/>
                <w:sz w:val="21"/>
                <w:szCs w:val="21"/>
                <w:highlight w:val="none"/>
              </w:rPr>
            </w:pPr>
            <w:r>
              <w:rPr>
                <w:rFonts w:hint="default" w:ascii="Times New Roman" w:hAnsi="Times New Roman" w:eastAsia="Times New Roman" w:cs="Times New Roman"/>
                <w:spacing w:val="-2"/>
                <w:sz w:val="21"/>
                <w:szCs w:val="21"/>
                <w:highlight w:val="none"/>
              </w:rPr>
              <w:t xml:space="preserve">1 </w:t>
            </w:r>
            <w:r>
              <w:rPr>
                <w:rFonts w:hint="default" w:ascii="Times New Roman" w:hAnsi="Times New Roman" w:cs="Times New Roman"/>
                <w:spacing w:val="-2"/>
                <w:sz w:val="21"/>
                <w:szCs w:val="21"/>
                <w:highlight w:val="none"/>
              </w:rPr>
              <w:t>不能储存，</w:t>
            </w:r>
            <w:r>
              <w:rPr>
                <w:rFonts w:hint="default" w:ascii="Times New Roman" w:hAnsi="Times New Roman" w:eastAsia="Times New Roman" w:cs="Times New Roman"/>
                <w:spacing w:val="-2"/>
                <w:sz w:val="21"/>
                <w:szCs w:val="21"/>
                <w:highlight w:val="none"/>
              </w:rPr>
              <w:t>,</w:t>
            </w:r>
            <w:r>
              <w:rPr>
                <w:rFonts w:hint="default" w:ascii="Times New Roman" w:hAnsi="Times New Roman" w:cs="Times New Roman"/>
                <w:spacing w:val="-2"/>
                <w:sz w:val="21"/>
                <w:szCs w:val="21"/>
                <w:highlight w:val="none"/>
              </w:rPr>
              <w:t>现制现用</w:t>
            </w:r>
          </w:p>
          <w:p w14:paraId="33B37183">
            <w:pPr>
              <w:pStyle w:val="435"/>
              <w:widowControl w:val="0"/>
              <w:spacing w:before="18" w:line="223" w:lineRule="auto"/>
              <w:ind w:left="110"/>
              <w:rPr>
                <w:rFonts w:hint="default" w:ascii="Times New Roman" w:hAnsi="Times New Roman" w:cs="Times New Roman"/>
                <w:sz w:val="21"/>
                <w:szCs w:val="21"/>
                <w:highlight w:val="none"/>
              </w:rPr>
            </w:pPr>
            <w:r>
              <w:rPr>
                <w:rFonts w:hint="default" w:ascii="Times New Roman" w:hAnsi="Times New Roman" w:eastAsia="Times New Roman" w:cs="Times New Roman"/>
                <w:spacing w:val="-1"/>
                <w:sz w:val="21"/>
                <w:szCs w:val="21"/>
                <w:highlight w:val="none"/>
              </w:rPr>
              <w:t xml:space="preserve">2 </w:t>
            </w:r>
            <w:r>
              <w:rPr>
                <w:rFonts w:hint="default" w:ascii="Times New Roman" w:hAnsi="Times New Roman" w:cs="Times New Roman"/>
                <w:spacing w:val="-1"/>
                <w:sz w:val="21"/>
                <w:szCs w:val="21"/>
                <w:highlight w:val="none"/>
              </w:rPr>
              <w:t>制取设备较复杂</w:t>
            </w:r>
          </w:p>
        </w:tc>
      </w:tr>
      <w:tr w14:paraId="717475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7" w:hRule="atLeast"/>
        </w:trPr>
        <w:tc>
          <w:tcPr>
            <w:tcW w:w="1245" w:type="dxa"/>
            <w:tcBorders>
              <w:tl2br w:val="nil"/>
              <w:tr2bl w:val="nil"/>
            </w:tcBorders>
            <w:vAlign w:val="top"/>
          </w:tcPr>
          <w:p w14:paraId="4580AA9D">
            <w:pPr>
              <w:pStyle w:val="435"/>
              <w:widowControl w:val="0"/>
              <w:spacing w:before="160" w:line="243" w:lineRule="auto"/>
              <w:ind w:left="361" w:right="371" w:hanging="4"/>
              <w:rPr>
                <w:rFonts w:hint="default" w:ascii="Times New Roman" w:hAnsi="Times New Roman" w:cs="Times New Roman"/>
                <w:sz w:val="21"/>
                <w:szCs w:val="21"/>
                <w:highlight w:val="none"/>
              </w:rPr>
            </w:pPr>
            <w:r>
              <w:rPr>
                <w:rFonts w:hint="default" w:ascii="Times New Roman" w:hAnsi="Times New Roman" w:cs="Times New Roman"/>
                <w:spacing w:val="-3"/>
                <w:sz w:val="21"/>
                <w:szCs w:val="21"/>
                <w:highlight w:val="none"/>
              </w:rPr>
              <w:t>臭氧</w:t>
            </w:r>
            <w:r>
              <w:rPr>
                <w:rFonts w:hint="default" w:ascii="Times New Roman" w:hAnsi="Times New Roman" w:cs="Times New Roman"/>
                <w:spacing w:val="-6"/>
                <w:sz w:val="21"/>
                <w:szCs w:val="21"/>
                <w:highlight w:val="none"/>
              </w:rPr>
              <w:t>消毒</w:t>
            </w:r>
          </w:p>
        </w:tc>
        <w:tc>
          <w:tcPr>
            <w:tcW w:w="4112" w:type="dxa"/>
            <w:tcBorders>
              <w:tl2br w:val="nil"/>
              <w:tr2bl w:val="nil"/>
            </w:tcBorders>
            <w:vAlign w:val="top"/>
          </w:tcPr>
          <w:p w14:paraId="20BA3977">
            <w:pPr>
              <w:pStyle w:val="435"/>
              <w:widowControl w:val="0"/>
              <w:spacing w:before="161" w:line="234" w:lineRule="auto"/>
              <w:ind w:left="118"/>
              <w:rPr>
                <w:rFonts w:hint="default" w:ascii="Times New Roman" w:hAnsi="Times New Roman" w:cs="Times New Roman"/>
                <w:sz w:val="21"/>
                <w:szCs w:val="21"/>
                <w:highlight w:val="none"/>
              </w:rPr>
            </w:pPr>
            <w:r>
              <w:rPr>
                <w:rFonts w:hint="default" w:ascii="Times New Roman" w:hAnsi="Times New Roman" w:eastAsia="Times New Roman" w:cs="Times New Roman"/>
                <w:spacing w:val="-6"/>
                <w:sz w:val="21"/>
                <w:szCs w:val="21"/>
                <w:highlight w:val="none"/>
              </w:rPr>
              <w:t>1</w:t>
            </w:r>
            <w:r>
              <w:rPr>
                <w:rFonts w:hint="default" w:ascii="Times New Roman" w:hAnsi="Times New Roman" w:eastAsia="Times New Roman" w:cs="Times New Roman"/>
                <w:spacing w:val="13"/>
                <w:w w:val="101"/>
                <w:sz w:val="21"/>
                <w:szCs w:val="21"/>
                <w:highlight w:val="none"/>
              </w:rPr>
              <w:t xml:space="preserve"> </w:t>
            </w:r>
            <w:r>
              <w:rPr>
                <w:rFonts w:hint="default" w:ascii="Times New Roman" w:hAnsi="Times New Roman" w:cs="Times New Roman"/>
                <w:spacing w:val="-6"/>
                <w:sz w:val="21"/>
                <w:szCs w:val="21"/>
                <w:highlight w:val="none"/>
              </w:rPr>
              <w:t>消毒效率高</w:t>
            </w:r>
          </w:p>
          <w:p w14:paraId="1986E69B">
            <w:pPr>
              <w:pStyle w:val="435"/>
              <w:widowControl w:val="0"/>
              <w:spacing w:before="8" w:line="234" w:lineRule="auto"/>
              <w:ind w:left="98"/>
              <w:rPr>
                <w:rFonts w:hint="default" w:ascii="Times New Roman" w:hAnsi="Times New Roman" w:cs="Times New Roman"/>
                <w:sz w:val="21"/>
                <w:szCs w:val="21"/>
                <w:highlight w:val="none"/>
              </w:rPr>
            </w:pPr>
            <w:r>
              <w:rPr>
                <w:rFonts w:hint="default" w:ascii="Times New Roman" w:hAnsi="Times New Roman" w:eastAsia="Times New Roman" w:cs="Times New Roman"/>
                <w:sz w:val="21"/>
                <w:szCs w:val="21"/>
                <w:highlight w:val="none"/>
              </w:rPr>
              <w:t xml:space="preserve">2 </w:t>
            </w:r>
            <w:r>
              <w:rPr>
                <w:rFonts w:hint="default" w:ascii="Times New Roman" w:hAnsi="Times New Roman" w:cs="Times New Roman"/>
                <w:sz w:val="21"/>
                <w:szCs w:val="21"/>
                <w:highlight w:val="none"/>
              </w:rPr>
              <w:t>不产生难处理的或生物积累性残余物</w:t>
            </w:r>
          </w:p>
        </w:tc>
        <w:tc>
          <w:tcPr>
            <w:tcW w:w="3821" w:type="dxa"/>
            <w:tcBorders>
              <w:tl2br w:val="nil"/>
              <w:tr2bl w:val="nil"/>
            </w:tcBorders>
            <w:vAlign w:val="top"/>
          </w:tcPr>
          <w:p w14:paraId="11C1BE83">
            <w:pPr>
              <w:pStyle w:val="435"/>
              <w:widowControl w:val="0"/>
              <w:spacing w:before="160" w:line="234" w:lineRule="auto"/>
              <w:ind w:left="130"/>
              <w:rPr>
                <w:rFonts w:hint="default" w:ascii="Times New Roman" w:hAnsi="Times New Roman" w:cs="Times New Roman"/>
                <w:sz w:val="21"/>
                <w:szCs w:val="21"/>
                <w:highlight w:val="none"/>
              </w:rPr>
            </w:pPr>
            <w:r>
              <w:rPr>
                <w:rFonts w:hint="default" w:ascii="Times New Roman" w:hAnsi="Times New Roman" w:eastAsia="Times New Roman" w:cs="Times New Roman"/>
                <w:spacing w:val="-3"/>
                <w:sz w:val="21"/>
                <w:szCs w:val="21"/>
                <w:highlight w:val="none"/>
              </w:rPr>
              <w:t xml:space="preserve">1 </w:t>
            </w:r>
            <w:r>
              <w:rPr>
                <w:rFonts w:hint="default" w:ascii="Times New Roman" w:hAnsi="Times New Roman" w:cs="Times New Roman"/>
                <w:spacing w:val="-3"/>
                <w:sz w:val="21"/>
                <w:szCs w:val="21"/>
                <w:highlight w:val="none"/>
              </w:rPr>
              <w:t>投资大，成本高</w:t>
            </w:r>
          </w:p>
          <w:p w14:paraId="10B0ADE9">
            <w:pPr>
              <w:pStyle w:val="435"/>
              <w:widowControl w:val="0"/>
              <w:spacing w:before="8" w:line="234" w:lineRule="auto"/>
              <w:ind w:left="110"/>
              <w:rPr>
                <w:rFonts w:hint="default" w:ascii="Times New Roman" w:hAnsi="Times New Roman" w:cs="Times New Roman"/>
                <w:sz w:val="21"/>
                <w:szCs w:val="21"/>
                <w:highlight w:val="none"/>
              </w:rPr>
            </w:pPr>
            <w:r>
              <w:rPr>
                <w:rFonts w:hint="default" w:ascii="Times New Roman" w:hAnsi="Times New Roman" w:eastAsia="Times New Roman" w:cs="Times New Roman"/>
                <w:spacing w:val="-1"/>
                <w:sz w:val="21"/>
                <w:szCs w:val="21"/>
                <w:highlight w:val="none"/>
              </w:rPr>
              <w:t xml:space="preserve">2 </w:t>
            </w:r>
            <w:r>
              <w:rPr>
                <w:rFonts w:hint="default" w:ascii="Times New Roman" w:hAnsi="Times New Roman" w:cs="Times New Roman"/>
                <w:spacing w:val="-1"/>
                <w:sz w:val="21"/>
                <w:szCs w:val="21"/>
                <w:highlight w:val="none"/>
              </w:rPr>
              <w:t>设备管理复杂</w:t>
            </w:r>
          </w:p>
        </w:tc>
      </w:tr>
    </w:tbl>
    <w:p w14:paraId="5E381CE0">
      <w:pPr>
        <w:pStyle w:val="31"/>
        <w:spacing w:before="37" w:line="355" w:lineRule="auto"/>
        <w:ind w:left="37" w:firstLine="482"/>
        <w:jc w:val="both"/>
        <w:rPr>
          <w:rFonts w:hint="default" w:ascii="Times New Roman" w:hAnsi="Times New Roman" w:cs="Times New Roman"/>
          <w:highlight w:val="none"/>
        </w:rPr>
      </w:pPr>
      <w:r>
        <w:rPr>
          <w:rFonts w:hint="default" w:ascii="Times New Roman" w:hAnsi="Times New Roman" w:cs="Times New Roman"/>
          <w:spacing w:val="-3"/>
          <w:highlight w:val="none"/>
        </w:rPr>
        <w:t>液氯消毒：氯作为一种强氧化性消毒剂，溶于水后，产生次氯酸</w:t>
      </w:r>
      <w:r>
        <w:rPr>
          <w:rFonts w:hint="default" w:ascii="Times New Roman" w:hAnsi="Times New Roman" w:eastAsia="Times New Roman" w:cs="Times New Roman"/>
          <w:spacing w:val="-3"/>
          <w:highlight w:val="none"/>
        </w:rPr>
        <w:t>(HOCl)</w:t>
      </w:r>
      <w:r>
        <w:rPr>
          <w:rFonts w:hint="default" w:ascii="Times New Roman" w:hAnsi="Times New Roman" w:cs="Times New Roman"/>
          <w:spacing w:val="-3"/>
          <w:highlight w:val="none"/>
        </w:rPr>
        <w:t>，离</w:t>
      </w:r>
      <w:r>
        <w:rPr>
          <w:rFonts w:hint="default" w:ascii="Times New Roman" w:hAnsi="Times New Roman" w:cs="Times New Roman"/>
          <w:spacing w:val="-4"/>
          <w:highlight w:val="none"/>
        </w:rPr>
        <w:t>解出</w:t>
      </w:r>
      <w:r>
        <w:rPr>
          <w:rFonts w:hint="default" w:ascii="Times New Roman" w:hAnsi="Times New Roman" w:eastAsia="Times New Roman" w:cs="Times New Roman"/>
          <w:spacing w:val="-1"/>
          <w:highlight w:val="none"/>
        </w:rPr>
        <w:t>OCl</w:t>
      </w:r>
      <w:r>
        <w:rPr>
          <w:rFonts w:hint="default" w:ascii="Times New Roman" w:hAnsi="Times New Roman" w:eastAsia="Times New Roman" w:cs="Times New Roman"/>
          <w:spacing w:val="-1"/>
          <w:position w:val="11"/>
          <w:sz w:val="16"/>
          <w:szCs w:val="16"/>
          <w:highlight w:val="none"/>
        </w:rPr>
        <w:t>-</w:t>
      </w:r>
      <w:r>
        <w:rPr>
          <w:rFonts w:hint="default" w:ascii="Times New Roman" w:hAnsi="Times New Roman" w:cs="Times New Roman"/>
          <w:spacing w:val="-1"/>
          <w:highlight w:val="none"/>
        </w:rPr>
        <w:t>，利用极强的消毒能力杀灭污水中的细菌和病原体。液氯消毒具有</w:t>
      </w:r>
      <w:r>
        <w:rPr>
          <w:rFonts w:hint="default" w:ascii="Times New Roman" w:hAnsi="Times New Roman" w:cs="Times New Roman"/>
          <w:spacing w:val="-2"/>
          <w:highlight w:val="none"/>
        </w:rPr>
        <w:t>杀菌能力强、</w:t>
      </w:r>
      <w:r>
        <w:rPr>
          <w:rFonts w:hint="default" w:ascii="Times New Roman" w:hAnsi="Times New Roman" w:cs="Times New Roman"/>
          <w:spacing w:val="-6"/>
          <w:highlight w:val="none"/>
        </w:rPr>
        <w:t>价格便宜、使用简单、消毒可靠又有成熟经验等优点， 是应用最广的消毒剂。但采用</w:t>
      </w:r>
      <w:r>
        <w:rPr>
          <w:rFonts w:hint="default" w:ascii="Times New Roman" w:hAnsi="Times New Roman" w:cs="Times New Roman"/>
          <w:spacing w:val="-3"/>
          <w:highlight w:val="none"/>
        </w:rPr>
        <w:t>加氯消毒也可以引起一些不良的副作用，如废水中含酚一类有机物质时，有可能形成</w:t>
      </w:r>
      <w:r>
        <w:rPr>
          <w:rFonts w:hint="default" w:ascii="Times New Roman" w:hAnsi="Times New Roman" w:cs="Times New Roman"/>
          <w:spacing w:val="-2"/>
          <w:highlight w:val="none"/>
        </w:rPr>
        <w:t>致癌化合物</w:t>
      </w:r>
      <w:r>
        <w:rPr>
          <w:rFonts w:hint="default" w:ascii="Times New Roman" w:hAnsi="Times New Roman" w:eastAsia="Times New Roman" w:cs="Times New Roman"/>
          <w:spacing w:val="-2"/>
          <w:highlight w:val="none"/>
        </w:rPr>
        <w:t>(m</w:t>
      </w:r>
      <w:r>
        <w:rPr>
          <w:rFonts w:hint="default" w:ascii="Times New Roman" w:hAnsi="Times New Roman" w:eastAsia="Times New Roman" w:cs="Times New Roman"/>
          <w:spacing w:val="-2"/>
          <w:position w:val="10"/>
          <w:sz w:val="16"/>
          <w:szCs w:val="16"/>
          <w:highlight w:val="none"/>
        </w:rPr>
        <w:t>3</w:t>
      </w:r>
      <w:r>
        <w:rPr>
          <w:rFonts w:hint="default" w:ascii="Times New Roman" w:hAnsi="Times New Roman" w:eastAsia="Times New Roman" w:cs="Times New Roman"/>
          <w:spacing w:val="-2"/>
          <w:highlight w:val="none"/>
        </w:rPr>
        <w:t>HMS)</w:t>
      </w:r>
      <w:r>
        <w:rPr>
          <w:rFonts w:hint="default" w:ascii="Times New Roman" w:hAnsi="Times New Roman" w:cs="Times New Roman"/>
          <w:spacing w:val="-2"/>
          <w:highlight w:val="none"/>
        </w:rPr>
        <w:t>等。</w:t>
      </w:r>
    </w:p>
    <w:p w14:paraId="047077BE">
      <w:pPr>
        <w:pStyle w:val="31"/>
        <w:spacing w:before="1" w:line="359" w:lineRule="auto"/>
        <w:ind w:left="39" w:right="32" w:firstLine="484"/>
        <w:jc w:val="both"/>
        <w:rPr>
          <w:rFonts w:hint="default" w:ascii="Times New Roman" w:hAnsi="Times New Roman" w:cs="Times New Roman"/>
          <w:highlight w:val="none"/>
        </w:rPr>
      </w:pPr>
      <w:r>
        <w:rPr>
          <w:rFonts w:hint="default" w:ascii="Times New Roman" w:hAnsi="Times New Roman" w:cs="Times New Roman"/>
          <w:spacing w:val="-3"/>
          <w:highlight w:val="none"/>
        </w:rPr>
        <w:t>紫外线消毒：细菌受紫外线照射后，紫外线的光谱能量被细菌核酸所</w:t>
      </w:r>
      <w:r>
        <w:rPr>
          <w:rFonts w:hint="default" w:ascii="Times New Roman" w:hAnsi="Times New Roman" w:cs="Times New Roman"/>
          <w:spacing w:val="-4"/>
          <w:highlight w:val="none"/>
        </w:rPr>
        <w:t>吸收，使核</w:t>
      </w:r>
      <w:r>
        <w:rPr>
          <w:rFonts w:hint="default" w:ascii="Times New Roman" w:hAnsi="Times New Roman" w:cs="Times New Roman"/>
          <w:spacing w:val="-3"/>
          <w:highlight w:val="none"/>
        </w:rPr>
        <w:t>酸的结构遭到破坏，从而达到消毒的目的，并具有消毒速度快、接触时间短、消毒效</w:t>
      </w:r>
      <w:r>
        <w:rPr>
          <w:rFonts w:hint="default" w:ascii="Times New Roman" w:hAnsi="Times New Roman" w:cs="Times New Roman"/>
          <w:spacing w:val="-1"/>
          <w:highlight w:val="none"/>
        </w:rPr>
        <w:t>率高，不影响水的物理及化学成份、操作简</w:t>
      </w:r>
      <w:r>
        <w:rPr>
          <w:rFonts w:hint="default" w:ascii="Times New Roman" w:hAnsi="Times New Roman" w:cs="Times New Roman"/>
          <w:spacing w:val="-2"/>
          <w:highlight w:val="none"/>
        </w:rPr>
        <w:t>单、易于实现自动化等优点。</w:t>
      </w:r>
    </w:p>
    <w:p w14:paraId="10A075AC">
      <w:pPr>
        <w:pStyle w:val="31"/>
        <w:spacing w:before="1" w:line="359" w:lineRule="auto"/>
        <w:ind w:left="37" w:right="29" w:firstLine="478"/>
        <w:jc w:val="both"/>
        <w:rPr>
          <w:rFonts w:hint="default" w:ascii="Times New Roman" w:hAnsi="Times New Roman" w:cs="Times New Roman"/>
          <w:highlight w:val="none"/>
        </w:rPr>
      </w:pPr>
      <w:r>
        <w:rPr>
          <w:rFonts w:hint="default" w:ascii="Times New Roman" w:hAnsi="Times New Roman" w:cs="Times New Roman"/>
          <w:spacing w:val="-3"/>
          <w:highlight w:val="none"/>
        </w:rPr>
        <w:t>但紫外线应用于污水消毒有一定局限性，存在受到出水色度、浊度等的影响而降低消毒效果，紫外线消毒无持续消毒作用，可能出现微生物的光复活现象，一次性投</w:t>
      </w:r>
      <w:r>
        <w:rPr>
          <w:rFonts w:hint="default" w:ascii="Times New Roman" w:hAnsi="Times New Roman" w:cs="Times New Roman"/>
          <w:spacing w:val="-6"/>
          <w:highlight w:val="none"/>
        </w:rPr>
        <w:t>资大等缺点。</w:t>
      </w:r>
    </w:p>
    <w:p w14:paraId="50017769">
      <w:pPr>
        <w:pStyle w:val="31"/>
        <w:spacing w:line="359" w:lineRule="auto"/>
        <w:ind w:left="40" w:right="32" w:firstLine="484"/>
        <w:rPr>
          <w:rFonts w:hint="default" w:ascii="Times New Roman" w:hAnsi="Times New Roman" w:cs="Times New Roman"/>
          <w:highlight w:val="none"/>
        </w:rPr>
      </w:pPr>
      <w:r>
        <w:rPr>
          <w:rFonts w:hint="default" w:ascii="Times New Roman" w:hAnsi="Times New Roman" w:cs="Times New Roman"/>
          <w:spacing w:val="-3"/>
          <w:highlight w:val="none"/>
        </w:rPr>
        <w:t>次氯酸钠消毒：次氯酸钠是一种广谱型消毒剂，它对水中的病原微</w:t>
      </w:r>
      <w:r>
        <w:rPr>
          <w:rFonts w:hint="default" w:ascii="Times New Roman" w:hAnsi="Times New Roman" w:cs="Times New Roman"/>
          <w:spacing w:val="-4"/>
          <w:highlight w:val="none"/>
        </w:rPr>
        <w:t>生物，包括病</w:t>
      </w:r>
      <w:r>
        <w:rPr>
          <w:rFonts w:hint="default" w:ascii="Times New Roman" w:hAnsi="Times New Roman" w:cs="Times New Roman"/>
          <w:spacing w:val="-1"/>
          <w:highlight w:val="none"/>
        </w:rPr>
        <w:t>毒、细菌芽孢等均具有较好的杀灭作用，，并具有</w:t>
      </w:r>
      <w:r>
        <w:rPr>
          <w:rFonts w:hint="default" w:ascii="Times New Roman" w:hAnsi="Times New Roman" w:cs="Times New Roman"/>
          <w:spacing w:val="-2"/>
          <w:highlight w:val="none"/>
        </w:rPr>
        <w:t>脱色、助凝、除臭等作用。</w:t>
      </w:r>
    </w:p>
    <w:p w14:paraId="12C48EAF">
      <w:pPr>
        <w:pStyle w:val="31"/>
        <w:spacing w:before="4" w:line="359" w:lineRule="auto"/>
        <w:ind w:left="38" w:right="29" w:firstLine="480"/>
        <w:jc w:val="both"/>
        <w:rPr>
          <w:rFonts w:hint="default" w:ascii="Times New Roman" w:hAnsi="Times New Roman" w:cs="Times New Roman"/>
          <w:highlight w:val="none"/>
        </w:rPr>
      </w:pPr>
      <w:r>
        <w:rPr>
          <w:rFonts w:hint="default" w:ascii="Times New Roman" w:hAnsi="Times New Roman" w:cs="Times New Roman"/>
          <w:spacing w:val="-3"/>
          <w:highlight w:val="none"/>
        </w:rPr>
        <w:t>本工程在污水处理工艺中要采用消毒技术来最终控制出水水质，通过对以上几种常见污水消毒方法的介绍和分析，综合考虑用于污水消毒工艺的适用性、成熟性、安</w:t>
      </w:r>
      <w:r>
        <w:rPr>
          <w:rFonts w:hint="default" w:ascii="Times New Roman" w:hAnsi="Times New Roman" w:cs="Times New Roman"/>
          <w:spacing w:val="-5"/>
          <w:highlight w:val="none"/>
        </w:rPr>
        <w:t>全性、可靠性及操作运转的简单易行和处理费用等因素，</w:t>
      </w:r>
      <w:r>
        <w:rPr>
          <w:rFonts w:hint="default" w:ascii="Times New Roman" w:hAnsi="Times New Roman" w:cs="Times New Roman"/>
          <w:spacing w:val="-37"/>
          <w:highlight w:val="none"/>
        </w:rPr>
        <w:t xml:space="preserve"> </w:t>
      </w:r>
      <w:r>
        <w:rPr>
          <w:rFonts w:hint="default" w:ascii="Times New Roman" w:hAnsi="Times New Roman" w:cs="Times New Roman"/>
          <w:spacing w:val="-5"/>
          <w:highlight w:val="none"/>
        </w:rPr>
        <w:t>本污水处理工程的尾水消毒</w:t>
      </w:r>
      <w:r>
        <w:rPr>
          <w:rFonts w:hint="default" w:ascii="Times New Roman" w:hAnsi="Times New Roman" w:cs="Times New Roman"/>
          <w:spacing w:val="-3"/>
          <w:highlight w:val="none"/>
        </w:rPr>
        <w:t>处理拟采用次氯酸钠消毒工艺。</w:t>
      </w:r>
    </w:p>
    <w:p w14:paraId="61E4AD8E">
      <w:pPr>
        <w:pStyle w:val="381"/>
        <w:numPr>
          <w:ilvl w:val="3"/>
          <w:numId w:val="0"/>
        </w:numP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3.3.6.8 污泥处理工艺选择</w:t>
      </w:r>
    </w:p>
    <w:p w14:paraId="4B3D967E">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从技术、经济、管理角度对污泥低温干化及污泥调理压榨两种较为领先的污泥处理工艺比较如表3.</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1</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w:t>
      </w:r>
      <w:r>
        <w:rPr>
          <w:rFonts w:hint="default" w:ascii="Times New Roman" w:hAnsi="Times New Roman" w:cs="Times New Roman"/>
          <w:color w:val="000000" w:themeColor="text1"/>
          <w:highlight w:val="none"/>
          <w:u w:val="none" w:color="auto"/>
          <w14:textFill>
            <w14:solidFill>
              <w14:schemeClr w14:val="tx1"/>
            </w14:solidFill>
          </w14:textFill>
        </w:rPr>
        <w:t>所示。</w:t>
      </w:r>
    </w:p>
    <w:p w14:paraId="3B12B76F">
      <w:pPr>
        <w:pStyle w:val="189"/>
        <w:spacing w:line="240" w:lineRule="auto"/>
        <w:ind w:left="0" w:leftChars="0" w:firstLine="0" w:firstLineChars="0"/>
        <w:jc w:val="center"/>
        <w:rPr>
          <w:rFonts w:hint="default" w:ascii="Times New Roman" w:hAnsi="Times New Roman" w:cs="Times New Roman"/>
          <w:highlight w:val="none"/>
        </w:rPr>
      </w:pPr>
      <w:r>
        <w:rPr>
          <w:rFonts w:hint="default" w:ascii="Times New Roman" w:hAnsi="Times New Roman" w:cs="Times New Roman"/>
          <w:b/>
          <w:bCs/>
          <w:color w:val="auto"/>
          <w:highlight w:val="none"/>
          <w:u w:val="none" w:color="auto"/>
          <w:lang w:val="en-US" w:eastAsia="zh-CN"/>
        </w:rPr>
        <w:t>表 3.3-14 污泥深度处理工艺比较表</w:t>
      </w:r>
    </w:p>
    <w:tbl>
      <w:tblPr>
        <w:tblStyle w:val="402"/>
        <w:tblW w:w="8676" w:type="dxa"/>
        <w:tblInd w:w="34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76"/>
        <w:gridCol w:w="2992"/>
        <w:gridCol w:w="3708"/>
      </w:tblGrid>
      <w:tr w14:paraId="0B7726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976" w:type="dxa"/>
            <w:tcBorders>
              <w:tl2br w:val="nil"/>
              <w:tr2bl w:val="nil"/>
            </w:tcBorders>
            <w:vAlign w:val="center"/>
          </w:tcPr>
          <w:p w14:paraId="645943C7">
            <w:pPr>
              <w:pStyle w:val="435"/>
              <w:widowControl w:val="0"/>
              <w:spacing w:before="82" w:line="231" w:lineRule="auto"/>
              <w:ind w:left="361" w:right="160" w:hanging="207"/>
              <w:jc w:val="center"/>
              <w:rPr>
                <w:rFonts w:hint="default" w:ascii="Times New Roman" w:hAnsi="Times New Roman" w:eastAsia="宋体" w:cs="Times New Roman"/>
                <w:spacing w:val="-3"/>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项目</w:t>
            </w:r>
          </w:p>
        </w:tc>
        <w:tc>
          <w:tcPr>
            <w:tcW w:w="2992" w:type="dxa"/>
            <w:tcBorders>
              <w:tl2br w:val="nil"/>
              <w:tr2bl w:val="nil"/>
            </w:tcBorders>
            <w:vAlign w:val="center"/>
          </w:tcPr>
          <w:p w14:paraId="3451126E">
            <w:pPr>
              <w:pStyle w:val="435"/>
              <w:widowControl w:val="0"/>
              <w:spacing w:before="82" w:line="231" w:lineRule="auto"/>
              <w:ind w:left="361" w:right="160" w:hanging="207"/>
              <w:jc w:val="center"/>
              <w:rPr>
                <w:rFonts w:hint="default" w:ascii="Times New Roman" w:hAnsi="Times New Roman" w:eastAsia="宋体" w:cs="Times New Roman"/>
                <w:spacing w:val="-3"/>
                <w:sz w:val="21"/>
                <w:szCs w:val="21"/>
                <w:highlight w:val="none"/>
              </w:rPr>
            </w:pPr>
            <w:r>
              <w:rPr>
                <w:rFonts w:hint="default" w:ascii="Times New Roman" w:hAnsi="Times New Roman" w:eastAsia="宋体" w:cs="Times New Roman"/>
                <w:spacing w:val="-3"/>
                <w:sz w:val="21"/>
                <w:szCs w:val="21"/>
                <w:highlight w:val="none"/>
              </w:rPr>
              <w:t>污泥低温干化</w:t>
            </w:r>
          </w:p>
        </w:tc>
        <w:tc>
          <w:tcPr>
            <w:tcW w:w="3708" w:type="dxa"/>
            <w:tcBorders>
              <w:tl2br w:val="nil"/>
              <w:tr2bl w:val="nil"/>
            </w:tcBorders>
            <w:vAlign w:val="center"/>
          </w:tcPr>
          <w:p w14:paraId="237A7A75">
            <w:pPr>
              <w:pStyle w:val="435"/>
              <w:widowControl w:val="0"/>
              <w:spacing w:before="69" w:line="221" w:lineRule="auto"/>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污泥调理压榨</w:t>
            </w:r>
          </w:p>
        </w:tc>
      </w:tr>
      <w:tr w14:paraId="72FD65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76" w:type="dxa"/>
            <w:tcBorders>
              <w:tl2br w:val="nil"/>
              <w:tr2bl w:val="nil"/>
            </w:tcBorders>
            <w:vAlign w:val="center"/>
          </w:tcPr>
          <w:p w14:paraId="547A042A">
            <w:pPr>
              <w:pStyle w:val="435"/>
              <w:widowControl w:val="0"/>
              <w:spacing w:before="162" w:line="221" w:lineRule="auto"/>
              <w:jc w:val="center"/>
              <w:rPr>
                <w:rFonts w:hint="default" w:ascii="Times New Roman" w:hAnsi="Times New Roman" w:cs="Times New Roman"/>
                <w:sz w:val="21"/>
                <w:szCs w:val="21"/>
                <w:highlight w:val="none"/>
              </w:rPr>
            </w:pPr>
            <w:r>
              <w:rPr>
                <w:rFonts w:hint="default" w:ascii="Times New Roman" w:hAnsi="Times New Roman" w:cs="Times New Roman"/>
                <w:spacing w:val="-1"/>
                <w:sz w:val="21"/>
                <w:szCs w:val="21"/>
                <w:highlight w:val="none"/>
              </w:rPr>
              <w:t>进泥含水率</w:t>
            </w:r>
          </w:p>
        </w:tc>
        <w:tc>
          <w:tcPr>
            <w:tcW w:w="2992" w:type="dxa"/>
            <w:tcBorders>
              <w:tl2br w:val="nil"/>
              <w:tr2bl w:val="nil"/>
            </w:tcBorders>
            <w:vAlign w:val="center"/>
          </w:tcPr>
          <w:p w14:paraId="0688F5F4">
            <w:pPr>
              <w:spacing w:before="197" w:line="220" w:lineRule="auto"/>
              <w:ind w:left="0" w:leftChars="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2"/>
                <w:sz w:val="21"/>
                <w:szCs w:val="21"/>
                <w:highlight w:val="none"/>
              </w:rPr>
              <w:t>80%</w:t>
            </w:r>
          </w:p>
        </w:tc>
        <w:tc>
          <w:tcPr>
            <w:tcW w:w="3708" w:type="dxa"/>
            <w:tcBorders>
              <w:tl2br w:val="nil"/>
              <w:tr2bl w:val="nil"/>
            </w:tcBorders>
            <w:vAlign w:val="center"/>
          </w:tcPr>
          <w:p w14:paraId="7E0FEC4E">
            <w:pPr>
              <w:spacing w:before="197" w:line="220" w:lineRule="auto"/>
              <w:ind w:left="0" w:leftChars="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pacing w:val="-2"/>
                <w:sz w:val="21"/>
                <w:szCs w:val="21"/>
                <w:highlight w:val="none"/>
              </w:rPr>
              <w:t>99.2%</w:t>
            </w:r>
          </w:p>
        </w:tc>
      </w:tr>
      <w:tr w14:paraId="3677BD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976" w:type="dxa"/>
            <w:tcBorders>
              <w:tl2br w:val="nil"/>
              <w:tr2bl w:val="nil"/>
            </w:tcBorders>
            <w:vAlign w:val="center"/>
          </w:tcPr>
          <w:p w14:paraId="21327EE1">
            <w:pPr>
              <w:pStyle w:val="435"/>
              <w:widowControl w:val="0"/>
              <w:spacing w:before="165" w:line="220" w:lineRule="auto"/>
              <w:jc w:val="center"/>
              <w:rPr>
                <w:rFonts w:hint="default" w:ascii="Times New Roman" w:hAnsi="Times New Roman" w:cs="Times New Roman"/>
                <w:sz w:val="21"/>
                <w:szCs w:val="21"/>
                <w:highlight w:val="none"/>
              </w:rPr>
            </w:pPr>
            <w:r>
              <w:rPr>
                <w:rFonts w:hint="default" w:ascii="Times New Roman" w:hAnsi="Times New Roman" w:cs="Times New Roman"/>
                <w:spacing w:val="-3"/>
                <w:sz w:val="21"/>
                <w:szCs w:val="21"/>
                <w:highlight w:val="none"/>
              </w:rPr>
              <w:t>前期处理</w:t>
            </w:r>
          </w:p>
        </w:tc>
        <w:tc>
          <w:tcPr>
            <w:tcW w:w="2992" w:type="dxa"/>
            <w:tcBorders>
              <w:tl2br w:val="nil"/>
              <w:tr2bl w:val="nil"/>
            </w:tcBorders>
            <w:vAlign w:val="center"/>
          </w:tcPr>
          <w:p w14:paraId="036012C7">
            <w:pPr>
              <w:pStyle w:val="435"/>
              <w:widowControl w:val="0"/>
              <w:spacing w:before="165" w:line="220" w:lineRule="auto"/>
              <w:jc w:val="center"/>
              <w:rPr>
                <w:rFonts w:hint="default" w:ascii="Times New Roman" w:hAnsi="Times New Roman" w:cs="Times New Roman"/>
                <w:sz w:val="21"/>
                <w:szCs w:val="21"/>
                <w:highlight w:val="none"/>
              </w:rPr>
            </w:pPr>
            <w:r>
              <w:rPr>
                <w:rFonts w:hint="default" w:ascii="Times New Roman" w:hAnsi="Times New Roman" w:cs="Times New Roman"/>
                <w:spacing w:val="-1"/>
                <w:sz w:val="21"/>
                <w:szCs w:val="21"/>
                <w:highlight w:val="none"/>
              </w:rPr>
              <w:t>仅需浓缩</w:t>
            </w:r>
          </w:p>
        </w:tc>
        <w:tc>
          <w:tcPr>
            <w:tcW w:w="3708" w:type="dxa"/>
            <w:tcBorders>
              <w:tl2br w:val="nil"/>
              <w:tr2bl w:val="nil"/>
            </w:tcBorders>
            <w:vAlign w:val="center"/>
          </w:tcPr>
          <w:p w14:paraId="69D7BEF9">
            <w:pPr>
              <w:pStyle w:val="435"/>
              <w:widowControl w:val="0"/>
              <w:spacing w:before="165" w:line="220" w:lineRule="auto"/>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药剂调理</w:t>
            </w:r>
            <w:r>
              <w:rPr>
                <w:rFonts w:hint="default" w:ascii="Times New Roman" w:hAnsi="Times New Roman" w:eastAsia="Times New Roman" w:cs="Times New Roman"/>
                <w:spacing w:val="-2"/>
                <w:sz w:val="21"/>
                <w:szCs w:val="21"/>
                <w:highlight w:val="none"/>
              </w:rPr>
              <w:t>+</w:t>
            </w:r>
            <w:r>
              <w:rPr>
                <w:rFonts w:hint="default" w:ascii="Times New Roman" w:hAnsi="Times New Roman" w:cs="Times New Roman"/>
                <w:spacing w:val="-2"/>
                <w:sz w:val="21"/>
                <w:szCs w:val="21"/>
                <w:highlight w:val="none"/>
              </w:rPr>
              <w:t>浓缩</w:t>
            </w:r>
          </w:p>
        </w:tc>
      </w:tr>
      <w:tr w14:paraId="1CEC39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976" w:type="dxa"/>
            <w:tcBorders>
              <w:tl2br w:val="nil"/>
              <w:tr2bl w:val="nil"/>
            </w:tcBorders>
            <w:vAlign w:val="center"/>
          </w:tcPr>
          <w:p w14:paraId="32579C34">
            <w:pPr>
              <w:pStyle w:val="435"/>
              <w:widowControl w:val="0"/>
              <w:spacing w:before="169" w:line="218" w:lineRule="auto"/>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工程总投资</w:t>
            </w:r>
          </w:p>
        </w:tc>
        <w:tc>
          <w:tcPr>
            <w:tcW w:w="2992" w:type="dxa"/>
            <w:tcBorders>
              <w:tl2br w:val="nil"/>
              <w:tr2bl w:val="nil"/>
            </w:tcBorders>
            <w:vAlign w:val="center"/>
          </w:tcPr>
          <w:p w14:paraId="6F2516C3">
            <w:pPr>
              <w:pStyle w:val="435"/>
              <w:widowControl w:val="0"/>
              <w:spacing w:before="169" w:line="218" w:lineRule="auto"/>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较高</w:t>
            </w:r>
          </w:p>
        </w:tc>
        <w:tc>
          <w:tcPr>
            <w:tcW w:w="3708" w:type="dxa"/>
            <w:tcBorders>
              <w:tl2br w:val="nil"/>
              <w:tr2bl w:val="nil"/>
            </w:tcBorders>
            <w:vAlign w:val="center"/>
          </w:tcPr>
          <w:p w14:paraId="4F22B48D">
            <w:pPr>
              <w:pStyle w:val="435"/>
              <w:widowControl w:val="0"/>
              <w:spacing w:before="169" w:line="218" w:lineRule="auto"/>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适中</w:t>
            </w:r>
          </w:p>
        </w:tc>
      </w:tr>
      <w:tr w14:paraId="33D626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976" w:type="dxa"/>
            <w:tcBorders>
              <w:tl2br w:val="nil"/>
              <w:tr2bl w:val="nil"/>
            </w:tcBorders>
            <w:vAlign w:val="center"/>
          </w:tcPr>
          <w:p w14:paraId="7FEFC3C6">
            <w:pPr>
              <w:pStyle w:val="435"/>
              <w:widowControl w:val="0"/>
              <w:spacing w:before="171" w:line="216" w:lineRule="auto"/>
              <w:jc w:val="center"/>
              <w:rPr>
                <w:rFonts w:hint="default" w:ascii="Times New Roman" w:hAnsi="Times New Roman" w:cs="Times New Roman"/>
                <w:sz w:val="21"/>
                <w:szCs w:val="21"/>
                <w:highlight w:val="none"/>
              </w:rPr>
            </w:pPr>
            <w:r>
              <w:rPr>
                <w:rFonts w:hint="default" w:ascii="Times New Roman" w:hAnsi="Times New Roman" w:cs="Times New Roman"/>
                <w:spacing w:val="-10"/>
                <w:sz w:val="21"/>
                <w:szCs w:val="21"/>
                <w:highlight w:val="none"/>
              </w:rPr>
              <w:t>占地面积</w:t>
            </w:r>
          </w:p>
        </w:tc>
        <w:tc>
          <w:tcPr>
            <w:tcW w:w="2992" w:type="dxa"/>
            <w:tcBorders>
              <w:tl2br w:val="nil"/>
              <w:tr2bl w:val="nil"/>
            </w:tcBorders>
            <w:vAlign w:val="center"/>
          </w:tcPr>
          <w:p w14:paraId="6BA253C5">
            <w:pPr>
              <w:pStyle w:val="435"/>
              <w:widowControl w:val="0"/>
              <w:spacing w:before="171" w:line="216" w:lineRule="auto"/>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较小</w:t>
            </w:r>
          </w:p>
        </w:tc>
        <w:tc>
          <w:tcPr>
            <w:tcW w:w="3708" w:type="dxa"/>
            <w:tcBorders>
              <w:tl2br w:val="nil"/>
              <w:tr2bl w:val="nil"/>
            </w:tcBorders>
            <w:vAlign w:val="center"/>
          </w:tcPr>
          <w:p w14:paraId="156D163B">
            <w:pPr>
              <w:pStyle w:val="435"/>
              <w:widowControl w:val="0"/>
              <w:spacing w:before="171" w:line="216" w:lineRule="auto"/>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较大</w:t>
            </w:r>
          </w:p>
        </w:tc>
      </w:tr>
      <w:tr w14:paraId="52A728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976" w:type="dxa"/>
            <w:tcBorders>
              <w:tl2br w:val="nil"/>
              <w:tr2bl w:val="nil"/>
            </w:tcBorders>
            <w:vAlign w:val="center"/>
          </w:tcPr>
          <w:p w14:paraId="5DF55190">
            <w:pPr>
              <w:pStyle w:val="435"/>
              <w:widowControl w:val="0"/>
              <w:spacing w:before="69" w:line="221" w:lineRule="auto"/>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污泥处理效果</w:t>
            </w:r>
          </w:p>
        </w:tc>
        <w:tc>
          <w:tcPr>
            <w:tcW w:w="2992" w:type="dxa"/>
            <w:tcBorders>
              <w:tl2br w:val="nil"/>
              <w:tr2bl w:val="nil"/>
            </w:tcBorders>
            <w:vAlign w:val="center"/>
          </w:tcPr>
          <w:p w14:paraId="6FA68143">
            <w:pPr>
              <w:pStyle w:val="435"/>
              <w:widowControl w:val="0"/>
              <w:spacing w:before="159" w:line="258" w:lineRule="auto"/>
              <w:ind w:right="103"/>
              <w:jc w:val="center"/>
              <w:rPr>
                <w:rFonts w:hint="default" w:ascii="Times New Roman" w:hAnsi="Times New Roman" w:cs="Times New Roman"/>
                <w:sz w:val="21"/>
                <w:szCs w:val="21"/>
                <w:highlight w:val="none"/>
              </w:rPr>
            </w:pPr>
            <w:r>
              <w:rPr>
                <w:rFonts w:hint="default" w:ascii="Times New Roman" w:hAnsi="Times New Roman" w:cs="Times New Roman"/>
                <w:spacing w:val="-3"/>
                <w:sz w:val="21"/>
                <w:szCs w:val="21"/>
                <w:highlight w:val="none"/>
              </w:rPr>
              <w:t>含水率在</w:t>
            </w:r>
            <w:r>
              <w:rPr>
                <w:rFonts w:hint="default" w:ascii="Times New Roman" w:hAnsi="Times New Roman" w:cs="Times New Roman"/>
                <w:spacing w:val="-18"/>
                <w:sz w:val="21"/>
                <w:szCs w:val="21"/>
                <w:highlight w:val="none"/>
              </w:rPr>
              <w:t xml:space="preserve"> </w:t>
            </w:r>
            <w:r>
              <w:rPr>
                <w:rFonts w:hint="default" w:ascii="Times New Roman" w:hAnsi="Times New Roman" w:eastAsia="Times New Roman" w:cs="Times New Roman"/>
                <w:spacing w:val="-3"/>
                <w:sz w:val="21"/>
                <w:szCs w:val="21"/>
                <w:highlight w:val="none"/>
              </w:rPr>
              <w:t>10%-50%</w:t>
            </w:r>
            <w:r>
              <w:rPr>
                <w:rFonts w:hint="default" w:ascii="Times New Roman" w:hAnsi="Times New Roman" w:cs="Times New Roman"/>
                <w:spacing w:val="-3"/>
                <w:sz w:val="21"/>
                <w:szCs w:val="21"/>
                <w:highlight w:val="none"/>
              </w:rPr>
              <w:t>任意调</w:t>
            </w:r>
            <w:r>
              <w:rPr>
                <w:rFonts w:hint="default" w:ascii="Times New Roman" w:hAnsi="Times New Roman" w:cs="Times New Roman"/>
                <w:sz w:val="21"/>
                <w:szCs w:val="21"/>
                <w:highlight w:val="none"/>
              </w:rPr>
              <w:t>节</w:t>
            </w:r>
          </w:p>
        </w:tc>
        <w:tc>
          <w:tcPr>
            <w:tcW w:w="3708" w:type="dxa"/>
            <w:tcBorders>
              <w:tl2br w:val="nil"/>
              <w:tr2bl w:val="nil"/>
            </w:tcBorders>
            <w:vAlign w:val="center"/>
          </w:tcPr>
          <w:p w14:paraId="69416392">
            <w:pPr>
              <w:pStyle w:val="435"/>
              <w:widowControl w:val="0"/>
              <w:spacing w:before="68" w:line="234" w:lineRule="auto"/>
              <w:jc w:val="center"/>
              <w:rPr>
                <w:rFonts w:hint="default" w:ascii="Times New Roman" w:hAnsi="Times New Roman" w:cs="Times New Roman"/>
                <w:sz w:val="21"/>
                <w:szCs w:val="21"/>
                <w:highlight w:val="none"/>
              </w:rPr>
            </w:pPr>
            <w:r>
              <w:rPr>
                <w:rFonts w:hint="default" w:ascii="Times New Roman" w:hAnsi="Times New Roman" w:cs="Times New Roman"/>
                <w:spacing w:val="-2"/>
                <w:sz w:val="21"/>
                <w:szCs w:val="21"/>
                <w:highlight w:val="none"/>
              </w:rPr>
              <w:t>含水率</w:t>
            </w:r>
            <w:r>
              <w:rPr>
                <w:rFonts w:hint="default" w:ascii="Times New Roman" w:hAnsi="Times New Roman" w:cs="Times New Roman"/>
                <w:spacing w:val="-42"/>
                <w:sz w:val="21"/>
                <w:szCs w:val="21"/>
                <w:highlight w:val="none"/>
              </w:rPr>
              <w:t xml:space="preserve"> </w:t>
            </w:r>
            <w:r>
              <w:rPr>
                <w:rFonts w:hint="default" w:ascii="Times New Roman" w:hAnsi="Times New Roman" w:eastAsia="Times New Roman" w:cs="Times New Roman"/>
                <w:spacing w:val="-2"/>
                <w:sz w:val="21"/>
                <w:szCs w:val="21"/>
                <w:highlight w:val="none"/>
              </w:rPr>
              <w:t>60%</w:t>
            </w:r>
            <w:r>
              <w:rPr>
                <w:rFonts w:hint="default" w:ascii="Times New Roman" w:hAnsi="Times New Roman" w:cs="Times New Roman"/>
                <w:spacing w:val="-2"/>
                <w:sz w:val="21"/>
                <w:szCs w:val="21"/>
                <w:highlight w:val="none"/>
              </w:rPr>
              <w:t>以下</w:t>
            </w:r>
          </w:p>
        </w:tc>
      </w:tr>
      <w:tr w14:paraId="0DA5B1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976" w:type="dxa"/>
            <w:tcBorders>
              <w:tl2br w:val="nil"/>
              <w:tr2bl w:val="nil"/>
            </w:tcBorders>
            <w:vAlign w:val="center"/>
          </w:tcPr>
          <w:p w14:paraId="07D314C3">
            <w:pPr>
              <w:pStyle w:val="435"/>
              <w:widowControl w:val="0"/>
              <w:spacing w:before="180" w:line="221" w:lineRule="auto"/>
              <w:jc w:val="center"/>
              <w:rPr>
                <w:rFonts w:hint="default" w:ascii="Times New Roman" w:hAnsi="Times New Roman" w:cs="Times New Roman"/>
                <w:sz w:val="21"/>
                <w:szCs w:val="21"/>
                <w:highlight w:val="none"/>
              </w:rPr>
            </w:pPr>
            <w:r>
              <w:rPr>
                <w:rFonts w:hint="default" w:ascii="Times New Roman" w:hAnsi="Times New Roman" w:cs="Times New Roman"/>
                <w:spacing w:val="-4"/>
                <w:sz w:val="21"/>
                <w:szCs w:val="21"/>
                <w:highlight w:val="none"/>
              </w:rPr>
              <w:t>能耗</w:t>
            </w:r>
          </w:p>
        </w:tc>
        <w:tc>
          <w:tcPr>
            <w:tcW w:w="2992" w:type="dxa"/>
            <w:tcBorders>
              <w:tl2br w:val="nil"/>
              <w:tr2bl w:val="nil"/>
            </w:tcBorders>
            <w:vAlign w:val="center"/>
          </w:tcPr>
          <w:p w14:paraId="28EF5F70">
            <w:pPr>
              <w:pStyle w:val="435"/>
              <w:widowControl w:val="0"/>
              <w:spacing w:before="180" w:line="221"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高</w:t>
            </w:r>
          </w:p>
        </w:tc>
        <w:tc>
          <w:tcPr>
            <w:tcW w:w="3708" w:type="dxa"/>
            <w:tcBorders>
              <w:tl2br w:val="nil"/>
              <w:tr2bl w:val="nil"/>
            </w:tcBorders>
            <w:vAlign w:val="center"/>
          </w:tcPr>
          <w:p w14:paraId="7A733F1A">
            <w:pPr>
              <w:pStyle w:val="435"/>
              <w:widowControl w:val="0"/>
              <w:spacing w:before="180" w:line="222"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低</w:t>
            </w:r>
          </w:p>
        </w:tc>
      </w:tr>
    </w:tbl>
    <w:p w14:paraId="45E1F0F1">
      <w:pPr>
        <w:pStyle w:val="189"/>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各种污泥脱水设备均有优缺点，从污泥处理效果、占地面积小等方面出发， 本工程污泥脱水设备选用污泥调理+板框压榨机</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p>
    <w:p w14:paraId="4C46DB69">
      <w:pPr>
        <w:pStyle w:val="189"/>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含水率约99.2%的剩余污泥先进入污泥池，浓缩后含水率97%，再泵输送至调理池，在调理池投加调理、改性药剂，经调质改性后的污泥通过高低压进料泵输送至污泥高效脱水设备，过滤后再进行二次压榨，压滤周期为 3~4h/批次，脱水后的污泥进过晾置后，含水率小于60%。</w:t>
      </w:r>
    </w:p>
    <w:p w14:paraId="199AA98C">
      <w:pPr>
        <w:pStyle w:val="189"/>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经过高效脱水系统脱水后的滤液可就近排入原厂区内污水管网，并与污水处理厂进水一并进行处理。</w:t>
      </w:r>
    </w:p>
    <w:p w14:paraId="6A734CFB">
      <w:pPr>
        <w:pStyle w:val="189"/>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A) 污泥调理池：</w:t>
      </w:r>
    </w:p>
    <w:p w14:paraId="64772BC2">
      <w:pPr>
        <w:pStyle w:val="189"/>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功能：在污泥脱水处理前投加调理剂进行化学调理，改善污泥脱水性能，使污泥更容易脱水。调理剂和污泥在调理池中充分搅拌混匀。</w:t>
      </w:r>
    </w:p>
    <w:p w14:paraId="2E0106DB">
      <w:pPr>
        <w:pStyle w:val="189"/>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工作方式为间歇进料方式，一次进料满足脱水机一个批次的处理量。</w:t>
      </w:r>
    </w:p>
    <w:p w14:paraId="31D06AEB">
      <w:pPr>
        <w:pStyle w:val="189"/>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B) 污泥脱水机房：</w:t>
      </w:r>
    </w:p>
    <w:p w14:paraId="3F7B8D8C">
      <w:pPr>
        <w:pStyle w:val="189"/>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为满足国家对污泥出厂含水率的要求，必须对污泥进行脱水同时减容，脱水后污泥含水率可以降到60%以下。</w:t>
      </w:r>
    </w:p>
    <w:p w14:paraId="00DAC2B4">
      <w:pPr>
        <w:pStyle w:val="189"/>
        <w:ind w:left="0" w:leftChars="0"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5163185" cy="609600"/>
            <wp:effectExtent l="0" t="0" r="0" b="0"/>
            <wp:docPr id="1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
                    <pic:cNvPicPr>
                      <a:picLocks noChangeAspect="1"/>
                    </pic:cNvPicPr>
                  </pic:nvPicPr>
                  <pic:blipFill>
                    <a:blip r:embed="rId30"/>
                    <a:srcRect t="18413" b="9731"/>
                    <a:stretch>
                      <a:fillRect/>
                    </a:stretch>
                  </pic:blipFill>
                  <pic:spPr>
                    <a:xfrm>
                      <a:off x="0" y="0"/>
                      <a:ext cx="5163185" cy="609600"/>
                    </a:xfrm>
                    <a:prstGeom prst="rect">
                      <a:avLst/>
                    </a:prstGeom>
                    <a:noFill/>
                    <a:ln>
                      <a:noFill/>
                    </a:ln>
                  </pic:spPr>
                </pic:pic>
              </a:graphicData>
            </a:graphic>
          </wp:inline>
        </w:drawing>
      </w:r>
    </w:p>
    <w:p w14:paraId="4445A8F4">
      <w:pPr>
        <w:pStyle w:val="189"/>
        <w:ind w:left="0" w:leftChars="0" w:firstLine="0" w:firstLineChars="0"/>
        <w:jc w:val="center"/>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图3.3-4 污泥调理压榨工艺流程图</w:t>
      </w:r>
    </w:p>
    <w:p w14:paraId="21AF1289">
      <w:pPr>
        <w:pStyle w:val="381"/>
        <w:numPr>
          <w:ilvl w:val="3"/>
          <w:numId w:val="0"/>
        </w:numP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3.3.6.9 除臭工艺选择</w:t>
      </w:r>
    </w:p>
    <w:p w14:paraId="2B380F1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污水处理过程中产生的气味物质，主要由碳、氮和硫组成， 少数气味物质是无机化合物，如氨（NH</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和硫化氢等。大多数的气味物质是有机物，如低分子脂肪酸、胺类、醛类、醚类、卤代烃以及脂肪族的、芳香族、杂环的氮或硫化物。这些物质带有活性基因，特别容易被氧化，当活性基因被氧化后气味就消失了。</w:t>
      </w:r>
    </w:p>
    <w:p w14:paraId="29369DE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脱臭方法从最初采用的水洗法，逐步发展到效果较好的微生物脱臭法。常见的方法有水清洗和药液清洗法、活性炭吸附法、臭氧氧化法、土壤脱臭法、燃烧法、填充式微生物脱臭法等。</w:t>
      </w:r>
    </w:p>
    <w:p w14:paraId="045B0B85">
      <w:pPr>
        <w:pStyle w:val="189"/>
        <w:rPr>
          <w:rFonts w:hint="default" w:ascii="Times New Roman" w:hAnsi="Times New Roman" w:cs="Times New Roman" w:eastAsiaTheme="minorEastAsia"/>
          <w:spacing w:val="-7"/>
          <w:highlight w:val="none"/>
          <w:lang w:val="en-US" w:eastAsia="zh-CN"/>
        </w:rPr>
      </w:pPr>
      <w:r>
        <w:rPr>
          <w:rFonts w:hint="default" w:ascii="Times New Roman" w:hAnsi="Times New Roman" w:cs="Times New Roman"/>
          <w:spacing w:val="-3"/>
          <w:highlight w:val="none"/>
        </w:rPr>
        <w:t>目前，国内污水处理厂常用的除臭方法主要采用水清洗药液清洗法、活性炭吸附</w:t>
      </w:r>
      <w:r>
        <w:rPr>
          <w:rFonts w:hint="default" w:ascii="Times New Roman" w:hAnsi="Times New Roman" w:cs="Times New Roman"/>
          <w:spacing w:val="-6"/>
          <w:highlight w:val="none"/>
        </w:rPr>
        <w:t>法和填充式微生物脱臭法三种，它们的除臭效果明显。而土壤除臭法效果不稳</w:t>
      </w:r>
      <w:r>
        <w:rPr>
          <w:rFonts w:hint="default" w:ascii="Times New Roman" w:hAnsi="Times New Roman" w:cs="Times New Roman"/>
          <w:spacing w:val="-7"/>
          <w:highlight w:val="none"/>
        </w:rPr>
        <w:t>定，</w:t>
      </w:r>
      <w:r>
        <w:rPr>
          <w:rFonts w:hint="default" w:ascii="Times New Roman" w:hAnsi="Times New Roman" w:cs="Times New Roman"/>
          <w:spacing w:val="52"/>
          <w:highlight w:val="none"/>
        </w:rPr>
        <w:t xml:space="preserve"> </w:t>
      </w:r>
      <w:r>
        <w:rPr>
          <w:rFonts w:hint="default" w:ascii="Times New Roman" w:hAnsi="Times New Roman" w:cs="Times New Roman"/>
          <w:spacing w:val="-7"/>
          <w:highlight w:val="none"/>
        </w:rPr>
        <w:t>离</w:t>
      </w:r>
      <w:r>
        <w:rPr>
          <w:rFonts w:hint="default" w:ascii="Times New Roman" w:hAnsi="Times New Roman" w:cs="Times New Roman"/>
          <w:spacing w:val="-3"/>
          <w:highlight w:val="none"/>
        </w:rPr>
        <w:t>子法成本高，</w:t>
      </w:r>
      <w:r>
        <w:rPr>
          <w:rFonts w:hint="default" w:ascii="Times New Roman" w:hAnsi="Times New Roman" w:eastAsia="Times New Roman" w:cs="Times New Roman"/>
          <w:spacing w:val="-3"/>
          <w:highlight w:val="none"/>
        </w:rPr>
        <w:t>O</w:t>
      </w:r>
      <w:r>
        <w:rPr>
          <w:rFonts w:hint="default" w:ascii="Times New Roman" w:hAnsi="Times New Roman" w:eastAsia="Times New Roman" w:cs="Times New Roman"/>
          <w:spacing w:val="-3"/>
          <w:position w:val="-3"/>
          <w:sz w:val="16"/>
          <w:szCs w:val="16"/>
          <w:highlight w:val="none"/>
        </w:rPr>
        <w:t>3</w:t>
      </w:r>
      <w:r>
        <w:rPr>
          <w:rFonts w:hint="default" w:ascii="Times New Roman" w:hAnsi="Times New Roman" w:cs="Times New Roman"/>
          <w:spacing w:val="-3"/>
          <w:highlight w:val="none"/>
        </w:rPr>
        <w:t>氧化法成本偏高，管理复杂，燃烧法最好与消化产生的沼</w:t>
      </w:r>
      <w:r>
        <w:rPr>
          <w:rFonts w:hint="default" w:ascii="Times New Roman" w:hAnsi="Times New Roman" w:cs="Times New Roman"/>
          <w:spacing w:val="-4"/>
          <w:highlight w:val="none"/>
        </w:rPr>
        <w:t>气一起燃烧</w:t>
      </w:r>
      <w:r>
        <w:rPr>
          <w:rFonts w:hint="default" w:ascii="Times New Roman" w:hAnsi="Times New Roman" w:cs="Times New Roman"/>
          <w:spacing w:val="-7"/>
          <w:highlight w:val="none"/>
        </w:rPr>
        <w:t>才经济。在水洗法、活性炭吸附法和微生物脱臭法中，</w:t>
      </w:r>
      <w:r>
        <w:rPr>
          <w:rFonts w:hint="default" w:ascii="Times New Roman" w:hAnsi="Times New Roman" w:cs="Times New Roman"/>
          <w:spacing w:val="-64"/>
          <w:highlight w:val="none"/>
        </w:rPr>
        <w:t xml:space="preserve"> </w:t>
      </w:r>
      <w:r>
        <w:rPr>
          <w:rFonts w:hint="default" w:ascii="Times New Roman" w:hAnsi="Times New Roman" w:cs="Times New Roman"/>
          <w:spacing w:val="-7"/>
          <w:highlight w:val="none"/>
        </w:rPr>
        <w:t>最经济有效的是微生物脱臭法。</w:t>
      </w:r>
      <w:r>
        <w:rPr>
          <w:rFonts w:hint="default" w:ascii="Times New Roman" w:hAnsi="Times New Roman" w:cs="Times New Roman"/>
          <w:spacing w:val="-7"/>
          <w:highlight w:val="none"/>
          <w:lang w:val="en-US" w:eastAsia="zh-CN"/>
        </w:rPr>
        <w:t>本工程采用生物除臭集中处理后通过15m高排气筒排放。</w:t>
      </w:r>
    </w:p>
    <w:p w14:paraId="4E192F20">
      <w:pPr>
        <w:pStyle w:val="4"/>
        <w:numPr>
          <w:ilvl w:val="1"/>
          <w:numId w:val="0"/>
        </w:numPr>
        <w:ind w:leftChars="0"/>
        <w:outlineLvl w:val="2"/>
        <w:rPr>
          <w:rFonts w:hint="default" w:ascii="Times New Roman" w:hAnsi="Times New Roman" w:cs="Times New Roman"/>
          <w:color w:val="000000" w:themeColor="text1"/>
          <w:sz w:val="28"/>
          <w:szCs w:val="28"/>
          <w:highlight w:val="none"/>
          <w:u w:val="none" w:color="auto"/>
          <w14:textFill>
            <w14:solidFill>
              <w14:schemeClr w14:val="tx1"/>
            </w14:solidFill>
          </w14:textFill>
        </w:rPr>
      </w:pPr>
      <w:r>
        <w:rPr>
          <w:rFonts w:hint="default" w:ascii="Times New Roman" w:hAnsi="Times New Roman" w:cs="Times New Roman"/>
          <w:color w:val="000000" w:themeColor="text1"/>
          <w:sz w:val="28"/>
          <w:szCs w:val="28"/>
          <w:highlight w:val="none"/>
          <w:u w:val="none" w:color="auto"/>
          <w:lang w:val="en-US" w:eastAsia="zh-CN"/>
          <w14:textFill>
            <w14:solidFill>
              <w14:schemeClr w14:val="tx1"/>
            </w14:solidFill>
          </w14:textFill>
        </w:rPr>
        <w:t xml:space="preserve">3.3.7 </w:t>
      </w:r>
      <w:r>
        <w:rPr>
          <w:rFonts w:hint="default" w:ascii="Times New Roman" w:hAnsi="Times New Roman" w:cs="Times New Roman"/>
          <w:color w:val="000000" w:themeColor="text1"/>
          <w:sz w:val="28"/>
          <w:szCs w:val="28"/>
          <w:highlight w:val="none"/>
          <w:u w:val="none" w:color="auto"/>
          <w14:textFill>
            <w14:solidFill>
              <w14:schemeClr w14:val="tx1"/>
            </w14:solidFill>
          </w14:textFill>
        </w:rPr>
        <w:t>公用辅助工程</w:t>
      </w:r>
    </w:p>
    <w:p w14:paraId="10482CA6">
      <w:pPr>
        <w:pStyle w:val="5"/>
        <w:numPr>
          <w:ilvl w:val="2"/>
          <w:numId w:val="0"/>
        </w:numPr>
        <w:ind w:leftChars="0" w:firstLine="482" w:firstLineChars="200"/>
        <w:outlineLvl w:val="3"/>
        <w:rPr>
          <w:rFonts w:hint="default" w:ascii="Times New Roman" w:hAnsi="Times New Roman" w:cs="Times New Roman"/>
          <w:color w:val="auto"/>
          <w:sz w:val="24"/>
          <w:szCs w:val="28"/>
          <w:highlight w:val="none"/>
          <w:u w:val="none" w:color="auto"/>
        </w:rPr>
      </w:pPr>
      <w:r>
        <w:rPr>
          <w:rFonts w:hint="default" w:ascii="Times New Roman" w:hAnsi="Times New Roman" w:cs="Times New Roman"/>
          <w:color w:val="auto"/>
          <w:sz w:val="24"/>
          <w:szCs w:val="28"/>
          <w:highlight w:val="none"/>
          <w:u w:val="none" w:color="auto"/>
          <w:lang w:val="en-US" w:eastAsia="zh-CN"/>
        </w:rPr>
        <w:t xml:space="preserve">3.3.7.1 </w:t>
      </w:r>
      <w:r>
        <w:rPr>
          <w:rFonts w:hint="default" w:ascii="Times New Roman" w:hAnsi="Times New Roman" w:cs="Times New Roman"/>
          <w:color w:val="auto"/>
          <w:sz w:val="24"/>
          <w:szCs w:val="28"/>
          <w:highlight w:val="none"/>
          <w:u w:val="none" w:color="auto"/>
        </w:rPr>
        <w:t>给排水</w:t>
      </w:r>
    </w:p>
    <w:p w14:paraId="40602888">
      <w:pPr>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项目供水由产业园区供水系统统一提供。</w:t>
      </w:r>
    </w:p>
    <w:p w14:paraId="5BCEFBBF">
      <w:pPr>
        <w:ind w:firstLine="480"/>
        <w:rPr>
          <w:rFonts w:hint="default" w:ascii="Times New Roman" w:hAnsi="Times New Roman" w:cs="Times New Roman"/>
          <w:color w:val="000000" w:themeColor="text1"/>
          <w:highlight w:val="none"/>
          <w:u w:val="none" w:color="auto"/>
          <w:lang w:val="zh-CN"/>
          <w14:textFill>
            <w14:solidFill>
              <w14:schemeClr w14:val="tx1"/>
            </w14:solidFill>
          </w14:textFill>
        </w:rPr>
      </w:pPr>
      <w:r>
        <w:rPr>
          <w:rFonts w:hint="default" w:ascii="Times New Roman" w:hAnsi="Times New Roman" w:cs="Times New Roman"/>
          <w:color w:val="000000" w:themeColor="text1"/>
          <w:highlight w:val="none"/>
          <w:u w:val="none" w:color="auto"/>
          <w:lang w:val="zh-CN"/>
          <w14:textFill>
            <w14:solidFill>
              <w14:schemeClr w14:val="tx1"/>
            </w14:solidFill>
          </w14:textFill>
        </w:rPr>
        <w:t>工程</w:t>
      </w:r>
      <w:r>
        <w:rPr>
          <w:rFonts w:hint="default" w:ascii="Times New Roman" w:hAnsi="Times New Roman" w:cs="Times New Roman"/>
          <w:color w:val="000000" w:themeColor="text1"/>
          <w:highlight w:val="none"/>
          <w:u w:val="none" w:color="auto"/>
          <w14:textFill>
            <w14:solidFill>
              <w14:schemeClr w14:val="tx1"/>
            </w14:solidFill>
          </w14:textFill>
        </w:rPr>
        <w:t>采取雨、污分流排水制。</w:t>
      </w:r>
      <w:r>
        <w:rPr>
          <w:rFonts w:hint="default" w:ascii="Times New Roman" w:hAnsi="Times New Roman" w:cs="Times New Roman"/>
          <w:color w:val="000000" w:themeColor="text1"/>
          <w:highlight w:val="none"/>
          <w:u w:val="none" w:color="auto"/>
          <w:lang w:val="zh-CN"/>
          <w14:textFill>
            <w14:solidFill>
              <w14:schemeClr w14:val="tx1"/>
            </w14:solidFill>
          </w14:textFill>
        </w:rPr>
        <w:t>雨水排放遵循就近排放的原则，雨水管道布置充分考虑地形特点，</w:t>
      </w:r>
      <w:r>
        <w:rPr>
          <w:rFonts w:hint="default" w:ascii="Times New Roman" w:hAnsi="Times New Roman" w:cs="Times New Roman"/>
          <w:color w:val="000000" w:themeColor="text1"/>
          <w:highlight w:val="none"/>
          <w:u w:val="none" w:color="auto"/>
          <w14:textFill>
            <w14:solidFill>
              <w14:schemeClr w14:val="tx1"/>
            </w14:solidFill>
          </w14:textFill>
        </w:rPr>
        <w:t>雨水经收集后汇入雨水管网</w:t>
      </w:r>
      <w:r>
        <w:rPr>
          <w:rFonts w:hint="default" w:ascii="Times New Roman" w:hAnsi="Times New Roman" w:cs="Times New Roman"/>
          <w:color w:val="000000" w:themeColor="text1"/>
          <w:highlight w:val="none"/>
          <w:u w:val="none" w:color="auto"/>
          <w:lang w:val="zh-CN"/>
          <w14:textFill>
            <w14:solidFill>
              <w14:schemeClr w14:val="tx1"/>
            </w14:solidFill>
          </w14:textFill>
        </w:rPr>
        <w:t>，排放至自然水体。</w:t>
      </w:r>
    </w:p>
    <w:p w14:paraId="1892F070">
      <w:pPr>
        <w:ind w:firstLine="48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运营过程场内用水环节主要为生活用水、滤池反冲洗用水，污泥脱水间清洁用水，化验室用水以及药剂制备用水，药剂制备用水最终以药剂形式进入污水处理系统。</w:t>
      </w:r>
    </w:p>
    <w:p w14:paraId="2F02613C">
      <w:pPr>
        <w:numPr>
          <w:ilvl w:val="0"/>
          <w:numId w:val="15"/>
        </w:numPr>
        <w:ind w:firstLine="48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生活污</w:t>
      </w:r>
      <w:r>
        <w:rPr>
          <w:rFonts w:hint="default" w:ascii="Times New Roman" w:hAnsi="Times New Roman" w:cs="Times New Roman"/>
          <w:color w:val="000000" w:themeColor="text1"/>
          <w:highlight w:val="none"/>
          <w:u w:val="none" w:color="auto"/>
          <w14:textFill>
            <w14:solidFill>
              <w14:schemeClr w14:val="tx1"/>
            </w14:solidFill>
          </w14:textFill>
        </w:rPr>
        <w:t>水</w:t>
      </w:r>
    </w:p>
    <w:p w14:paraId="400F0EF3">
      <w:pPr>
        <w:numPr>
          <w:ilvl w:val="0"/>
          <w:numId w:val="0"/>
        </w:numPr>
        <w:ind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项目员工定员仅</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16</w:t>
      </w:r>
      <w:r>
        <w:rPr>
          <w:rFonts w:hint="default" w:ascii="Times New Roman" w:hAnsi="Times New Roman" w:cs="Times New Roman"/>
          <w:color w:val="000000" w:themeColor="text1"/>
          <w:highlight w:val="none"/>
          <w:u w:val="none" w:color="auto"/>
          <w14:textFill>
            <w14:solidFill>
              <w14:schemeClr w14:val="tx1"/>
            </w14:solidFill>
          </w14:textFill>
        </w:rPr>
        <w:t>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厂内提供食堂，两班制，晚班2人在厂内住宿，</w:t>
      </w:r>
      <w:r>
        <w:rPr>
          <w:rFonts w:hint="default" w:ascii="Times New Roman" w:hAnsi="Times New Roman" w:cs="Times New Roman"/>
          <w:color w:val="000000" w:themeColor="text1"/>
          <w:highlight w:val="none"/>
          <w:u w:val="none" w:color="auto"/>
          <w:lang w:eastAsia="zh-CN"/>
          <w14:textFill>
            <w14:solidFill>
              <w14:schemeClr w14:val="tx1"/>
            </w14:solidFill>
          </w14:textFill>
        </w:rPr>
        <w:t>根据《湖南省地方标准用水定额》（</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DB43/T388-2025</w:t>
      </w:r>
      <w:r>
        <w:rPr>
          <w:rFonts w:hint="default" w:ascii="Times New Roman" w:hAnsi="Times New Roman" w:cs="Times New Roman"/>
          <w:color w:val="000000" w:themeColor="text1"/>
          <w:highlight w:val="none"/>
          <w:u w:val="none" w:color="auto"/>
          <w:lang w:eastAsia="zh-CN"/>
          <w14:textFill>
            <w14:solidFill>
              <w14:schemeClr w14:val="tx1"/>
            </w14:solidFill>
          </w14:textFill>
        </w:rPr>
        <w:t>）项目员工生活用水</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分别</w:t>
      </w:r>
      <w:r>
        <w:rPr>
          <w:rFonts w:hint="default" w:ascii="Times New Roman" w:hAnsi="Times New Roman" w:cs="Times New Roman"/>
          <w:color w:val="000000" w:themeColor="text1"/>
          <w:highlight w:val="none"/>
          <w:u w:val="none" w:color="auto"/>
          <w:lang w:eastAsia="zh-CN"/>
          <w14:textFill>
            <w14:solidFill>
              <w14:schemeClr w14:val="tx1"/>
            </w14:solidFill>
          </w14:textFill>
        </w:rPr>
        <w:t>取值</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120L/人</w:t>
      </w:r>
      <w:r>
        <w:rPr>
          <w:rFonts w:hint="default" w:ascii="Times New Roman" w:hAnsi="Times New Roman" w:eastAsia="微软雅黑" w:cs="Times New Roman"/>
          <w:color w:val="000000" w:themeColor="text1"/>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d、160L/人</w:t>
      </w:r>
      <w:r>
        <w:rPr>
          <w:rFonts w:hint="default" w:ascii="Times New Roman" w:hAnsi="Times New Roman" w:eastAsia="微软雅黑" w:cs="Times New Roman"/>
          <w:color w:val="000000" w:themeColor="text1"/>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d，</w:t>
      </w:r>
      <w:r>
        <w:rPr>
          <w:rFonts w:hint="default" w:ascii="Times New Roman" w:hAnsi="Times New Roman" w:cs="Times New Roman"/>
          <w:color w:val="000000" w:themeColor="text1"/>
          <w:highlight w:val="none"/>
          <w:u w:val="none" w:color="auto"/>
          <w:lang w:eastAsia="zh-CN"/>
          <w14:textFill>
            <w14:solidFill>
              <w14:schemeClr w14:val="tx1"/>
            </w14:solidFill>
          </w14:textFill>
        </w:rPr>
        <w:t>故本项目员工生活用水量为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/d，产污系数取0.8，生活污水产生量为1.8m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/d</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经化粪池处理后</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进入自身</w:t>
      </w:r>
      <w:r>
        <w:rPr>
          <w:rFonts w:hint="default" w:ascii="Times New Roman" w:hAnsi="Times New Roman" w:cs="Times New Roman"/>
          <w:color w:val="000000" w:themeColor="text1"/>
          <w:highlight w:val="none"/>
          <w:u w:val="none" w:color="auto"/>
          <w14:textFill>
            <w14:solidFill>
              <w14:schemeClr w14:val="tx1"/>
            </w14:solidFill>
          </w14:textFill>
        </w:rPr>
        <w:t>污水处理厂处理后达标排放。</w:t>
      </w:r>
    </w:p>
    <w:p w14:paraId="0FB66FA9">
      <w:pPr>
        <w:numPr>
          <w:ilvl w:val="0"/>
          <w:numId w:val="15"/>
        </w:numPr>
        <w:ind w:left="0" w:leftChars="0" w:firstLine="480" w:firstLineChars="20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滤池反冲洗废水</w:t>
      </w:r>
    </w:p>
    <w:p w14:paraId="476B9390">
      <w:pPr>
        <w:numPr>
          <w:ilvl w:val="0"/>
          <w:numId w:val="0"/>
        </w:numPr>
        <w:ind w:firstLine="240" w:firstLineChars="10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产水泵间歇运行，总过滤面积90m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，滤速4m/h，冲洗水量约占总水量的5%~8%，反冲洗废水进入污水处理设施前端经自身污水处理设施处理后达标排放。</w:t>
      </w:r>
    </w:p>
    <w:p w14:paraId="743BE63E">
      <w:pPr>
        <w:numPr>
          <w:ilvl w:val="0"/>
          <w:numId w:val="15"/>
        </w:numPr>
        <w:ind w:left="0" w:leftChars="0" w:firstLine="480" w:firstLineChars="20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污泥压滤水</w:t>
      </w:r>
    </w:p>
    <w:p w14:paraId="41DFBBB0">
      <w:pPr>
        <w:numPr>
          <w:ilvl w:val="0"/>
          <w:numId w:val="0"/>
        </w:numPr>
        <w:ind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wave" w:color="auto"/>
          <w:lang w:val="en-US" w:eastAsia="zh-CN" w:bidi="ar-SA"/>
          <w14:textFill>
            <w14:solidFill>
              <w14:schemeClr w14:val="tx1"/>
            </w14:solidFill>
          </w14:textFill>
        </w:rPr>
        <w:t>污泥压滤水约为4</w:t>
      </w:r>
      <w:r>
        <w:rPr>
          <w:rFonts w:hint="eastAsia" w:cs="Times New Roman" w:eastAsiaTheme="minorEastAsia"/>
          <w:color w:val="000000" w:themeColor="text1"/>
          <w:sz w:val="24"/>
          <w:szCs w:val="24"/>
          <w:highlight w:val="none"/>
          <w:u w:val="wave" w:color="auto"/>
          <w:lang w:val="en-US" w:eastAsia="zh-CN" w:bidi="ar-SA"/>
          <w14:textFill>
            <w14:solidFill>
              <w14:schemeClr w14:val="tx1"/>
            </w14:solidFill>
          </w14:textFill>
        </w:rPr>
        <w:t>8.45</w:t>
      </w:r>
      <w:r>
        <w:rPr>
          <w:rFonts w:hint="default" w:ascii="Times New Roman" w:hAnsi="Times New Roman" w:cs="Times New Roman" w:eastAsiaTheme="minorEastAsia"/>
          <w:color w:val="000000" w:themeColor="text1"/>
          <w:sz w:val="24"/>
          <w:szCs w:val="24"/>
          <w:highlight w:val="none"/>
          <w:u w:val="wave" w:color="auto"/>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sz w:val="24"/>
          <w:szCs w:val="24"/>
          <w:highlight w:val="none"/>
          <w:u w:val="wave" w:color="auto"/>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wave" w:color="auto"/>
          <w:lang w:val="en-US" w:eastAsia="zh-CN" w:bidi="ar-SA"/>
          <w14:textFill>
            <w14:solidFill>
              <w14:schemeClr w14:val="tx1"/>
            </w14:solidFill>
          </w14:textFill>
        </w:rPr>
        <w:t>/d，</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主要含COD、氨氮、SS等，经管道进入污水处理设施前端经自身污水处理设施处理后达标排放。</w:t>
      </w:r>
    </w:p>
    <w:p w14:paraId="6B4D6059">
      <w:pPr>
        <w:numPr>
          <w:ilvl w:val="0"/>
          <w:numId w:val="15"/>
        </w:numPr>
        <w:ind w:left="0" w:leftChars="0" w:firstLine="480" w:firstLineChars="20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化验室废水</w:t>
      </w:r>
    </w:p>
    <w:p w14:paraId="14219703">
      <w:pPr>
        <w:numPr>
          <w:ilvl w:val="0"/>
          <w:numId w:val="0"/>
        </w:numPr>
        <w:ind w:leftChars="20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化验室废水产生量约为1m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/d，经酸碱中和后进入自身污水处理设施处理。</w:t>
      </w:r>
    </w:p>
    <w:p w14:paraId="759A9097">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项目生产废水经本项目污水处理系统处理后</w:t>
      </w:r>
      <w:r>
        <w:rPr>
          <w:rFonts w:hint="default" w:ascii="Times New Roman" w:hAnsi="Times New Roman" w:cs="Times New Roman"/>
          <w:color w:val="000000" w:themeColor="text1"/>
          <w:highlight w:val="none"/>
          <w:u w:val="none" w:color="auto"/>
          <w:lang w:eastAsia="zh-CN"/>
          <w14:textFill>
            <w14:solidFill>
              <w14:schemeClr w14:val="tx1"/>
            </w14:solidFill>
          </w14:textFill>
        </w:rPr>
        <w:t>达《城镇污水处理厂污染物排放标准》</w:t>
      </w:r>
      <w:r>
        <w:rPr>
          <w:rFonts w:hint="eastAsia" w:cs="Times New Roman"/>
          <w:color w:val="000000" w:themeColor="text1"/>
          <w:highlight w:val="none"/>
          <w:u w:val="none" w:color="auto"/>
          <w:lang w:eastAsia="zh-CN"/>
          <w14:textFill>
            <w14:solidFill>
              <w14:schemeClr w14:val="tx1"/>
            </w14:solidFill>
          </w14:textFill>
        </w:rPr>
        <w:t>（GB18918-2002）修改单</w:t>
      </w:r>
      <w:r>
        <w:rPr>
          <w:rFonts w:hint="default" w:ascii="Times New Roman" w:hAnsi="Times New Roman" w:cs="Times New Roman"/>
          <w:color w:val="000000" w:themeColor="text1"/>
          <w:highlight w:val="none"/>
          <w:u w:val="none" w:color="auto"/>
          <w:lang w:eastAsia="zh-CN"/>
          <w14:textFill>
            <w14:solidFill>
              <w14:schemeClr w14:val="tx1"/>
            </w14:solidFill>
          </w14:textFill>
        </w:rPr>
        <w:t>一级A标准后经机排二十渠排入老三运河，最终进入漉湖</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w:t>
      </w:r>
    </w:p>
    <w:p w14:paraId="5DAB857A">
      <w:pPr>
        <w:pStyle w:val="5"/>
        <w:numPr>
          <w:ilvl w:val="2"/>
          <w:numId w:val="0"/>
        </w:numPr>
        <w:ind w:leftChars="0" w:firstLine="482" w:firstLineChars="200"/>
        <w:outlineLvl w:val="3"/>
        <w:rPr>
          <w:rFonts w:hint="default" w:ascii="Times New Roman" w:hAnsi="Times New Roman" w:cs="Times New Roman"/>
          <w:color w:val="000000" w:themeColor="text1"/>
          <w:sz w:val="24"/>
          <w:szCs w:val="28"/>
          <w:highlight w:val="none"/>
          <w:u w:val="none" w:color="auto"/>
          <w:lang w:val="en-US" w:eastAsia="zh-CN"/>
          <w14:textFill>
            <w14:solidFill>
              <w14:schemeClr w14:val="tx1"/>
            </w14:solidFill>
          </w14:textFill>
        </w:rPr>
      </w:pPr>
      <w:r>
        <w:rPr>
          <w:rFonts w:hint="default" w:ascii="Times New Roman" w:hAnsi="Times New Roman" w:cs="Times New Roman"/>
          <w:color w:val="auto"/>
          <w:sz w:val="24"/>
          <w:szCs w:val="28"/>
          <w:highlight w:val="none"/>
          <w:u w:val="none" w:color="auto"/>
          <w:lang w:val="en-US" w:eastAsia="zh-CN"/>
        </w:rPr>
        <w:t>3.3.7.</w:t>
      </w:r>
      <w:r>
        <w:rPr>
          <w:rFonts w:hint="default" w:ascii="Times New Roman" w:hAnsi="Times New Roman" w:cs="Times New Roman"/>
          <w:color w:val="000000" w:themeColor="text1"/>
          <w:sz w:val="24"/>
          <w:szCs w:val="28"/>
          <w:highlight w:val="none"/>
          <w:u w:val="none" w:color="auto"/>
          <w:lang w:val="en-US" w:eastAsia="zh-CN"/>
          <w14:textFill>
            <w14:solidFill>
              <w14:schemeClr w14:val="tx1"/>
            </w14:solidFill>
          </w14:textFill>
        </w:rPr>
        <w:t>2 供电</w:t>
      </w:r>
    </w:p>
    <w:p w14:paraId="3CBAFFBD">
      <w:pPr>
        <w:ind w:firstLine="480"/>
        <w:rPr>
          <w:rFonts w:hint="default" w:ascii="Times New Roman" w:hAnsi="Times New Roman" w:cs="Times New Roman"/>
          <w:color w:val="000000" w:themeColor="text1"/>
          <w:highlight w:val="none"/>
          <w:u w:val="none" w:color="auto"/>
          <w14:textFill>
            <w14:solidFill>
              <w14:schemeClr w14:val="tx1"/>
            </w14:solidFill>
          </w14:textFill>
        </w:rPr>
      </w:pPr>
      <w:bookmarkStart w:id="61" w:name="8.5.3_计算负荷"/>
      <w:bookmarkEnd w:id="61"/>
      <w:bookmarkStart w:id="62" w:name="8.5.4_变配电间设计"/>
      <w:bookmarkEnd w:id="62"/>
      <w:r>
        <w:rPr>
          <w:rFonts w:hint="default" w:ascii="Times New Roman" w:hAnsi="Times New Roman" w:cs="Times New Roman"/>
          <w:color w:val="000000" w:themeColor="text1"/>
          <w:highlight w:val="none"/>
          <w:u w:val="none" w:color="auto"/>
          <w14:textFill>
            <w14:solidFill>
              <w14:schemeClr w14:val="tx1"/>
            </w14:solidFill>
          </w14:textFill>
        </w:rPr>
        <w:t>本工程</w:t>
      </w:r>
      <w:r>
        <w:rPr>
          <w:rFonts w:hint="default" w:ascii="Times New Roman" w:hAnsi="Times New Roman" w:cs="Times New Roman"/>
          <w:color w:val="000000" w:themeColor="text1"/>
          <w:highlight w:val="none"/>
          <w:u w:val="none" w:color="auto"/>
          <w:lang w:eastAsia="zh-CN"/>
          <w14:textFill>
            <w14:solidFill>
              <w14:schemeClr w14:val="tx1"/>
            </w14:solidFill>
          </w14:textFill>
        </w:rPr>
        <w:t>由市政管网供电，</w:t>
      </w:r>
      <w:r>
        <w:rPr>
          <w:rFonts w:hint="default" w:ascii="Times New Roman" w:hAnsi="Times New Roman" w:cs="Times New Roman"/>
          <w:color w:val="000000" w:themeColor="text1"/>
          <w:highlight w:val="none"/>
          <w:u w:val="none" w:color="auto"/>
          <w14:textFill>
            <w14:solidFill>
              <w14:schemeClr w14:val="tx1"/>
            </w14:solidFill>
          </w14:textFill>
        </w:rPr>
        <w:t>用电负荷为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二</w:t>
      </w:r>
      <w:r>
        <w:rPr>
          <w:rFonts w:hint="default" w:ascii="Times New Roman" w:hAnsi="Times New Roman" w:cs="Times New Roman"/>
          <w:color w:val="000000" w:themeColor="text1"/>
          <w:highlight w:val="none"/>
          <w:u w:val="none" w:color="auto"/>
          <w14:textFill>
            <w14:solidFill>
              <w14:schemeClr w14:val="tx1"/>
            </w14:solidFill>
          </w14:textFill>
        </w:rPr>
        <w:t>级负荷</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以两回路10kV电源供电，厂区已有一路10kV电源，本次改造从厂区附近再引入一路10kV电源，两回线路使用情况为一用一备。10kV架空线引至厂区附近的终端杆后，改用电缆线引入变配电间</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p>
    <w:p w14:paraId="0694B5AC">
      <w:pPr>
        <w:pStyle w:val="4"/>
        <w:numPr>
          <w:ilvl w:val="1"/>
          <w:numId w:val="0"/>
        </w:numPr>
        <w:ind w:leftChars="0"/>
        <w:outlineLvl w:val="2"/>
        <w:rPr>
          <w:rFonts w:hint="default" w:ascii="Times New Roman" w:hAnsi="Times New Roman" w:cs="Times New Roman"/>
          <w:color w:val="auto"/>
          <w:sz w:val="28"/>
          <w:szCs w:val="28"/>
          <w:highlight w:val="none"/>
          <w:u w:val="none" w:color="auto"/>
          <w:lang w:val="en-US" w:eastAsia="zh-CN"/>
        </w:rPr>
      </w:pPr>
      <w:bookmarkStart w:id="63" w:name="8.6.1_设计原则"/>
      <w:bookmarkEnd w:id="63"/>
      <w:bookmarkStart w:id="64" w:name="8.6.2_工艺控制要求"/>
      <w:bookmarkEnd w:id="64"/>
      <w:bookmarkStart w:id="65" w:name="8.6.3_自控系统设计"/>
      <w:bookmarkEnd w:id="65"/>
      <w:bookmarkStart w:id="66" w:name="8.6.4_检测仪表"/>
      <w:bookmarkEnd w:id="66"/>
      <w:r>
        <w:rPr>
          <w:rFonts w:hint="default" w:ascii="Times New Roman" w:hAnsi="Times New Roman" w:cs="Times New Roman"/>
          <w:color w:val="auto"/>
          <w:sz w:val="28"/>
          <w:szCs w:val="28"/>
          <w:highlight w:val="none"/>
          <w:u w:val="none" w:color="auto"/>
          <w:lang w:val="en-US" w:eastAsia="zh-CN"/>
        </w:rPr>
        <w:t>3.3.8 总平面布置及其合理性分析</w:t>
      </w:r>
    </w:p>
    <w:p w14:paraId="29EB2607">
      <w:pPr>
        <w:ind w:left="0" w:leftChars="0" w:firstLine="480" w:firstLineChars="20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平面布置图详见附图，废水从东侧经一体化提升泵站进入北侧调节池，而后进入生化阶段，新建水解酸化及AAO组合池与改造后的现状生化池位于中部，而后进入西侧混凝沉淀池后进入精密滤池，最后进入西侧接触消毒池消毒处理后经计量渠从西侧排放口排放；污水处理区域生活区相互独立，生活办公区位于主导风向上风向，降低了生产区恶臭对生活区的影响，主要臭气产生单元经设置封闭措施，采用负压收集处理，对周边环境影响较小；南部分布有污泥脱水间及加氯间、加药房、贮泥池、危废暂存间、及事故应急池。</w:t>
      </w:r>
    </w:p>
    <w:p w14:paraId="46FAC91F">
      <w:pP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平面布置充分考虑现有工程处理单元分布，在满足处理要求的情况下，充分利用到原有工程。厂区内新建及现状改造的构筑物布置既能满足工艺流程要求、相互紧密联系，又能体现出各个单体构筑物提标改造的功能及使用要求，厂区东侧与园区内部道路相连接，满足人流及物流的需求。</w:t>
      </w:r>
    </w:p>
    <w:p w14:paraId="4C313C75">
      <w:pPr>
        <w:pStyle w:val="4"/>
        <w:numPr>
          <w:ilvl w:val="1"/>
          <w:numId w:val="0"/>
        </w:numPr>
        <w:ind w:leftChars="0"/>
        <w:outlineLvl w:val="2"/>
        <w:rPr>
          <w:rFonts w:hint="default" w:ascii="Times New Roman" w:hAnsi="Times New Roman" w:cs="Times New Roman"/>
          <w:color w:val="000000" w:themeColor="text1"/>
          <w:sz w:val="28"/>
          <w:szCs w:val="28"/>
          <w:highlight w:val="none"/>
          <w:u w:val="none" w:color="auto"/>
          <w14:textFill>
            <w14:solidFill>
              <w14:schemeClr w14:val="tx1"/>
            </w14:solidFill>
          </w14:textFill>
        </w:rPr>
      </w:pPr>
      <w:r>
        <w:rPr>
          <w:rFonts w:hint="default" w:ascii="Times New Roman" w:hAnsi="Times New Roman" w:cs="Times New Roman"/>
          <w:color w:val="000000" w:themeColor="text1"/>
          <w:sz w:val="28"/>
          <w:szCs w:val="28"/>
          <w:highlight w:val="none"/>
          <w:u w:val="none" w:color="auto"/>
          <w:lang w:val="en-US" w:eastAsia="zh-CN"/>
          <w14:textFill>
            <w14:solidFill>
              <w14:schemeClr w14:val="tx1"/>
            </w14:solidFill>
          </w14:textFill>
        </w:rPr>
        <w:t>3.3.9项目进度、</w:t>
      </w:r>
      <w:r>
        <w:rPr>
          <w:rFonts w:hint="default" w:ascii="Times New Roman" w:hAnsi="Times New Roman" w:cs="Times New Roman"/>
          <w:color w:val="000000" w:themeColor="text1"/>
          <w:sz w:val="28"/>
          <w:szCs w:val="28"/>
          <w:highlight w:val="none"/>
          <w:u w:val="none" w:color="auto"/>
          <w14:textFill>
            <w14:solidFill>
              <w14:schemeClr w14:val="tx1"/>
            </w14:solidFill>
          </w14:textFill>
        </w:rPr>
        <w:t>劳动定员及工作制度</w:t>
      </w:r>
    </w:p>
    <w:p w14:paraId="6C01B31A">
      <w:pPr>
        <w:pStyle w:val="189"/>
        <w:rPr>
          <w:rFonts w:hint="default" w:ascii="Times New Roman" w:hAnsi="Times New Roman" w:cs="Times New Roman"/>
          <w:b/>
          <w:bCs/>
          <w:color w:val="000000" w:themeColor="text1"/>
          <w:sz w:val="28"/>
          <w:szCs w:val="28"/>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项目环评阶段已开展工程设计，暂未开工建设，预计施工期为3个月，项目建成后</w:t>
      </w:r>
      <w:r>
        <w:rPr>
          <w:rFonts w:hint="default" w:ascii="Times New Roman" w:hAnsi="Times New Roman" w:cs="Times New Roman"/>
          <w:color w:val="000000" w:themeColor="text1"/>
          <w:highlight w:val="none"/>
          <w:u w:val="none" w:color="auto"/>
          <w14:textFill>
            <w14:solidFill>
              <w14:schemeClr w14:val="tx1"/>
            </w14:solidFill>
          </w14:textFill>
        </w:rPr>
        <w:t>全年</w:t>
      </w:r>
      <w:r>
        <w:rPr>
          <w:rFonts w:hint="default" w:ascii="Times New Roman" w:hAnsi="Times New Roman" w:eastAsia="TimesNewRomanPSMT" w:cs="Times New Roman"/>
          <w:color w:val="000000" w:themeColor="text1"/>
          <w:highlight w:val="none"/>
          <w:u w:val="none" w:color="auto"/>
          <w14:textFill>
            <w14:solidFill>
              <w14:schemeClr w14:val="tx1"/>
            </w14:solidFill>
          </w14:textFill>
        </w:rPr>
        <w:t>24</w:t>
      </w:r>
      <w:r>
        <w:rPr>
          <w:rFonts w:hint="default" w:ascii="Times New Roman" w:hAnsi="Times New Roman" w:cs="Times New Roman"/>
          <w:color w:val="000000" w:themeColor="text1"/>
          <w:highlight w:val="none"/>
          <w:u w:val="none" w:color="auto"/>
          <w14:textFill>
            <w14:solidFill>
              <w14:schemeClr w14:val="tx1"/>
            </w14:solidFill>
          </w14:textFill>
        </w:rPr>
        <w:t>小时运营。项目劳动定员为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16</w:t>
      </w:r>
      <w:r>
        <w:rPr>
          <w:rFonts w:hint="default" w:ascii="Times New Roman" w:hAnsi="Times New Roman" w:cs="Times New Roman"/>
          <w:color w:val="000000" w:themeColor="text1"/>
          <w:highlight w:val="none"/>
          <w:u w:val="none" w:color="auto"/>
          <w14:textFill>
            <w14:solidFill>
              <w14:schemeClr w14:val="tx1"/>
            </w14:solidFill>
          </w14:textFill>
        </w:rPr>
        <w:t>人。</w:t>
      </w:r>
    </w:p>
    <w:p w14:paraId="6803C839">
      <w:pPr>
        <w:pStyle w:val="3"/>
        <w:numPr>
          <w:ilvl w:val="0"/>
          <w:numId w:val="0"/>
        </w:numPr>
        <w:ind w:leftChars="0"/>
        <w:outlineLvl w:val="1"/>
        <w:rPr>
          <w:rFonts w:hint="default" w:ascii="Times New Roman" w:hAnsi="Times New Roman" w:eastAsia="宋体" w:cs="Times New Roman"/>
          <w:color w:val="auto"/>
          <w:sz w:val="30"/>
          <w:szCs w:val="30"/>
          <w:highlight w:val="none"/>
          <w:u w:val="none" w:color="auto"/>
          <w:lang w:eastAsia="zh-CN"/>
        </w:rPr>
      </w:pPr>
      <w:bookmarkStart w:id="67" w:name="_Toc32639"/>
      <w:r>
        <w:rPr>
          <w:rFonts w:hint="default" w:ascii="Times New Roman" w:hAnsi="Times New Roman" w:cs="Times New Roman"/>
          <w:color w:val="auto"/>
          <w:sz w:val="30"/>
          <w:szCs w:val="30"/>
          <w:highlight w:val="none"/>
          <w:u w:val="none" w:color="auto"/>
          <w:lang w:val="en-US" w:eastAsia="zh-CN"/>
        </w:rPr>
        <w:t xml:space="preserve">3.4 </w:t>
      </w:r>
      <w:r>
        <w:rPr>
          <w:rFonts w:hint="default" w:ascii="Times New Roman" w:hAnsi="Times New Roman" w:cs="Times New Roman"/>
          <w:color w:val="auto"/>
          <w:sz w:val="30"/>
          <w:szCs w:val="30"/>
          <w:highlight w:val="none"/>
          <w:u w:val="none" w:color="auto"/>
          <w:lang w:eastAsia="zh-CN"/>
        </w:rPr>
        <w:t>施工期工程分析</w:t>
      </w:r>
      <w:bookmarkEnd w:id="67"/>
    </w:p>
    <w:p w14:paraId="79DD7CCF">
      <w:pPr>
        <w:pStyle w:val="4"/>
        <w:numPr>
          <w:ilvl w:val="1"/>
          <w:numId w:val="0"/>
        </w:numPr>
        <w:ind w:leftChars="0"/>
        <w:outlineLvl w:val="2"/>
        <w:rPr>
          <w:rFonts w:hint="default" w:ascii="Times New Roman" w:hAnsi="Times New Roman" w:cs="Times New Roman"/>
          <w:color w:val="auto"/>
          <w:sz w:val="28"/>
          <w:szCs w:val="28"/>
          <w:highlight w:val="none"/>
          <w:u w:val="none" w:color="auto"/>
          <w:lang w:val="en-US" w:eastAsia="zh-CN"/>
        </w:rPr>
      </w:pPr>
      <w:bookmarkStart w:id="68" w:name="bookmark16"/>
      <w:bookmarkEnd w:id="68"/>
      <w:bookmarkStart w:id="69" w:name="bookmark15"/>
      <w:bookmarkEnd w:id="69"/>
      <w:r>
        <w:rPr>
          <w:rFonts w:hint="default" w:ascii="Times New Roman" w:hAnsi="Times New Roman" w:cs="Times New Roman"/>
          <w:color w:val="auto"/>
          <w:sz w:val="28"/>
          <w:szCs w:val="28"/>
          <w:highlight w:val="none"/>
          <w:u w:val="none" w:color="auto"/>
          <w:lang w:val="en-US" w:eastAsia="zh-CN"/>
        </w:rPr>
        <w:t>3.4.1 施工期工艺流程及产污节点分析</w:t>
      </w:r>
    </w:p>
    <w:p w14:paraId="4EB9FAAD">
      <w:pPr>
        <w:numPr>
          <w:ilvl w:val="1"/>
          <w:numId w:val="0"/>
        </w:numPr>
        <w:tabs>
          <w:tab w:val="left" w:pos="0"/>
        </w:tabs>
        <w:ind w:leftChars="0" w:firstLine="480" w:firstLineChars="200"/>
        <w:outlineLvl w:val="9"/>
        <w:rPr>
          <w:rFonts w:hint="default" w:ascii="Times New Roman" w:hAnsi="Times New Roman" w:cs="Times New Roman" w:eastAsiaTheme="minorEastAsia"/>
          <w:b w:val="0"/>
          <w:bCs w:val="0"/>
          <w:color w:val="auto"/>
          <w:sz w:val="24"/>
          <w:szCs w:val="24"/>
          <w:highlight w:val="none"/>
          <w:u w:val="none" w:color="auto"/>
          <w:lang w:val="en-US" w:eastAsia="zh-CN" w:bidi="ar-SA"/>
        </w:rPr>
      </w:pPr>
      <w:r>
        <w:rPr>
          <w:rFonts w:hint="default" w:ascii="Times New Roman" w:hAnsi="Times New Roman" w:cs="Times New Roman" w:eastAsiaTheme="minorEastAsia"/>
          <w:b w:val="0"/>
          <w:bCs w:val="0"/>
          <w:color w:val="auto"/>
          <w:sz w:val="24"/>
          <w:szCs w:val="24"/>
          <w:highlight w:val="none"/>
          <w:u w:val="none" w:color="auto"/>
          <w:lang w:val="en-US" w:eastAsia="zh-CN" w:bidi="ar-SA"/>
        </w:rPr>
        <w:t>本项目施工工序及产污环节见图3.4-1。</w:t>
      </w:r>
    </w:p>
    <w:p w14:paraId="54B1EFFB">
      <w:pPr>
        <w:spacing w:line="240" w:lineRule="auto"/>
        <w:jc w:val="center"/>
        <w:rPr>
          <w:rFonts w:hint="default" w:ascii="Times New Roman" w:hAnsi="Times New Roman" w:cs="Times New Roman"/>
          <w:color w:val="auto"/>
          <w:highlight w:val="none"/>
          <w:u w:val="none" w:color="auto"/>
        </w:rPr>
      </w:pPr>
      <w:r>
        <w:rPr>
          <w:rFonts w:hint="default" w:ascii="Times New Roman" w:hAnsi="Times New Roman" w:eastAsia="宋体" w:cs="Times New Roman"/>
          <w:kern w:val="2"/>
          <w:sz w:val="21"/>
          <w:highlight w:val="none"/>
        </w:rPr>
        <mc:AlternateContent>
          <mc:Choice Requires="wpc">
            <w:drawing>
              <wp:inline distT="0" distB="0" distL="0" distR="0">
                <wp:extent cx="5462905" cy="2587625"/>
                <wp:effectExtent l="0" t="0" r="0" b="0"/>
                <wp:docPr id="2516" name="画布 25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66" name="矩形 2518"/>
                        <wps:cNvSpPr>
                          <a:spLocks noChangeArrowheads="1"/>
                        </wps:cNvSpPr>
                        <wps:spPr bwMode="auto">
                          <a:xfrm>
                            <a:off x="1390650" y="2028825"/>
                            <a:ext cx="3060065" cy="401320"/>
                          </a:xfrm>
                          <a:prstGeom prst="rect">
                            <a:avLst/>
                          </a:prstGeom>
                          <a:solidFill>
                            <a:srgbClr val="FFFFFF"/>
                          </a:solidFill>
                          <a:ln>
                            <a:noFill/>
                          </a:ln>
                        </wps:spPr>
                        <wps:txbx>
                          <w:txbxContent>
                            <w:p w14:paraId="7ACDF61E">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建筑垃圾、生活垃圾、生活污水、施工废水</w:t>
                              </w:r>
                            </w:p>
                          </w:txbxContent>
                        </wps:txbx>
                        <wps:bodyPr rot="0" vert="horz" wrap="square" lIns="91440" tIns="45720" rIns="91440" bIns="45720" anchor="t" anchorCtr="0" upright="1">
                          <a:noAutofit/>
                        </wps:bodyPr>
                      </wps:wsp>
                      <wps:wsp>
                        <wps:cNvPr id="2767" name="矩形 2519"/>
                        <wps:cNvSpPr>
                          <a:spLocks noChangeArrowheads="1"/>
                        </wps:cNvSpPr>
                        <wps:spPr bwMode="auto">
                          <a:xfrm>
                            <a:off x="424815" y="265430"/>
                            <a:ext cx="594360" cy="297180"/>
                          </a:xfrm>
                          <a:prstGeom prst="rect">
                            <a:avLst/>
                          </a:prstGeom>
                          <a:solidFill>
                            <a:srgbClr val="FFFFFF"/>
                          </a:solidFill>
                          <a:ln>
                            <a:noFill/>
                          </a:ln>
                        </wps:spPr>
                        <wps:txbx>
                          <w:txbxContent>
                            <w:p w14:paraId="31C65E46">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噪声</w:t>
                              </w:r>
                            </w:p>
                          </w:txbxContent>
                        </wps:txbx>
                        <wps:bodyPr rot="0" vert="horz" wrap="square" lIns="91440" tIns="45720" rIns="91440" bIns="45720" anchor="t" anchorCtr="0" upright="1">
                          <a:noAutofit/>
                        </wps:bodyPr>
                      </wps:wsp>
                      <wps:wsp>
                        <wps:cNvPr id="2768" name="矩形 2520"/>
                        <wps:cNvSpPr>
                          <a:spLocks noChangeArrowheads="1"/>
                        </wps:cNvSpPr>
                        <wps:spPr bwMode="auto">
                          <a:xfrm>
                            <a:off x="3617595" y="271780"/>
                            <a:ext cx="631825" cy="297180"/>
                          </a:xfrm>
                          <a:prstGeom prst="rect">
                            <a:avLst/>
                          </a:prstGeom>
                          <a:solidFill>
                            <a:srgbClr val="FFFFFF"/>
                          </a:solidFill>
                          <a:ln>
                            <a:noFill/>
                          </a:ln>
                        </wps:spPr>
                        <wps:txbx>
                          <w:txbxContent>
                            <w:p w14:paraId="5A0CC263">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扬尘</w:t>
                              </w:r>
                            </w:p>
                          </w:txbxContent>
                        </wps:txbx>
                        <wps:bodyPr rot="0" vert="horz" wrap="square" lIns="91440" tIns="45720" rIns="91440" bIns="45720" anchor="t" anchorCtr="0" upright="1">
                          <a:noAutofit/>
                        </wps:bodyPr>
                      </wps:wsp>
                      <wps:wsp>
                        <wps:cNvPr id="2769" name="矩形 2521"/>
                        <wps:cNvSpPr>
                          <a:spLocks noChangeArrowheads="1"/>
                        </wps:cNvSpPr>
                        <wps:spPr bwMode="auto">
                          <a:xfrm>
                            <a:off x="356235" y="1287780"/>
                            <a:ext cx="857250" cy="297180"/>
                          </a:xfrm>
                          <a:prstGeom prst="rect">
                            <a:avLst/>
                          </a:prstGeom>
                          <a:solidFill>
                            <a:srgbClr val="FFFFFF"/>
                          </a:solidFill>
                          <a:ln w="9525">
                            <a:solidFill>
                              <a:srgbClr val="000000"/>
                            </a:solidFill>
                            <a:miter lim="800000"/>
                          </a:ln>
                        </wps:spPr>
                        <wps:txbx>
                          <w:txbxContent>
                            <w:p w14:paraId="77B73990">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土方开挖</w:t>
                              </w:r>
                            </w:p>
                          </w:txbxContent>
                        </wps:txbx>
                        <wps:bodyPr rot="0" vert="horz" wrap="square" lIns="91440" tIns="45720" rIns="91440" bIns="45720" anchor="t" anchorCtr="0" upright="1">
                          <a:noAutofit/>
                        </wps:bodyPr>
                      </wps:wsp>
                      <wps:wsp>
                        <wps:cNvPr id="2770" name="矩形 2522"/>
                        <wps:cNvSpPr>
                          <a:spLocks noChangeArrowheads="1"/>
                        </wps:cNvSpPr>
                        <wps:spPr bwMode="auto">
                          <a:xfrm>
                            <a:off x="2743200" y="1287780"/>
                            <a:ext cx="809625" cy="295910"/>
                          </a:xfrm>
                          <a:prstGeom prst="rect">
                            <a:avLst/>
                          </a:prstGeom>
                          <a:solidFill>
                            <a:srgbClr val="FFFFFF"/>
                          </a:solidFill>
                          <a:ln w="9525">
                            <a:solidFill>
                              <a:srgbClr val="000000"/>
                            </a:solidFill>
                            <a:miter lim="800000"/>
                          </a:ln>
                        </wps:spPr>
                        <wps:txbx>
                          <w:txbxContent>
                            <w:p w14:paraId="4B66E525">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道路修筑</w:t>
                              </w:r>
                            </w:p>
                          </w:txbxContent>
                        </wps:txbx>
                        <wps:bodyPr rot="0" vert="horz" wrap="square" lIns="91440" tIns="45720" rIns="91440" bIns="45720" anchor="t" anchorCtr="0" upright="1">
                          <a:noAutofit/>
                        </wps:bodyPr>
                      </wps:wsp>
                      <wps:wsp>
                        <wps:cNvPr id="2771" name="矩形 2523"/>
                        <wps:cNvSpPr>
                          <a:spLocks noChangeArrowheads="1"/>
                        </wps:cNvSpPr>
                        <wps:spPr bwMode="auto">
                          <a:xfrm>
                            <a:off x="1595120" y="1287780"/>
                            <a:ext cx="804545" cy="297180"/>
                          </a:xfrm>
                          <a:prstGeom prst="rect">
                            <a:avLst/>
                          </a:prstGeom>
                          <a:solidFill>
                            <a:srgbClr val="FFFFFF"/>
                          </a:solidFill>
                          <a:ln w="9525">
                            <a:solidFill>
                              <a:srgbClr val="000000"/>
                            </a:solidFill>
                            <a:miter lim="800000"/>
                          </a:ln>
                        </wps:spPr>
                        <wps:txbx>
                          <w:txbxContent>
                            <w:p w14:paraId="039E3B7A">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建筑建设</w:t>
                              </w:r>
                            </w:p>
                          </w:txbxContent>
                        </wps:txbx>
                        <wps:bodyPr rot="0" vert="horz" wrap="square" lIns="91440" tIns="45720" rIns="91440" bIns="45720" anchor="t" anchorCtr="0" upright="1">
                          <a:noAutofit/>
                        </wps:bodyPr>
                      </wps:wsp>
                      <wps:wsp>
                        <wps:cNvPr id="2772" name="矩形 2524"/>
                        <wps:cNvSpPr>
                          <a:spLocks noChangeArrowheads="1"/>
                        </wps:cNvSpPr>
                        <wps:spPr bwMode="auto">
                          <a:xfrm>
                            <a:off x="3886200" y="1287780"/>
                            <a:ext cx="851535" cy="297180"/>
                          </a:xfrm>
                          <a:prstGeom prst="rect">
                            <a:avLst/>
                          </a:prstGeom>
                          <a:solidFill>
                            <a:srgbClr val="FFFFFF"/>
                          </a:solidFill>
                          <a:ln w="9525">
                            <a:solidFill>
                              <a:srgbClr val="000000"/>
                            </a:solidFill>
                            <a:miter lim="800000"/>
                          </a:ln>
                        </wps:spPr>
                        <wps:txbx>
                          <w:txbxContent>
                            <w:p w14:paraId="5B8E7B67">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设备安装</w:t>
                              </w:r>
                            </w:p>
                          </w:txbxContent>
                        </wps:txbx>
                        <wps:bodyPr rot="0" vert="horz" wrap="square" lIns="91440" tIns="45720" rIns="91440" bIns="45720" anchor="t" anchorCtr="0" upright="1">
                          <a:noAutofit/>
                        </wps:bodyPr>
                      </wps:wsp>
                      <wps:wsp>
                        <wps:cNvPr id="2773" name="矩形 2525"/>
                        <wps:cNvSpPr>
                          <a:spLocks noChangeArrowheads="1"/>
                        </wps:cNvSpPr>
                        <wps:spPr bwMode="auto">
                          <a:xfrm>
                            <a:off x="1285875" y="99060"/>
                            <a:ext cx="1624965" cy="297180"/>
                          </a:xfrm>
                          <a:prstGeom prst="rect">
                            <a:avLst/>
                          </a:prstGeom>
                          <a:solidFill>
                            <a:srgbClr val="FFFFFF"/>
                          </a:solidFill>
                          <a:ln w="9525">
                            <a:solidFill>
                              <a:srgbClr val="000000"/>
                            </a:solidFill>
                            <a:miter lim="800000"/>
                          </a:ln>
                        </wps:spPr>
                        <wps:txbx>
                          <w:txbxContent>
                            <w:p w14:paraId="3F14C4D7">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建筑材料堆放、运输</w:t>
                              </w:r>
                            </w:p>
                          </w:txbxContent>
                        </wps:txbx>
                        <wps:bodyPr rot="0" vert="horz" wrap="square" lIns="91440" tIns="45720" rIns="91440" bIns="45720" anchor="t" anchorCtr="0" upright="1">
                          <a:noAutofit/>
                        </wps:bodyPr>
                      </wps:wsp>
                      <wps:wsp>
                        <wps:cNvPr id="2774" name="直线 2526"/>
                        <wps:cNvCnPr>
                          <a:cxnSpLocks noChangeShapeType="1"/>
                        </wps:cNvCnPr>
                        <wps:spPr bwMode="auto">
                          <a:xfrm>
                            <a:off x="1238250" y="1438275"/>
                            <a:ext cx="342900" cy="635"/>
                          </a:xfrm>
                          <a:prstGeom prst="line">
                            <a:avLst/>
                          </a:prstGeom>
                          <a:noFill/>
                          <a:ln w="9525">
                            <a:solidFill>
                              <a:srgbClr val="000000"/>
                            </a:solidFill>
                            <a:round/>
                            <a:tailEnd type="triangle" w="med" len="med"/>
                          </a:ln>
                        </wps:spPr>
                        <wps:bodyPr/>
                      </wps:wsp>
                      <wps:wsp>
                        <wps:cNvPr id="2775" name="直线 2527"/>
                        <wps:cNvCnPr>
                          <a:cxnSpLocks noChangeShapeType="1"/>
                        </wps:cNvCnPr>
                        <wps:spPr bwMode="auto">
                          <a:xfrm>
                            <a:off x="2381250" y="1434465"/>
                            <a:ext cx="342900" cy="635"/>
                          </a:xfrm>
                          <a:prstGeom prst="line">
                            <a:avLst/>
                          </a:prstGeom>
                          <a:noFill/>
                          <a:ln w="9525">
                            <a:solidFill>
                              <a:srgbClr val="000000"/>
                            </a:solidFill>
                            <a:round/>
                            <a:tailEnd type="triangle" w="med" len="med"/>
                          </a:ln>
                        </wps:spPr>
                        <wps:bodyPr/>
                      </wps:wsp>
                      <wps:wsp>
                        <wps:cNvPr id="2776" name="直线 2528"/>
                        <wps:cNvCnPr>
                          <a:cxnSpLocks noChangeShapeType="1"/>
                        </wps:cNvCnPr>
                        <wps:spPr bwMode="auto">
                          <a:xfrm>
                            <a:off x="3524250" y="1434465"/>
                            <a:ext cx="342900" cy="635"/>
                          </a:xfrm>
                          <a:prstGeom prst="line">
                            <a:avLst/>
                          </a:prstGeom>
                          <a:noFill/>
                          <a:ln w="9525">
                            <a:solidFill>
                              <a:srgbClr val="000000"/>
                            </a:solidFill>
                            <a:round/>
                            <a:tailEnd type="triangle" w="med" len="med"/>
                          </a:ln>
                        </wps:spPr>
                        <wps:bodyPr/>
                      </wps:wsp>
                      <wps:wsp>
                        <wps:cNvPr id="2777" name="直线 2529"/>
                        <wps:cNvCnPr>
                          <a:cxnSpLocks noChangeShapeType="1"/>
                        </wps:cNvCnPr>
                        <wps:spPr bwMode="auto">
                          <a:xfrm>
                            <a:off x="914400" y="1584960"/>
                            <a:ext cx="1371600" cy="495300"/>
                          </a:xfrm>
                          <a:prstGeom prst="line">
                            <a:avLst/>
                          </a:prstGeom>
                          <a:noFill/>
                          <a:ln w="9525">
                            <a:solidFill>
                              <a:srgbClr val="000000"/>
                            </a:solidFill>
                            <a:prstDash val="dash"/>
                            <a:round/>
                            <a:tailEnd type="stealth" w="med" len="lg"/>
                          </a:ln>
                        </wps:spPr>
                        <wps:bodyPr/>
                      </wps:wsp>
                      <wps:wsp>
                        <wps:cNvPr id="2778" name="直线 2530"/>
                        <wps:cNvCnPr>
                          <a:cxnSpLocks noChangeShapeType="1"/>
                        </wps:cNvCnPr>
                        <wps:spPr bwMode="auto">
                          <a:xfrm flipH="1">
                            <a:off x="2743200" y="1584960"/>
                            <a:ext cx="1485900" cy="495300"/>
                          </a:xfrm>
                          <a:prstGeom prst="line">
                            <a:avLst/>
                          </a:prstGeom>
                          <a:noFill/>
                          <a:ln w="9525">
                            <a:solidFill>
                              <a:srgbClr val="000000"/>
                            </a:solidFill>
                            <a:prstDash val="dash"/>
                            <a:round/>
                            <a:tailEnd type="stealth" w="med" len="lg"/>
                          </a:ln>
                        </wps:spPr>
                        <wps:bodyPr/>
                      </wps:wsp>
                      <wps:wsp>
                        <wps:cNvPr id="2779" name="直线 2531"/>
                        <wps:cNvCnPr>
                          <a:cxnSpLocks noChangeShapeType="1"/>
                        </wps:cNvCnPr>
                        <wps:spPr bwMode="auto">
                          <a:xfrm flipH="1">
                            <a:off x="2514600" y="1584960"/>
                            <a:ext cx="571500" cy="495300"/>
                          </a:xfrm>
                          <a:prstGeom prst="line">
                            <a:avLst/>
                          </a:prstGeom>
                          <a:noFill/>
                          <a:ln w="9525">
                            <a:solidFill>
                              <a:srgbClr val="000000"/>
                            </a:solidFill>
                            <a:prstDash val="dash"/>
                            <a:round/>
                            <a:tailEnd type="stealth" w="med" len="lg"/>
                          </a:ln>
                        </wps:spPr>
                        <wps:bodyPr/>
                      </wps:wsp>
                      <wps:wsp>
                        <wps:cNvPr id="2780" name="直线 2532"/>
                        <wps:cNvCnPr>
                          <a:cxnSpLocks noChangeShapeType="1"/>
                        </wps:cNvCnPr>
                        <wps:spPr bwMode="auto">
                          <a:xfrm>
                            <a:off x="1943100" y="1584960"/>
                            <a:ext cx="457200" cy="495300"/>
                          </a:xfrm>
                          <a:prstGeom prst="line">
                            <a:avLst/>
                          </a:prstGeom>
                          <a:noFill/>
                          <a:ln w="9525">
                            <a:solidFill>
                              <a:srgbClr val="000000"/>
                            </a:solidFill>
                            <a:prstDash val="dash"/>
                            <a:round/>
                            <a:tailEnd type="stealth" w="med" len="lg"/>
                          </a:ln>
                        </wps:spPr>
                        <wps:bodyPr/>
                      </wps:wsp>
                      <wps:wsp>
                        <wps:cNvPr id="2781" name="直线 2533"/>
                        <wps:cNvCnPr>
                          <a:cxnSpLocks noChangeShapeType="1"/>
                        </wps:cNvCnPr>
                        <wps:spPr bwMode="auto">
                          <a:xfrm flipV="1">
                            <a:off x="571500" y="495300"/>
                            <a:ext cx="228600" cy="792480"/>
                          </a:xfrm>
                          <a:prstGeom prst="line">
                            <a:avLst/>
                          </a:prstGeom>
                          <a:noFill/>
                          <a:ln w="9525">
                            <a:solidFill>
                              <a:srgbClr val="000000"/>
                            </a:solidFill>
                            <a:prstDash val="dash"/>
                            <a:round/>
                            <a:tailEnd type="stealth" w="med" len="lg"/>
                          </a:ln>
                        </wps:spPr>
                        <wps:bodyPr/>
                      </wps:wsp>
                      <wps:wsp>
                        <wps:cNvPr id="2782" name="直线 2534"/>
                        <wps:cNvCnPr>
                          <a:cxnSpLocks noChangeShapeType="1"/>
                        </wps:cNvCnPr>
                        <wps:spPr bwMode="auto">
                          <a:xfrm flipH="1" flipV="1">
                            <a:off x="914400" y="495300"/>
                            <a:ext cx="914400" cy="792480"/>
                          </a:xfrm>
                          <a:prstGeom prst="line">
                            <a:avLst/>
                          </a:prstGeom>
                          <a:noFill/>
                          <a:ln w="9525">
                            <a:solidFill>
                              <a:srgbClr val="000000"/>
                            </a:solidFill>
                            <a:prstDash val="dash"/>
                            <a:round/>
                            <a:tailEnd type="stealth" w="med" len="lg"/>
                          </a:ln>
                        </wps:spPr>
                        <wps:bodyPr/>
                      </wps:wsp>
                      <wps:wsp>
                        <wps:cNvPr id="2783" name="直线 2535"/>
                        <wps:cNvCnPr>
                          <a:cxnSpLocks noChangeShapeType="1"/>
                        </wps:cNvCnPr>
                        <wps:spPr bwMode="auto">
                          <a:xfrm flipH="1" flipV="1">
                            <a:off x="1028700" y="495300"/>
                            <a:ext cx="2057400" cy="792480"/>
                          </a:xfrm>
                          <a:prstGeom prst="line">
                            <a:avLst/>
                          </a:prstGeom>
                          <a:noFill/>
                          <a:ln w="9525">
                            <a:solidFill>
                              <a:srgbClr val="000000"/>
                            </a:solidFill>
                            <a:prstDash val="dash"/>
                            <a:round/>
                            <a:tailEnd type="stealth" w="med" len="lg"/>
                          </a:ln>
                        </wps:spPr>
                        <wps:bodyPr/>
                      </wps:wsp>
                      <wps:wsp>
                        <wps:cNvPr id="2784" name="直线 2536"/>
                        <wps:cNvCnPr>
                          <a:cxnSpLocks noChangeShapeType="1"/>
                        </wps:cNvCnPr>
                        <wps:spPr bwMode="auto">
                          <a:xfrm flipH="1" flipV="1">
                            <a:off x="1028700" y="396240"/>
                            <a:ext cx="3086100" cy="891540"/>
                          </a:xfrm>
                          <a:prstGeom prst="line">
                            <a:avLst/>
                          </a:prstGeom>
                          <a:noFill/>
                          <a:ln w="9525">
                            <a:solidFill>
                              <a:srgbClr val="000000"/>
                            </a:solidFill>
                            <a:prstDash val="dash"/>
                            <a:round/>
                            <a:tailEnd type="stealth" w="med" len="lg"/>
                          </a:ln>
                        </wps:spPr>
                        <wps:bodyPr/>
                      </wps:wsp>
                      <wps:wsp>
                        <wps:cNvPr id="2785" name="直线 2537"/>
                        <wps:cNvCnPr>
                          <a:cxnSpLocks noChangeShapeType="1"/>
                        </wps:cNvCnPr>
                        <wps:spPr bwMode="auto">
                          <a:xfrm>
                            <a:off x="1943100" y="396240"/>
                            <a:ext cx="635" cy="891540"/>
                          </a:xfrm>
                          <a:prstGeom prst="line">
                            <a:avLst/>
                          </a:prstGeom>
                          <a:noFill/>
                          <a:ln w="9525">
                            <a:solidFill>
                              <a:srgbClr val="000000"/>
                            </a:solidFill>
                            <a:round/>
                            <a:tailEnd type="triangle" w="med" len="med"/>
                          </a:ln>
                        </wps:spPr>
                        <wps:bodyPr/>
                      </wps:wsp>
                      <wps:wsp>
                        <wps:cNvPr id="2786" name="直线 2538"/>
                        <wps:cNvCnPr>
                          <a:cxnSpLocks noChangeShapeType="1"/>
                        </wps:cNvCnPr>
                        <wps:spPr bwMode="auto">
                          <a:xfrm flipV="1">
                            <a:off x="3200400" y="495300"/>
                            <a:ext cx="571500" cy="792480"/>
                          </a:xfrm>
                          <a:prstGeom prst="line">
                            <a:avLst/>
                          </a:prstGeom>
                          <a:noFill/>
                          <a:ln w="9525">
                            <a:solidFill>
                              <a:srgbClr val="000000"/>
                            </a:solidFill>
                            <a:prstDash val="dash"/>
                            <a:round/>
                            <a:tailEnd type="stealth" w="med" len="lg"/>
                          </a:ln>
                        </wps:spPr>
                        <wps:bodyPr/>
                      </wps:wsp>
                      <wps:wsp>
                        <wps:cNvPr id="2787" name="直线 2539"/>
                        <wps:cNvCnPr>
                          <a:cxnSpLocks noChangeShapeType="1"/>
                        </wps:cNvCnPr>
                        <wps:spPr bwMode="auto">
                          <a:xfrm flipV="1">
                            <a:off x="2057400" y="495300"/>
                            <a:ext cx="1600200" cy="792480"/>
                          </a:xfrm>
                          <a:prstGeom prst="line">
                            <a:avLst/>
                          </a:prstGeom>
                          <a:noFill/>
                          <a:ln w="9525">
                            <a:solidFill>
                              <a:srgbClr val="000000"/>
                            </a:solidFill>
                            <a:prstDash val="dash"/>
                            <a:round/>
                            <a:tailEnd type="stealth" w="med" len="lg"/>
                          </a:ln>
                        </wps:spPr>
                        <wps:bodyPr/>
                      </wps:wsp>
                      <wps:wsp>
                        <wps:cNvPr id="2788" name="直线 2540"/>
                        <wps:cNvCnPr>
                          <a:cxnSpLocks noChangeShapeType="1"/>
                        </wps:cNvCnPr>
                        <wps:spPr bwMode="auto">
                          <a:xfrm flipV="1">
                            <a:off x="914400" y="495300"/>
                            <a:ext cx="2628900" cy="792480"/>
                          </a:xfrm>
                          <a:prstGeom prst="line">
                            <a:avLst/>
                          </a:prstGeom>
                          <a:noFill/>
                          <a:ln w="9525">
                            <a:solidFill>
                              <a:srgbClr val="000000"/>
                            </a:solidFill>
                            <a:prstDash val="dash"/>
                            <a:round/>
                            <a:tailEnd type="stealth" w="med" len="lg"/>
                          </a:ln>
                        </wps:spPr>
                        <wps:bodyPr/>
                      </wps:wsp>
                      <wps:wsp>
                        <wps:cNvPr id="2789" name="直线 2541"/>
                        <wps:cNvCnPr>
                          <a:cxnSpLocks noChangeShapeType="1"/>
                        </wps:cNvCnPr>
                        <wps:spPr bwMode="auto">
                          <a:xfrm>
                            <a:off x="2919730" y="250190"/>
                            <a:ext cx="737870" cy="146050"/>
                          </a:xfrm>
                          <a:prstGeom prst="line">
                            <a:avLst/>
                          </a:prstGeom>
                          <a:noFill/>
                          <a:ln w="9525">
                            <a:solidFill>
                              <a:srgbClr val="000000"/>
                            </a:solidFill>
                            <a:prstDash val="dash"/>
                            <a:round/>
                            <a:tailEnd type="stealth" w="med" len="lg"/>
                          </a:ln>
                        </wps:spPr>
                        <wps:bodyPr/>
                      </wps:wsp>
                      <wps:wsp>
                        <wps:cNvPr id="2790" name="直线 2542"/>
                        <wps:cNvCnPr>
                          <a:cxnSpLocks noChangeShapeType="1"/>
                        </wps:cNvCnPr>
                        <wps:spPr bwMode="auto">
                          <a:xfrm flipH="1">
                            <a:off x="1028700" y="230505"/>
                            <a:ext cx="228600" cy="165735"/>
                          </a:xfrm>
                          <a:prstGeom prst="line">
                            <a:avLst/>
                          </a:prstGeom>
                          <a:noFill/>
                          <a:ln w="9525">
                            <a:solidFill>
                              <a:srgbClr val="000000"/>
                            </a:solidFill>
                            <a:prstDash val="dash"/>
                            <a:round/>
                            <a:tailEnd type="stealth" w="med" len="lg"/>
                          </a:ln>
                        </wps:spPr>
                        <wps:bodyPr/>
                      </wps:wsp>
                    </wpc:wpc>
                  </a:graphicData>
                </a:graphic>
              </wp:inline>
            </w:drawing>
          </mc:Choice>
          <mc:Fallback>
            <w:pict>
              <v:group id="_x0000_s1026" o:spid="_x0000_s1026" o:spt="203" style="height:203.75pt;width:430.15pt;" coordsize="5462905,2587625" editas="canvas" o:gfxdata="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">
                <o:lock v:ext="edit" aspectratio="f"/>
                <v:shape id="_x0000_s1026" o:spid="_x0000_s1026" style="position:absolute;left:0;top:0;height:2587625;width:5462905;" filled="f" stroked="f" coordsize="21600,21600" o:gfxdata="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AraR9m2AAAAAUBAAAPAAAAAAAAAAEAIAAA&#10;ACIAAABkcnMvZG93bnJldi54bWxQSwECFAAUAAAACACHTuJAuWN8Y0cGAAAYOwAADgAAAAAAAAAB&#10;ACAAAAAnAQAAZHJzL2Uyb0RvYy54bWxQSwUGAAAAAAYABgBZAQAA4AkAAAAA&#10;">
                  <v:fill on="f" focussize="0,0"/>
                  <v:stroke on="f"/>
                  <v:imagedata o:title=""/>
                  <o:lock v:ext="edit" aspectratio="t"/>
                </v:shape>
                <v:rect id="矩形 2518" o:spid="_x0000_s1026" o:spt="1" style="position:absolute;left:1390650;top:2028825;height:401320;width:3060065;" fillcolor="#FFFFFF" filled="t" stroked="f" coordsize="21600,21600" o:gfxdata="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PDK7dQAAAAFAQAADwAAAAAAAAABACAAAAAiAAAAZHJzL2Rvd25yZXYueG1s&#10;UEsBAhQAFAAAAAgAh07iQCdF1UA1AgAAQwQAAA4AAAAAAAAAAQAgAAAAIwEAAGRycy9lMm9Eb2Mu&#10;eG1sUEsFBgAAAAAGAAYAWQEAAMoFAAAAAA==&#10;">
                  <v:fill on="t" focussize="0,0"/>
                  <v:stroke on="f"/>
                  <v:imagedata o:title=""/>
                  <o:lock v:ext="edit" aspectratio="f"/>
                  <v:textbox>
                    <w:txbxContent>
                      <w:p w14:paraId="7ACDF61E">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建筑垃圾、生活垃圾、生活污水、施工废水</w:t>
                        </w:r>
                      </w:p>
                    </w:txbxContent>
                  </v:textbox>
                </v:rect>
                <v:rect id="矩形 2519" o:spid="_x0000_s1026" o:spt="1" style="position:absolute;left:424815;top:265430;height:297180;width:594360;" fillcolor="#FFFFFF" filled="t" stroked="f" coordsize="21600,21600" o:gfxdata="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8Mrt1AAAAAUBAAAPAAAAAAAAAAEAIAAAACIAAABkcnMvZG93bnJldi54bWxQSwEC&#10;FAAUAAAACACHTuJAXQKsWjECAABABAAADgAAAAAAAAABACAAAAAjAQAAZHJzL2Uyb0RvYy54bWxQ&#10;SwUGAAAAAAYABgBZAQAAxgUAAAAA&#10;">
                  <v:fill on="t" focussize="0,0"/>
                  <v:stroke on="f"/>
                  <v:imagedata o:title=""/>
                  <o:lock v:ext="edit" aspectratio="f"/>
                  <v:textbox>
                    <w:txbxContent>
                      <w:p w14:paraId="31C65E46">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噪声</w:t>
                        </w:r>
                      </w:p>
                    </w:txbxContent>
                  </v:textbox>
                </v:rect>
                <v:rect id="矩形 2520" o:spid="_x0000_s1026" o:spt="1" style="position:absolute;left:3617595;top:271780;height:297180;width:631825;" fillcolor="#FFFFFF" filled="t" stroked="f" coordsize="21600,21600" o:gfxdata="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PDK7dQAAAAFAQAADwAAAAAAAAABACAAAAAiAAAAZHJzL2Rvd25yZXYueG1sUEsBAhQA&#10;FAAAAAgAh07iQKdd1H0vAgAAQQQAAA4AAAAAAAAAAQAgAAAAIwEAAGRycy9lMm9Eb2MueG1sUEsF&#10;BgAAAAAGAAYAWQEAAMQFAAAAAA==&#10;">
                  <v:fill on="t" focussize="0,0"/>
                  <v:stroke on="f"/>
                  <v:imagedata o:title=""/>
                  <o:lock v:ext="edit" aspectratio="f"/>
                  <v:textbox>
                    <w:txbxContent>
                      <w:p w14:paraId="5A0CC263">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扬尘</w:t>
                        </w:r>
                      </w:p>
                    </w:txbxContent>
                  </v:textbox>
                </v:rect>
                <v:rect id="矩形 2521" o:spid="_x0000_s1026" o:spt="1" style="position:absolute;left:356235;top:1287780;height:297180;width:857250;" fillcolor="#FFFFFF" filled="t" stroked="t" coordsize="21600,21600" o:gfxdata="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4JBbPVAAAABQEAAA8AAAAAAAAAAQAgAAAA&#10;IgAAAGRycy9kb3ducmV2LnhtbFBLAQIUABQAAAAIAIdO4kDKo2U7RwIAAIoEAAAOAAAAAAAAAAEA&#10;IAAAACQBAABkcnMvZTJvRG9jLnhtbFBLBQYAAAAABgAGAFkBAADdBQAAAAA=&#10;">
                  <v:fill on="t" focussize="0,0"/>
                  <v:stroke color="#000000" miterlimit="8" joinstyle="miter"/>
                  <v:imagedata o:title=""/>
                  <o:lock v:ext="edit" aspectratio="f"/>
                  <v:textbox>
                    <w:txbxContent>
                      <w:p w14:paraId="77B73990">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土方开挖</w:t>
                        </w:r>
                      </w:p>
                    </w:txbxContent>
                  </v:textbox>
                </v:rect>
                <v:rect id="矩形 2522" o:spid="_x0000_s1026" o:spt="1" style="position:absolute;left:2743200;top:1287780;height:295910;width:809625;" fillcolor="#FFFFFF" filled="t" stroked="t" coordsize="21600,21600" o:gfxdata="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4JBbPVAAAABQEAAA8AAAAAAAAAAQAgAAAAIgAA&#10;AGRycy9kb3ducmV2LnhtbFBLAQIUABQAAAAIAIdO4kC2faewRAIAAIsEAAAOAAAAAAAAAAEAIAAA&#10;ACQBAABkcnMvZTJvRG9jLnhtbFBLBQYAAAAABgAGAFkBAADaBQAAAAA=&#10;">
                  <v:fill on="t" focussize="0,0"/>
                  <v:stroke color="#000000" miterlimit="8" joinstyle="miter"/>
                  <v:imagedata o:title=""/>
                  <o:lock v:ext="edit" aspectratio="f"/>
                  <v:textbox>
                    <w:txbxContent>
                      <w:p w14:paraId="4B66E525">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道路修筑</w:t>
                        </w:r>
                      </w:p>
                    </w:txbxContent>
                  </v:textbox>
                </v:rect>
                <v:rect id="矩形 2523" o:spid="_x0000_s1026" o:spt="1" style="position:absolute;left:1595120;top:1287780;height:297180;width:804545;" fillcolor="#FFFFFF" filled="t" stroked="t" coordsize="21600,21600" o:gfxdata="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uCQWz1QAAAAUBAAAPAAAAAAAAAAEAIAAA&#10;ACIAAABkcnMvZG93bnJldi54bWxQSwECFAAUAAAACACHTuJAey+5UUgCAACLBAAADgAAAAAAAAAB&#10;ACAAAAAkAQAAZHJzL2Uyb0RvYy54bWxQSwUGAAAAAAYABgBZAQAA3gUAAAAA&#10;">
                  <v:fill on="t" focussize="0,0"/>
                  <v:stroke color="#000000" miterlimit="8" joinstyle="miter"/>
                  <v:imagedata o:title=""/>
                  <o:lock v:ext="edit" aspectratio="f"/>
                  <v:textbox>
                    <w:txbxContent>
                      <w:p w14:paraId="039E3B7A">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建筑建设</w:t>
                        </w:r>
                      </w:p>
                    </w:txbxContent>
                  </v:textbox>
                </v:rect>
                <v:rect id="矩形 2524" o:spid="_x0000_s1026" o:spt="1" style="position:absolute;left:3886200;top:1287780;height:297180;width:851535;" fillcolor="#FFFFFF" filled="t" stroked="t" coordsize="21600,21600" o:gfxdata="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uCQWz1QAAAAUBAAAPAAAAAAAAAAEAIAAA&#10;ACIAAABkcnMvZG93bnJldi54bWxQSwECFAAUAAAACACHTuJAySDGIkgCAACLBAAADgAAAAAAAAAB&#10;ACAAAAAkAQAAZHJzL2Uyb0RvYy54bWxQSwUGAAAAAAYABgBZAQAA3gUAAAAA&#10;">
                  <v:fill on="t" focussize="0,0"/>
                  <v:stroke color="#000000" miterlimit="8" joinstyle="miter"/>
                  <v:imagedata o:title=""/>
                  <o:lock v:ext="edit" aspectratio="f"/>
                  <v:textbox>
                    <w:txbxContent>
                      <w:p w14:paraId="5B8E7B67">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设备安装</w:t>
                        </w:r>
                      </w:p>
                    </w:txbxContent>
                  </v:textbox>
                </v:rect>
                <v:rect id="矩形 2525" o:spid="_x0000_s1026" o:spt="1" style="position:absolute;left:1285875;top:99060;height:297180;width:1624965;" fillcolor="#FFFFFF" filled="t" stroked="t" coordsize="21600,21600" o:gfxdata="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&#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uCQWz1QAAAAUBAAAPAAAAAAAAAAEAIAAAACIAAABk&#10;cnMvZG93bnJldi54bWxQSwECFAAUAAAACACHTuJA7zP4gkICAACKBAAADgAAAAAAAAABACAAAAAk&#10;AQAAZHJzL2Uyb0RvYy54bWxQSwUGAAAAAAYABgBZAQAA2AUAAAAA&#10;">
                  <v:fill on="t" focussize="0,0"/>
                  <v:stroke color="#000000" miterlimit="8" joinstyle="miter"/>
                  <v:imagedata o:title=""/>
                  <o:lock v:ext="edit" aspectratio="f"/>
                  <v:textbox>
                    <w:txbxContent>
                      <w:p w14:paraId="3F14C4D7">
                        <w:pPr>
                          <w:autoSpaceDE/>
                          <w:autoSpaceDN/>
                          <w:snapToGrid w:val="0"/>
                          <w:spacing w:line="240" w:lineRule="auto"/>
                          <w:ind w:firstLine="0" w:firstLineChars="0"/>
                          <w:jc w:val="center"/>
                          <w:rPr>
                            <w:rFonts w:ascii="Times New Roman" w:hAnsi="Times New Roman" w:eastAsia="宋体" w:cs="Times New Roman"/>
                            <w:b/>
                            <w:bCs/>
                            <w:kern w:val="2"/>
                            <w:sz w:val="24"/>
                            <w:szCs w:val="32"/>
                          </w:rPr>
                        </w:pPr>
                        <w:r>
                          <w:rPr>
                            <w:rFonts w:hint="eastAsia" w:ascii="Times New Roman" w:hAnsi="Times New Roman" w:eastAsia="宋体" w:cs="Times New Roman"/>
                            <w:b/>
                            <w:bCs/>
                            <w:kern w:val="2"/>
                            <w:sz w:val="24"/>
                            <w:szCs w:val="32"/>
                          </w:rPr>
                          <w:t>建筑材料堆放、运输</w:t>
                        </w:r>
                      </w:p>
                    </w:txbxContent>
                  </v:textbox>
                </v:rect>
                <v:line id="直线 2526" o:spid="_x0000_s1026" o:spt="20" style="position:absolute;left:1238250;top:1438275;height:635;width:342900;" filled="f" stroked="t" coordsize="21600,21600" o:gfxdata="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GYJ51wAAAAUBAAAPAAAAAAAAAAEAIAAAACIAAABkcnMv&#10;ZG93bnJldi54bWxQSwECFAAUAAAACACHTuJAhosO/AQCAADiAwAADgAAAAAAAAABACAAAAAmAQAA&#10;ZHJzL2Uyb0RvYy54bWxQSwUGAAAAAAYABgBZAQAAnAUAAAAA&#10;">
                  <v:fill on="f" focussize="0,0"/>
                  <v:stroke color="#000000" joinstyle="round" endarrow="block"/>
                  <v:imagedata o:title=""/>
                  <o:lock v:ext="edit" aspectratio="f"/>
                </v:line>
                <v:line id="直线 2527" o:spid="_x0000_s1026" o:spt="20" style="position:absolute;left:2381250;top:1434465;height:635;width:342900;" filled="f" stroked="t" coordsize="21600,21600" o:gfxdata="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YZgnnXAAAABQEAAA8AAAAAAAAAAQAgAAAAIgAAAGRy&#10;cy9kb3ducmV2LnhtbFBLAQIUABQAAAAIAIdO4kDCqc6mBgIAAOIDAAAOAAAAAAAAAAEAIAAAACYB&#10;AABkcnMvZTJvRG9jLnhtbFBLBQYAAAAABgAGAFkBAACeBQAAAAA=&#10;">
                  <v:fill on="f" focussize="0,0"/>
                  <v:stroke color="#000000" joinstyle="round" endarrow="block"/>
                  <v:imagedata o:title=""/>
                  <o:lock v:ext="edit" aspectratio="f"/>
                </v:line>
                <v:line id="直线 2528" o:spid="_x0000_s1026" o:spt="20" style="position:absolute;left:3524250;top:1434465;height:635;width:342900;" filled="f" stroked="t" coordsize="21600,21600" o:gfxdata="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hmCedcAAAAFAQAADwAAAAAAAAABACAAAAAiAAAAZHJz&#10;L2Rvd25yZXYueG1sUEsBAhQAFAAAAAgAh07iQKl1CCIFAgAA4gMAAA4AAAAAAAAAAQAgAAAAJgEA&#10;AGRycy9lMm9Eb2MueG1sUEsFBgAAAAAGAAYAWQEAAJ0FAAAAAA==&#10;">
                  <v:fill on="f" focussize="0,0"/>
                  <v:stroke color="#000000" joinstyle="round" endarrow="block"/>
                  <v:imagedata o:title=""/>
                  <o:lock v:ext="edit" aspectratio="f"/>
                </v:line>
                <v:line id="直线 2529" o:spid="_x0000_s1026" o:spt="20" style="position:absolute;left:914400;top:1584960;height:495300;width:1371600;" filled="f" stroked="t" coordsize="21600,21600" o:gfxdata="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r7np1AAAAAUBAAAPAAAAAAAAAAEAIAAA&#10;ACIAAABkcnMvZG93bnJldi54bWxQSwECFAAUAAAACACHTuJA3L/EPxACAAD7AwAADgAAAAAAAAAB&#10;ACAAAAAjAQAAZHJzL2Uyb0RvYy54bWxQSwUGAAAAAAYABgBZAQAApQUAAAAA&#10;">
                  <v:fill on="f" focussize="0,0"/>
                  <v:stroke color="#000000" joinstyle="round" dashstyle="dash" endarrow="classic" endarrowlength="long"/>
                  <v:imagedata o:title=""/>
                  <o:lock v:ext="edit" aspectratio="f"/>
                </v:line>
                <v:line id="直线 2530" o:spid="_x0000_s1026" o:spt="20" style="position:absolute;left:2743200;top:1584960;flip:x;height:495300;width:1485900;" filled="f" stroked="t" coordsize="21600,21600" o:gfxdata="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6bA1AAAAAUBAAAPAAAAAAAA&#10;AAEAIAAAACIAAABkcnMvZG93bnJldi54bWxQSwECFAAUAAAACACHTuJAR2jAZxYCAAAGBAAADgAA&#10;AAAAAAABACAAAAAjAQAAZHJzL2Uyb0RvYy54bWxQSwUGAAAAAAYABgBZAQAAqwUAAAAA&#10;">
                  <v:fill on="f" focussize="0,0"/>
                  <v:stroke color="#000000" joinstyle="round" dashstyle="dash" endarrow="classic" endarrowlength="long"/>
                  <v:imagedata o:title=""/>
                  <o:lock v:ext="edit" aspectratio="f"/>
                </v:line>
                <v:line id="直线 2531" o:spid="_x0000_s1026" o:spt="20" style="position:absolute;left:2514600;top:1584960;flip:x;height:495300;width:571500;" filled="f" stroked="t" coordsize="21600,21600" o:gfxdata="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6bA1AAAAAUBAAAPAAAAAAAA&#10;AAEAIAAAACIAAABkcnMvZG93bnJldi54bWxQSwECFAAUAAAACACHTuJAV6r8QRYCAAAFBAAADgAA&#10;AAAAAAABACAAAAAjAQAAZHJzL2Uyb0RvYy54bWxQSwUGAAAAAAYABgBZAQAAqwUAAAAA&#10;">
                  <v:fill on="f" focussize="0,0"/>
                  <v:stroke color="#000000" joinstyle="round" dashstyle="dash" endarrow="classic" endarrowlength="long"/>
                  <v:imagedata o:title=""/>
                  <o:lock v:ext="edit" aspectratio="f"/>
                </v:line>
                <v:line id="直线 2532" o:spid="_x0000_s1026" o:spt="20" style="position:absolute;left:1943100;top:1584960;height:495300;width:457200;" filled="f" stroked="t" coordsize="21600,21600" o:gfxdata="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vuenUAAAABQEAAA8AAAAAAAAAAQAgAAAA&#10;IgAAAGRycy9kb3ducmV2LnhtbFBLAQIUABQAAAAIAIdO4kA5iQmRDwIAAPsDAAAOAAAAAAAAAAEA&#10;IAAAACMBAABkcnMvZTJvRG9jLnhtbFBLBQYAAAAABgAGAFkBAACkBQAAAAA=&#10;">
                  <v:fill on="f" focussize="0,0"/>
                  <v:stroke color="#000000" joinstyle="round" dashstyle="dash" endarrow="classic" endarrowlength="long"/>
                  <v:imagedata o:title=""/>
                  <o:lock v:ext="edit" aspectratio="f"/>
                </v:line>
                <v:line id="直线 2533" o:spid="_x0000_s1026" o:spt="20" style="position:absolute;left:571500;top:495300;flip:y;height:792480;width:228600;" filled="f" stroked="t" coordsize="21600,21600" o:gfxdata="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6bA1AAAAAUBAAAPAAAAAAAA&#10;AAEAIAAAACIAAABkcnMvZG93bnJldi54bWxQSwECFAAUAAAACACHTuJAwwkxVBYCAAADBAAADgAA&#10;AAAAAAABACAAAAAjAQAAZHJzL2Uyb0RvYy54bWxQSwUGAAAAAAYABgBZAQAAqwUAAAAA&#10;">
                  <v:fill on="f" focussize="0,0"/>
                  <v:stroke color="#000000" joinstyle="round" dashstyle="dash" endarrow="classic" endarrowlength="long"/>
                  <v:imagedata o:title=""/>
                  <o:lock v:ext="edit" aspectratio="f"/>
                </v:line>
                <v:line id="直线 2534" o:spid="_x0000_s1026" o:spt="20" style="position:absolute;left:914400;top:495300;flip:x y;height:792480;width:914400;" filled="f" stroked="t" coordsize="21600,21600" o:gfxdata="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m76CbWAAAABQEAAA8AAAAA&#10;AAAAAQAgAAAAIgAAAGRycy9kb3ducmV2LnhtbFBLAQIUABQAAAAIAIdO4kCQJn2MFgIAAA0EAAAO&#10;AAAAAAAAAAEAIAAAACUBAABkcnMvZTJvRG9jLnhtbFBLBQYAAAAABgAGAFkBAACtBQAAAAA=&#10;">
                  <v:fill on="f" focussize="0,0"/>
                  <v:stroke color="#000000" joinstyle="round" dashstyle="dash" endarrow="classic" endarrowlength="long"/>
                  <v:imagedata o:title=""/>
                  <o:lock v:ext="edit" aspectratio="f"/>
                </v:line>
                <v:line id="直线 2535" o:spid="_x0000_s1026" o:spt="20" style="position:absolute;left:1028700;top:495300;flip:x y;height:792480;width:2057400;" filled="f" stroked="t" coordsize="21600,21600" o:gfxdata="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m76CbWAAAABQEA&#10;AA8AAAAAAAAAAQAgAAAAIgAAAGRycy9kb3ducmV2LnhtbFBLAQIUABQAAAAIAIdO4kCA/Xn+HAIA&#10;AA8EAAAOAAAAAAAAAAEAIAAAACUBAABkcnMvZTJvRG9jLnhtbFBLBQYAAAAABgAGAFkBAACzBQAA&#10;AAA=&#10;">
                  <v:fill on="f" focussize="0,0"/>
                  <v:stroke color="#000000" joinstyle="round" dashstyle="dash" endarrow="classic" endarrowlength="long"/>
                  <v:imagedata o:title=""/>
                  <o:lock v:ext="edit" aspectratio="f"/>
                </v:line>
                <v:line id="直线 2536" o:spid="_x0000_s1026" o:spt="20" style="position:absolute;left:1028700;top:396240;flip:x y;height:891540;width:3086100;" filled="f" stroked="t" coordsize="21600,21600" o:gfxdata="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u+gm1gAAAAUBAAAP&#10;AAAAAAAAAAEAIAAAACIAAABkcnMvZG93bnJldi54bWxQSwECFAAUAAAACACHTuJAr7kNDhoCAAAP&#10;BAAADgAAAAAAAAABACAAAAAlAQAAZHJzL2Uyb0RvYy54bWxQSwUGAAAAAAYABgBZAQAAsQUAAAAA&#10;">
                  <v:fill on="f" focussize="0,0"/>
                  <v:stroke color="#000000" joinstyle="round" dashstyle="dash" endarrow="classic" endarrowlength="long"/>
                  <v:imagedata o:title=""/>
                  <o:lock v:ext="edit" aspectratio="f"/>
                </v:line>
                <v:line id="直线 2537" o:spid="_x0000_s1026" o:spt="20" style="position:absolute;left:1943100;top:396240;height:891540;width:635;" filled="f" stroked="t" coordsize="21600,21600" o:gfxdata="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hmCedcAAAAFAQAADwAAAAAAAAABACAAAAAiAAAAZHJz&#10;L2Rvd25yZXYueG1sUEsBAhQAFAAAAAgAh07iQJ8F8EgFAgAA4QMAAA4AAAAAAAAAAQAgAAAAJgEA&#10;AGRycy9lMm9Eb2MueG1sUEsFBgAAAAAGAAYAWQEAAJ0FAAAAAA==&#10;">
                  <v:fill on="f" focussize="0,0"/>
                  <v:stroke color="#000000" joinstyle="round" endarrow="block"/>
                  <v:imagedata o:title=""/>
                  <o:lock v:ext="edit" aspectratio="f"/>
                </v:line>
                <v:line id="直线 2538" o:spid="_x0000_s1026" o:spt="20" style="position:absolute;left:3200400;top:495300;flip:y;height:792480;width:571500;" filled="f" stroked="t" coordsize="21600,21600" o:gfxdata="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wumwNQAAAAFAQAADwAAAAAA&#10;AAABACAAAAAiAAAAZHJzL2Rvd25yZXYueG1sUEsBAhQAFAAAAAgAh07iQJnMvJYXAgAABAQAAA4A&#10;AAAAAAAAAQAgAAAAIwEAAGRycy9lMm9Eb2MueG1sUEsFBgAAAAAGAAYAWQEAAKwFAAAAAA==&#10;">
                  <v:fill on="f" focussize="0,0"/>
                  <v:stroke color="#000000" joinstyle="round" dashstyle="dash" endarrow="classic" endarrowlength="long"/>
                  <v:imagedata o:title=""/>
                  <o:lock v:ext="edit" aspectratio="f"/>
                </v:line>
                <v:line id="直线 2539" o:spid="_x0000_s1026" o:spt="20" style="position:absolute;left:2057400;top:495300;flip:y;height:792480;width:1600200;" filled="f" stroked="t" coordsize="21600,21600" o:gfxdata="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8LpsDUAAAABQEAAA8AAAAA&#10;AAAAAQAgAAAAIgAAAGRycy9kb3ducmV2LnhtbFBLAQIUABQAAAAIAIdO4kDdQap+GAIAAAUEAAAO&#10;AAAAAAAAAAEAIAAAACMBAABkcnMvZTJvRG9jLnhtbFBLBQYAAAAABgAGAFkBAACtBQAAAAA=&#10;">
                  <v:fill on="f" focussize="0,0"/>
                  <v:stroke color="#000000" joinstyle="round" dashstyle="dash" endarrow="classic" endarrowlength="long"/>
                  <v:imagedata o:title=""/>
                  <o:lock v:ext="edit" aspectratio="f"/>
                </v:line>
                <v:line id="直线 2540" o:spid="_x0000_s1026" o:spt="20" style="position:absolute;left:914400;top:495300;flip:y;height:792480;width:2628900;" filled="f" stroked="t" coordsize="21600,21600" o:gfxdata="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wumwNQAAAAFAQAADwAAAAAA&#10;AAABACAAAAAiAAAAZHJzL2Rvd25yZXYueG1sUEsBAhQAFAAAAAgAh07iQMPwJRQXAgAABAQAAA4A&#10;AAAAAAAAAQAgAAAAIwEAAGRycy9lMm9Eb2MueG1sUEsFBgAAAAAGAAYAWQEAAKwFAAAAAA==&#10;">
                  <v:fill on="f" focussize="0,0"/>
                  <v:stroke color="#000000" joinstyle="round" dashstyle="dash" endarrow="classic" endarrowlength="long"/>
                  <v:imagedata o:title=""/>
                  <o:lock v:ext="edit" aspectratio="f"/>
                </v:line>
                <v:line id="直线 2541" o:spid="_x0000_s1026" o:spt="20" style="position:absolute;left:2919730;top:250190;height:146050;width:737870;" filled="f" stroked="t" coordsize="21600,21600" o:gfxdata="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6+56dQAAAAFAQAADwAAAAAAAAABACAA&#10;AAAiAAAAZHJzL2Rvd25yZXYueG1sUEsBAhQAFAAAAAgAh07iQCK/zcARAgAA+gMAAA4AAAAAAAAA&#10;AQAgAAAAIwEAAGRycy9lMm9Eb2MueG1sUEsFBgAAAAAGAAYAWQEAAKYFAAAAAA==&#10;">
                  <v:fill on="f" focussize="0,0"/>
                  <v:stroke color="#000000" joinstyle="round" dashstyle="dash" endarrow="classic" endarrowlength="long"/>
                  <v:imagedata o:title=""/>
                  <o:lock v:ext="edit" aspectratio="f"/>
                </v:line>
                <v:line id="直线 2542" o:spid="_x0000_s1026" o:spt="20" style="position:absolute;left:1028700;top:230505;flip:x;height:165735;width:228600;" filled="f" stroked="t" coordsize="21600,21600" o:gfxdata="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8LpsDUAAAABQEAAA8AAAAAAAAA&#10;AQAgAAAAIgAAAGRycy9kb3ducmV2LnhtbFBLAQIUABQAAAAIAIdO4kCUoRj3FQIAAAQEAAAOAAAA&#10;AAAAAAEAIAAAACMBAABkcnMvZTJvRG9jLnhtbFBLBQYAAAAABgAGAFkBAACqBQAAAAA=&#10;">
                  <v:fill on="f" focussize="0,0"/>
                  <v:stroke color="#000000" joinstyle="round" dashstyle="dash" endarrow="classic" endarrowlength="long"/>
                  <v:imagedata o:title=""/>
                  <o:lock v:ext="edit" aspectratio="f"/>
                </v:line>
                <w10:wrap type="none"/>
                <w10:anchorlock/>
              </v:group>
            </w:pict>
          </mc:Fallback>
        </mc:AlternateContent>
      </w:r>
    </w:p>
    <w:p w14:paraId="348D3E7E">
      <w:pPr>
        <w:pStyle w:val="96"/>
        <w:spacing w:line="240" w:lineRule="auto"/>
        <w:jc w:val="center"/>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eastAsia="zh-CN"/>
        </w:rPr>
        <w:t>图</w:t>
      </w:r>
      <w:r>
        <w:rPr>
          <w:rFonts w:hint="default" w:ascii="Times New Roman" w:hAnsi="Times New Roman" w:eastAsia="宋体" w:cs="Times New Roman"/>
          <w:b/>
          <w:bCs/>
          <w:color w:val="auto"/>
          <w:highlight w:val="none"/>
          <w:u w:val="none" w:color="auto"/>
          <w:lang w:val="en-US" w:eastAsia="zh-CN"/>
        </w:rPr>
        <w:t>3.4-1 污水处理厂施工工序及产污节点图</w:t>
      </w:r>
    </w:p>
    <w:p w14:paraId="02476A7B">
      <w:pPr>
        <w:pStyle w:val="96"/>
        <w:spacing w:line="360" w:lineRule="auto"/>
        <w:ind w:firstLine="240" w:firstLineChars="100"/>
        <w:jc w:val="left"/>
        <w:rPr>
          <w:rFonts w:hint="default" w:ascii="Times New Roman" w:hAnsi="Times New Roman" w:eastAsia="宋体" w:cs="Times New Roman"/>
          <w:color w:val="auto"/>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bidi="ar-SA"/>
        </w:rPr>
        <w:t xml:space="preserve">  项目施工过程中采取分批建设施工，不影响原污水站的运行，保障上游企业的正常生产。</w:t>
      </w:r>
    </w:p>
    <w:p w14:paraId="7795F4D6">
      <w:pPr>
        <w:pStyle w:val="4"/>
        <w:numPr>
          <w:ilvl w:val="1"/>
          <w:numId w:val="0"/>
        </w:numPr>
        <w:ind w:leftChars="0"/>
        <w:outlineLvl w:val="2"/>
        <w:rPr>
          <w:rFonts w:hint="default" w:ascii="Times New Roman" w:hAnsi="Times New Roman" w:cs="Times New Roman" w:eastAsiaTheme="minorEastAsia"/>
          <w:b/>
          <w:bCs/>
          <w:color w:val="auto"/>
          <w:sz w:val="28"/>
          <w:szCs w:val="28"/>
          <w:highlight w:val="none"/>
          <w:u w:val="none" w:color="auto"/>
          <w:lang w:val="en-US" w:eastAsia="zh-CN" w:bidi="ar-SA"/>
        </w:rPr>
      </w:pPr>
      <w:r>
        <w:rPr>
          <w:rFonts w:hint="default" w:ascii="Times New Roman" w:hAnsi="Times New Roman" w:cs="Times New Roman" w:eastAsiaTheme="minorEastAsia"/>
          <w:b/>
          <w:bCs/>
          <w:color w:val="auto"/>
          <w:sz w:val="28"/>
          <w:szCs w:val="28"/>
          <w:highlight w:val="none"/>
          <w:u w:val="none" w:color="auto"/>
          <w:lang w:val="en-US" w:eastAsia="zh-CN" w:bidi="ar-SA"/>
        </w:rPr>
        <w:t>3.4.2 施工期污染源分析</w:t>
      </w:r>
    </w:p>
    <w:p w14:paraId="28B0CC2E">
      <w:pPr>
        <w:ind w:left="0" w:leftChars="0" w:firstLine="480" w:firstLineChars="200"/>
        <w:rPr>
          <w:rFonts w:hint="default" w:ascii="Times New Roman" w:hAnsi="Times New Roman" w:cs="Times New Roman"/>
          <w:color w:val="auto"/>
          <w:highlight w:val="none"/>
          <w:u w:val="none" w:color="auto"/>
          <w:lang w:val="en-US"/>
        </w:rPr>
      </w:pPr>
      <w:r>
        <w:rPr>
          <w:rFonts w:hint="default" w:ascii="Times New Roman" w:hAnsi="Times New Roman" w:cs="Times New Roman"/>
          <w:color w:val="000000" w:themeColor="text1"/>
          <w:highlight w:val="none"/>
          <w:u w:val="none" w:color="auto"/>
          <w:lang w:val="en-US"/>
          <w14:textFill>
            <w14:solidFill>
              <w14:schemeClr w14:val="tx1"/>
            </w14:solidFill>
          </w14:textFill>
        </w:rPr>
        <w:t>施工期主要环境影响因素包括社会影响；占地对生态环境的破坏；施工扬尘、粉尘；机械设备及运输车辆燃油排放的尾气；施工废水、施工人员生活污水；施工机械噪声；施工期固废等</w:t>
      </w:r>
      <w:r>
        <w:rPr>
          <w:rFonts w:hint="default" w:ascii="Times New Roman" w:hAnsi="Times New Roman" w:cs="Times New Roman"/>
          <w:color w:val="auto"/>
          <w:highlight w:val="none"/>
          <w:u w:val="none" w:color="auto"/>
          <w:lang w:val="en-US"/>
        </w:rPr>
        <w:t>。</w:t>
      </w:r>
    </w:p>
    <w:p w14:paraId="02D5AAED">
      <w:pPr>
        <w:outlineLvl w:val="3"/>
        <w:rPr>
          <w:rFonts w:hint="default" w:ascii="Times New Roman" w:hAnsi="Times New Roman" w:cs="Times New Roman"/>
          <w:b/>
          <w:bCs/>
          <w:color w:val="auto"/>
          <w:highlight w:val="none"/>
          <w:u w:val="none" w:color="auto"/>
          <w:lang w:val="en-US"/>
        </w:rPr>
      </w:pPr>
      <w:r>
        <w:rPr>
          <w:rFonts w:hint="default" w:ascii="Times New Roman" w:hAnsi="Times New Roman" w:cs="Times New Roman"/>
          <w:b/>
          <w:bCs/>
          <w:color w:val="auto"/>
          <w:highlight w:val="none"/>
          <w:u w:val="none" w:color="auto"/>
          <w:lang w:val="en-US" w:eastAsia="zh-CN"/>
        </w:rPr>
        <w:t xml:space="preserve">3.4.2.1 </w:t>
      </w:r>
      <w:r>
        <w:rPr>
          <w:rFonts w:hint="default" w:ascii="Times New Roman" w:hAnsi="Times New Roman" w:cs="Times New Roman"/>
          <w:b/>
          <w:bCs/>
          <w:color w:val="auto"/>
          <w:highlight w:val="none"/>
          <w:u w:val="none" w:color="auto"/>
          <w:lang w:val="en-US"/>
        </w:rPr>
        <w:t>社会环境影响</w:t>
      </w:r>
    </w:p>
    <w:p w14:paraId="6C850E12">
      <w:pPr>
        <w:ind w:left="0" w:leftChars="0" w:firstLine="480" w:firstLineChars="200"/>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lang w:val="en-US"/>
        </w:rPr>
        <w:t>施工期社会环境影响主要为工程占地，包括永久占地、临时占地、项目施工对交通出行及当地社会经济造成的影响。</w:t>
      </w:r>
    </w:p>
    <w:p w14:paraId="453C6615">
      <w:pPr>
        <w:outlineLvl w:val="3"/>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3.4.2.2 生态环境影响</w:t>
      </w:r>
    </w:p>
    <w:p w14:paraId="1F8B6C66">
      <w:pP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lang w:val="en-US" w:eastAsia="zh-CN"/>
        </w:rPr>
        <w:t>项目建设用地为排水用地，新增用地范围有少量植被覆盖，</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对生态的影响主要体现在地表清理破坏植被，</w:t>
      </w:r>
      <w:r>
        <w:rPr>
          <w:rFonts w:hint="default" w:ascii="Times New Roman" w:hAnsi="Times New Roman" w:cs="Times New Roman"/>
          <w:color w:val="000000" w:themeColor="text1"/>
          <w:highlight w:val="none"/>
          <w:u w:val="none" w:color="auto"/>
          <w:lang w:val="en-US"/>
          <w14:textFill>
            <w14:solidFill>
              <w14:schemeClr w14:val="tx1"/>
            </w14:solidFill>
          </w14:textFill>
        </w:rPr>
        <w:t>土石方开挖使原有土地结构受到破坏和改变，进而造成原土移位、土壤的抗蚀性、抗雨水冲刷性降低。另外，</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物料</w:t>
      </w:r>
      <w:r>
        <w:rPr>
          <w:rFonts w:hint="default" w:ascii="Times New Roman" w:hAnsi="Times New Roman" w:cs="Times New Roman"/>
          <w:color w:val="000000" w:themeColor="text1"/>
          <w:highlight w:val="none"/>
          <w:u w:val="none" w:color="auto"/>
          <w:lang w:val="en-US"/>
          <w14:textFill>
            <w14:solidFill>
              <w14:schemeClr w14:val="tx1"/>
            </w14:solidFill>
          </w14:textFill>
        </w:rPr>
        <w:t>在运输过程中，如不加遮盖或过高装载，造成运输中的遗散</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对沿途生态造成不利影响</w:t>
      </w:r>
      <w:r>
        <w:rPr>
          <w:rFonts w:hint="default" w:ascii="Times New Roman" w:hAnsi="Times New Roman" w:cs="Times New Roman"/>
          <w:color w:val="auto"/>
          <w:highlight w:val="none"/>
          <w:u w:val="none" w:color="auto"/>
          <w:lang w:val="en-US"/>
        </w:rPr>
        <w:t>。</w:t>
      </w:r>
    </w:p>
    <w:p w14:paraId="71AC658C">
      <w:pPr>
        <w:outlineLvl w:val="3"/>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3.4.2.3 废气</w:t>
      </w:r>
    </w:p>
    <w:p w14:paraId="54162879">
      <w:pPr>
        <w:ind w:left="0" w:leftChars="0" w:firstLine="720" w:firstLineChars="300"/>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lang w:val="en-US"/>
        </w:rPr>
        <w:t>工程施工期主要大气污染源为：现场清理、土方挖掘、土方回填、铺路期间的作业扬尘；施工机械、运输车辆燃油排放的尾气和交通运输引起的地面扬尘；建设材料在风力作用下产生的粉尘。</w:t>
      </w:r>
    </w:p>
    <w:p w14:paraId="46D705B9">
      <w:pP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lang w:val="en-US"/>
        </w:rPr>
        <w:t>①施工扬尘</w:t>
      </w:r>
    </w:p>
    <w:p w14:paraId="4F3358F4">
      <w:pPr>
        <w:ind w:left="0" w:leftChars="0" w:firstLine="480" w:firstLineChars="200"/>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lang w:val="en-US"/>
        </w:rPr>
        <w:t>施工扬尘主要为土方开挖、建筑材料装卸和堆放时产生的扬尘，以及车辆运输过程中产生的粉尘散落及道路二次扬尘，主要污染物为TSP，排放位置主要位于施工基地，呈无组织排放形式。</w:t>
      </w:r>
    </w:p>
    <w:p w14:paraId="26D1A60E">
      <w:pPr>
        <w:spacing w:line="360" w:lineRule="auto"/>
        <w:ind w:left="0" w:leftChars="0" w:firstLine="480" w:firstLineChars="200"/>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lang w:val="en-US"/>
        </w:rPr>
        <w:t>施工期间产生的扬尘污染，其起尘量与物料种类、性质及气象条件等诸多因素有关，运输车辆行驶扬尘与车辆行驶速度、风速、路面积尘量和积尘湿度等因素有关。产生扬尘的工种大多数持续时间较长，在各个施工阶段均存在。在干燥、大风天气条件下，施工作业和物料堆场极易产生风蚀扬尘。根据类似工程调查资料，施工场地下风向</w:t>
      </w:r>
      <w:r>
        <w:rPr>
          <w:rFonts w:hint="default" w:ascii="Times New Roman" w:hAnsi="Times New Roman" w:cs="Times New Roman"/>
          <w:color w:val="auto"/>
          <w:highlight w:val="none"/>
          <w:u w:val="none" w:color="auto"/>
          <w:lang w:val="en-US" w:eastAsia="zh-CN"/>
        </w:rPr>
        <w:t>50m</w:t>
      </w:r>
      <w:r>
        <w:rPr>
          <w:rFonts w:hint="default" w:ascii="Times New Roman" w:hAnsi="Times New Roman" w:cs="Times New Roman"/>
          <w:color w:val="auto"/>
          <w:highlight w:val="none"/>
          <w:u w:val="none" w:color="auto"/>
          <w:lang w:val="en-US"/>
        </w:rPr>
        <w:t>处 TSP可达到 8.90mg/m</w:t>
      </w:r>
      <w:r>
        <w:rPr>
          <w:rFonts w:hint="default" w:ascii="Times New Roman" w:hAnsi="Times New Roman" w:cs="Times New Roman"/>
          <w:color w:val="auto"/>
          <w:highlight w:val="none"/>
          <w:u w:val="none" w:color="auto"/>
          <w:vertAlign w:val="superscript"/>
          <w:lang w:val="en-US"/>
        </w:rPr>
        <w:t>3</w:t>
      </w:r>
      <w:r>
        <w:rPr>
          <w:rFonts w:hint="default" w:ascii="Times New Roman" w:hAnsi="Times New Roman" w:cs="Times New Roman"/>
          <w:color w:val="auto"/>
          <w:highlight w:val="none"/>
          <w:u w:val="none" w:color="auto"/>
          <w:lang w:val="en-US"/>
        </w:rPr>
        <w:t>；下风向 100m 处可达到1.65mg/m</w:t>
      </w:r>
      <w:r>
        <w:rPr>
          <w:rFonts w:hint="default" w:ascii="Times New Roman" w:hAnsi="Times New Roman" w:cs="Times New Roman"/>
          <w:color w:val="auto"/>
          <w:highlight w:val="none"/>
          <w:u w:val="none" w:color="auto"/>
          <w:vertAlign w:val="superscript"/>
          <w:lang w:val="en-US"/>
        </w:rPr>
        <w:t>3</w:t>
      </w:r>
      <w:r>
        <w:rPr>
          <w:rFonts w:hint="default" w:ascii="Times New Roman" w:hAnsi="Times New Roman" w:cs="Times New Roman"/>
          <w:color w:val="auto"/>
          <w:highlight w:val="none"/>
          <w:u w:val="none" w:color="auto"/>
          <w:lang w:val="en-US"/>
        </w:rPr>
        <w:t>；下风向</w:t>
      </w:r>
      <w:r>
        <w:rPr>
          <w:rFonts w:hint="default" w:ascii="Times New Roman" w:hAnsi="Times New Roman" w:cs="Times New Roman"/>
          <w:color w:val="auto"/>
          <w:highlight w:val="none"/>
          <w:u w:val="none" w:color="auto"/>
          <w:lang w:val="en-US" w:eastAsia="zh-CN"/>
        </w:rPr>
        <w:t>150~200m</w:t>
      </w:r>
      <w:r>
        <w:rPr>
          <w:rFonts w:hint="default" w:ascii="Times New Roman" w:hAnsi="Times New Roman" w:cs="Times New Roman"/>
          <w:color w:val="auto"/>
          <w:highlight w:val="none"/>
          <w:u w:val="none" w:color="auto"/>
          <w:lang w:val="en-US"/>
        </w:rPr>
        <w:t>处可达到 0.3mg/m</w:t>
      </w:r>
      <w:r>
        <w:rPr>
          <w:rFonts w:hint="default" w:ascii="Times New Roman" w:hAnsi="Times New Roman" w:cs="Times New Roman"/>
          <w:color w:val="auto"/>
          <w:highlight w:val="none"/>
          <w:u w:val="none" w:color="auto"/>
          <w:vertAlign w:val="superscript"/>
          <w:lang w:val="en-US"/>
        </w:rPr>
        <w:t>3</w:t>
      </w:r>
      <w:r>
        <w:rPr>
          <w:rFonts w:hint="default" w:ascii="Times New Roman" w:hAnsi="Times New Roman" w:cs="Times New Roman"/>
          <w:color w:val="auto"/>
          <w:highlight w:val="none"/>
          <w:u w:val="none" w:color="auto"/>
          <w:lang w:val="en-US"/>
        </w:rPr>
        <w:t>。因此，施工作业和物料堆场的扬尘影响范围一般在</w:t>
      </w:r>
      <w:r>
        <w:rPr>
          <w:rFonts w:hint="default" w:ascii="Times New Roman" w:hAnsi="Times New Roman" w:cs="Times New Roman"/>
          <w:color w:val="auto"/>
          <w:highlight w:val="none"/>
          <w:u w:val="none" w:color="auto"/>
          <w:lang w:val="en-US" w:eastAsia="zh-CN"/>
        </w:rPr>
        <w:t>200m</w:t>
      </w:r>
      <w:r>
        <w:rPr>
          <w:rFonts w:hint="default" w:ascii="Times New Roman" w:hAnsi="Times New Roman" w:cs="Times New Roman"/>
          <w:color w:val="auto"/>
          <w:highlight w:val="none"/>
          <w:u w:val="none" w:color="auto"/>
          <w:lang w:val="en-US"/>
        </w:rPr>
        <w:t>范围内。</w:t>
      </w:r>
    </w:p>
    <w:p w14:paraId="69D192C7">
      <w:pPr>
        <w:pStyle w:val="96"/>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bidi="ar-SA"/>
        </w:rPr>
        <w:t>施工期施工运输车辆的行驶将产生道路二次扬尘污染。根据类似施工现场车辆运输引起的扬尘现场监测结果，灰土运输车辆下风向50m处TSP浓度为11.625mg/m</w:t>
      </w:r>
      <w:r>
        <w:rPr>
          <w:rFonts w:hint="default" w:ascii="Times New Roman" w:hAnsi="Times New Roman" w:eastAsia="宋体" w:cs="Times New Roman"/>
          <w:color w:val="auto"/>
          <w:sz w:val="24"/>
          <w:szCs w:val="24"/>
          <w:highlight w:val="none"/>
          <w:u w:val="none" w:color="auto"/>
          <w:vertAlign w:val="superscript"/>
          <w:lang w:val="en-US" w:eastAsia="zh-CN" w:bidi="ar-SA"/>
        </w:rPr>
        <w:t>3</w:t>
      </w:r>
      <w:r>
        <w:rPr>
          <w:rFonts w:hint="default" w:ascii="Times New Roman" w:hAnsi="Times New Roman" w:eastAsia="宋体" w:cs="Times New Roman"/>
          <w:color w:val="auto"/>
          <w:sz w:val="24"/>
          <w:szCs w:val="24"/>
          <w:highlight w:val="none"/>
          <w:u w:val="none" w:color="auto"/>
          <w:lang w:val="en-US" w:eastAsia="zh-CN" w:bidi="ar-SA"/>
        </w:rPr>
        <w:t>；下风向 100m处TSP浓度为 9.694mg/m</w:t>
      </w:r>
      <w:r>
        <w:rPr>
          <w:rFonts w:hint="default" w:ascii="Times New Roman" w:hAnsi="Times New Roman" w:eastAsia="宋体" w:cs="Times New Roman"/>
          <w:color w:val="auto"/>
          <w:sz w:val="24"/>
          <w:szCs w:val="24"/>
          <w:highlight w:val="none"/>
          <w:u w:val="none" w:color="auto"/>
          <w:vertAlign w:val="superscript"/>
          <w:lang w:val="en-US" w:eastAsia="zh-CN" w:bidi="ar-SA"/>
        </w:rPr>
        <w:t>3</w:t>
      </w:r>
      <w:r>
        <w:rPr>
          <w:rFonts w:hint="default" w:ascii="Times New Roman" w:hAnsi="Times New Roman" w:eastAsia="宋体" w:cs="Times New Roman"/>
          <w:color w:val="auto"/>
          <w:sz w:val="24"/>
          <w:szCs w:val="24"/>
          <w:highlight w:val="none"/>
          <w:u w:val="none" w:color="auto"/>
          <w:lang w:val="en-US" w:eastAsia="zh-CN" w:bidi="ar-SA"/>
        </w:rPr>
        <w:t>；下风向150m处TSP浓度为5.093mg/m</w:t>
      </w:r>
      <w:r>
        <w:rPr>
          <w:rFonts w:hint="default" w:ascii="Times New Roman" w:hAnsi="Times New Roman" w:eastAsia="宋体" w:cs="Times New Roman"/>
          <w:color w:val="auto"/>
          <w:sz w:val="24"/>
          <w:szCs w:val="24"/>
          <w:highlight w:val="none"/>
          <w:u w:val="none" w:color="auto"/>
          <w:vertAlign w:val="superscript"/>
          <w:lang w:val="en-US" w:eastAsia="zh-CN" w:bidi="ar-SA"/>
        </w:rPr>
        <w:t>3</w:t>
      </w:r>
      <w:r>
        <w:rPr>
          <w:rFonts w:hint="default" w:ascii="Times New Roman" w:hAnsi="Times New Roman" w:eastAsia="宋体" w:cs="Times New Roman"/>
          <w:color w:val="auto"/>
          <w:sz w:val="24"/>
          <w:szCs w:val="24"/>
          <w:highlight w:val="none"/>
          <w:u w:val="none" w:color="auto"/>
          <w:lang w:val="en-US" w:eastAsia="zh-CN" w:bidi="ar-SA"/>
        </w:rPr>
        <w:t>，超过《环境空气质量标准》（GB 3095-2012）二级标准。</w:t>
      </w:r>
    </w:p>
    <w:p w14:paraId="0FB9517F">
      <w:pPr>
        <w:pStyle w:val="96"/>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bidi="ar-SA"/>
        </w:rPr>
        <w:t>建设单位应加强施工期的厂地洒水、运输路线的车辆管理工作，以减轻扬尘造成的空气污染。</w:t>
      </w:r>
    </w:p>
    <w:p w14:paraId="4DB39116">
      <w:pPr>
        <w:pStyle w:val="96"/>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bidi="ar-SA"/>
        </w:rPr>
        <w:t>②燃油尾气</w:t>
      </w:r>
    </w:p>
    <w:p w14:paraId="2A183F22">
      <w:pPr>
        <w:pStyle w:val="96"/>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bidi="ar-SA"/>
        </w:rPr>
        <w:t>施工机械和运输车辆燃油排放的尾气中含有CO和NOx（主要以NO和NO</w:t>
      </w:r>
      <w:r>
        <w:rPr>
          <w:rFonts w:hint="default" w:ascii="Times New Roman" w:hAnsi="Times New Roman" w:eastAsia="宋体" w:cs="Times New Roman"/>
          <w:color w:val="auto"/>
          <w:sz w:val="24"/>
          <w:szCs w:val="24"/>
          <w:highlight w:val="none"/>
          <w:u w:val="none" w:color="auto"/>
          <w:vertAlign w:val="subscript"/>
          <w:lang w:val="en-US" w:eastAsia="zh-CN" w:bidi="ar-SA"/>
        </w:rPr>
        <w:t>2</w:t>
      </w:r>
      <w:r>
        <w:rPr>
          <w:rFonts w:hint="default" w:ascii="Times New Roman" w:hAnsi="Times New Roman" w:eastAsia="宋体" w:cs="Times New Roman"/>
          <w:color w:val="auto"/>
          <w:sz w:val="24"/>
          <w:szCs w:val="24"/>
          <w:highlight w:val="none"/>
          <w:u w:val="none" w:color="auto"/>
          <w:lang w:val="en-US" w:eastAsia="zh-CN" w:bidi="ar-SA"/>
        </w:rPr>
        <w:t>形式存在）等污染物，排放强度较小，属无组织排放。</w:t>
      </w:r>
    </w:p>
    <w:p w14:paraId="1FBED8CB">
      <w:pPr>
        <w:outlineLvl w:val="3"/>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3.4.2.4 废水</w:t>
      </w:r>
    </w:p>
    <w:p w14:paraId="75B9D974">
      <w:pPr>
        <w:pStyle w:val="96"/>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bidi="ar-SA"/>
        </w:rPr>
        <w:t>施工期对地表水的影响主要来自施工人员生活污水、施工废水。</w:t>
      </w:r>
    </w:p>
    <w:p w14:paraId="6EB625C9">
      <w:pPr>
        <w:pStyle w:val="96"/>
        <w:spacing w:line="360" w:lineRule="auto"/>
        <w:ind w:firstLine="480" w:firstLineChars="200"/>
        <w:outlineLvl w:val="9"/>
        <w:rPr>
          <w:rFonts w:hint="default" w:ascii="Times New Roman" w:hAnsi="Times New Roman" w:eastAsia="宋体" w:cs="Times New Roman"/>
          <w:color w:val="auto"/>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bidi="ar-SA"/>
        </w:rPr>
        <w:t>①生活污水</w:t>
      </w:r>
    </w:p>
    <w:p w14:paraId="7E1972CC">
      <w:pPr>
        <w:pStyle w:val="96"/>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bidi="ar-SA"/>
        </w:rPr>
        <w:t>本项目施工队伍按20人计，工人不在厂内食宿，每人用水量约50L/d，，主要污染物为COD、BOD</w:t>
      </w:r>
      <w:r>
        <w:rPr>
          <w:rFonts w:hint="default" w:ascii="Times New Roman" w:hAnsi="Times New Roman" w:eastAsia="宋体" w:cs="Times New Roman"/>
          <w:color w:val="auto"/>
          <w:sz w:val="24"/>
          <w:szCs w:val="24"/>
          <w:highlight w:val="none"/>
          <w:u w:val="none" w:color="auto"/>
          <w:vertAlign w:val="subscript"/>
          <w:lang w:val="en-US" w:eastAsia="zh-CN" w:bidi="ar-SA"/>
        </w:rPr>
        <w:t>5</w:t>
      </w:r>
      <w:r>
        <w:rPr>
          <w:rFonts w:hint="default" w:ascii="Times New Roman" w:hAnsi="Times New Roman" w:eastAsia="宋体" w:cs="Times New Roman"/>
          <w:color w:val="auto"/>
          <w:sz w:val="24"/>
          <w:szCs w:val="24"/>
          <w:highlight w:val="none"/>
          <w:u w:val="none" w:color="auto"/>
          <w:lang w:val="en-US" w:eastAsia="zh-CN" w:bidi="ar-SA"/>
        </w:rPr>
        <w:t>、NH</w:t>
      </w:r>
      <w:r>
        <w:rPr>
          <w:rFonts w:hint="default" w:ascii="Times New Roman" w:hAnsi="Times New Roman" w:eastAsia="宋体" w:cs="Times New Roman"/>
          <w:color w:val="auto"/>
          <w:sz w:val="24"/>
          <w:szCs w:val="24"/>
          <w:highlight w:val="none"/>
          <w:u w:val="none" w:color="auto"/>
          <w:vertAlign w:val="subscript"/>
          <w:lang w:val="en-US" w:eastAsia="zh-CN" w:bidi="ar-SA"/>
        </w:rPr>
        <w:t>3</w:t>
      </w:r>
      <w:r>
        <w:rPr>
          <w:rFonts w:hint="default" w:ascii="Times New Roman" w:hAnsi="Times New Roman" w:eastAsia="宋体" w:cs="Times New Roman"/>
          <w:color w:val="auto"/>
          <w:sz w:val="24"/>
          <w:szCs w:val="24"/>
          <w:highlight w:val="none"/>
          <w:u w:val="none" w:color="auto"/>
          <w:lang w:val="en-US" w:eastAsia="zh-CN" w:bidi="ar-SA"/>
        </w:rPr>
        <w:t>-N、SS ，污染物源强参照一般生活污水：COD为350mg/L、BOD</w:t>
      </w:r>
      <w:r>
        <w:rPr>
          <w:rFonts w:hint="default" w:ascii="Times New Roman" w:hAnsi="Times New Roman" w:eastAsia="宋体" w:cs="Times New Roman"/>
          <w:color w:val="auto"/>
          <w:sz w:val="24"/>
          <w:szCs w:val="24"/>
          <w:highlight w:val="none"/>
          <w:u w:val="none" w:color="auto"/>
          <w:vertAlign w:val="subscript"/>
          <w:lang w:val="en-US" w:eastAsia="zh-CN" w:bidi="ar-SA"/>
        </w:rPr>
        <w:t>5</w:t>
      </w:r>
      <w:r>
        <w:rPr>
          <w:rFonts w:hint="default" w:ascii="Times New Roman" w:hAnsi="Times New Roman" w:eastAsia="宋体" w:cs="Times New Roman"/>
          <w:color w:val="auto"/>
          <w:sz w:val="24"/>
          <w:szCs w:val="24"/>
          <w:highlight w:val="none"/>
          <w:u w:val="none" w:color="auto"/>
          <w:lang w:val="en-US" w:eastAsia="zh-CN" w:bidi="ar-SA"/>
        </w:rPr>
        <w:t>为150mg/L、NH</w:t>
      </w:r>
      <w:r>
        <w:rPr>
          <w:rFonts w:hint="default" w:ascii="Times New Roman" w:hAnsi="Times New Roman" w:eastAsia="宋体" w:cs="Times New Roman"/>
          <w:color w:val="auto"/>
          <w:sz w:val="24"/>
          <w:szCs w:val="24"/>
          <w:highlight w:val="none"/>
          <w:u w:val="none" w:color="auto"/>
          <w:vertAlign w:val="subscript"/>
          <w:lang w:val="en-US" w:eastAsia="zh-CN" w:bidi="ar-SA"/>
        </w:rPr>
        <w:t>3</w:t>
      </w:r>
      <w:r>
        <w:rPr>
          <w:rFonts w:hint="default" w:ascii="Times New Roman" w:hAnsi="Times New Roman" w:eastAsia="宋体" w:cs="Times New Roman"/>
          <w:color w:val="auto"/>
          <w:sz w:val="24"/>
          <w:szCs w:val="24"/>
          <w:highlight w:val="none"/>
          <w:u w:val="none" w:color="auto"/>
          <w:lang w:val="en-US" w:eastAsia="zh-CN" w:bidi="ar-SA"/>
        </w:rPr>
        <w:t>-N为20mg/L、SS 为120mg/。废水排放量按用水量的80%计，则施工期生活污水产生量为0.8m</w:t>
      </w:r>
      <w:r>
        <w:rPr>
          <w:rFonts w:hint="default" w:ascii="Times New Roman" w:hAnsi="Times New Roman" w:eastAsia="宋体" w:cs="Times New Roman"/>
          <w:color w:val="auto"/>
          <w:sz w:val="24"/>
          <w:szCs w:val="24"/>
          <w:highlight w:val="none"/>
          <w:u w:val="none" w:color="auto"/>
          <w:vertAlign w:val="superscript"/>
          <w:lang w:val="en-US" w:eastAsia="zh-CN" w:bidi="ar-SA"/>
        </w:rPr>
        <w:t>3</w:t>
      </w:r>
      <w:r>
        <w:rPr>
          <w:rFonts w:hint="default" w:ascii="Times New Roman" w:hAnsi="Times New Roman" w:eastAsia="宋体" w:cs="Times New Roman"/>
          <w:color w:val="auto"/>
          <w:sz w:val="24"/>
          <w:szCs w:val="24"/>
          <w:highlight w:val="none"/>
          <w:u w:val="none" w:color="auto"/>
          <w:lang w:val="en-US" w:eastAsia="zh-CN" w:bidi="ar-SA"/>
        </w:rPr>
        <w:t>/d，项目施工期为3个月，施工期生活污水产生量为72m</w:t>
      </w:r>
      <w:r>
        <w:rPr>
          <w:rFonts w:hint="default" w:ascii="Times New Roman" w:hAnsi="Times New Roman" w:eastAsia="宋体" w:cs="Times New Roman"/>
          <w:color w:val="auto"/>
          <w:sz w:val="24"/>
          <w:szCs w:val="24"/>
          <w:highlight w:val="none"/>
          <w:u w:val="none" w:color="auto"/>
          <w:vertAlign w:val="superscript"/>
          <w:lang w:val="en-US" w:eastAsia="zh-CN" w:bidi="ar-SA"/>
        </w:rPr>
        <w:t>3</w:t>
      </w:r>
      <w:r>
        <w:rPr>
          <w:rFonts w:hint="default" w:ascii="Times New Roman" w:hAnsi="Times New Roman" w:eastAsia="宋体" w:cs="Times New Roman"/>
          <w:color w:val="auto"/>
          <w:sz w:val="24"/>
          <w:szCs w:val="24"/>
          <w:highlight w:val="none"/>
          <w:u w:val="none" w:color="auto"/>
          <w:lang w:val="en-US" w:eastAsia="zh-CN" w:bidi="ar-SA"/>
        </w:rPr>
        <w:t>，施工期生活污水依托现有污水处理厂，经化粪池处理后经进入自身污水处理厂处理后达标排放。</w:t>
      </w:r>
    </w:p>
    <w:p w14:paraId="7BFD9D71">
      <w:pPr>
        <w:pStyle w:val="96"/>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bidi="ar-SA"/>
        </w:rPr>
        <w:t>②施工废水</w:t>
      </w:r>
    </w:p>
    <w:p w14:paraId="5CCF2507">
      <w:pPr>
        <w:pStyle w:val="96"/>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bidi="ar-SA"/>
        </w:rPr>
        <w:t>施工废水主要为施工机械及车辆冲洗废水。</w:t>
      </w:r>
    </w:p>
    <w:p w14:paraId="1C7484E8">
      <w:pPr>
        <w:pStyle w:val="96"/>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bidi="ar-SA"/>
        </w:rPr>
        <w:t>施工机械及车辆冲洗过程中将产生一定量的的含油废水，主要污染物为石油类和SS，其中石油类浓度约为5~50mg/L，SS浓度约为3000mg/L，施工废水应采用隔油池、沉淀池处理后重复利用，不外排。</w:t>
      </w:r>
    </w:p>
    <w:p w14:paraId="5C25F755">
      <w:pPr>
        <w:outlineLvl w:val="3"/>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3.4.2.5 噪声</w:t>
      </w:r>
    </w:p>
    <w:p w14:paraId="14EE032D">
      <w:pPr>
        <w:pStyle w:val="96"/>
        <w:spacing w:line="360" w:lineRule="auto"/>
        <w:ind w:firstLine="480" w:firstLineChars="200"/>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z w:val="24"/>
          <w:szCs w:val="24"/>
          <w:highlight w:val="none"/>
          <w:u w:val="none" w:color="auto"/>
          <w:lang w:val="en-US" w:eastAsia="zh-CN" w:bidi="ar-SA"/>
        </w:rPr>
        <w:t>施工机械设备主要包括挖掘机、装载机等。施工机械设备噪声源多为不连续性噪声，具有高噪声、无规则等特点。根据《环境噪声与振动控制工程技术导则》（HJ2034-2013），常见施工设备噪声源强见表3.4-1。</w:t>
      </w:r>
    </w:p>
    <w:p w14:paraId="0678E2F8">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表</w:t>
      </w:r>
      <w:r>
        <w:rPr>
          <w:rFonts w:hint="default" w:ascii="Times New Roman" w:hAnsi="Times New Roman" w:cs="Times New Roman"/>
          <w:color w:val="auto"/>
          <w:highlight w:val="none"/>
          <w:u w:val="none" w:color="auto"/>
          <w:lang w:val="en-US" w:eastAsia="zh-CN"/>
        </w:rPr>
        <w:t>3.4-1</w:t>
      </w:r>
      <w:r>
        <w:rPr>
          <w:rFonts w:hint="default" w:ascii="Times New Roman" w:hAnsi="Times New Roman" w:cs="Times New Roman"/>
          <w:color w:val="auto"/>
          <w:highlight w:val="none"/>
          <w:u w:val="none" w:color="auto"/>
        </w:rPr>
        <w:t xml:space="preserve">  本工程施工期主要噪声源及其噪声值</w:t>
      </w:r>
    </w:p>
    <w:p w14:paraId="22493DF8">
      <w:pPr>
        <w:kinsoku w:val="0"/>
        <w:overflowPunct w:val="0"/>
        <w:spacing w:before="6" w:line="10" w:lineRule="exact"/>
        <w:ind w:firstLine="40"/>
        <w:rPr>
          <w:rFonts w:hint="default" w:ascii="Times New Roman" w:hAnsi="Times New Roman" w:eastAsia="Times New Roman" w:cs="Times New Roman"/>
          <w:color w:val="auto"/>
          <w:sz w:val="2"/>
          <w:highlight w:val="none"/>
          <w:u w:val="none" w:color="auto"/>
        </w:rPr>
      </w:pPr>
    </w:p>
    <w:tbl>
      <w:tblPr>
        <w:tblStyle w:val="76"/>
        <w:tblW w:w="88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91"/>
        <w:gridCol w:w="3129"/>
        <w:gridCol w:w="2339"/>
        <w:gridCol w:w="2341"/>
      </w:tblGrid>
      <w:tr w14:paraId="015F02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1" w:hRule="atLeast"/>
          <w:jc w:val="center"/>
        </w:trPr>
        <w:tc>
          <w:tcPr>
            <w:tcW w:w="991" w:type="dxa"/>
            <w:tcBorders>
              <w:tl2br w:val="nil"/>
              <w:tr2bl w:val="nil"/>
            </w:tcBorders>
            <w:vAlign w:val="center"/>
          </w:tcPr>
          <w:p w14:paraId="40F900A9">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序号</w:t>
            </w:r>
          </w:p>
        </w:tc>
        <w:tc>
          <w:tcPr>
            <w:tcW w:w="3129" w:type="dxa"/>
            <w:tcBorders>
              <w:tl2br w:val="nil"/>
              <w:tr2bl w:val="nil"/>
            </w:tcBorders>
            <w:vAlign w:val="center"/>
          </w:tcPr>
          <w:p w14:paraId="4ABE064B">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名称</w:t>
            </w:r>
          </w:p>
        </w:tc>
        <w:tc>
          <w:tcPr>
            <w:tcW w:w="2339" w:type="dxa"/>
            <w:tcBorders>
              <w:tl2br w:val="nil"/>
              <w:tr2bl w:val="nil"/>
            </w:tcBorders>
            <w:vAlign w:val="center"/>
          </w:tcPr>
          <w:p w14:paraId="659A7015">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噪声声级 dB(A)</w:t>
            </w:r>
          </w:p>
        </w:tc>
        <w:tc>
          <w:tcPr>
            <w:tcW w:w="2341" w:type="dxa"/>
            <w:tcBorders>
              <w:tl2br w:val="nil"/>
              <w:tr2bl w:val="nil"/>
            </w:tcBorders>
            <w:vAlign w:val="center"/>
          </w:tcPr>
          <w:p w14:paraId="34F16050">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产生方式</w:t>
            </w:r>
          </w:p>
        </w:tc>
      </w:tr>
      <w:tr w14:paraId="3E1411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991" w:type="dxa"/>
            <w:tcBorders>
              <w:tl2br w:val="nil"/>
              <w:tr2bl w:val="nil"/>
            </w:tcBorders>
            <w:vAlign w:val="center"/>
          </w:tcPr>
          <w:p w14:paraId="4DF97B3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p>
        </w:tc>
        <w:tc>
          <w:tcPr>
            <w:tcW w:w="3129" w:type="dxa"/>
            <w:tcBorders>
              <w:tl2br w:val="nil"/>
              <w:tr2bl w:val="nil"/>
            </w:tcBorders>
            <w:vAlign w:val="center"/>
          </w:tcPr>
          <w:p w14:paraId="41C0109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挖掘机</w:t>
            </w:r>
          </w:p>
        </w:tc>
        <w:tc>
          <w:tcPr>
            <w:tcW w:w="2339" w:type="dxa"/>
            <w:tcBorders>
              <w:tl2br w:val="nil"/>
              <w:tr2bl w:val="nil"/>
            </w:tcBorders>
            <w:vAlign w:val="center"/>
          </w:tcPr>
          <w:p w14:paraId="33B258C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85</w:t>
            </w:r>
          </w:p>
        </w:tc>
        <w:tc>
          <w:tcPr>
            <w:tcW w:w="2341" w:type="dxa"/>
            <w:tcBorders>
              <w:tl2br w:val="nil"/>
              <w:tr2bl w:val="nil"/>
            </w:tcBorders>
            <w:vAlign w:val="center"/>
          </w:tcPr>
          <w:p w14:paraId="3F1EF49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间歇</w:t>
            </w:r>
          </w:p>
        </w:tc>
      </w:tr>
      <w:tr w14:paraId="241B87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991" w:type="dxa"/>
            <w:tcBorders>
              <w:tl2br w:val="nil"/>
              <w:tr2bl w:val="nil"/>
            </w:tcBorders>
            <w:vAlign w:val="center"/>
          </w:tcPr>
          <w:p w14:paraId="448E121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w:t>
            </w:r>
          </w:p>
        </w:tc>
        <w:tc>
          <w:tcPr>
            <w:tcW w:w="3129" w:type="dxa"/>
            <w:tcBorders>
              <w:tl2br w:val="nil"/>
              <w:tr2bl w:val="nil"/>
            </w:tcBorders>
            <w:vAlign w:val="center"/>
          </w:tcPr>
          <w:p w14:paraId="6726FD0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运输车辆</w:t>
            </w:r>
          </w:p>
        </w:tc>
        <w:tc>
          <w:tcPr>
            <w:tcW w:w="2339" w:type="dxa"/>
            <w:tcBorders>
              <w:tl2br w:val="nil"/>
              <w:tr2bl w:val="nil"/>
            </w:tcBorders>
            <w:vAlign w:val="center"/>
          </w:tcPr>
          <w:p w14:paraId="4B63E6D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80</w:t>
            </w:r>
          </w:p>
        </w:tc>
        <w:tc>
          <w:tcPr>
            <w:tcW w:w="2341" w:type="dxa"/>
            <w:tcBorders>
              <w:tl2br w:val="nil"/>
              <w:tr2bl w:val="nil"/>
            </w:tcBorders>
            <w:vAlign w:val="center"/>
          </w:tcPr>
          <w:p w14:paraId="09EA2F7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短期连续</w:t>
            </w:r>
          </w:p>
        </w:tc>
      </w:tr>
      <w:tr w14:paraId="48E658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991" w:type="dxa"/>
            <w:tcBorders>
              <w:tl2br w:val="nil"/>
              <w:tr2bl w:val="nil"/>
            </w:tcBorders>
            <w:vAlign w:val="center"/>
          </w:tcPr>
          <w:p w14:paraId="14982D2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w:t>
            </w:r>
          </w:p>
        </w:tc>
        <w:tc>
          <w:tcPr>
            <w:tcW w:w="3129" w:type="dxa"/>
            <w:tcBorders>
              <w:tl2br w:val="nil"/>
              <w:tr2bl w:val="nil"/>
            </w:tcBorders>
            <w:vAlign w:val="center"/>
          </w:tcPr>
          <w:p w14:paraId="56880EF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起重设备</w:t>
            </w:r>
          </w:p>
        </w:tc>
        <w:tc>
          <w:tcPr>
            <w:tcW w:w="2339" w:type="dxa"/>
            <w:tcBorders>
              <w:tl2br w:val="nil"/>
              <w:tr2bl w:val="nil"/>
            </w:tcBorders>
            <w:vAlign w:val="center"/>
          </w:tcPr>
          <w:p w14:paraId="7E603ED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75</w:t>
            </w:r>
          </w:p>
        </w:tc>
        <w:tc>
          <w:tcPr>
            <w:tcW w:w="2341" w:type="dxa"/>
            <w:tcBorders>
              <w:tl2br w:val="nil"/>
              <w:tr2bl w:val="nil"/>
            </w:tcBorders>
            <w:vAlign w:val="center"/>
          </w:tcPr>
          <w:p w14:paraId="4F7DC85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随机</w:t>
            </w:r>
          </w:p>
        </w:tc>
      </w:tr>
      <w:tr w14:paraId="52B453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991" w:type="dxa"/>
            <w:tcBorders>
              <w:tl2br w:val="nil"/>
              <w:tr2bl w:val="nil"/>
            </w:tcBorders>
            <w:vAlign w:val="center"/>
          </w:tcPr>
          <w:p w14:paraId="501AE78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w:t>
            </w:r>
          </w:p>
        </w:tc>
        <w:tc>
          <w:tcPr>
            <w:tcW w:w="3129" w:type="dxa"/>
            <w:tcBorders>
              <w:tl2br w:val="nil"/>
              <w:tr2bl w:val="nil"/>
            </w:tcBorders>
            <w:vAlign w:val="center"/>
          </w:tcPr>
          <w:p w14:paraId="3ED885A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装 载 机</w:t>
            </w:r>
          </w:p>
        </w:tc>
        <w:tc>
          <w:tcPr>
            <w:tcW w:w="2339" w:type="dxa"/>
            <w:tcBorders>
              <w:tl2br w:val="nil"/>
              <w:tr2bl w:val="nil"/>
            </w:tcBorders>
            <w:vAlign w:val="center"/>
          </w:tcPr>
          <w:p w14:paraId="5FE0A41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95</w:t>
            </w:r>
          </w:p>
        </w:tc>
        <w:tc>
          <w:tcPr>
            <w:tcW w:w="2341" w:type="dxa"/>
            <w:tcBorders>
              <w:tl2br w:val="nil"/>
              <w:tr2bl w:val="nil"/>
            </w:tcBorders>
            <w:vAlign w:val="center"/>
          </w:tcPr>
          <w:p w14:paraId="743DF70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短期连续</w:t>
            </w:r>
          </w:p>
        </w:tc>
      </w:tr>
      <w:tr w14:paraId="47EAEB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991" w:type="dxa"/>
            <w:tcBorders>
              <w:tl2br w:val="nil"/>
              <w:tr2bl w:val="nil"/>
            </w:tcBorders>
            <w:vAlign w:val="center"/>
          </w:tcPr>
          <w:p w14:paraId="72931EC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c>
          <w:tcPr>
            <w:tcW w:w="3129" w:type="dxa"/>
            <w:tcBorders>
              <w:tl2br w:val="nil"/>
              <w:tr2bl w:val="nil"/>
            </w:tcBorders>
            <w:vAlign w:val="center"/>
          </w:tcPr>
          <w:p w14:paraId="464E243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移动式吊车</w:t>
            </w:r>
          </w:p>
        </w:tc>
        <w:tc>
          <w:tcPr>
            <w:tcW w:w="2339" w:type="dxa"/>
            <w:tcBorders>
              <w:tl2br w:val="nil"/>
              <w:tr2bl w:val="nil"/>
            </w:tcBorders>
            <w:vAlign w:val="center"/>
          </w:tcPr>
          <w:p w14:paraId="5F38DE2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90</w:t>
            </w:r>
          </w:p>
        </w:tc>
        <w:tc>
          <w:tcPr>
            <w:tcW w:w="2341" w:type="dxa"/>
            <w:tcBorders>
              <w:tl2br w:val="nil"/>
              <w:tr2bl w:val="nil"/>
            </w:tcBorders>
            <w:vAlign w:val="center"/>
          </w:tcPr>
          <w:p w14:paraId="4FDAA8A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短期连续</w:t>
            </w:r>
          </w:p>
        </w:tc>
      </w:tr>
      <w:tr w14:paraId="4DD5CC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991" w:type="dxa"/>
            <w:tcBorders>
              <w:tl2br w:val="nil"/>
              <w:tr2bl w:val="nil"/>
            </w:tcBorders>
            <w:vAlign w:val="center"/>
          </w:tcPr>
          <w:p w14:paraId="4ECD051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6</w:t>
            </w:r>
          </w:p>
        </w:tc>
        <w:tc>
          <w:tcPr>
            <w:tcW w:w="3129" w:type="dxa"/>
            <w:tcBorders>
              <w:tl2br w:val="nil"/>
              <w:tr2bl w:val="nil"/>
            </w:tcBorders>
            <w:vAlign w:val="center"/>
          </w:tcPr>
          <w:p w14:paraId="34D6AD1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各种设备安装产生的噪声</w:t>
            </w:r>
          </w:p>
        </w:tc>
        <w:tc>
          <w:tcPr>
            <w:tcW w:w="2339" w:type="dxa"/>
            <w:tcBorders>
              <w:tl2br w:val="nil"/>
              <w:tr2bl w:val="nil"/>
            </w:tcBorders>
            <w:vAlign w:val="center"/>
          </w:tcPr>
          <w:p w14:paraId="6AAF3B6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80～110</w:t>
            </w:r>
          </w:p>
        </w:tc>
        <w:tc>
          <w:tcPr>
            <w:tcW w:w="2341" w:type="dxa"/>
            <w:tcBorders>
              <w:tl2br w:val="nil"/>
              <w:tr2bl w:val="nil"/>
            </w:tcBorders>
            <w:vAlign w:val="center"/>
          </w:tcPr>
          <w:p w14:paraId="0E50CC0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突发</w:t>
            </w:r>
          </w:p>
        </w:tc>
      </w:tr>
    </w:tbl>
    <w:p w14:paraId="11AAE593">
      <w:pP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3.4.2.6 固废</w:t>
      </w:r>
    </w:p>
    <w:p w14:paraId="346BE5E9">
      <w:pPr>
        <w:pStyle w:val="189"/>
        <w:numPr>
          <w:ilvl w:val="0"/>
          <w:numId w:val="0"/>
        </w:numPr>
        <w:ind w:firstLine="480" w:firstLineChars="20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项目施工时基坑施工完成有部分土方回填，根据建设方提供的资料，污水处理工程工程土石方基本平衡。</w:t>
      </w:r>
    </w:p>
    <w:p w14:paraId="68A5B5EA">
      <w:pPr>
        <w:pStyle w:val="189"/>
        <w:jc w:val="left"/>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施工人员产生的生活垃圾量可按0.5kg/人·d 估算，</w:t>
      </w:r>
      <w:r>
        <w:rPr>
          <w:rFonts w:hint="default" w:ascii="Times New Roman" w:hAnsi="Times New Roman" w:cs="Times New Roman"/>
          <w:color w:val="000000" w:themeColor="text1"/>
          <w:highlight w:val="none"/>
          <w:u w:val="none" w:color="auto"/>
          <w:lang w:eastAsia="zh-CN"/>
          <w14:textFill>
            <w14:solidFill>
              <w14:schemeClr w14:val="tx1"/>
            </w14:solidFill>
          </w14:textFill>
        </w:rPr>
        <w:t>施工人员为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20人，施工期3个月，</w:t>
      </w:r>
      <w:r>
        <w:rPr>
          <w:rFonts w:hint="default" w:ascii="Times New Roman" w:hAnsi="Times New Roman" w:cs="Times New Roman"/>
          <w:color w:val="000000" w:themeColor="text1"/>
          <w:highlight w:val="none"/>
          <w:u w:val="none" w:color="auto"/>
          <w14:textFill>
            <w14:solidFill>
              <w14:schemeClr w14:val="tx1"/>
            </w14:solidFill>
          </w14:textFill>
        </w:rPr>
        <w:t>产生量为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kg/d</w:t>
      </w:r>
      <w:r>
        <w:rPr>
          <w:rFonts w:hint="default" w:ascii="Times New Roman" w:hAnsi="Times New Roman" w:cs="Times New Roman"/>
          <w:color w:val="000000" w:themeColor="text1"/>
          <w:highlight w:val="none"/>
          <w:u w:val="none" w:color="auto"/>
          <w:lang w:eastAsia="zh-CN"/>
          <w14:textFill>
            <w14:solidFill>
              <w14:schemeClr w14:val="tx1"/>
            </w14:solidFill>
          </w14:textFill>
        </w:rPr>
        <w:t>，共计</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0.9t</w:t>
      </w:r>
      <w:r>
        <w:rPr>
          <w:rFonts w:hint="default" w:ascii="Times New Roman" w:hAnsi="Times New Roman" w:cs="Times New Roman"/>
          <w:color w:val="000000" w:themeColor="text1"/>
          <w:highlight w:val="none"/>
          <w:u w:val="none" w:color="auto"/>
          <w14:textFill>
            <w14:solidFill>
              <w14:schemeClr w14:val="tx1"/>
            </w14:solidFill>
          </w14:textFill>
        </w:rPr>
        <w:t>。</w:t>
      </w:r>
    </w:p>
    <w:p w14:paraId="7A589DDB">
      <w:pPr>
        <w:pStyle w:val="189"/>
        <w:jc w:val="left"/>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建设工程建筑垃圾产生情况：建筑垃圾产生量=建筑</w:t>
      </w:r>
      <w:r>
        <w:rPr>
          <w:rFonts w:hint="default" w:ascii="Times New Roman" w:hAnsi="Times New Roman" w:cs="Times New Roman"/>
          <w:color w:val="000000" w:themeColor="text1"/>
          <w:highlight w:val="none"/>
          <w:u w:val="none" w:color="auto"/>
          <w:lang w:eastAsia="zh-CN"/>
          <w14:textFill>
            <w14:solidFill>
              <w14:schemeClr w14:val="tx1"/>
            </w14:solidFill>
          </w14:textFill>
        </w:rPr>
        <w:t>面积</w:t>
      </w:r>
      <w:r>
        <w:rPr>
          <w:rFonts w:hint="default" w:ascii="Times New Roman" w:hAnsi="Times New Roman" w:cs="Times New Roman"/>
          <w:color w:val="000000" w:themeColor="text1"/>
          <w:highlight w:val="none"/>
          <w:u w:val="none" w:color="auto"/>
          <w14:textFill>
            <w14:solidFill>
              <w14:schemeClr w14:val="tx1"/>
            </w14:solidFill>
          </w14:textFill>
        </w:rPr>
        <w:t>×0.026=</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1130.55</w:t>
      </w:r>
      <w:r>
        <w:rPr>
          <w:rFonts w:hint="default" w:ascii="Times New Roman" w:hAnsi="Times New Roman" w:cs="Times New Roman"/>
          <w:color w:val="000000" w:themeColor="text1"/>
          <w:highlight w:val="none"/>
          <w:u w:val="none" w:color="auto"/>
          <w14:textFill>
            <w14:solidFill>
              <w14:schemeClr w14:val="tx1"/>
            </w14:solidFill>
          </w14:textFill>
        </w:rPr>
        <w:t>×0.026</w:t>
      </w:r>
    </w:p>
    <w:p w14:paraId="4A7CB555">
      <w:pPr>
        <w:pStyle w:val="189"/>
        <w:ind w:left="0" w:leftChars="0" w:firstLine="0" w:firstLineChars="0"/>
        <w:jc w:val="left"/>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29.39t</w:t>
      </w:r>
    </w:p>
    <w:p w14:paraId="3852229F">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lang w:val="en-US" w:eastAsia="zh-CN"/>
        </w:rPr>
        <w:t>3.4</w:t>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 xml:space="preserve">  施工期固废产生量分析</w:t>
      </w:r>
    </w:p>
    <w:p w14:paraId="5E2AB2DA">
      <w:pPr>
        <w:kinsoku w:val="0"/>
        <w:overflowPunct w:val="0"/>
        <w:spacing w:before="8" w:line="30" w:lineRule="exact"/>
        <w:ind w:firstLine="60"/>
        <w:rPr>
          <w:rFonts w:hint="default" w:ascii="Times New Roman" w:hAnsi="Times New Roman" w:eastAsia="Times New Roman" w:cs="Times New Roman"/>
          <w:color w:val="000000" w:themeColor="text1"/>
          <w:sz w:val="3"/>
          <w:highlight w:val="none"/>
          <w:u w:val="none" w:color="auto"/>
          <w14:textFill>
            <w14:solidFill>
              <w14:schemeClr w14:val="tx1"/>
            </w14:solidFill>
          </w14:textFill>
        </w:rPr>
      </w:pPr>
    </w:p>
    <w:tbl>
      <w:tblPr>
        <w:tblStyle w:val="76"/>
        <w:tblW w:w="503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06"/>
        <w:gridCol w:w="1113"/>
        <w:gridCol w:w="2063"/>
        <w:gridCol w:w="1078"/>
        <w:gridCol w:w="4198"/>
      </w:tblGrid>
      <w:tr w14:paraId="6989A7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667" w:type="dxa"/>
            <w:vAlign w:val="center"/>
          </w:tcPr>
          <w:p w14:paraId="5BAACA28">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序号</w:t>
            </w:r>
          </w:p>
        </w:tc>
        <w:tc>
          <w:tcPr>
            <w:tcW w:w="1049" w:type="dxa"/>
            <w:vAlign w:val="center"/>
          </w:tcPr>
          <w:p w14:paraId="739EDA0A">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固废种类</w:t>
            </w:r>
          </w:p>
        </w:tc>
        <w:tc>
          <w:tcPr>
            <w:tcW w:w="1945" w:type="dxa"/>
            <w:vAlign w:val="center"/>
          </w:tcPr>
          <w:p w14:paraId="2A98CCAA">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固废组成</w:t>
            </w:r>
          </w:p>
        </w:tc>
        <w:tc>
          <w:tcPr>
            <w:tcW w:w="1018" w:type="dxa"/>
            <w:vAlign w:val="center"/>
          </w:tcPr>
          <w:p w14:paraId="574CE5E2">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产生量</w:t>
            </w:r>
          </w:p>
        </w:tc>
        <w:tc>
          <w:tcPr>
            <w:tcW w:w="3961" w:type="dxa"/>
            <w:vAlign w:val="center"/>
          </w:tcPr>
          <w:p w14:paraId="0B03FD6C">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处置措施</w:t>
            </w:r>
          </w:p>
        </w:tc>
      </w:tr>
      <w:tr w14:paraId="1E802C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667" w:type="dxa"/>
            <w:vAlign w:val="center"/>
          </w:tcPr>
          <w:p w14:paraId="090007F7">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w:t>
            </w:r>
          </w:p>
        </w:tc>
        <w:tc>
          <w:tcPr>
            <w:tcW w:w="1049" w:type="dxa"/>
            <w:vAlign w:val="center"/>
          </w:tcPr>
          <w:p w14:paraId="20385AD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建筑垃圾</w:t>
            </w:r>
          </w:p>
        </w:tc>
        <w:tc>
          <w:tcPr>
            <w:tcW w:w="1945" w:type="dxa"/>
            <w:vAlign w:val="center"/>
          </w:tcPr>
          <w:p w14:paraId="1D884BA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80％废混凝土和砖石，20％钢筋头、废木料</w:t>
            </w:r>
          </w:p>
        </w:tc>
        <w:tc>
          <w:tcPr>
            <w:tcW w:w="1018" w:type="dxa"/>
            <w:vAlign w:val="center"/>
          </w:tcPr>
          <w:p w14:paraId="2659AA3C">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29.39t</w:t>
            </w:r>
          </w:p>
        </w:tc>
        <w:tc>
          <w:tcPr>
            <w:tcW w:w="3961" w:type="dxa"/>
            <w:vAlign w:val="center"/>
          </w:tcPr>
          <w:p w14:paraId="32A6512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钢筋头占20%（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5.88t</w:t>
            </w:r>
            <w:r>
              <w:rPr>
                <w:rFonts w:hint="default" w:ascii="Times New Roman" w:hAnsi="Times New Roman" w:cs="Times New Roman"/>
                <w:color w:val="000000" w:themeColor="text1"/>
                <w:highlight w:val="none"/>
                <w:u w:val="none" w:color="auto"/>
                <w14:textFill>
                  <w14:solidFill>
                    <w14:schemeClr w14:val="tx1"/>
                  </w14:solidFill>
                </w14:textFill>
              </w:rPr>
              <w:t>），全部回收利用，剩余建筑垃圾</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23.51t</w:t>
            </w:r>
            <w:r>
              <w:rPr>
                <w:rFonts w:hint="default" w:ascii="Times New Roman" w:hAnsi="Times New Roman" w:cs="Times New Roman"/>
                <w:color w:val="000000" w:themeColor="text1"/>
                <w:highlight w:val="none"/>
                <w:u w:val="none" w:color="auto"/>
                <w:lang w:eastAsia="zh-CN"/>
                <w14:textFill>
                  <w14:solidFill>
                    <w14:schemeClr w14:val="tx1"/>
                  </w14:solidFill>
                </w14:textFill>
              </w:rPr>
              <w:t>）运往均运至城建部门指定的地方进行堆放</w:t>
            </w:r>
          </w:p>
        </w:tc>
      </w:tr>
      <w:tr w14:paraId="36EC9F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667" w:type="dxa"/>
            <w:vAlign w:val="center"/>
          </w:tcPr>
          <w:p w14:paraId="30B32F4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w:t>
            </w:r>
          </w:p>
        </w:tc>
        <w:tc>
          <w:tcPr>
            <w:tcW w:w="1049" w:type="dxa"/>
            <w:vAlign w:val="center"/>
          </w:tcPr>
          <w:p w14:paraId="611682C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生活垃圾</w:t>
            </w:r>
          </w:p>
        </w:tc>
        <w:tc>
          <w:tcPr>
            <w:tcW w:w="1945" w:type="dxa"/>
            <w:vAlign w:val="center"/>
          </w:tcPr>
          <w:p w14:paraId="3FFFDC5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p>
        </w:tc>
        <w:tc>
          <w:tcPr>
            <w:tcW w:w="1018" w:type="dxa"/>
            <w:vAlign w:val="center"/>
          </w:tcPr>
          <w:p w14:paraId="3A06DA6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0.9t</w:t>
            </w:r>
          </w:p>
        </w:tc>
        <w:tc>
          <w:tcPr>
            <w:tcW w:w="3961" w:type="dxa"/>
            <w:vAlign w:val="center"/>
          </w:tcPr>
          <w:p w14:paraId="0F36F8F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收集后由环卫部门统一处理</w:t>
            </w:r>
          </w:p>
        </w:tc>
      </w:tr>
    </w:tbl>
    <w:p w14:paraId="6A7E26CA">
      <w:pPr>
        <w:pStyle w:val="3"/>
        <w:numPr>
          <w:ilvl w:val="1"/>
          <w:numId w:val="0"/>
        </w:numPr>
        <w:ind w:leftChars="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bookmarkStart w:id="70" w:name="_Toc26060"/>
      <w:bookmarkStart w:id="71" w:name="_Hlk33539044"/>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3.5 </w:t>
      </w:r>
      <w:r>
        <w:rPr>
          <w:rFonts w:hint="default" w:ascii="Times New Roman" w:hAnsi="Times New Roman" w:cs="Times New Roman"/>
          <w:color w:val="000000" w:themeColor="text1"/>
          <w:highlight w:val="none"/>
          <w:u w:val="none" w:color="auto"/>
          <w14:textFill>
            <w14:solidFill>
              <w14:schemeClr w14:val="tx1"/>
            </w14:solidFill>
          </w14:textFill>
        </w:rPr>
        <w:t>运营期</w:t>
      </w:r>
      <w:r>
        <w:rPr>
          <w:rFonts w:hint="default" w:ascii="Times New Roman" w:hAnsi="Times New Roman" w:cs="Times New Roman"/>
          <w:color w:val="000000" w:themeColor="text1"/>
          <w:highlight w:val="none"/>
          <w:u w:val="none" w:color="auto"/>
          <w:lang w:eastAsia="zh-CN"/>
          <w14:textFill>
            <w14:solidFill>
              <w14:schemeClr w14:val="tx1"/>
            </w14:solidFill>
          </w14:textFill>
        </w:rPr>
        <w:t>工程分析</w:t>
      </w:r>
      <w:bookmarkEnd w:id="70"/>
    </w:p>
    <w:p w14:paraId="2029C5C6">
      <w:pPr>
        <w:outlineLvl w:val="2"/>
        <w:rPr>
          <w:rFonts w:hint="default" w:ascii="Times New Roman" w:hAnsi="Times New Roman" w:cs="Times New Roman"/>
          <w:b/>
          <w:bCs/>
          <w:color w:val="000000" w:themeColor="text1"/>
          <w:sz w:val="28"/>
          <w:szCs w:val="28"/>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8"/>
          <w:szCs w:val="28"/>
          <w:highlight w:val="none"/>
          <w:u w:val="none" w:color="auto"/>
          <w:lang w:val="en-US" w:eastAsia="zh-CN"/>
          <w14:textFill>
            <w14:solidFill>
              <w14:schemeClr w14:val="tx1"/>
            </w14:solidFill>
          </w14:textFill>
        </w:rPr>
        <w:t>3.5.1工艺流程简述</w:t>
      </w:r>
    </w:p>
    <w:p w14:paraId="27E5CB79">
      <w:pP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本项目污水处理流程见图3.5-1。</w:t>
      </w:r>
    </w:p>
    <w:p w14:paraId="10F33D33">
      <w:pPr>
        <w:ind w:left="0" w:leftChars="0" w:firstLine="0" w:firstLineChars="0"/>
        <w:jc w:val="center"/>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object>
          <v:shape id="_x0000_i1026" o:spt="75" type="#_x0000_t75" style="height:440.65pt;width:268.15pt;" o:ole="t" filled="f" o:preferrelative="t" stroked="f" coordsize="21600,21600">
            <v:path/>
            <v:fill on="f" focussize="0,0"/>
            <v:stroke on="f"/>
            <v:imagedata r:id="rId32" o:title=""/>
            <o:lock v:ext="edit" aspectratio="f"/>
            <w10:wrap type="none"/>
            <w10:anchorlock/>
          </v:shape>
          <o:OLEObject Type="Embed" ProgID="Visio.Drawing.11" ShapeID="_x0000_i1026" DrawAspect="Content" ObjectID="_1468075726" r:id="rId31">
            <o:LockedField>false</o:LockedField>
          </o:OLEObject>
        </w:object>
      </w:r>
    </w:p>
    <w:p w14:paraId="43C6058F">
      <w:pPr>
        <w:pStyle w:val="96"/>
        <w:spacing w:line="360" w:lineRule="auto"/>
        <w:jc w:val="center"/>
        <w:rPr>
          <w:rFonts w:hint="default" w:ascii="Times New Roman" w:hAnsi="Times New Roman" w:eastAsia="宋体" w:cs="Times New Roman"/>
          <w:b/>
          <w:bCs/>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eastAsia="zh-CN"/>
          <w14:textFill>
            <w14:solidFill>
              <w14:schemeClr w14:val="tx1"/>
            </w14:solidFill>
          </w14:textFill>
        </w:rPr>
        <w:t>图</w:t>
      </w:r>
      <w:r>
        <w:rPr>
          <w:rFonts w:hint="default" w:ascii="Times New Roman" w:hAnsi="Times New Roman" w:eastAsia="宋体" w:cs="Times New Roman"/>
          <w:b/>
          <w:bCs/>
          <w:color w:val="000000" w:themeColor="text1"/>
          <w:highlight w:val="none"/>
          <w:u w:val="none" w:color="auto"/>
          <w:lang w:val="en-US" w:eastAsia="zh-CN"/>
          <w14:textFill>
            <w14:solidFill>
              <w14:schemeClr w14:val="tx1"/>
            </w14:solidFill>
          </w14:textFill>
        </w:rPr>
        <w:t>3.5-1 项目污水工艺流程及产污节点图</w:t>
      </w:r>
    </w:p>
    <w:p w14:paraId="375FF031">
      <w:pPr>
        <w:pStyle w:val="96"/>
        <w:spacing w:line="360" w:lineRule="auto"/>
        <w:ind w:firstLine="480"/>
        <w:jc w:val="left"/>
        <w:rPr>
          <w:rFonts w:hint="default" w:ascii="Times New Roman" w:hAnsi="Times New Roman" w:cs="Times New Roman" w:eastAsiaTheme="minorEastAsia"/>
          <w:color w:val="auto"/>
          <w:sz w:val="24"/>
          <w:szCs w:val="24"/>
          <w:highlight w:val="none"/>
          <w:u w:val="none" w:color="auto"/>
          <w:lang w:val="en-US" w:eastAsia="zh-CN" w:bidi="ar-SA"/>
        </w:rPr>
      </w:pPr>
      <w:r>
        <w:rPr>
          <w:rFonts w:hint="default" w:ascii="Times New Roman" w:hAnsi="Times New Roman" w:cs="Times New Roman" w:eastAsiaTheme="minorEastAsia"/>
          <w:color w:val="000000" w:themeColor="text1"/>
          <w:sz w:val="24"/>
          <w:szCs w:val="24"/>
          <w:highlight w:val="none"/>
          <w:u w:val="none" w:color="auto"/>
          <w:lang w:val="en-US" w:eastAsia="zh-CN" w:bidi="ar-SA"/>
          <w14:textFill>
            <w14:solidFill>
              <w14:schemeClr w14:val="tx1"/>
            </w14:solidFill>
          </w14:textFill>
        </w:rPr>
        <w:t>本工程废水处理工艺路线为“</w:t>
      </w: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一体化泵站+调节均质+水解酸化+AAO生化+混凝沉淀+精密过滤+接触消毒”，处理后尾水达到《城镇污水处理厂污染物排放标准》</w:t>
      </w:r>
      <w:r>
        <w:rPr>
          <w:rFonts w:hint="eastAsia" w:ascii="Times New Roman" w:hAnsi="Times New Roman" w:cs="Times New Roman"/>
          <w:color w:val="000000" w:themeColor="text1"/>
          <w:sz w:val="24"/>
          <w:szCs w:val="32"/>
          <w:highlight w:val="none"/>
          <w:u w:val="none" w:color="auto"/>
          <w:lang w:val="en-US" w:eastAsia="zh-CN"/>
          <w14:textFill>
            <w14:solidFill>
              <w14:schemeClr w14:val="tx1"/>
            </w14:solidFill>
          </w14:textFill>
        </w:rPr>
        <w:t>（GB18918-2002）修改单</w:t>
      </w: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一级 A 标准后排入机排二十渠再入老三运河</w:t>
      </w:r>
      <w:r>
        <w:rPr>
          <w:rFonts w:hint="default" w:ascii="Times New Roman" w:hAnsi="Times New Roman" w:cs="Times New Roman" w:eastAsiaTheme="minorEastAsia"/>
          <w:color w:val="000000" w:themeColor="text1"/>
          <w:sz w:val="24"/>
          <w:szCs w:val="24"/>
          <w:highlight w:val="none"/>
          <w:u w:val="none" w:color="auto"/>
          <w:lang w:val="en-US" w:eastAsia="zh-CN" w:bidi="ar-SA"/>
          <w14:textFill>
            <w14:solidFill>
              <w14:schemeClr w14:val="tx1"/>
            </w14:solidFill>
          </w14:textFill>
        </w:rPr>
        <w:t>，各企业生活污水不进入</w:t>
      </w:r>
      <w:r>
        <w:rPr>
          <w:rFonts w:hint="default" w:ascii="Times New Roman" w:hAnsi="Times New Roman" w:cs="Times New Roman" w:eastAsiaTheme="minorEastAsia"/>
          <w:color w:val="auto"/>
          <w:sz w:val="24"/>
          <w:szCs w:val="24"/>
          <w:highlight w:val="none"/>
          <w:u w:val="none" w:color="auto"/>
          <w:lang w:val="en-US" w:eastAsia="zh-CN" w:bidi="ar-SA"/>
        </w:rPr>
        <w:t>本污水处理工程。</w:t>
      </w:r>
    </w:p>
    <w:p w14:paraId="225032C3">
      <w:pPr>
        <w:pStyle w:val="96"/>
        <w:spacing w:line="360" w:lineRule="auto"/>
        <w:ind w:firstLine="480"/>
        <w:jc w:val="left"/>
        <w:rPr>
          <w:rFonts w:hint="default" w:ascii="Times New Roman" w:hAnsi="Times New Roman" w:cs="Times New Roman" w:eastAsiaTheme="minorEastAsia"/>
          <w:b w:val="0"/>
          <w:bCs w:val="0"/>
          <w:color w:val="FF0000"/>
          <w:sz w:val="24"/>
          <w:szCs w:val="24"/>
          <w:highlight w:val="none"/>
          <w:u w:val="none" w:color="auto"/>
          <w:lang w:val="en-US" w:eastAsia="zh-CN" w:bidi="ar-SA"/>
        </w:rPr>
      </w:pPr>
      <w:r>
        <w:rPr>
          <w:rFonts w:hint="default" w:ascii="Times New Roman" w:hAnsi="Times New Roman" w:cs="Times New Roman" w:eastAsiaTheme="minorEastAsia"/>
          <w:b w:val="0"/>
          <w:bCs w:val="0"/>
          <w:color w:val="auto"/>
          <w:sz w:val="24"/>
          <w:szCs w:val="24"/>
          <w:highlight w:val="none"/>
          <w:u w:val="none" w:color="auto"/>
          <w:lang w:val="en-US" w:eastAsia="zh-CN" w:bidi="ar-SA"/>
        </w:rPr>
        <w:t>企业生产废水经管网收集进入一体化泵站，内设机械格栅，通过机械格栅去除废水中较大漂浮物，确保后续处理单元设备的正常运行，通过泵站对废水进行提升进入调节池进行均质次改造利用现有调节池，不新建调节池。而后进入水解酸化阶段，在大量水解细菌、酸化菌作用下将不溶性有机物水解为溶性有机物，将难生物降解的大分子物质转化为易生物降解的小分子物质；水解酸化池出水进入生物接触氧化池，自上向下流动，运行中废水与填料接触，微生物附着在填料上，水中的有机物被微生物吸附，氧化分解部分转化为新的生物膜，废水得以净化。在缺氧段，异养菌将蛋白质、脂肪等污染物进行氨化（有机链上的 N 或氨基酸中的氨基）游离出氨（NH</w:t>
      </w:r>
      <w:r>
        <w:rPr>
          <w:rFonts w:hint="default" w:ascii="Times New Roman" w:hAnsi="Times New Roman" w:cs="Times New Roman" w:eastAsiaTheme="minorEastAsia"/>
          <w:b w:val="0"/>
          <w:bCs w:val="0"/>
          <w:color w:val="auto"/>
          <w:sz w:val="24"/>
          <w:szCs w:val="24"/>
          <w:highlight w:val="none"/>
          <w:u w:val="none" w:color="auto"/>
          <w:vertAlign w:val="subscript"/>
          <w:lang w:val="en-US" w:eastAsia="zh-CN" w:bidi="ar-SA"/>
        </w:rPr>
        <w:t>3</w:t>
      </w:r>
      <w:r>
        <w:rPr>
          <w:rFonts w:hint="default" w:ascii="Times New Roman" w:hAnsi="Times New Roman" w:cs="Times New Roman" w:eastAsiaTheme="minorEastAsia"/>
          <w:b w:val="0"/>
          <w:bCs w:val="0"/>
          <w:color w:val="auto"/>
          <w:sz w:val="24"/>
          <w:szCs w:val="24"/>
          <w:highlight w:val="none"/>
          <w:u w:val="none" w:color="auto"/>
          <w:lang w:val="en-US" w:eastAsia="zh-CN" w:bidi="ar-SA"/>
        </w:rPr>
        <w:t>、NH</w:t>
      </w:r>
      <w:r>
        <w:rPr>
          <w:rFonts w:hint="default" w:ascii="Times New Roman" w:hAnsi="Times New Roman" w:cs="Times New Roman" w:eastAsiaTheme="minorEastAsia"/>
          <w:b w:val="0"/>
          <w:bCs w:val="0"/>
          <w:color w:val="auto"/>
          <w:sz w:val="24"/>
          <w:szCs w:val="24"/>
          <w:highlight w:val="none"/>
          <w:u w:val="none" w:color="auto"/>
          <w:vertAlign w:val="subscript"/>
          <w:lang w:val="en-US" w:eastAsia="zh-CN" w:bidi="ar-SA"/>
        </w:rPr>
        <w:t>4</w:t>
      </w:r>
      <w:r>
        <w:rPr>
          <w:rFonts w:hint="default" w:ascii="Times New Roman" w:hAnsi="Times New Roman" w:cs="Times New Roman" w:eastAsiaTheme="minorEastAsia"/>
          <w:b w:val="0"/>
          <w:bCs w:val="0"/>
          <w:color w:val="auto"/>
          <w:sz w:val="24"/>
          <w:szCs w:val="24"/>
          <w:highlight w:val="none"/>
          <w:u w:val="none" w:color="auto"/>
          <w:lang w:val="en-US" w:eastAsia="zh-CN" w:bidi="ar-SA"/>
        </w:rPr>
        <w:t>+），在充足供氧条件下，自养菌的硝化作用将 NH</w:t>
      </w:r>
      <w:r>
        <w:rPr>
          <w:rFonts w:hint="default" w:ascii="Times New Roman" w:hAnsi="Times New Roman" w:cs="Times New Roman" w:eastAsiaTheme="minorEastAsia"/>
          <w:b w:val="0"/>
          <w:bCs w:val="0"/>
          <w:color w:val="auto"/>
          <w:sz w:val="24"/>
          <w:szCs w:val="24"/>
          <w:highlight w:val="none"/>
          <w:u w:val="none" w:color="auto"/>
          <w:vertAlign w:val="subscript"/>
          <w:lang w:val="en-US" w:eastAsia="zh-CN" w:bidi="ar-SA"/>
        </w:rPr>
        <w:t>3</w:t>
      </w:r>
      <w:r>
        <w:rPr>
          <w:rFonts w:hint="default" w:ascii="Times New Roman" w:hAnsi="Times New Roman" w:cs="Times New Roman" w:eastAsiaTheme="minorEastAsia"/>
          <w:b w:val="0"/>
          <w:bCs w:val="0"/>
          <w:color w:val="auto"/>
          <w:sz w:val="24"/>
          <w:szCs w:val="24"/>
          <w:highlight w:val="none"/>
          <w:u w:val="none" w:color="auto"/>
          <w:lang w:val="en-US" w:eastAsia="zh-CN" w:bidi="ar-SA"/>
        </w:rPr>
        <w:t>-N（NH</w:t>
      </w:r>
      <w:r>
        <w:rPr>
          <w:rFonts w:hint="default" w:ascii="Times New Roman" w:hAnsi="Times New Roman" w:cs="Times New Roman" w:eastAsiaTheme="minorEastAsia"/>
          <w:b w:val="0"/>
          <w:bCs w:val="0"/>
          <w:color w:val="auto"/>
          <w:sz w:val="24"/>
          <w:szCs w:val="24"/>
          <w:highlight w:val="none"/>
          <w:u w:val="none" w:color="auto"/>
          <w:vertAlign w:val="subscript"/>
          <w:lang w:val="en-US" w:eastAsia="zh-CN" w:bidi="ar-SA"/>
        </w:rPr>
        <w:t>4</w:t>
      </w:r>
      <w:r>
        <w:rPr>
          <w:rFonts w:hint="default" w:ascii="Times New Roman" w:hAnsi="Times New Roman" w:cs="Times New Roman" w:eastAsiaTheme="minorEastAsia"/>
          <w:b w:val="0"/>
          <w:bCs w:val="0"/>
          <w:color w:val="auto"/>
          <w:sz w:val="24"/>
          <w:szCs w:val="24"/>
          <w:highlight w:val="none"/>
          <w:u w:val="none" w:color="auto"/>
          <w:lang w:val="en-US" w:eastAsia="zh-CN" w:bidi="ar-SA"/>
        </w:rPr>
        <w:t>+）氧化为 NO</w:t>
      </w:r>
      <w:r>
        <w:rPr>
          <w:rFonts w:hint="default" w:ascii="Times New Roman" w:hAnsi="Times New Roman" w:cs="Times New Roman" w:eastAsiaTheme="minorEastAsia"/>
          <w:b w:val="0"/>
          <w:bCs w:val="0"/>
          <w:color w:val="auto"/>
          <w:sz w:val="24"/>
          <w:szCs w:val="24"/>
          <w:highlight w:val="none"/>
          <w:u w:val="none" w:color="auto"/>
          <w:vertAlign w:val="subscript"/>
          <w:lang w:val="en-US" w:eastAsia="zh-CN" w:bidi="ar-SA"/>
        </w:rPr>
        <w:t>3</w:t>
      </w:r>
      <w:r>
        <w:rPr>
          <w:rFonts w:hint="default" w:ascii="Times New Roman" w:hAnsi="Times New Roman" w:cs="Times New Roman" w:eastAsiaTheme="minorEastAsia"/>
          <w:b w:val="0"/>
          <w:bCs w:val="0"/>
          <w:color w:val="auto"/>
          <w:sz w:val="24"/>
          <w:szCs w:val="24"/>
          <w:highlight w:val="none"/>
          <w:u w:val="none" w:color="auto"/>
          <w:lang w:val="en-US" w:eastAsia="zh-CN" w:bidi="ar-SA"/>
        </w:rPr>
        <w:t>-，通过回流控制返回至A池，在缺氧条件下，异氧菌的反硝化作用将NO</w:t>
      </w:r>
      <w:r>
        <w:rPr>
          <w:rFonts w:hint="default" w:ascii="Times New Roman" w:hAnsi="Times New Roman" w:cs="Times New Roman" w:eastAsiaTheme="minorEastAsia"/>
          <w:b w:val="0"/>
          <w:bCs w:val="0"/>
          <w:color w:val="auto"/>
          <w:sz w:val="24"/>
          <w:szCs w:val="24"/>
          <w:highlight w:val="none"/>
          <w:u w:val="none" w:color="auto"/>
          <w:vertAlign w:val="subscript"/>
          <w:lang w:val="en-US" w:eastAsia="zh-CN" w:bidi="ar-SA"/>
        </w:rPr>
        <w:t>3</w:t>
      </w:r>
      <w:r>
        <w:rPr>
          <w:rFonts w:hint="default" w:ascii="Times New Roman" w:hAnsi="Times New Roman" w:cs="Times New Roman" w:eastAsiaTheme="minorEastAsia"/>
          <w:b w:val="0"/>
          <w:bCs w:val="0"/>
          <w:color w:val="auto"/>
          <w:sz w:val="24"/>
          <w:szCs w:val="24"/>
          <w:highlight w:val="none"/>
          <w:u w:val="none" w:color="auto"/>
          <w:lang w:val="en-US" w:eastAsia="zh-CN" w:bidi="ar-SA"/>
        </w:rPr>
        <w:t>-还原为分子态氮（N</w:t>
      </w:r>
      <w:r>
        <w:rPr>
          <w:rFonts w:hint="default" w:ascii="Times New Roman" w:hAnsi="Times New Roman" w:cs="Times New Roman" w:eastAsiaTheme="minorEastAsia"/>
          <w:b w:val="0"/>
          <w:bCs w:val="0"/>
          <w:color w:val="auto"/>
          <w:sz w:val="24"/>
          <w:szCs w:val="24"/>
          <w:highlight w:val="none"/>
          <w:u w:val="none" w:color="auto"/>
          <w:vertAlign w:val="subscript"/>
          <w:lang w:val="en-US" w:eastAsia="zh-CN" w:bidi="ar-SA"/>
        </w:rPr>
        <w:t>2</w:t>
      </w:r>
      <w:r>
        <w:rPr>
          <w:rFonts w:hint="default" w:ascii="Times New Roman" w:hAnsi="Times New Roman" w:cs="Times New Roman" w:eastAsiaTheme="minorEastAsia"/>
          <w:b w:val="0"/>
          <w:bCs w:val="0"/>
          <w:color w:val="auto"/>
          <w:sz w:val="24"/>
          <w:szCs w:val="24"/>
          <w:highlight w:val="none"/>
          <w:u w:val="none" w:color="auto"/>
          <w:lang w:val="en-US" w:eastAsia="zh-CN" w:bidi="ar-SA"/>
        </w:rPr>
        <w:t>）完成 C、N、O 在生态中的循环，实现污水无害化处理。生化处理出水进入混凝沉淀池，依次投加PAC、PAM，混凝沉淀池出水进入精密滤池，污泥进入贮泥池。废水经精密过滤后流入消毒池，采用次氯酸钠消毒后达标排放，精密滤池反冲洗废水经管道进入污水处理前端进入自身污水处理设施进行处理。</w:t>
      </w:r>
    </w:p>
    <w:p w14:paraId="0EB9E580">
      <w:pPr>
        <w:pStyle w:val="4"/>
        <w:numPr>
          <w:ilvl w:val="2"/>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3.5.2 </w:t>
      </w:r>
      <w:r>
        <w:rPr>
          <w:rFonts w:hint="default" w:ascii="Times New Roman" w:hAnsi="Times New Roman" w:cs="Times New Roman"/>
          <w:color w:val="000000" w:themeColor="text1"/>
          <w:highlight w:val="none"/>
          <w:u w:val="none" w:color="auto"/>
          <w14:textFill>
            <w14:solidFill>
              <w14:schemeClr w14:val="tx1"/>
            </w14:solidFill>
          </w14:textFill>
        </w:rPr>
        <w:t>运营期污染源分析</w:t>
      </w:r>
    </w:p>
    <w:p w14:paraId="6C4D2955">
      <w:pPr>
        <w:pStyle w:val="381"/>
        <w:numPr>
          <w:ilvl w:val="3"/>
          <w:numId w:val="0"/>
        </w:numPr>
        <w:ind w:leftChars="0" w:firstLine="241" w:firstLineChars="10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3.5.2.1 </w:t>
      </w:r>
      <w:r>
        <w:rPr>
          <w:rFonts w:hint="default" w:ascii="Times New Roman" w:hAnsi="Times New Roman" w:cs="Times New Roman"/>
          <w:color w:val="000000" w:themeColor="text1"/>
          <w:highlight w:val="none"/>
          <w:u w:val="none" w:color="auto"/>
          <w14:textFill>
            <w14:solidFill>
              <w14:schemeClr w14:val="tx1"/>
            </w14:solidFill>
          </w14:textFill>
        </w:rPr>
        <w:t>运营期</w:t>
      </w:r>
      <w:r>
        <w:rPr>
          <w:rFonts w:hint="default" w:ascii="Times New Roman" w:hAnsi="Times New Roman" w:cs="Times New Roman"/>
          <w:color w:val="000000" w:themeColor="text1"/>
          <w:highlight w:val="none"/>
          <w:u w:val="none" w:color="auto"/>
          <w:lang w:eastAsia="zh-CN"/>
          <w14:textFill>
            <w14:solidFill>
              <w14:schemeClr w14:val="tx1"/>
            </w14:solidFill>
          </w14:textFill>
        </w:rPr>
        <w:t>水</w:t>
      </w:r>
      <w:r>
        <w:rPr>
          <w:rFonts w:hint="default" w:ascii="Times New Roman" w:hAnsi="Times New Roman" w:cs="Times New Roman"/>
          <w:color w:val="000000" w:themeColor="text1"/>
          <w:highlight w:val="none"/>
          <w:u w:val="none" w:color="auto"/>
          <w14:textFill>
            <w14:solidFill>
              <w14:schemeClr w14:val="tx1"/>
            </w14:solidFill>
          </w14:textFill>
        </w:rPr>
        <w:t>污染源分析</w:t>
      </w:r>
    </w:p>
    <w:p w14:paraId="47F4426F">
      <w:pPr>
        <w:pStyle w:val="381"/>
        <w:numPr>
          <w:ilvl w:val="3"/>
          <w:numId w:val="0"/>
        </w:numPr>
        <w:ind w:leftChars="0" w:firstLine="482" w:firstLineChars="200"/>
        <w:outlineLvl w:val="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污水处理工程自身产生废水</w:t>
      </w:r>
    </w:p>
    <w:p w14:paraId="16127C8D">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项目自身排水包括污泥脱水废水</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冲洗废水</w:t>
      </w:r>
      <w:r>
        <w:rPr>
          <w:rFonts w:hint="default" w:ascii="Times New Roman" w:hAnsi="Times New Roman" w:cs="Times New Roman"/>
          <w:color w:val="000000" w:themeColor="text1"/>
          <w:highlight w:val="none"/>
          <w:u w:val="none" w:color="auto"/>
          <w:lang w:eastAsia="zh-CN"/>
          <w14:textFill>
            <w14:solidFill>
              <w14:schemeClr w14:val="tx1"/>
            </w14:solidFill>
          </w14:textFill>
        </w:rPr>
        <w:t>及少量设备清洗废水</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eastAsia="zh-CN"/>
          <w14:textFill>
            <w14:solidFill>
              <w14:schemeClr w14:val="tx1"/>
            </w14:solidFill>
          </w14:textFill>
        </w:rPr>
        <w:t>该部分</w:t>
      </w:r>
      <w:r>
        <w:rPr>
          <w:rFonts w:hint="default" w:ascii="Times New Roman" w:hAnsi="Times New Roman" w:cs="Times New Roman"/>
          <w:color w:val="000000" w:themeColor="text1"/>
          <w:highlight w:val="none"/>
          <w:u w:val="none" w:color="auto"/>
          <w14:textFill>
            <w14:solidFill>
              <w14:schemeClr w14:val="tx1"/>
            </w14:solidFill>
          </w14:textFill>
        </w:rPr>
        <w:t>废水经收集后</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与经隔油池、化粪池处理后的生活污水一同进入一体化泵站</w:t>
      </w:r>
      <w:r>
        <w:rPr>
          <w:rFonts w:hint="default" w:ascii="Times New Roman" w:hAnsi="Times New Roman" w:cs="Times New Roman"/>
          <w:color w:val="000000" w:themeColor="text1"/>
          <w:highlight w:val="none"/>
          <w:u w:val="none" w:color="auto"/>
          <w14:textFill>
            <w14:solidFill>
              <w14:schemeClr w14:val="tx1"/>
            </w14:solidFill>
          </w14:textFill>
        </w:rPr>
        <w:t>集水井，与进厂污水一同处理，不再单独核算其污染物排放情况。</w:t>
      </w:r>
    </w:p>
    <w:p w14:paraId="72C11310">
      <w:pPr>
        <w:pStyle w:val="381"/>
        <w:numPr>
          <w:ilvl w:val="3"/>
          <w:numId w:val="0"/>
        </w:numPr>
        <w:ind w:firstLine="482" w:firstLineChars="200"/>
        <w:outlineLvl w:val="9"/>
        <w:rPr>
          <w:rStyle w:val="188"/>
          <w:rFonts w:hint="default" w:ascii="Times New Roman" w:hAnsi="Times New Roman" w:cs="Times New Roman"/>
          <w:b/>
          <w:color w:val="auto"/>
          <w:kern w:val="0"/>
          <w:szCs w:val="28"/>
          <w:highlight w:val="none"/>
          <w:u w:val="none" w:color="auto"/>
        </w:rPr>
      </w:pPr>
      <w:bookmarkStart w:id="72" w:name="_Hlk33536675"/>
      <w:r>
        <w:rPr>
          <w:rFonts w:hint="default" w:ascii="Times New Roman" w:hAnsi="Times New Roman" w:cs="Times New Roman"/>
          <w:color w:val="auto"/>
          <w:highlight w:val="none"/>
          <w:u w:val="none" w:color="auto"/>
          <w:lang w:val="en-US" w:eastAsia="zh-CN"/>
        </w:rPr>
        <w:t>（2）</w:t>
      </w:r>
      <w:r>
        <w:rPr>
          <w:rStyle w:val="188"/>
          <w:rFonts w:hint="default" w:ascii="Times New Roman" w:hAnsi="Times New Roman" w:cs="Times New Roman"/>
          <w:b/>
          <w:color w:val="auto"/>
          <w:kern w:val="0"/>
          <w:szCs w:val="28"/>
          <w:highlight w:val="none"/>
          <w:u w:val="none" w:color="auto"/>
        </w:rPr>
        <w:t>污水处理工程收纳废水</w:t>
      </w:r>
    </w:p>
    <w:p w14:paraId="2BC90C44">
      <w:pPr>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本工程废水处理工艺路线为 </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一体化泵站+调节均质+水解酸化+AAO生化+混凝沉淀+精密过滤+接触消毒</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，设计规模为</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000m</w:t>
      </w:r>
      <w:r>
        <w:rPr>
          <w:rFonts w:hint="default" w:ascii="Times New Roman" w:hAnsi="Times New Roman" w:cs="Times New Roman"/>
          <w:color w:val="auto"/>
          <w:highlight w:val="none"/>
          <w:u w:val="none" w:color="auto"/>
          <w:vertAlign w:val="superscript"/>
        </w:rPr>
        <w:t>3</w:t>
      </w:r>
      <w:r>
        <w:rPr>
          <w:rFonts w:hint="default" w:ascii="Times New Roman" w:hAnsi="Times New Roman" w:cs="Times New Roman"/>
          <w:color w:val="auto"/>
          <w:highlight w:val="none"/>
          <w:u w:val="none" w:color="auto"/>
        </w:rPr>
        <w:t>/d，</w:t>
      </w:r>
      <w:r>
        <w:rPr>
          <w:rFonts w:hint="default" w:ascii="Times New Roman" w:hAnsi="Times New Roman" w:cs="Times New Roman"/>
          <w:color w:val="auto"/>
          <w:highlight w:val="none"/>
          <w:u w:val="none" w:color="auto"/>
          <w:lang w:val="en-US" w:eastAsia="zh-CN"/>
        </w:rPr>
        <w:t>园区企业废水</w:t>
      </w:r>
      <w:r>
        <w:rPr>
          <w:rFonts w:hint="default" w:ascii="Times New Roman" w:hAnsi="Times New Roman" w:cs="Times New Roman"/>
          <w:color w:val="auto"/>
          <w:highlight w:val="none"/>
          <w:u w:val="none" w:color="auto"/>
        </w:rPr>
        <w:t>经本污水处理站处理后达到达到《城镇污水处理厂污染物排放标准》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cs="Times New Roman"/>
          <w:color w:val="auto"/>
          <w:highlight w:val="none"/>
          <w:u w:val="none" w:color="auto"/>
        </w:rPr>
        <w:t>一级A标准后经</w:t>
      </w:r>
      <w:r>
        <w:rPr>
          <w:rFonts w:hint="default" w:ascii="Times New Roman" w:hAnsi="Times New Roman" w:cs="Times New Roman"/>
          <w:color w:val="auto"/>
          <w:highlight w:val="none"/>
          <w:u w:val="none" w:color="auto"/>
          <w:lang w:val="en-US" w:eastAsia="zh-CN"/>
        </w:rPr>
        <w:t>机排二十</w:t>
      </w:r>
      <w:r>
        <w:rPr>
          <w:rFonts w:hint="default" w:ascii="Times New Roman" w:hAnsi="Times New Roman" w:cs="Times New Roman"/>
          <w:color w:val="auto"/>
          <w:highlight w:val="none"/>
          <w:u w:val="none" w:color="auto"/>
        </w:rPr>
        <w:t>渠排入</w:t>
      </w:r>
      <w:r>
        <w:rPr>
          <w:rFonts w:hint="default" w:ascii="Times New Roman" w:hAnsi="Times New Roman" w:cs="Times New Roman"/>
          <w:color w:val="auto"/>
          <w:highlight w:val="none"/>
          <w:u w:val="none" w:color="auto"/>
          <w:lang w:val="en-US" w:eastAsia="zh-CN"/>
        </w:rPr>
        <w:t>老三运河</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最后</w:t>
      </w:r>
      <w:r>
        <w:rPr>
          <w:rFonts w:hint="default" w:ascii="Times New Roman" w:hAnsi="Times New Roman" w:cs="Times New Roman"/>
          <w:color w:val="auto"/>
          <w:highlight w:val="none"/>
          <w:u w:val="none" w:color="auto"/>
        </w:rPr>
        <w:t>进入</w:t>
      </w:r>
      <w:r>
        <w:rPr>
          <w:rFonts w:hint="default" w:ascii="Times New Roman" w:hAnsi="Times New Roman" w:cs="Times New Roman"/>
          <w:color w:val="auto"/>
          <w:highlight w:val="none"/>
          <w:u w:val="none" w:color="auto"/>
          <w:lang w:val="en-US" w:eastAsia="zh-CN"/>
        </w:rPr>
        <w:t>漉湖</w:t>
      </w:r>
      <w:r>
        <w:rPr>
          <w:rFonts w:hint="default" w:ascii="Times New Roman" w:hAnsi="Times New Roman" w:cs="Times New Roman"/>
          <w:color w:val="auto"/>
          <w:highlight w:val="none"/>
          <w:u w:val="none" w:color="auto"/>
        </w:rPr>
        <w:t>。</w:t>
      </w:r>
    </w:p>
    <w:p w14:paraId="0C70E015">
      <w:pPr>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根据本工程污水处理厂进、出水浓度计算污水处理厂</w:t>
      </w:r>
      <w:r>
        <w:rPr>
          <w:rFonts w:hint="default" w:ascii="Times New Roman" w:hAnsi="Times New Roman" w:cs="Times New Roman"/>
          <w:color w:val="auto"/>
          <w:highlight w:val="none"/>
          <w:u w:val="none" w:color="auto"/>
          <w:lang w:val="en-US" w:eastAsia="zh-CN"/>
        </w:rPr>
        <w:t>改扩建前后</w:t>
      </w:r>
      <w:r>
        <w:rPr>
          <w:rFonts w:hint="default" w:ascii="Times New Roman" w:hAnsi="Times New Roman" w:cs="Times New Roman"/>
          <w:color w:val="auto"/>
          <w:highlight w:val="none"/>
          <w:u w:val="none" w:color="auto"/>
        </w:rPr>
        <w:t>正常工况下水污染物的产、排水情况见下表。</w:t>
      </w:r>
    </w:p>
    <w:p w14:paraId="694A2203">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表</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3.5</w:t>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none" w:color="auto"/>
          <w14:textFill>
            <w14:solidFill>
              <w14:schemeClr w14:val="tx1"/>
            </w14:solidFill>
          </w14:textFill>
        </w:rPr>
        <w:t xml:space="preserve">  本工程废水污染物产生情况</w:t>
      </w:r>
    </w:p>
    <w:tbl>
      <w:tblPr>
        <w:tblStyle w:val="76"/>
        <w:tblW w:w="519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29"/>
        <w:gridCol w:w="532"/>
        <w:gridCol w:w="54"/>
        <w:gridCol w:w="1718"/>
        <w:gridCol w:w="1334"/>
        <w:gridCol w:w="936"/>
        <w:gridCol w:w="904"/>
        <w:gridCol w:w="721"/>
        <w:gridCol w:w="905"/>
        <w:gridCol w:w="918"/>
        <w:gridCol w:w="906"/>
      </w:tblGrid>
      <w:tr w14:paraId="6AA9ED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87" w:hRule="atLeast"/>
          <w:jc w:val="center"/>
        </w:trPr>
        <w:tc>
          <w:tcPr>
            <w:tcW w:w="1057" w:type="dxa"/>
            <w:gridSpan w:val="2"/>
            <w:vAlign w:val="center"/>
          </w:tcPr>
          <w:p w14:paraId="5E179448">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分类</w:t>
            </w:r>
          </w:p>
        </w:tc>
        <w:tc>
          <w:tcPr>
            <w:tcW w:w="1766" w:type="dxa"/>
            <w:gridSpan w:val="2"/>
            <w:vAlign w:val="center"/>
          </w:tcPr>
          <w:p w14:paraId="52063381">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bookmarkStart w:id="73" w:name="_Hlk33536929"/>
            <w:r>
              <w:rPr>
                <w:rFonts w:hint="default" w:ascii="Times New Roman" w:hAnsi="Times New Roman" w:cs="Times New Roman"/>
                <w:b/>
                <w:bCs/>
                <w:color w:val="000000" w:themeColor="text1"/>
                <w:highlight w:val="none"/>
                <w:u w:val="none" w:color="auto"/>
                <w14:textFill>
                  <w14:solidFill>
                    <w14:schemeClr w14:val="tx1"/>
                  </w14:solidFill>
                </w14:textFill>
              </w:rPr>
              <w:t>参数</w:t>
            </w:r>
          </w:p>
        </w:tc>
        <w:tc>
          <w:tcPr>
            <w:tcW w:w="1330" w:type="dxa"/>
            <w:vAlign w:val="center"/>
          </w:tcPr>
          <w:p w14:paraId="758509E2">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 xml:space="preserve">水量（万 </w:t>
            </w:r>
            <w:r>
              <w:rPr>
                <w:rFonts w:hint="default" w:ascii="Times New Roman" w:hAnsi="Times New Roman" w:cs="Times New Roman"/>
                <w:b/>
                <w:bCs/>
                <w:color w:val="000000" w:themeColor="text1"/>
                <w:spacing w:val="-1"/>
                <w:sz w:val="24"/>
                <w:szCs w:val="24"/>
                <w:highlight w:val="none"/>
                <w:u w:val="none" w:color="auto"/>
                <w14:textFill>
                  <w14:solidFill>
                    <w14:schemeClr w14:val="tx1"/>
                  </w14:solidFill>
                </w14:textFill>
              </w:rPr>
              <w:t>m</w:t>
            </w:r>
            <w:r>
              <w:rPr>
                <w:rFonts w:hint="default" w:ascii="Times New Roman" w:hAnsi="Times New Roman" w:cs="Times New Roman"/>
                <w:b/>
                <w:bCs/>
                <w:color w:val="000000" w:themeColor="text1"/>
                <w:position w:val="10"/>
                <w:sz w:val="14"/>
                <w:szCs w:val="14"/>
                <w:highlight w:val="none"/>
                <w:u w:val="none" w:color="auto"/>
                <w14:textFill>
                  <w14:solidFill>
                    <w14:schemeClr w14:val="tx1"/>
                  </w14:solidFill>
                </w14:textFill>
              </w:rPr>
              <w:t>3</w:t>
            </w:r>
            <w:r>
              <w:rPr>
                <w:rFonts w:hint="default" w:ascii="Times New Roman" w:hAnsi="Times New Roman" w:cs="Times New Roman"/>
                <w:b/>
                <w:bCs/>
                <w:color w:val="000000" w:themeColor="text1"/>
                <w:highlight w:val="none"/>
                <w:u w:val="none" w:color="auto"/>
                <w14:textFill>
                  <w14:solidFill>
                    <w14:schemeClr w14:val="tx1"/>
                  </w14:solidFill>
                </w14:textFill>
              </w:rPr>
              <w:t>/a）</w:t>
            </w:r>
          </w:p>
        </w:tc>
        <w:tc>
          <w:tcPr>
            <w:tcW w:w="933" w:type="dxa"/>
            <w:vAlign w:val="center"/>
          </w:tcPr>
          <w:p w14:paraId="1578AE4E">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COD</w:t>
            </w:r>
            <w:r>
              <w:rPr>
                <w:rFonts w:hint="default" w:ascii="Times New Roman" w:hAnsi="Times New Roman" w:cs="Times New Roman"/>
                <w:b/>
                <w:bCs/>
                <w:color w:val="000000" w:themeColor="text1"/>
                <w:sz w:val="16"/>
                <w:szCs w:val="16"/>
                <w:highlight w:val="none"/>
                <w:u w:val="none" w:color="auto"/>
                <w14:textFill>
                  <w14:solidFill>
                    <w14:schemeClr w14:val="tx1"/>
                  </w14:solidFill>
                </w14:textFill>
              </w:rPr>
              <w:t>cr</w:t>
            </w:r>
          </w:p>
        </w:tc>
        <w:tc>
          <w:tcPr>
            <w:tcW w:w="901" w:type="dxa"/>
            <w:vAlign w:val="center"/>
          </w:tcPr>
          <w:p w14:paraId="48F033F9">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BOD</w:t>
            </w:r>
            <w:r>
              <w:rPr>
                <w:rFonts w:hint="default" w:ascii="Times New Roman" w:hAnsi="Times New Roman" w:cs="Times New Roman"/>
                <w:b/>
                <w:bCs/>
                <w:color w:val="000000" w:themeColor="text1"/>
                <w:sz w:val="16"/>
                <w:szCs w:val="16"/>
                <w:highlight w:val="none"/>
                <w:u w:val="none" w:color="auto"/>
                <w14:textFill>
                  <w14:solidFill>
                    <w14:schemeClr w14:val="tx1"/>
                  </w14:solidFill>
                </w14:textFill>
              </w:rPr>
              <w:t>5</w:t>
            </w:r>
          </w:p>
        </w:tc>
        <w:tc>
          <w:tcPr>
            <w:tcW w:w="719" w:type="dxa"/>
            <w:vAlign w:val="center"/>
          </w:tcPr>
          <w:p w14:paraId="2B39EB13">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SS</w:t>
            </w:r>
          </w:p>
        </w:tc>
        <w:tc>
          <w:tcPr>
            <w:tcW w:w="902" w:type="dxa"/>
            <w:vAlign w:val="center"/>
          </w:tcPr>
          <w:p w14:paraId="752FAB09">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NH</w:t>
            </w:r>
            <w:r>
              <w:rPr>
                <w:rFonts w:hint="default" w:ascii="Times New Roman" w:hAnsi="Times New Roman" w:cs="Times New Roman"/>
                <w:b/>
                <w:bCs/>
                <w:color w:val="000000" w:themeColor="text1"/>
                <w:sz w:val="16"/>
                <w:szCs w:val="16"/>
                <w:highlight w:val="none"/>
                <w:u w:val="none" w:color="auto"/>
                <w14:textFill>
                  <w14:solidFill>
                    <w14:schemeClr w14:val="tx1"/>
                  </w14:solidFill>
                </w14:textFill>
              </w:rPr>
              <w:t>3</w:t>
            </w:r>
            <w:r>
              <w:rPr>
                <w:rFonts w:hint="default" w:ascii="Times New Roman" w:hAnsi="Times New Roman" w:cs="Times New Roman"/>
                <w:b/>
                <w:bCs/>
                <w:color w:val="000000" w:themeColor="text1"/>
                <w:highlight w:val="none"/>
                <w:u w:val="none" w:color="auto"/>
                <w14:textFill>
                  <w14:solidFill>
                    <w14:schemeClr w14:val="tx1"/>
                  </w14:solidFill>
                </w14:textFill>
              </w:rPr>
              <w:t>-N</w:t>
            </w:r>
          </w:p>
        </w:tc>
        <w:tc>
          <w:tcPr>
            <w:tcW w:w="915" w:type="dxa"/>
            <w:vAlign w:val="center"/>
          </w:tcPr>
          <w:p w14:paraId="737A2BB9">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TN</w:t>
            </w:r>
          </w:p>
        </w:tc>
        <w:tc>
          <w:tcPr>
            <w:tcW w:w="903" w:type="dxa"/>
            <w:vAlign w:val="center"/>
          </w:tcPr>
          <w:p w14:paraId="2E2D953E">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TP</w:t>
            </w:r>
          </w:p>
        </w:tc>
      </w:tr>
      <w:tr w14:paraId="6B0B9A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0" w:hRule="atLeast"/>
          <w:jc w:val="center"/>
        </w:trPr>
        <w:tc>
          <w:tcPr>
            <w:tcW w:w="527" w:type="dxa"/>
            <w:vMerge w:val="restart"/>
            <w:vAlign w:val="center"/>
          </w:tcPr>
          <w:p w14:paraId="0F5712F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改扩建前</w:t>
            </w:r>
          </w:p>
        </w:tc>
        <w:tc>
          <w:tcPr>
            <w:tcW w:w="530" w:type="dxa"/>
            <w:vMerge w:val="restart"/>
            <w:vAlign w:val="center"/>
          </w:tcPr>
          <w:p w14:paraId="76D643E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进水</w:t>
            </w:r>
          </w:p>
        </w:tc>
        <w:tc>
          <w:tcPr>
            <w:tcW w:w="1766" w:type="dxa"/>
            <w:gridSpan w:val="2"/>
            <w:vAlign w:val="center"/>
          </w:tcPr>
          <w:p w14:paraId="39EAA1D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进水浓度(mg/L)</w:t>
            </w:r>
          </w:p>
        </w:tc>
        <w:tc>
          <w:tcPr>
            <w:tcW w:w="1330" w:type="dxa"/>
            <w:vMerge w:val="restart"/>
            <w:vAlign w:val="center"/>
          </w:tcPr>
          <w:p w14:paraId="0EAAF53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43.8</w:t>
            </w:r>
          </w:p>
        </w:tc>
        <w:tc>
          <w:tcPr>
            <w:tcW w:w="933" w:type="dxa"/>
            <w:vAlign w:val="center"/>
          </w:tcPr>
          <w:p w14:paraId="22F5CB4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500</w:t>
            </w:r>
          </w:p>
        </w:tc>
        <w:tc>
          <w:tcPr>
            <w:tcW w:w="901" w:type="dxa"/>
            <w:vAlign w:val="center"/>
          </w:tcPr>
          <w:p w14:paraId="17911FD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350</w:t>
            </w:r>
          </w:p>
        </w:tc>
        <w:tc>
          <w:tcPr>
            <w:tcW w:w="719" w:type="dxa"/>
            <w:vAlign w:val="center"/>
          </w:tcPr>
          <w:p w14:paraId="1531F14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400</w:t>
            </w:r>
          </w:p>
        </w:tc>
        <w:tc>
          <w:tcPr>
            <w:tcW w:w="902" w:type="dxa"/>
            <w:vAlign w:val="center"/>
          </w:tcPr>
          <w:p w14:paraId="1CBF474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45</w:t>
            </w:r>
          </w:p>
        </w:tc>
        <w:tc>
          <w:tcPr>
            <w:tcW w:w="915" w:type="dxa"/>
            <w:vAlign w:val="center"/>
          </w:tcPr>
          <w:p w14:paraId="41DB64C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70</w:t>
            </w:r>
          </w:p>
        </w:tc>
        <w:tc>
          <w:tcPr>
            <w:tcW w:w="903" w:type="dxa"/>
            <w:vAlign w:val="center"/>
          </w:tcPr>
          <w:p w14:paraId="298974C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w:t>
            </w:r>
          </w:p>
        </w:tc>
      </w:tr>
      <w:tr w14:paraId="759F12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0" w:hRule="atLeast"/>
          <w:jc w:val="center"/>
        </w:trPr>
        <w:tc>
          <w:tcPr>
            <w:tcW w:w="527" w:type="dxa"/>
            <w:vMerge w:val="continue"/>
            <w:vAlign w:val="center"/>
          </w:tcPr>
          <w:p w14:paraId="3A9921F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530" w:type="dxa"/>
            <w:vMerge w:val="continue"/>
            <w:vAlign w:val="center"/>
          </w:tcPr>
          <w:p w14:paraId="6669845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1766" w:type="dxa"/>
            <w:gridSpan w:val="2"/>
            <w:vAlign w:val="center"/>
          </w:tcPr>
          <w:p w14:paraId="4E01F0A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产生量（t/a）</w:t>
            </w:r>
          </w:p>
        </w:tc>
        <w:tc>
          <w:tcPr>
            <w:tcW w:w="1330" w:type="dxa"/>
            <w:vMerge w:val="continue"/>
            <w:vAlign w:val="center"/>
          </w:tcPr>
          <w:p w14:paraId="7163440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933" w:type="dxa"/>
            <w:vAlign w:val="center"/>
          </w:tcPr>
          <w:p w14:paraId="378856A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219</w:t>
            </w:r>
          </w:p>
        </w:tc>
        <w:tc>
          <w:tcPr>
            <w:tcW w:w="901" w:type="dxa"/>
            <w:vAlign w:val="center"/>
          </w:tcPr>
          <w:p w14:paraId="5358E9A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153.3</w:t>
            </w:r>
          </w:p>
        </w:tc>
        <w:tc>
          <w:tcPr>
            <w:tcW w:w="719" w:type="dxa"/>
            <w:vAlign w:val="center"/>
          </w:tcPr>
          <w:p w14:paraId="1AC2D53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175.2</w:t>
            </w:r>
          </w:p>
        </w:tc>
        <w:tc>
          <w:tcPr>
            <w:tcW w:w="902" w:type="dxa"/>
            <w:vAlign w:val="center"/>
          </w:tcPr>
          <w:p w14:paraId="69FF50D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19.71</w:t>
            </w:r>
          </w:p>
        </w:tc>
        <w:tc>
          <w:tcPr>
            <w:tcW w:w="915" w:type="dxa"/>
            <w:vAlign w:val="center"/>
          </w:tcPr>
          <w:p w14:paraId="0C32021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30.66</w:t>
            </w:r>
          </w:p>
        </w:tc>
        <w:tc>
          <w:tcPr>
            <w:tcW w:w="903" w:type="dxa"/>
            <w:vAlign w:val="center"/>
          </w:tcPr>
          <w:p w14:paraId="356297D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3.504</w:t>
            </w:r>
          </w:p>
        </w:tc>
      </w:tr>
      <w:tr w14:paraId="6F5902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0" w:hRule="atLeast"/>
          <w:jc w:val="center"/>
        </w:trPr>
        <w:tc>
          <w:tcPr>
            <w:tcW w:w="527" w:type="dxa"/>
            <w:vMerge w:val="continue"/>
            <w:vAlign w:val="center"/>
          </w:tcPr>
          <w:p w14:paraId="58A9622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530" w:type="dxa"/>
            <w:vMerge w:val="restart"/>
            <w:vAlign w:val="center"/>
          </w:tcPr>
          <w:p w14:paraId="44FEF9E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出水</w:t>
            </w:r>
          </w:p>
        </w:tc>
        <w:tc>
          <w:tcPr>
            <w:tcW w:w="1766" w:type="dxa"/>
            <w:gridSpan w:val="2"/>
            <w:vAlign w:val="center"/>
          </w:tcPr>
          <w:p w14:paraId="3331EC4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排水浓度(mg/L)</w:t>
            </w:r>
          </w:p>
        </w:tc>
        <w:tc>
          <w:tcPr>
            <w:tcW w:w="1330" w:type="dxa"/>
            <w:vMerge w:val="restart"/>
            <w:vAlign w:val="center"/>
          </w:tcPr>
          <w:p w14:paraId="1531186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43.8</w:t>
            </w:r>
          </w:p>
        </w:tc>
        <w:tc>
          <w:tcPr>
            <w:tcW w:w="933" w:type="dxa"/>
            <w:vAlign w:val="center"/>
          </w:tcPr>
          <w:p w14:paraId="18AFCBD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50</w:t>
            </w:r>
          </w:p>
        </w:tc>
        <w:tc>
          <w:tcPr>
            <w:tcW w:w="901" w:type="dxa"/>
            <w:vAlign w:val="center"/>
          </w:tcPr>
          <w:p w14:paraId="60CA0AC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p>
        </w:tc>
        <w:tc>
          <w:tcPr>
            <w:tcW w:w="719" w:type="dxa"/>
            <w:vAlign w:val="center"/>
          </w:tcPr>
          <w:p w14:paraId="1EAC7D3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p>
        </w:tc>
        <w:tc>
          <w:tcPr>
            <w:tcW w:w="902" w:type="dxa"/>
            <w:vAlign w:val="center"/>
          </w:tcPr>
          <w:p w14:paraId="4CCEF6C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p>
        </w:tc>
        <w:tc>
          <w:tcPr>
            <w:tcW w:w="915" w:type="dxa"/>
            <w:vAlign w:val="center"/>
          </w:tcPr>
          <w:p w14:paraId="4FEC27F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15</w:t>
            </w:r>
          </w:p>
        </w:tc>
        <w:tc>
          <w:tcPr>
            <w:tcW w:w="903" w:type="dxa"/>
            <w:vAlign w:val="center"/>
          </w:tcPr>
          <w:p w14:paraId="099F691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0.5</w:t>
            </w:r>
          </w:p>
        </w:tc>
      </w:tr>
      <w:tr w14:paraId="589DC1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6" w:hRule="atLeast"/>
          <w:jc w:val="center"/>
        </w:trPr>
        <w:tc>
          <w:tcPr>
            <w:tcW w:w="527" w:type="dxa"/>
            <w:vMerge w:val="continue"/>
            <w:vAlign w:val="center"/>
          </w:tcPr>
          <w:p w14:paraId="68F14E3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530" w:type="dxa"/>
            <w:vMerge w:val="continue"/>
            <w:vAlign w:val="center"/>
          </w:tcPr>
          <w:p w14:paraId="5431EEF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1766" w:type="dxa"/>
            <w:gridSpan w:val="2"/>
            <w:vAlign w:val="center"/>
          </w:tcPr>
          <w:p w14:paraId="6FC441B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排放量（t/a）</w:t>
            </w:r>
          </w:p>
        </w:tc>
        <w:tc>
          <w:tcPr>
            <w:tcW w:w="1330" w:type="dxa"/>
            <w:vMerge w:val="continue"/>
            <w:vAlign w:val="center"/>
          </w:tcPr>
          <w:p w14:paraId="7AF6F73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933" w:type="dxa"/>
            <w:vAlign w:val="center"/>
          </w:tcPr>
          <w:p w14:paraId="59E55B5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21.9</w:t>
            </w:r>
          </w:p>
        </w:tc>
        <w:tc>
          <w:tcPr>
            <w:tcW w:w="901" w:type="dxa"/>
            <w:vAlign w:val="center"/>
          </w:tcPr>
          <w:p w14:paraId="3E85CBB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4.38</w:t>
            </w:r>
          </w:p>
        </w:tc>
        <w:tc>
          <w:tcPr>
            <w:tcW w:w="719" w:type="dxa"/>
            <w:vAlign w:val="center"/>
          </w:tcPr>
          <w:p w14:paraId="55CC6C7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4.38</w:t>
            </w:r>
          </w:p>
        </w:tc>
        <w:tc>
          <w:tcPr>
            <w:tcW w:w="902" w:type="dxa"/>
            <w:vAlign w:val="center"/>
          </w:tcPr>
          <w:p w14:paraId="1CA0A88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2.19</w:t>
            </w:r>
          </w:p>
        </w:tc>
        <w:tc>
          <w:tcPr>
            <w:tcW w:w="915" w:type="dxa"/>
            <w:vAlign w:val="center"/>
          </w:tcPr>
          <w:p w14:paraId="0592843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6.57</w:t>
            </w:r>
          </w:p>
        </w:tc>
        <w:tc>
          <w:tcPr>
            <w:tcW w:w="903" w:type="dxa"/>
            <w:vAlign w:val="center"/>
          </w:tcPr>
          <w:p w14:paraId="1C81441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0.129</w:t>
            </w:r>
          </w:p>
        </w:tc>
      </w:tr>
      <w:tr w14:paraId="46BD01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0" w:hRule="atLeast"/>
          <w:jc w:val="center"/>
        </w:trPr>
        <w:tc>
          <w:tcPr>
            <w:tcW w:w="527" w:type="dxa"/>
            <w:vMerge w:val="continue"/>
            <w:vAlign w:val="center"/>
          </w:tcPr>
          <w:p w14:paraId="1C13AC0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2296" w:type="dxa"/>
            <w:gridSpan w:val="3"/>
            <w:vAlign w:val="center"/>
          </w:tcPr>
          <w:p w14:paraId="0AA7A1F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削</w:t>
            </w:r>
            <w:r>
              <w:rPr>
                <w:rFonts w:hint="default" w:ascii="Times New Roman" w:hAnsi="Times New Roman" w:cs="Times New Roman"/>
                <w:color w:val="000000" w:themeColor="text1"/>
                <w:highlight w:val="none"/>
                <w:u w:val="none" w:color="auto"/>
                <w14:textFill>
                  <w14:solidFill>
                    <w14:schemeClr w14:val="tx1"/>
                  </w14:solidFill>
                </w14:textFill>
              </w:rPr>
              <w:t>减量（t/a）</w:t>
            </w:r>
          </w:p>
        </w:tc>
        <w:tc>
          <w:tcPr>
            <w:tcW w:w="1330" w:type="dxa"/>
            <w:vAlign w:val="center"/>
          </w:tcPr>
          <w:p w14:paraId="2DCACC4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p>
        </w:tc>
        <w:tc>
          <w:tcPr>
            <w:tcW w:w="933" w:type="dxa"/>
            <w:vAlign w:val="center"/>
          </w:tcPr>
          <w:p w14:paraId="422319B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197.1</w:t>
            </w:r>
          </w:p>
        </w:tc>
        <w:tc>
          <w:tcPr>
            <w:tcW w:w="901" w:type="dxa"/>
            <w:vAlign w:val="center"/>
          </w:tcPr>
          <w:p w14:paraId="0346AA8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148.92</w:t>
            </w:r>
          </w:p>
        </w:tc>
        <w:tc>
          <w:tcPr>
            <w:tcW w:w="719" w:type="dxa"/>
            <w:vAlign w:val="center"/>
          </w:tcPr>
          <w:p w14:paraId="01F2788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170.82</w:t>
            </w:r>
          </w:p>
        </w:tc>
        <w:tc>
          <w:tcPr>
            <w:tcW w:w="902" w:type="dxa"/>
            <w:vAlign w:val="center"/>
          </w:tcPr>
          <w:p w14:paraId="7D41C7A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17.52</w:t>
            </w:r>
          </w:p>
        </w:tc>
        <w:tc>
          <w:tcPr>
            <w:tcW w:w="915" w:type="dxa"/>
            <w:vAlign w:val="center"/>
          </w:tcPr>
          <w:p w14:paraId="5D58B6F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24.09</w:t>
            </w:r>
          </w:p>
        </w:tc>
        <w:tc>
          <w:tcPr>
            <w:tcW w:w="903" w:type="dxa"/>
            <w:vAlign w:val="center"/>
          </w:tcPr>
          <w:p w14:paraId="0E528E4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3.375</w:t>
            </w:r>
          </w:p>
        </w:tc>
      </w:tr>
      <w:tr w14:paraId="28E98A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0" w:hRule="atLeast"/>
          <w:jc w:val="center"/>
        </w:trPr>
        <w:tc>
          <w:tcPr>
            <w:tcW w:w="527" w:type="dxa"/>
            <w:vMerge w:val="restart"/>
            <w:vAlign w:val="center"/>
          </w:tcPr>
          <w:p w14:paraId="5FB7D5B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highlight w:val="none"/>
                <w:u w:val="none" w:color="auto"/>
                <w:lang w:val="en-US" w:eastAsia="zh-CN"/>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改扩建后</w:t>
            </w:r>
          </w:p>
        </w:tc>
        <w:tc>
          <w:tcPr>
            <w:tcW w:w="584" w:type="dxa"/>
            <w:gridSpan w:val="2"/>
            <w:vMerge w:val="restart"/>
            <w:vAlign w:val="center"/>
          </w:tcPr>
          <w:p w14:paraId="4F7A5EE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进水</w:t>
            </w:r>
          </w:p>
        </w:tc>
        <w:tc>
          <w:tcPr>
            <w:tcW w:w="1712" w:type="dxa"/>
            <w:vAlign w:val="center"/>
          </w:tcPr>
          <w:p w14:paraId="3C78D0E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进水浓度(mg/L)</w:t>
            </w:r>
          </w:p>
        </w:tc>
        <w:tc>
          <w:tcPr>
            <w:tcW w:w="1330" w:type="dxa"/>
            <w:vMerge w:val="restart"/>
            <w:vAlign w:val="center"/>
          </w:tcPr>
          <w:p w14:paraId="790726D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109.5</w:t>
            </w:r>
          </w:p>
        </w:tc>
        <w:tc>
          <w:tcPr>
            <w:tcW w:w="933" w:type="dxa"/>
            <w:vAlign w:val="center"/>
          </w:tcPr>
          <w:p w14:paraId="068D779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500</w:t>
            </w:r>
          </w:p>
        </w:tc>
        <w:tc>
          <w:tcPr>
            <w:tcW w:w="901" w:type="dxa"/>
            <w:vAlign w:val="center"/>
          </w:tcPr>
          <w:p w14:paraId="700FE12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350</w:t>
            </w:r>
          </w:p>
        </w:tc>
        <w:tc>
          <w:tcPr>
            <w:tcW w:w="719" w:type="dxa"/>
            <w:vAlign w:val="center"/>
          </w:tcPr>
          <w:p w14:paraId="172AE82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400</w:t>
            </w:r>
          </w:p>
        </w:tc>
        <w:tc>
          <w:tcPr>
            <w:tcW w:w="902" w:type="dxa"/>
            <w:vAlign w:val="center"/>
          </w:tcPr>
          <w:p w14:paraId="159159B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45</w:t>
            </w:r>
          </w:p>
        </w:tc>
        <w:tc>
          <w:tcPr>
            <w:tcW w:w="915" w:type="dxa"/>
            <w:vAlign w:val="center"/>
          </w:tcPr>
          <w:p w14:paraId="670919D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70</w:t>
            </w:r>
          </w:p>
        </w:tc>
        <w:tc>
          <w:tcPr>
            <w:tcW w:w="903" w:type="dxa"/>
            <w:vAlign w:val="center"/>
          </w:tcPr>
          <w:p w14:paraId="3A443BD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w:t>
            </w:r>
          </w:p>
        </w:tc>
      </w:tr>
      <w:tr w14:paraId="1D1636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0" w:hRule="atLeast"/>
          <w:jc w:val="center"/>
        </w:trPr>
        <w:tc>
          <w:tcPr>
            <w:tcW w:w="527" w:type="dxa"/>
            <w:vMerge w:val="continue"/>
            <w:vAlign w:val="center"/>
          </w:tcPr>
          <w:p w14:paraId="5570019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rPr>
            </w:pPr>
          </w:p>
        </w:tc>
        <w:tc>
          <w:tcPr>
            <w:tcW w:w="584" w:type="dxa"/>
            <w:gridSpan w:val="2"/>
            <w:vMerge w:val="continue"/>
            <w:vAlign w:val="center"/>
          </w:tcPr>
          <w:p w14:paraId="2103016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1712" w:type="dxa"/>
            <w:vAlign w:val="center"/>
          </w:tcPr>
          <w:p w14:paraId="6AF7175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产生量（t/a）</w:t>
            </w:r>
          </w:p>
        </w:tc>
        <w:tc>
          <w:tcPr>
            <w:tcW w:w="1330" w:type="dxa"/>
            <w:vMerge w:val="continue"/>
            <w:vAlign w:val="center"/>
          </w:tcPr>
          <w:p w14:paraId="5442AB9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933" w:type="dxa"/>
            <w:vAlign w:val="center"/>
          </w:tcPr>
          <w:p w14:paraId="6F55A1D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547.5</w:t>
            </w:r>
          </w:p>
        </w:tc>
        <w:tc>
          <w:tcPr>
            <w:tcW w:w="901" w:type="dxa"/>
            <w:vAlign w:val="center"/>
          </w:tcPr>
          <w:p w14:paraId="52BADC2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383.25</w:t>
            </w:r>
          </w:p>
        </w:tc>
        <w:tc>
          <w:tcPr>
            <w:tcW w:w="719" w:type="dxa"/>
            <w:vAlign w:val="center"/>
          </w:tcPr>
          <w:p w14:paraId="54BA945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438</w:t>
            </w:r>
          </w:p>
        </w:tc>
        <w:tc>
          <w:tcPr>
            <w:tcW w:w="902" w:type="dxa"/>
            <w:vAlign w:val="center"/>
          </w:tcPr>
          <w:p w14:paraId="677670D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49.275</w:t>
            </w:r>
          </w:p>
        </w:tc>
        <w:tc>
          <w:tcPr>
            <w:tcW w:w="915" w:type="dxa"/>
            <w:vAlign w:val="center"/>
          </w:tcPr>
          <w:p w14:paraId="71FA131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76.65</w:t>
            </w:r>
          </w:p>
        </w:tc>
        <w:tc>
          <w:tcPr>
            <w:tcW w:w="903" w:type="dxa"/>
            <w:vAlign w:val="center"/>
          </w:tcPr>
          <w:p w14:paraId="4B58F42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8.76</w:t>
            </w:r>
          </w:p>
        </w:tc>
      </w:tr>
      <w:tr w14:paraId="459ABB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0" w:hRule="atLeast"/>
          <w:jc w:val="center"/>
        </w:trPr>
        <w:tc>
          <w:tcPr>
            <w:tcW w:w="527" w:type="dxa"/>
            <w:vMerge w:val="continue"/>
            <w:vAlign w:val="center"/>
          </w:tcPr>
          <w:p w14:paraId="7B8FDF6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rPr>
            </w:pPr>
          </w:p>
        </w:tc>
        <w:tc>
          <w:tcPr>
            <w:tcW w:w="584" w:type="dxa"/>
            <w:gridSpan w:val="2"/>
            <w:vMerge w:val="restart"/>
            <w:vAlign w:val="center"/>
          </w:tcPr>
          <w:p w14:paraId="1E72A9B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出水</w:t>
            </w:r>
          </w:p>
        </w:tc>
        <w:tc>
          <w:tcPr>
            <w:tcW w:w="1712" w:type="dxa"/>
            <w:vAlign w:val="center"/>
          </w:tcPr>
          <w:p w14:paraId="15A225B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排水浓度(mg/L)</w:t>
            </w:r>
          </w:p>
        </w:tc>
        <w:tc>
          <w:tcPr>
            <w:tcW w:w="1330" w:type="dxa"/>
            <w:vMerge w:val="restart"/>
            <w:vAlign w:val="center"/>
          </w:tcPr>
          <w:p w14:paraId="2CBCEA0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109.5</w:t>
            </w:r>
          </w:p>
        </w:tc>
        <w:tc>
          <w:tcPr>
            <w:tcW w:w="933" w:type="dxa"/>
            <w:vAlign w:val="center"/>
          </w:tcPr>
          <w:p w14:paraId="363D221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50</w:t>
            </w:r>
          </w:p>
        </w:tc>
        <w:tc>
          <w:tcPr>
            <w:tcW w:w="901" w:type="dxa"/>
            <w:vAlign w:val="center"/>
          </w:tcPr>
          <w:p w14:paraId="7FC0558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p>
        </w:tc>
        <w:tc>
          <w:tcPr>
            <w:tcW w:w="719" w:type="dxa"/>
            <w:vAlign w:val="center"/>
          </w:tcPr>
          <w:p w14:paraId="6874DD8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p>
        </w:tc>
        <w:tc>
          <w:tcPr>
            <w:tcW w:w="902" w:type="dxa"/>
            <w:vAlign w:val="center"/>
          </w:tcPr>
          <w:p w14:paraId="4F29B6B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p>
        </w:tc>
        <w:tc>
          <w:tcPr>
            <w:tcW w:w="915" w:type="dxa"/>
            <w:vAlign w:val="center"/>
          </w:tcPr>
          <w:p w14:paraId="5B75539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15</w:t>
            </w:r>
          </w:p>
        </w:tc>
        <w:tc>
          <w:tcPr>
            <w:tcW w:w="903" w:type="dxa"/>
            <w:vAlign w:val="center"/>
          </w:tcPr>
          <w:p w14:paraId="4BB99C7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0.5</w:t>
            </w:r>
          </w:p>
        </w:tc>
      </w:tr>
      <w:tr w14:paraId="0D727C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0" w:hRule="atLeast"/>
          <w:jc w:val="center"/>
        </w:trPr>
        <w:tc>
          <w:tcPr>
            <w:tcW w:w="527" w:type="dxa"/>
            <w:vMerge w:val="continue"/>
            <w:vAlign w:val="center"/>
          </w:tcPr>
          <w:p w14:paraId="377176B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rPr>
            </w:pPr>
          </w:p>
        </w:tc>
        <w:tc>
          <w:tcPr>
            <w:tcW w:w="584" w:type="dxa"/>
            <w:gridSpan w:val="2"/>
            <w:vMerge w:val="continue"/>
            <w:vAlign w:val="center"/>
          </w:tcPr>
          <w:p w14:paraId="634022A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FF0000"/>
                <w:highlight w:val="none"/>
                <w:u w:val="none" w:color="auto"/>
              </w:rPr>
            </w:pPr>
          </w:p>
        </w:tc>
        <w:tc>
          <w:tcPr>
            <w:tcW w:w="1712" w:type="dxa"/>
            <w:vAlign w:val="center"/>
          </w:tcPr>
          <w:p w14:paraId="0249895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排放量（t/a）</w:t>
            </w:r>
          </w:p>
        </w:tc>
        <w:tc>
          <w:tcPr>
            <w:tcW w:w="1330" w:type="dxa"/>
            <w:vMerge w:val="continue"/>
            <w:vAlign w:val="center"/>
          </w:tcPr>
          <w:p w14:paraId="18364D5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933" w:type="dxa"/>
            <w:vAlign w:val="center"/>
          </w:tcPr>
          <w:p w14:paraId="0F07838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54.75</w:t>
            </w:r>
          </w:p>
        </w:tc>
        <w:tc>
          <w:tcPr>
            <w:tcW w:w="901" w:type="dxa"/>
            <w:vAlign w:val="center"/>
          </w:tcPr>
          <w:p w14:paraId="4900E14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10.95</w:t>
            </w:r>
          </w:p>
        </w:tc>
        <w:tc>
          <w:tcPr>
            <w:tcW w:w="719" w:type="dxa"/>
            <w:vAlign w:val="center"/>
          </w:tcPr>
          <w:p w14:paraId="7B3E9F7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10.95</w:t>
            </w:r>
          </w:p>
        </w:tc>
        <w:tc>
          <w:tcPr>
            <w:tcW w:w="902" w:type="dxa"/>
            <w:vAlign w:val="center"/>
          </w:tcPr>
          <w:p w14:paraId="331B3F4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5.475</w:t>
            </w:r>
          </w:p>
        </w:tc>
        <w:tc>
          <w:tcPr>
            <w:tcW w:w="915" w:type="dxa"/>
            <w:vAlign w:val="center"/>
          </w:tcPr>
          <w:p w14:paraId="283C857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16.425</w:t>
            </w:r>
          </w:p>
        </w:tc>
        <w:tc>
          <w:tcPr>
            <w:tcW w:w="903" w:type="dxa"/>
            <w:vAlign w:val="center"/>
          </w:tcPr>
          <w:p w14:paraId="0EA8333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0.5475</w:t>
            </w:r>
          </w:p>
        </w:tc>
      </w:tr>
      <w:tr w14:paraId="32E233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0" w:hRule="atLeast"/>
          <w:jc w:val="center"/>
        </w:trPr>
        <w:tc>
          <w:tcPr>
            <w:tcW w:w="527" w:type="dxa"/>
            <w:vMerge w:val="continue"/>
            <w:vAlign w:val="center"/>
          </w:tcPr>
          <w:p w14:paraId="5027D5F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rPr>
            </w:pPr>
          </w:p>
        </w:tc>
        <w:tc>
          <w:tcPr>
            <w:tcW w:w="2296" w:type="dxa"/>
            <w:gridSpan w:val="3"/>
            <w:vAlign w:val="center"/>
          </w:tcPr>
          <w:p w14:paraId="069A3EA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削</w:t>
            </w:r>
            <w:r>
              <w:rPr>
                <w:rFonts w:hint="default" w:ascii="Times New Roman" w:hAnsi="Times New Roman" w:cs="Times New Roman"/>
                <w:color w:val="000000" w:themeColor="text1"/>
                <w:highlight w:val="none"/>
                <w:u w:val="none" w:color="auto"/>
                <w14:textFill>
                  <w14:solidFill>
                    <w14:schemeClr w14:val="tx1"/>
                  </w14:solidFill>
                </w14:textFill>
              </w:rPr>
              <w:t>减量（t/a）</w:t>
            </w:r>
          </w:p>
        </w:tc>
        <w:tc>
          <w:tcPr>
            <w:tcW w:w="1330" w:type="dxa"/>
            <w:vAlign w:val="center"/>
          </w:tcPr>
          <w:p w14:paraId="5F45F63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w:t>
            </w:r>
          </w:p>
        </w:tc>
        <w:tc>
          <w:tcPr>
            <w:tcW w:w="933" w:type="dxa"/>
            <w:vAlign w:val="center"/>
          </w:tcPr>
          <w:p w14:paraId="05F4836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492.75</w:t>
            </w:r>
          </w:p>
        </w:tc>
        <w:tc>
          <w:tcPr>
            <w:tcW w:w="901" w:type="dxa"/>
            <w:vAlign w:val="center"/>
          </w:tcPr>
          <w:p w14:paraId="234FD1E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372.3</w:t>
            </w:r>
          </w:p>
        </w:tc>
        <w:tc>
          <w:tcPr>
            <w:tcW w:w="719" w:type="dxa"/>
            <w:vAlign w:val="center"/>
          </w:tcPr>
          <w:p w14:paraId="08CFAAE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427.05</w:t>
            </w:r>
          </w:p>
        </w:tc>
        <w:tc>
          <w:tcPr>
            <w:tcW w:w="902" w:type="dxa"/>
            <w:vAlign w:val="center"/>
          </w:tcPr>
          <w:p w14:paraId="6BFCA10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43.8</w:t>
            </w:r>
          </w:p>
        </w:tc>
        <w:tc>
          <w:tcPr>
            <w:tcW w:w="915" w:type="dxa"/>
            <w:vAlign w:val="center"/>
          </w:tcPr>
          <w:p w14:paraId="21AB0E0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60.225</w:t>
            </w:r>
          </w:p>
        </w:tc>
        <w:tc>
          <w:tcPr>
            <w:tcW w:w="903" w:type="dxa"/>
            <w:vAlign w:val="center"/>
          </w:tcPr>
          <w:p w14:paraId="45FAFCD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8.2125</w:t>
            </w:r>
          </w:p>
        </w:tc>
      </w:tr>
      <w:bookmarkEnd w:id="72"/>
      <w:bookmarkEnd w:id="73"/>
    </w:tbl>
    <w:p w14:paraId="4B954B25">
      <w:pPr>
        <w:pStyle w:val="5"/>
        <w:numPr>
          <w:ilvl w:val="2"/>
          <w:numId w:val="0"/>
        </w:numPr>
        <w:ind w:leftChars="0" w:firstLine="482" w:firstLineChars="200"/>
        <w:outlineLvl w:val="3"/>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z w:val="24"/>
          <w:szCs w:val="28"/>
          <w:highlight w:val="none"/>
          <w:u w:val="none" w:color="auto"/>
          <w:lang w:val="en-US" w:eastAsia="zh-CN"/>
          <w14:textFill>
            <w14:solidFill>
              <w14:schemeClr w14:val="tx1"/>
            </w14:solidFill>
          </w14:textFill>
        </w:rPr>
        <w:t xml:space="preserve">3.5.3.2 </w:t>
      </w:r>
      <w:r>
        <w:rPr>
          <w:rFonts w:hint="default" w:ascii="Times New Roman" w:hAnsi="Times New Roman" w:cs="Times New Roman"/>
          <w:color w:val="000000" w:themeColor="text1"/>
          <w:sz w:val="24"/>
          <w:szCs w:val="28"/>
          <w:highlight w:val="none"/>
          <w:u w:val="none" w:color="auto"/>
          <w14:textFill>
            <w14:solidFill>
              <w14:schemeClr w14:val="tx1"/>
            </w14:solidFill>
          </w14:textFill>
        </w:rPr>
        <w:t>运营期大气污染源分析</w:t>
      </w:r>
    </w:p>
    <w:p w14:paraId="2544CE54">
      <w:pPr>
        <w:pStyle w:val="189"/>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污水处理厂恶臭</w:t>
      </w:r>
    </w:p>
    <w:p w14:paraId="56C0E2B8">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污水处理厂恶臭源强产生量与处理工艺、处理规模及处理污水来源等诸多因素有关。根据美国EPA对城市污水处理厂恶臭污染物产生情况的研究，每处理1g的BOD</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t>，可产生0.0031g的NH</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和0.00012g的H</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S。根据进水、出水BOD</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t>浓度以及项目建成后污水处理能力（</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/d）计算得出项目NH</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和H</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S的排放速率，见下表。</w:t>
      </w:r>
    </w:p>
    <w:p w14:paraId="55638948">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表</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3.5</w:t>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 xml:space="preserve"> 本项目恶臭污染物产污系数及源强估算</w:t>
      </w:r>
    </w:p>
    <w:tbl>
      <w:tblPr>
        <w:tblStyle w:val="76"/>
        <w:tblW w:w="92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9"/>
        <w:gridCol w:w="1127"/>
        <w:gridCol w:w="1112"/>
        <w:gridCol w:w="964"/>
        <w:gridCol w:w="999"/>
        <w:gridCol w:w="1056"/>
        <w:gridCol w:w="1028"/>
        <w:gridCol w:w="990"/>
        <w:gridCol w:w="1304"/>
      </w:tblGrid>
      <w:tr w14:paraId="4C02F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719" w:type="dxa"/>
            <w:vMerge w:val="restart"/>
            <w:vAlign w:val="center"/>
          </w:tcPr>
          <w:p w14:paraId="0DE8176F">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项目</w:t>
            </w:r>
          </w:p>
        </w:tc>
        <w:tc>
          <w:tcPr>
            <w:tcW w:w="1127" w:type="dxa"/>
            <w:vMerge w:val="restart"/>
            <w:vAlign w:val="center"/>
          </w:tcPr>
          <w:p w14:paraId="728A7228">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处理水量</w:t>
            </w:r>
          </w:p>
        </w:tc>
        <w:tc>
          <w:tcPr>
            <w:tcW w:w="2076" w:type="dxa"/>
            <w:gridSpan w:val="2"/>
            <w:vAlign w:val="center"/>
          </w:tcPr>
          <w:p w14:paraId="507BE498">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BOD</w:t>
            </w:r>
            <w:r>
              <w:rPr>
                <w:rFonts w:hint="default" w:ascii="Times New Roman" w:hAnsi="Times New Roman" w:cs="Times New Roman"/>
                <w:b/>
                <w:bCs/>
                <w:color w:val="000000" w:themeColor="text1"/>
                <w:sz w:val="15"/>
                <w:szCs w:val="15"/>
                <w:highlight w:val="none"/>
                <w:u w:val="none" w:color="auto"/>
                <w14:textFill>
                  <w14:solidFill>
                    <w14:schemeClr w14:val="tx1"/>
                  </w14:solidFill>
                </w14:textFill>
              </w:rPr>
              <w:t>5</w:t>
            </w:r>
            <w:r>
              <w:rPr>
                <w:rFonts w:hint="default" w:ascii="Times New Roman" w:hAnsi="Times New Roman" w:cs="Times New Roman"/>
                <w:b/>
                <w:bCs/>
                <w:color w:val="000000" w:themeColor="text1"/>
                <w:highlight w:val="none"/>
                <w:u w:val="none" w:color="auto"/>
                <w14:textFill>
                  <w14:solidFill>
                    <w14:schemeClr w14:val="tx1"/>
                  </w14:solidFill>
                </w14:textFill>
              </w:rPr>
              <w:t>浓度</w:t>
            </w:r>
          </w:p>
        </w:tc>
        <w:tc>
          <w:tcPr>
            <w:tcW w:w="999" w:type="dxa"/>
            <w:vMerge w:val="restart"/>
            <w:vAlign w:val="center"/>
          </w:tcPr>
          <w:p w14:paraId="221C2586">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BOD</w:t>
            </w:r>
            <w:r>
              <w:rPr>
                <w:rFonts w:hint="default" w:ascii="Times New Roman" w:hAnsi="Times New Roman" w:cs="Times New Roman"/>
                <w:b/>
                <w:bCs/>
                <w:color w:val="000000" w:themeColor="text1"/>
                <w:sz w:val="15"/>
                <w:szCs w:val="15"/>
                <w:highlight w:val="none"/>
                <w:u w:val="none" w:color="auto"/>
                <w14:textFill>
                  <w14:solidFill>
                    <w14:schemeClr w14:val="tx1"/>
                  </w14:solidFill>
                </w14:textFill>
              </w:rPr>
              <w:t>5</w:t>
            </w:r>
            <w:r>
              <w:rPr>
                <w:rFonts w:hint="default" w:ascii="Times New Roman" w:hAnsi="Times New Roman" w:cs="Times New Roman"/>
                <w:b/>
                <w:bCs/>
                <w:color w:val="000000" w:themeColor="text1"/>
                <w:highlight w:val="none"/>
                <w:u w:val="none" w:color="auto"/>
                <w14:textFill>
                  <w14:solidFill>
                    <w14:schemeClr w14:val="tx1"/>
                  </w14:solidFill>
                </w14:textFill>
              </w:rPr>
              <w:t>处理量</w:t>
            </w:r>
          </w:p>
        </w:tc>
        <w:tc>
          <w:tcPr>
            <w:tcW w:w="2084" w:type="dxa"/>
            <w:gridSpan w:val="2"/>
            <w:vAlign w:val="center"/>
          </w:tcPr>
          <w:p w14:paraId="4AC7669A">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产污系数</w:t>
            </w:r>
          </w:p>
        </w:tc>
        <w:tc>
          <w:tcPr>
            <w:tcW w:w="2294" w:type="dxa"/>
            <w:gridSpan w:val="2"/>
            <w:vAlign w:val="center"/>
          </w:tcPr>
          <w:p w14:paraId="31F4610C">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污染源强</w:t>
            </w:r>
          </w:p>
        </w:tc>
      </w:tr>
      <w:tr w14:paraId="0E6B0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19" w:type="dxa"/>
            <w:vMerge w:val="continue"/>
            <w:vAlign w:val="center"/>
          </w:tcPr>
          <w:p w14:paraId="4053A778">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1127" w:type="dxa"/>
            <w:vMerge w:val="continue"/>
            <w:vAlign w:val="center"/>
          </w:tcPr>
          <w:p w14:paraId="002053DF">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1112" w:type="dxa"/>
            <w:vAlign w:val="center"/>
          </w:tcPr>
          <w:p w14:paraId="29E8260B">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进水</w:t>
            </w:r>
          </w:p>
        </w:tc>
        <w:tc>
          <w:tcPr>
            <w:tcW w:w="964" w:type="dxa"/>
            <w:vAlign w:val="center"/>
          </w:tcPr>
          <w:p w14:paraId="01ECF08D">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出水</w:t>
            </w:r>
          </w:p>
        </w:tc>
        <w:tc>
          <w:tcPr>
            <w:tcW w:w="999" w:type="dxa"/>
            <w:vMerge w:val="continue"/>
            <w:vAlign w:val="center"/>
          </w:tcPr>
          <w:p w14:paraId="2FB3AE69">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1056" w:type="dxa"/>
            <w:vAlign w:val="center"/>
          </w:tcPr>
          <w:p w14:paraId="63F1AE91">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NH</w:t>
            </w:r>
            <w:r>
              <w:rPr>
                <w:rFonts w:hint="default" w:ascii="Times New Roman" w:hAnsi="Times New Roman" w:cs="Times New Roman"/>
                <w:b/>
                <w:bCs/>
                <w:color w:val="000000" w:themeColor="text1"/>
                <w:sz w:val="15"/>
                <w:szCs w:val="15"/>
                <w:highlight w:val="none"/>
                <w:u w:val="none" w:color="auto"/>
                <w14:textFill>
                  <w14:solidFill>
                    <w14:schemeClr w14:val="tx1"/>
                  </w14:solidFill>
                </w14:textFill>
              </w:rPr>
              <w:t>3</w:t>
            </w:r>
          </w:p>
        </w:tc>
        <w:tc>
          <w:tcPr>
            <w:tcW w:w="1028" w:type="dxa"/>
            <w:vAlign w:val="center"/>
          </w:tcPr>
          <w:p w14:paraId="174A1F17">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H</w:t>
            </w:r>
            <w:r>
              <w:rPr>
                <w:rFonts w:hint="default" w:ascii="Times New Roman" w:hAnsi="Times New Roman" w:cs="Times New Roman"/>
                <w:b/>
                <w:bCs/>
                <w:color w:val="000000" w:themeColor="text1"/>
                <w:sz w:val="15"/>
                <w:szCs w:val="15"/>
                <w:highlight w:val="none"/>
                <w:u w:val="none" w:color="auto"/>
                <w14:textFill>
                  <w14:solidFill>
                    <w14:schemeClr w14:val="tx1"/>
                  </w14:solidFill>
                </w14:textFill>
              </w:rPr>
              <w:t>2</w:t>
            </w:r>
            <w:r>
              <w:rPr>
                <w:rFonts w:hint="default" w:ascii="Times New Roman" w:hAnsi="Times New Roman" w:cs="Times New Roman"/>
                <w:b/>
                <w:bCs/>
                <w:color w:val="000000" w:themeColor="text1"/>
                <w:highlight w:val="none"/>
                <w:u w:val="none" w:color="auto"/>
                <w14:textFill>
                  <w14:solidFill>
                    <w14:schemeClr w14:val="tx1"/>
                  </w14:solidFill>
                </w14:textFill>
              </w:rPr>
              <w:t>S</w:t>
            </w:r>
          </w:p>
        </w:tc>
        <w:tc>
          <w:tcPr>
            <w:tcW w:w="990" w:type="dxa"/>
            <w:vAlign w:val="center"/>
          </w:tcPr>
          <w:p w14:paraId="321DA57C">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NH</w:t>
            </w:r>
            <w:r>
              <w:rPr>
                <w:rFonts w:hint="default" w:ascii="Times New Roman" w:hAnsi="Times New Roman" w:cs="Times New Roman"/>
                <w:b/>
                <w:bCs/>
                <w:color w:val="000000" w:themeColor="text1"/>
                <w:sz w:val="15"/>
                <w:szCs w:val="15"/>
                <w:highlight w:val="none"/>
                <w:u w:val="none" w:color="auto"/>
                <w14:textFill>
                  <w14:solidFill>
                    <w14:schemeClr w14:val="tx1"/>
                  </w14:solidFill>
                </w14:textFill>
              </w:rPr>
              <w:t>3</w:t>
            </w:r>
          </w:p>
        </w:tc>
        <w:tc>
          <w:tcPr>
            <w:tcW w:w="1304" w:type="dxa"/>
            <w:vAlign w:val="center"/>
          </w:tcPr>
          <w:p w14:paraId="585170FE">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H</w:t>
            </w:r>
            <w:r>
              <w:rPr>
                <w:rFonts w:hint="default" w:ascii="Times New Roman" w:hAnsi="Times New Roman" w:cs="Times New Roman"/>
                <w:b/>
                <w:bCs/>
                <w:color w:val="000000" w:themeColor="text1"/>
                <w:sz w:val="15"/>
                <w:szCs w:val="15"/>
                <w:highlight w:val="none"/>
                <w:u w:val="none" w:color="auto"/>
                <w14:textFill>
                  <w14:solidFill>
                    <w14:schemeClr w14:val="tx1"/>
                  </w14:solidFill>
                </w14:textFill>
              </w:rPr>
              <w:t>2</w:t>
            </w:r>
            <w:r>
              <w:rPr>
                <w:rFonts w:hint="default" w:ascii="Times New Roman" w:hAnsi="Times New Roman" w:cs="Times New Roman"/>
                <w:b/>
                <w:bCs/>
                <w:color w:val="000000" w:themeColor="text1"/>
                <w:highlight w:val="none"/>
                <w:u w:val="none" w:color="auto"/>
                <w14:textFill>
                  <w14:solidFill>
                    <w14:schemeClr w14:val="tx1"/>
                  </w14:solidFill>
                </w14:textFill>
              </w:rPr>
              <w:t>S</w:t>
            </w:r>
          </w:p>
        </w:tc>
      </w:tr>
      <w:tr w14:paraId="5ECAB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719" w:type="dxa"/>
            <w:vAlign w:val="center"/>
          </w:tcPr>
          <w:p w14:paraId="1F2B80F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改扩建前</w:t>
            </w:r>
          </w:p>
        </w:tc>
        <w:tc>
          <w:tcPr>
            <w:tcW w:w="1127" w:type="dxa"/>
            <w:vAlign w:val="center"/>
          </w:tcPr>
          <w:p w14:paraId="30FA938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12</w:t>
            </w:r>
            <w:r>
              <w:rPr>
                <w:rFonts w:hint="default" w:ascii="Times New Roman" w:hAnsi="Times New Roman" w:cs="Times New Roman"/>
                <w:color w:val="000000" w:themeColor="text1"/>
                <w:highlight w:val="none"/>
                <w:u w:val="none" w:color="auto"/>
                <w14:textFill>
                  <w14:solidFill>
                    <w14:schemeClr w14:val="tx1"/>
                  </w14:solidFill>
                </w14:textFill>
              </w:rPr>
              <w:t>00m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/d</w:t>
            </w:r>
          </w:p>
        </w:tc>
        <w:tc>
          <w:tcPr>
            <w:tcW w:w="1112" w:type="dxa"/>
            <w:vAlign w:val="center"/>
          </w:tcPr>
          <w:p w14:paraId="5855679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350</w:t>
            </w:r>
            <w:r>
              <w:rPr>
                <w:rFonts w:hint="default" w:ascii="Times New Roman" w:hAnsi="Times New Roman" w:cs="Times New Roman"/>
                <w:color w:val="000000" w:themeColor="text1"/>
                <w:highlight w:val="none"/>
                <w:u w:val="none" w:color="auto"/>
                <w14:textFill>
                  <w14:solidFill>
                    <w14:schemeClr w14:val="tx1"/>
                  </w14:solidFill>
                </w14:textFill>
              </w:rPr>
              <w:t>mg/</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L</w:t>
            </w:r>
          </w:p>
        </w:tc>
        <w:tc>
          <w:tcPr>
            <w:tcW w:w="964" w:type="dxa"/>
            <w:vAlign w:val="center"/>
          </w:tcPr>
          <w:p w14:paraId="5017C83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mg/</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L</w:t>
            </w:r>
          </w:p>
        </w:tc>
        <w:tc>
          <w:tcPr>
            <w:tcW w:w="999" w:type="dxa"/>
            <w:vAlign w:val="center"/>
          </w:tcPr>
          <w:p w14:paraId="37D8D49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0.408</w:t>
            </w:r>
            <w:r>
              <w:rPr>
                <w:rFonts w:hint="default" w:ascii="Times New Roman" w:hAnsi="Times New Roman" w:cs="Times New Roman"/>
                <w:color w:val="000000" w:themeColor="text1"/>
                <w:highlight w:val="none"/>
                <w:u w:val="none" w:color="auto"/>
                <w14:textFill>
                  <w14:solidFill>
                    <w14:schemeClr w14:val="tx1"/>
                  </w14:solidFill>
                </w14:textFill>
              </w:rPr>
              <w:t>t/d</w:t>
            </w:r>
          </w:p>
        </w:tc>
        <w:tc>
          <w:tcPr>
            <w:tcW w:w="1056" w:type="dxa"/>
            <w:vAlign w:val="center"/>
          </w:tcPr>
          <w:p w14:paraId="7665189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0.0031g</w:t>
            </w:r>
          </w:p>
        </w:tc>
        <w:tc>
          <w:tcPr>
            <w:tcW w:w="1028" w:type="dxa"/>
            <w:vAlign w:val="center"/>
          </w:tcPr>
          <w:p w14:paraId="068886E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0.00012g</w:t>
            </w:r>
          </w:p>
        </w:tc>
        <w:tc>
          <w:tcPr>
            <w:tcW w:w="990" w:type="dxa"/>
            <w:vAlign w:val="center"/>
          </w:tcPr>
          <w:p w14:paraId="7254823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1.26</w:t>
            </w:r>
            <w:r>
              <w:rPr>
                <w:rFonts w:hint="default" w:ascii="Times New Roman" w:hAnsi="Times New Roman" w:cs="Times New Roman"/>
                <w:color w:val="000000" w:themeColor="text1"/>
                <w:highlight w:val="none"/>
                <w:u w:val="none" w:color="auto"/>
                <w14:textFill>
                  <w14:solidFill>
                    <w14:schemeClr w14:val="tx1"/>
                  </w14:solidFill>
                </w14:textFill>
              </w:rPr>
              <w:t>kg/d</w:t>
            </w:r>
          </w:p>
        </w:tc>
        <w:tc>
          <w:tcPr>
            <w:tcW w:w="1304" w:type="dxa"/>
            <w:vAlign w:val="center"/>
          </w:tcPr>
          <w:p w14:paraId="361F49E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0.04896</w:t>
            </w:r>
            <w:r>
              <w:rPr>
                <w:rFonts w:hint="default" w:ascii="Times New Roman" w:hAnsi="Times New Roman" w:cs="Times New Roman"/>
                <w:color w:val="000000" w:themeColor="text1"/>
                <w:highlight w:val="none"/>
                <w:u w:val="none" w:color="auto"/>
                <w14:textFill>
                  <w14:solidFill>
                    <w14:schemeClr w14:val="tx1"/>
                  </w14:solidFill>
                </w14:textFill>
              </w:rPr>
              <w:t>kg/d</w:t>
            </w:r>
          </w:p>
        </w:tc>
      </w:tr>
      <w:tr w14:paraId="257525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719" w:type="dxa"/>
            <w:vAlign w:val="center"/>
          </w:tcPr>
          <w:p w14:paraId="56BA933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改扩建后</w:t>
            </w:r>
          </w:p>
        </w:tc>
        <w:tc>
          <w:tcPr>
            <w:tcW w:w="1127" w:type="dxa"/>
            <w:vAlign w:val="center"/>
          </w:tcPr>
          <w:p w14:paraId="58B9264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000m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/d</w:t>
            </w:r>
          </w:p>
        </w:tc>
        <w:tc>
          <w:tcPr>
            <w:tcW w:w="1112" w:type="dxa"/>
            <w:vAlign w:val="center"/>
          </w:tcPr>
          <w:p w14:paraId="262D9AE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350</w:t>
            </w:r>
            <w:r>
              <w:rPr>
                <w:rFonts w:hint="default" w:ascii="Times New Roman" w:hAnsi="Times New Roman" w:cs="Times New Roman"/>
                <w:color w:val="000000" w:themeColor="text1"/>
                <w:highlight w:val="none"/>
                <w:u w:val="none" w:color="auto"/>
                <w14:textFill>
                  <w14:solidFill>
                    <w14:schemeClr w14:val="tx1"/>
                  </w14:solidFill>
                </w14:textFill>
              </w:rPr>
              <w:t>mg/</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L</w:t>
            </w:r>
          </w:p>
        </w:tc>
        <w:tc>
          <w:tcPr>
            <w:tcW w:w="964" w:type="dxa"/>
            <w:vAlign w:val="center"/>
          </w:tcPr>
          <w:p w14:paraId="5B9B5F7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mg/</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L</w:t>
            </w:r>
          </w:p>
        </w:tc>
        <w:tc>
          <w:tcPr>
            <w:tcW w:w="999" w:type="dxa"/>
            <w:vAlign w:val="center"/>
          </w:tcPr>
          <w:p w14:paraId="3654E3A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1.02</w:t>
            </w:r>
            <w:r>
              <w:rPr>
                <w:rFonts w:hint="default" w:ascii="Times New Roman" w:hAnsi="Times New Roman" w:cs="Times New Roman"/>
                <w:color w:val="000000" w:themeColor="text1"/>
                <w:highlight w:val="none"/>
                <w:u w:val="none" w:color="auto"/>
                <w14:textFill>
                  <w14:solidFill>
                    <w14:schemeClr w14:val="tx1"/>
                  </w14:solidFill>
                </w14:textFill>
              </w:rPr>
              <w:t>t/d</w:t>
            </w:r>
          </w:p>
        </w:tc>
        <w:tc>
          <w:tcPr>
            <w:tcW w:w="1056" w:type="dxa"/>
            <w:vAlign w:val="center"/>
          </w:tcPr>
          <w:p w14:paraId="4B271ED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0.0031g</w:t>
            </w:r>
          </w:p>
        </w:tc>
        <w:tc>
          <w:tcPr>
            <w:tcW w:w="1028" w:type="dxa"/>
            <w:vAlign w:val="center"/>
          </w:tcPr>
          <w:p w14:paraId="6C17F6B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0.00012g</w:t>
            </w:r>
          </w:p>
        </w:tc>
        <w:tc>
          <w:tcPr>
            <w:tcW w:w="990" w:type="dxa"/>
            <w:vAlign w:val="center"/>
          </w:tcPr>
          <w:p w14:paraId="7766B0C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3.16</w:t>
            </w:r>
            <w:r>
              <w:rPr>
                <w:rFonts w:hint="default" w:ascii="Times New Roman" w:hAnsi="Times New Roman" w:cs="Times New Roman"/>
                <w:color w:val="000000" w:themeColor="text1"/>
                <w:highlight w:val="none"/>
                <w:u w:val="none" w:color="auto"/>
                <w14:textFill>
                  <w14:solidFill>
                    <w14:schemeClr w14:val="tx1"/>
                  </w14:solidFill>
                </w14:textFill>
              </w:rPr>
              <w:t>kg/d</w:t>
            </w:r>
          </w:p>
        </w:tc>
        <w:tc>
          <w:tcPr>
            <w:tcW w:w="1304" w:type="dxa"/>
            <w:vAlign w:val="center"/>
          </w:tcPr>
          <w:p w14:paraId="5FC478C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0.1224</w:t>
            </w:r>
            <w:r>
              <w:rPr>
                <w:rFonts w:hint="default" w:ascii="Times New Roman" w:hAnsi="Times New Roman" w:cs="Times New Roman"/>
                <w:color w:val="000000" w:themeColor="text1"/>
                <w:highlight w:val="none"/>
                <w:u w:val="none" w:color="auto"/>
                <w14:textFill>
                  <w14:solidFill>
                    <w14:schemeClr w14:val="tx1"/>
                  </w14:solidFill>
                </w14:textFill>
              </w:rPr>
              <w:t>kg/d</w:t>
            </w:r>
          </w:p>
        </w:tc>
      </w:tr>
    </w:tbl>
    <w:p w14:paraId="42405D00">
      <w:pPr>
        <w:pStyle w:val="194"/>
        <w:spacing w:line="240" w:lineRule="auto"/>
        <w:rPr>
          <w:rFonts w:hint="default" w:ascii="Times New Roman" w:hAnsi="Times New Roman" w:cs="Times New Roman"/>
          <w:color w:val="FF0000"/>
          <w:highlight w:val="none"/>
          <w:u w:val="none" w:color="auto"/>
        </w:rPr>
      </w:pPr>
    </w:p>
    <w:p w14:paraId="7650668F">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3.5</w:t>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 xml:space="preserve">  本项目恶臭污染物排放情况</w:t>
      </w:r>
      <w:r>
        <w:rPr>
          <w:rFonts w:hint="default" w:ascii="Times New Roman" w:hAnsi="Times New Roman" w:cs="Times New Roman"/>
          <w:color w:val="000000" w:themeColor="text1"/>
          <w:highlight w:val="none"/>
          <w:u w:val="none" w:color="auto"/>
          <w14:textFill>
            <w14:solidFill>
              <w14:schemeClr w14:val="tx1"/>
            </w14:solidFill>
          </w14:textFill>
        </w:rPr>
        <w:tab/>
      </w:r>
    </w:p>
    <w:tbl>
      <w:tblPr>
        <w:tblStyle w:val="76"/>
        <w:tblW w:w="92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2"/>
        <w:gridCol w:w="892"/>
        <w:gridCol w:w="975"/>
        <w:gridCol w:w="1215"/>
        <w:gridCol w:w="1155"/>
        <w:gridCol w:w="1118"/>
        <w:gridCol w:w="1334"/>
        <w:gridCol w:w="1335"/>
      </w:tblGrid>
      <w:tr w14:paraId="1562EC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1192" w:type="dxa"/>
            <w:vAlign w:val="center"/>
          </w:tcPr>
          <w:p w14:paraId="2FC12F43">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生产单元</w:t>
            </w:r>
          </w:p>
        </w:tc>
        <w:tc>
          <w:tcPr>
            <w:tcW w:w="892" w:type="dxa"/>
            <w:vAlign w:val="center"/>
          </w:tcPr>
          <w:p w14:paraId="4067361A">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污染物</w:t>
            </w:r>
          </w:p>
        </w:tc>
        <w:tc>
          <w:tcPr>
            <w:tcW w:w="975" w:type="dxa"/>
            <w:vAlign w:val="center"/>
          </w:tcPr>
          <w:p w14:paraId="3FFF5972">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产生量kg/d</w:t>
            </w:r>
          </w:p>
        </w:tc>
        <w:tc>
          <w:tcPr>
            <w:tcW w:w="1215" w:type="dxa"/>
            <w:vAlign w:val="center"/>
          </w:tcPr>
          <w:p w14:paraId="1BF12876">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产生量t/a</w:t>
            </w:r>
          </w:p>
        </w:tc>
        <w:tc>
          <w:tcPr>
            <w:tcW w:w="1155" w:type="dxa"/>
            <w:vAlign w:val="center"/>
          </w:tcPr>
          <w:p w14:paraId="02D0FA55">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收集</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效</w:t>
            </w:r>
            <w:r>
              <w:rPr>
                <w:rFonts w:hint="default" w:ascii="Times New Roman" w:hAnsi="Times New Roman" w:cs="Times New Roman"/>
                <w:b/>
                <w:bCs/>
                <w:color w:val="000000" w:themeColor="text1"/>
                <w:highlight w:val="none"/>
                <w:u w:val="none" w:color="auto"/>
                <w14:textFill>
                  <w14:solidFill>
                    <w14:schemeClr w14:val="tx1"/>
                  </w14:solidFill>
                </w14:textFill>
              </w:rPr>
              <w:t>率</w:t>
            </w:r>
          </w:p>
        </w:tc>
        <w:tc>
          <w:tcPr>
            <w:tcW w:w="1118" w:type="dxa"/>
            <w:vAlign w:val="center"/>
          </w:tcPr>
          <w:p w14:paraId="2A7AAC18">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收集量t/a</w:t>
            </w:r>
          </w:p>
        </w:tc>
        <w:tc>
          <w:tcPr>
            <w:tcW w:w="1334" w:type="dxa"/>
            <w:vAlign w:val="center"/>
          </w:tcPr>
          <w:p w14:paraId="3784AA49">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无组织</w:t>
            </w:r>
          </w:p>
          <w:p w14:paraId="07F03F9F">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产生量</w:t>
            </w:r>
            <w:r>
              <w:rPr>
                <w:rFonts w:hint="default" w:ascii="Times New Roman" w:hAnsi="Times New Roman" w:cs="Times New Roman"/>
                <w:b/>
                <w:bCs/>
                <w:color w:val="000000" w:themeColor="text1"/>
                <w:highlight w:val="none"/>
                <w:u w:val="none" w:color="auto"/>
                <w14:textFill>
                  <w14:solidFill>
                    <w14:schemeClr w14:val="tx1"/>
                  </w14:solidFill>
                </w14:textFill>
              </w:rPr>
              <w:t>t/a</w:t>
            </w:r>
          </w:p>
        </w:tc>
        <w:tc>
          <w:tcPr>
            <w:tcW w:w="1335" w:type="dxa"/>
            <w:vAlign w:val="center"/>
          </w:tcPr>
          <w:p w14:paraId="63F9F360">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无组织</w:t>
            </w:r>
          </w:p>
          <w:p w14:paraId="12486AD1">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排放量</w:t>
            </w:r>
            <w:r>
              <w:rPr>
                <w:rFonts w:hint="default" w:ascii="Times New Roman" w:hAnsi="Times New Roman" w:cs="Times New Roman"/>
                <w:b/>
                <w:bCs/>
                <w:color w:val="000000" w:themeColor="text1"/>
                <w:highlight w:val="none"/>
                <w:u w:val="none" w:color="auto"/>
                <w14:textFill>
                  <w14:solidFill>
                    <w14:schemeClr w14:val="tx1"/>
                  </w14:solidFill>
                </w14:textFill>
              </w:rPr>
              <w:t>t/a</w:t>
            </w:r>
          </w:p>
        </w:tc>
      </w:tr>
      <w:tr w14:paraId="03B2FF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192" w:type="dxa"/>
            <w:vMerge w:val="restart"/>
            <w:vAlign w:val="center"/>
          </w:tcPr>
          <w:p w14:paraId="75233B7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污水处理</w:t>
            </w:r>
          </w:p>
        </w:tc>
        <w:tc>
          <w:tcPr>
            <w:tcW w:w="892" w:type="dxa"/>
            <w:vAlign w:val="center"/>
          </w:tcPr>
          <w:p w14:paraId="6D5A816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氨</w:t>
            </w:r>
          </w:p>
        </w:tc>
        <w:tc>
          <w:tcPr>
            <w:tcW w:w="975" w:type="dxa"/>
            <w:vAlign w:val="center"/>
          </w:tcPr>
          <w:p w14:paraId="74A751C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3.16</w:t>
            </w:r>
          </w:p>
        </w:tc>
        <w:tc>
          <w:tcPr>
            <w:tcW w:w="1215" w:type="dxa"/>
            <w:vAlign w:val="center"/>
          </w:tcPr>
          <w:p w14:paraId="5B18572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1.1534</w:t>
            </w:r>
          </w:p>
        </w:tc>
        <w:tc>
          <w:tcPr>
            <w:tcW w:w="1155" w:type="dxa"/>
            <w:vAlign w:val="center"/>
          </w:tcPr>
          <w:p w14:paraId="72894DC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eastAsia="等线" w:cs="Times New Roman"/>
                <w:color w:val="000000" w:themeColor="text1"/>
                <w:highlight w:val="none"/>
                <w:u w:val="none" w:color="auto"/>
                <w14:textFill>
                  <w14:solidFill>
                    <w14:schemeClr w14:val="tx1"/>
                  </w14:solidFill>
                </w14:textFill>
              </w:rPr>
              <w:t>90%</w:t>
            </w:r>
          </w:p>
        </w:tc>
        <w:tc>
          <w:tcPr>
            <w:tcW w:w="1118" w:type="dxa"/>
            <w:vAlign w:val="center"/>
          </w:tcPr>
          <w:p w14:paraId="032E9C8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1.03806</w:t>
            </w:r>
          </w:p>
        </w:tc>
        <w:tc>
          <w:tcPr>
            <w:tcW w:w="1334" w:type="dxa"/>
            <w:vAlign w:val="center"/>
          </w:tcPr>
          <w:p w14:paraId="0484775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11534</w:t>
            </w:r>
          </w:p>
        </w:tc>
        <w:tc>
          <w:tcPr>
            <w:tcW w:w="1335" w:type="dxa"/>
            <w:vAlign w:val="center"/>
          </w:tcPr>
          <w:p w14:paraId="00210F9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0.04614</w:t>
            </w:r>
          </w:p>
        </w:tc>
      </w:tr>
      <w:tr w14:paraId="69312F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1192" w:type="dxa"/>
            <w:vMerge w:val="continue"/>
            <w:vAlign w:val="center"/>
          </w:tcPr>
          <w:p w14:paraId="399EF4F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892" w:type="dxa"/>
            <w:vAlign w:val="center"/>
          </w:tcPr>
          <w:p w14:paraId="1EF526B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硫化氢</w:t>
            </w:r>
          </w:p>
        </w:tc>
        <w:tc>
          <w:tcPr>
            <w:tcW w:w="975" w:type="dxa"/>
            <w:vAlign w:val="center"/>
          </w:tcPr>
          <w:p w14:paraId="3C8FC9A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0.1224</w:t>
            </w:r>
          </w:p>
        </w:tc>
        <w:tc>
          <w:tcPr>
            <w:tcW w:w="1215" w:type="dxa"/>
            <w:vAlign w:val="center"/>
          </w:tcPr>
          <w:p w14:paraId="7A20770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44676</w:t>
            </w:r>
          </w:p>
        </w:tc>
        <w:tc>
          <w:tcPr>
            <w:tcW w:w="1155" w:type="dxa"/>
            <w:vAlign w:val="center"/>
          </w:tcPr>
          <w:p w14:paraId="2C15D39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eastAsia="等线" w:cs="Times New Roman"/>
                <w:color w:val="000000" w:themeColor="text1"/>
                <w:highlight w:val="none"/>
                <w:u w:val="none" w:color="auto"/>
                <w14:textFill>
                  <w14:solidFill>
                    <w14:schemeClr w14:val="tx1"/>
                  </w14:solidFill>
                </w14:textFill>
              </w:rPr>
              <w:t>90%</w:t>
            </w:r>
          </w:p>
        </w:tc>
        <w:tc>
          <w:tcPr>
            <w:tcW w:w="1118" w:type="dxa"/>
            <w:vAlign w:val="center"/>
          </w:tcPr>
          <w:p w14:paraId="44B4DAE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40208</w:t>
            </w:r>
          </w:p>
        </w:tc>
        <w:tc>
          <w:tcPr>
            <w:tcW w:w="1334" w:type="dxa"/>
            <w:vAlign w:val="center"/>
          </w:tcPr>
          <w:p w14:paraId="68E292E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4468</w:t>
            </w:r>
          </w:p>
        </w:tc>
        <w:tc>
          <w:tcPr>
            <w:tcW w:w="1335" w:type="dxa"/>
            <w:vAlign w:val="center"/>
          </w:tcPr>
          <w:p w14:paraId="4474FF3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0.001787</w:t>
            </w:r>
          </w:p>
        </w:tc>
      </w:tr>
    </w:tbl>
    <w:p w14:paraId="5F9FE165">
      <w:pPr>
        <w:pStyle w:val="189"/>
        <w:rPr>
          <w:rFonts w:hint="default" w:ascii="Times New Roman" w:hAnsi="Times New Roman" w:cs="Times New Roman"/>
          <w:color w:val="000000" w:themeColor="text1"/>
          <w:highlight w:val="none"/>
          <w:u w:val="none" w:color="auto"/>
          <w14:textFill>
            <w14:solidFill>
              <w14:schemeClr w14:val="tx1"/>
            </w14:solidFill>
          </w14:textFill>
        </w:rPr>
      </w:pPr>
      <w:bookmarkStart w:id="74" w:name="_Hlk33518331"/>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项目通过喷洒除臭药剂、加强厂区绿化以减少无组织恶臭的排放，去除效率取60%；</w:t>
      </w:r>
      <w:r>
        <w:rPr>
          <w:rFonts w:hint="default" w:ascii="Times New Roman" w:hAnsi="Times New Roman" w:cs="Times New Roman"/>
          <w:color w:val="000000" w:themeColor="text1"/>
          <w:highlight w:val="none"/>
          <w:u w:val="none" w:color="auto"/>
          <w14:textFill>
            <w14:solidFill>
              <w14:schemeClr w14:val="tx1"/>
            </w14:solidFill>
          </w14:textFill>
        </w:rPr>
        <w:t>项目主要产臭源均加盖密封，</w:t>
      </w:r>
      <w:r>
        <w:rPr>
          <w:rFonts w:hint="default" w:ascii="Times New Roman" w:hAnsi="Times New Roman" w:cs="Times New Roman"/>
          <w:color w:val="000000" w:themeColor="text1"/>
          <w:highlight w:val="none"/>
          <w:u w:val="none" w:color="auto"/>
          <w:lang w:eastAsia="zh-CN"/>
          <w14:textFill>
            <w14:solidFill>
              <w14:schemeClr w14:val="tx1"/>
            </w14:solidFill>
          </w14:textFill>
        </w:rPr>
        <w:t>污泥脱水间密闭，</w:t>
      </w:r>
      <w:r>
        <w:rPr>
          <w:rFonts w:hint="default" w:ascii="Times New Roman" w:hAnsi="Times New Roman" w:cs="Times New Roman"/>
          <w:color w:val="000000" w:themeColor="text1"/>
          <w:highlight w:val="none"/>
          <w:u w:val="none" w:color="auto"/>
          <w14:textFill>
            <w14:solidFill>
              <w14:schemeClr w14:val="tx1"/>
            </w14:solidFill>
          </w14:textFill>
        </w:rPr>
        <w:t>臭气收集后经</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生物除臭</w:t>
      </w:r>
      <w:r>
        <w:rPr>
          <w:rFonts w:hint="default" w:ascii="Times New Roman" w:hAnsi="Times New Roman" w:cs="Times New Roman"/>
          <w:color w:val="000000" w:themeColor="text1"/>
          <w:highlight w:val="none"/>
          <w:u w:val="none" w:color="auto"/>
          <w14:textFill>
            <w14:solidFill>
              <w14:schemeClr w14:val="tx1"/>
            </w14:solidFill>
          </w14:textFill>
        </w:rPr>
        <w:t>处理，</w:t>
      </w:r>
      <w:r>
        <w:rPr>
          <w:rFonts w:hint="default" w:ascii="Times New Roman" w:hAnsi="Times New Roman" w:cs="Times New Roman"/>
          <w:color w:val="000000" w:themeColor="text1"/>
          <w:highlight w:val="none"/>
          <w:u w:val="none" w:color="auto"/>
          <w:lang w:eastAsia="zh-CN"/>
          <w14:textFill>
            <w14:solidFill>
              <w14:schemeClr w14:val="tx1"/>
            </w14:solidFill>
          </w14:textFill>
        </w:rPr>
        <w:t>设置有</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风机进行负压收集，</w:t>
      </w:r>
      <w:r>
        <w:rPr>
          <w:rFonts w:hint="default" w:ascii="Times New Roman" w:hAnsi="Times New Roman" w:cs="Times New Roman"/>
          <w:color w:val="000000" w:themeColor="text1"/>
          <w:highlight w:val="none"/>
          <w:u w:val="none" w:color="auto"/>
          <w14:textFill>
            <w14:solidFill>
              <w14:schemeClr w14:val="tx1"/>
            </w14:solidFill>
          </w14:textFill>
        </w:rPr>
        <w:t>处理风量为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spacing w:val="-1"/>
          <w:highlight w:val="none"/>
          <w:u w:val="none" w:color="auto"/>
          <w14:textFill>
            <w14:solidFill>
              <w14:schemeClr w14:val="tx1"/>
            </w14:solidFill>
          </w14:textFill>
        </w:rPr>
        <w:t>m</w:t>
      </w:r>
      <w:r>
        <w:rPr>
          <w:rFonts w:hint="default" w:ascii="Times New Roman" w:hAnsi="Times New Roman" w:cs="Times New Roman"/>
          <w:color w:val="000000" w:themeColor="text1"/>
          <w:position w:val="10"/>
          <w:sz w:val="14"/>
          <w:szCs w:val="14"/>
          <w:highlight w:val="none"/>
          <w:u w:val="none" w:color="auto"/>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/h，收集效率取</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w:t>
      </w:r>
      <w:r>
        <w:rPr>
          <w:rFonts w:hint="default" w:ascii="Times New Roman" w:hAnsi="Times New Roman" w:cs="Times New Roman"/>
          <w:color w:val="000000" w:themeColor="text1"/>
          <w:highlight w:val="none"/>
          <w:u w:val="none" w:color="auto"/>
          <w14:textFill>
            <w14:solidFill>
              <w14:schemeClr w14:val="tx1"/>
            </w14:solidFill>
          </w14:textFill>
        </w:rPr>
        <w:t>0%，处理效率为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95</w:t>
      </w:r>
      <w:r>
        <w:rPr>
          <w:rFonts w:hint="default" w:ascii="Times New Roman" w:hAnsi="Times New Roman" w:cs="Times New Roman"/>
          <w:color w:val="000000" w:themeColor="text1"/>
          <w:highlight w:val="none"/>
          <w:u w:val="none" w:color="auto"/>
          <w14:textFill>
            <w14:solidFill>
              <w14:schemeClr w14:val="tx1"/>
            </w14:solidFill>
          </w14:textFill>
        </w:rPr>
        <w:t>%，通过15m高排气筒（DA001）排放。</w:t>
      </w:r>
    </w:p>
    <w:p w14:paraId="32AD7326">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w:t>
      </w:r>
      <w:r>
        <w:rPr>
          <w:rFonts w:hint="default" w:ascii="Times New Roman" w:hAnsi="Times New Roman" w:cs="Times New Roman"/>
          <w:color w:val="000000" w:themeColor="text1"/>
          <w:highlight w:val="none"/>
          <w:u w:val="none" w:color="auto"/>
          <w14:textFill>
            <w14:solidFill>
              <w14:schemeClr w14:val="tx1"/>
            </w14:solidFill>
          </w14:textFill>
        </w:rPr>
        <w:t xml:space="preserve">  本项目恶臭污染物有组织排放情况</w:t>
      </w:r>
    </w:p>
    <w:tbl>
      <w:tblPr>
        <w:tblStyle w:val="76"/>
        <w:tblW w:w="500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852"/>
        <w:gridCol w:w="709"/>
        <w:gridCol w:w="796"/>
        <w:gridCol w:w="857"/>
        <w:gridCol w:w="1043"/>
        <w:gridCol w:w="709"/>
        <w:gridCol w:w="851"/>
        <w:gridCol w:w="1136"/>
        <w:gridCol w:w="972"/>
        <w:gridCol w:w="694"/>
      </w:tblGrid>
      <w:tr w14:paraId="53D3C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675" w:type="dxa"/>
            <w:vAlign w:val="center"/>
          </w:tcPr>
          <w:p w14:paraId="62659153">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生产单元</w:t>
            </w:r>
          </w:p>
        </w:tc>
        <w:tc>
          <w:tcPr>
            <w:tcW w:w="852" w:type="dxa"/>
            <w:vAlign w:val="center"/>
          </w:tcPr>
          <w:p w14:paraId="12D2781C">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污染物</w:t>
            </w:r>
          </w:p>
        </w:tc>
        <w:tc>
          <w:tcPr>
            <w:tcW w:w="709" w:type="dxa"/>
            <w:vAlign w:val="center"/>
          </w:tcPr>
          <w:p w14:paraId="5645AB79">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时间h</w:t>
            </w:r>
          </w:p>
        </w:tc>
        <w:tc>
          <w:tcPr>
            <w:tcW w:w="796" w:type="dxa"/>
            <w:vAlign w:val="center"/>
          </w:tcPr>
          <w:p w14:paraId="26C05D0B">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风量</w:t>
            </w:r>
            <w:r>
              <w:rPr>
                <w:rFonts w:hint="default" w:ascii="Times New Roman" w:hAnsi="Times New Roman" w:cs="Times New Roman"/>
                <w:b/>
                <w:bCs/>
                <w:color w:val="000000" w:themeColor="text1"/>
                <w:spacing w:val="-1"/>
                <w:sz w:val="24"/>
                <w:szCs w:val="24"/>
                <w:highlight w:val="none"/>
                <w:u w:val="none" w:color="auto"/>
                <w14:textFill>
                  <w14:solidFill>
                    <w14:schemeClr w14:val="tx1"/>
                  </w14:solidFill>
                </w14:textFill>
              </w:rPr>
              <w:t>m</w:t>
            </w:r>
            <w:r>
              <w:rPr>
                <w:rFonts w:hint="default" w:ascii="Times New Roman" w:hAnsi="Times New Roman" w:cs="Times New Roman"/>
                <w:b/>
                <w:bCs/>
                <w:color w:val="000000" w:themeColor="text1"/>
                <w:position w:val="10"/>
                <w:sz w:val="14"/>
                <w:szCs w:val="14"/>
                <w:highlight w:val="none"/>
                <w:u w:val="none" w:color="auto"/>
                <w14:textFill>
                  <w14:solidFill>
                    <w14:schemeClr w14:val="tx1"/>
                  </w14:solidFill>
                </w14:textFill>
              </w:rPr>
              <w:t>3</w:t>
            </w:r>
            <w:r>
              <w:rPr>
                <w:rFonts w:hint="default" w:ascii="Times New Roman" w:hAnsi="Times New Roman" w:cs="Times New Roman"/>
                <w:b/>
                <w:bCs/>
                <w:color w:val="000000" w:themeColor="text1"/>
                <w:highlight w:val="none"/>
                <w:u w:val="none" w:color="auto"/>
                <w14:textFill>
                  <w14:solidFill>
                    <w14:schemeClr w14:val="tx1"/>
                  </w14:solidFill>
                </w14:textFill>
              </w:rPr>
              <w:t>/h</w:t>
            </w:r>
          </w:p>
        </w:tc>
        <w:tc>
          <w:tcPr>
            <w:tcW w:w="857" w:type="dxa"/>
            <w:vAlign w:val="center"/>
          </w:tcPr>
          <w:p w14:paraId="1CE20C1F">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产生量t/a</w:t>
            </w:r>
          </w:p>
        </w:tc>
        <w:tc>
          <w:tcPr>
            <w:tcW w:w="1043" w:type="dxa"/>
            <w:vAlign w:val="center"/>
          </w:tcPr>
          <w:p w14:paraId="59B60658">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产生浓度mg/</w:t>
            </w:r>
            <w:r>
              <w:rPr>
                <w:rFonts w:hint="default" w:ascii="Times New Roman" w:hAnsi="Times New Roman" w:cs="Times New Roman"/>
                <w:b/>
                <w:bCs/>
                <w:color w:val="000000" w:themeColor="text1"/>
                <w:spacing w:val="-1"/>
                <w:sz w:val="24"/>
                <w:szCs w:val="24"/>
                <w:highlight w:val="none"/>
                <w:u w:val="none" w:color="auto"/>
                <w14:textFill>
                  <w14:solidFill>
                    <w14:schemeClr w14:val="tx1"/>
                  </w14:solidFill>
                </w14:textFill>
              </w:rPr>
              <w:t>m</w:t>
            </w:r>
            <w:r>
              <w:rPr>
                <w:rFonts w:hint="default" w:ascii="Times New Roman" w:hAnsi="Times New Roman" w:cs="Times New Roman"/>
                <w:b/>
                <w:bCs/>
                <w:color w:val="000000" w:themeColor="text1"/>
                <w:position w:val="10"/>
                <w:sz w:val="14"/>
                <w:szCs w:val="14"/>
                <w:highlight w:val="none"/>
                <w:u w:val="none" w:color="auto"/>
                <w14:textFill>
                  <w14:solidFill>
                    <w14:schemeClr w14:val="tx1"/>
                  </w14:solidFill>
                </w14:textFill>
              </w:rPr>
              <w:t>3</w:t>
            </w:r>
          </w:p>
        </w:tc>
        <w:tc>
          <w:tcPr>
            <w:tcW w:w="709" w:type="dxa"/>
            <w:vAlign w:val="center"/>
          </w:tcPr>
          <w:p w14:paraId="5C365BA7">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效率</w:t>
            </w:r>
          </w:p>
        </w:tc>
        <w:tc>
          <w:tcPr>
            <w:tcW w:w="851" w:type="dxa"/>
            <w:vAlign w:val="center"/>
          </w:tcPr>
          <w:p w14:paraId="67F7ACD3">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排放量t/a</w:t>
            </w:r>
          </w:p>
        </w:tc>
        <w:tc>
          <w:tcPr>
            <w:tcW w:w="1136" w:type="dxa"/>
            <w:vAlign w:val="center"/>
          </w:tcPr>
          <w:p w14:paraId="741EF09A">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排放浓度mg/</w:t>
            </w:r>
            <w:r>
              <w:rPr>
                <w:rFonts w:hint="default" w:ascii="Times New Roman" w:hAnsi="Times New Roman" w:cs="Times New Roman"/>
                <w:b/>
                <w:bCs/>
                <w:color w:val="000000" w:themeColor="text1"/>
                <w:spacing w:val="-1"/>
                <w:sz w:val="24"/>
                <w:szCs w:val="24"/>
                <w:highlight w:val="none"/>
                <w:u w:val="none" w:color="auto"/>
                <w14:textFill>
                  <w14:solidFill>
                    <w14:schemeClr w14:val="tx1"/>
                  </w14:solidFill>
                </w14:textFill>
              </w:rPr>
              <w:t>m</w:t>
            </w:r>
            <w:r>
              <w:rPr>
                <w:rFonts w:hint="default" w:ascii="Times New Roman" w:hAnsi="Times New Roman" w:cs="Times New Roman"/>
                <w:b/>
                <w:bCs/>
                <w:color w:val="000000" w:themeColor="text1"/>
                <w:position w:val="10"/>
                <w:sz w:val="14"/>
                <w:szCs w:val="14"/>
                <w:highlight w:val="none"/>
                <w:u w:val="none" w:color="auto"/>
                <w14:textFill>
                  <w14:solidFill>
                    <w14:schemeClr w14:val="tx1"/>
                  </w14:solidFill>
                </w14:textFill>
              </w:rPr>
              <w:t>3</w:t>
            </w:r>
          </w:p>
        </w:tc>
        <w:tc>
          <w:tcPr>
            <w:tcW w:w="972" w:type="dxa"/>
            <w:vAlign w:val="center"/>
          </w:tcPr>
          <w:p w14:paraId="692CC63D">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排放速率kg/h</w:t>
            </w:r>
          </w:p>
        </w:tc>
        <w:tc>
          <w:tcPr>
            <w:tcW w:w="694" w:type="dxa"/>
            <w:vAlign w:val="center"/>
          </w:tcPr>
          <w:p w14:paraId="1B8D5A77">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标准kg/h</w:t>
            </w:r>
          </w:p>
        </w:tc>
      </w:tr>
      <w:tr w14:paraId="545B54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675" w:type="dxa"/>
            <w:vMerge w:val="restart"/>
            <w:vAlign w:val="center"/>
          </w:tcPr>
          <w:p w14:paraId="220E689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污水处理</w:t>
            </w:r>
          </w:p>
        </w:tc>
        <w:tc>
          <w:tcPr>
            <w:tcW w:w="852" w:type="dxa"/>
            <w:vAlign w:val="center"/>
          </w:tcPr>
          <w:p w14:paraId="5CE12D8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氨</w:t>
            </w:r>
          </w:p>
        </w:tc>
        <w:tc>
          <w:tcPr>
            <w:tcW w:w="709" w:type="dxa"/>
            <w:vAlign w:val="center"/>
          </w:tcPr>
          <w:p w14:paraId="679E214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eastAsia="等线" w:cs="Times New Roman"/>
                <w:color w:val="000000" w:themeColor="text1"/>
                <w:highlight w:val="none"/>
                <w:u w:val="none" w:color="auto"/>
                <w14:textFill>
                  <w14:solidFill>
                    <w14:schemeClr w14:val="tx1"/>
                  </w14:solidFill>
                </w14:textFill>
              </w:rPr>
              <w:t>8760</w:t>
            </w:r>
          </w:p>
        </w:tc>
        <w:tc>
          <w:tcPr>
            <w:tcW w:w="796" w:type="dxa"/>
            <w:vAlign w:val="center"/>
          </w:tcPr>
          <w:p w14:paraId="26ACEB0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eastAsia="等线"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eastAsia="等线" w:cs="Times New Roman"/>
                <w:color w:val="000000" w:themeColor="text1"/>
                <w:highlight w:val="none"/>
                <w:u w:val="none" w:color="auto"/>
                <w14:textFill>
                  <w14:solidFill>
                    <w14:schemeClr w14:val="tx1"/>
                  </w14:solidFill>
                </w14:textFill>
              </w:rPr>
              <w:t>000</w:t>
            </w:r>
          </w:p>
        </w:tc>
        <w:tc>
          <w:tcPr>
            <w:tcW w:w="857" w:type="dxa"/>
            <w:vAlign w:val="center"/>
          </w:tcPr>
          <w:p w14:paraId="1FDC9ADA">
            <w:pPr>
              <w:pStyle w:val="19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1.038</w:t>
            </w:r>
          </w:p>
        </w:tc>
        <w:tc>
          <w:tcPr>
            <w:tcW w:w="1043" w:type="dxa"/>
            <w:vAlign w:val="center"/>
          </w:tcPr>
          <w:p w14:paraId="26DD9FB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11.85</w:t>
            </w:r>
          </w:p>
        </w:tc>
        <w:tc>
          <w:tcPr>
            <w:tcW w:w="709" w:type="dxa"/>
            <w:vAlign w:val="center"/>
          </w:tcPr>
          <w:p w14:paraId="09DD989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95</w:t>
            </w:r>
            <w:r>
              <w:rPr>
                <w:rFonts w:hint="default" w:ascii="Times New Roman" w:hAnsi="Times New Roman" w:cs="Times New Roman"/>
                <w:color w:val="000000" w:themeColor="text1"/>
                <w:highlight w:val="none"/>
                <w:u w:val="none" w:color="auto"/>
                <w14:textFill>
                  <w14:solidFill>
                    <w14:schemeClr w14:val="tx1"/>
                  </w14:solidFill>
                </w14:textFill>
              </w:rPr>
              <w:t>%</w:t>
            </w:r>
          </w:p>
        </w:tc>
        <w:tc>
          <w:tcPr>
            <w:tcW w:w="851" w:type="dxa"/>
            <w:vAlign w:val="center"/>
          </w:tcPr>
          <w:p w14:paraId="2D266F0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0519</w:t>
            </w:r>
          </w:p>
        </w:tc>
        <w:tc>
          <w:tcPr>
            <w:tcW w:w="1136" w:type="dxa"/>
            <w:vAlign w:val="center"/>
          </w:tcPr>
          <w:p w14:paraId="4CA512F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0.5925</w:t>
            </w:r>
          </w:p>
        </w:tc>
        <w:tc>
          <w:tcPr>
            <w:tcW w:w="972" w:type="dxa"/>
            <w:vAlign w:val="center"/>
          </w:tcPr>
          <w:p w14:paraId="130EE7B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0.</w:t>
            </w:r>
            <w:r>
              <w:rPr>
                <w:rFonts w:hint="default" w:ascii="Times New Roman" w:hAnsi="Times New Roman" w:cs="Times New Roman"/>
                <w:color w:val="auto"/>
                <w:highlight w:val="none"/>
                <w:u w:val="none" w:color="auto"/>
                <w:lang w:val="en-US" w:eastAsia="zh-CN"/>
              </w:rPr>
              <w:t>00592</w:t>
            </w:r>
          </w:p>
        </w:tc>
        <w:tc>
          <w:tcPr>
            <w:tcW w:w="694" w:type="dxa"/>
            <w:vAlign w:val="center"/>
          </w:tcPr>
          <w:p w14:paraId="71D3B4D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4.9</w:t>
            </w:r>
          </w:p>
        </w:tc>
      </w:tr>
      <w:tr w14:paraId="6639BB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jc w:val="center"/>
        </w:trPr>
        <w:tc>
          <w:tcPr>
            <w:tcW w:w="675" w:type="dxa"/>
            <w:vMerge w:val="continue"/>
            <w:vAlign w:val="center"/>
          </w:tcPr>
          <w:p w14:paraId="2DBF1BC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852" w:type="dxa"/>
            <w:vAlign w:val="center"/>
          </w:tcPr>
          <w:p w14:paraId="7F80D00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硫化氢</w:t>
            </w:r>
          </w:p>
        </w:tc>
        <w:tc>
          <w:tcPr>
            <w:tcW w:w="709" w:type="dxa"/>
            <w:vAlign w:val="center"/>
          </w:tcPr>
          <w:p w14:paraId="00DEF5F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eastAsia="等线" w:cs="Times New Roman"/>
                <w:color w:val="000000" w:themeColor="text1"/>
                <w:highlight w:val="none"/>
                <w:u w:val="none" w:color="auto"/>
                <w14:textFill>
                  <w14:solidFill>
                    <w14:schemeClr w14:val="tx1"/>
                  </w14:solidFill>
                </w14:textFill>
              </w:rPr>
              <w:t>8760</w:t>
            </w:r>
          </w:p>
        </w:tc>
        <w:tc>
          <w:tcPr>
            <w:tcW w:w="796" w:type="dxa"/>
            <w:vAlign w:val="center"/>
          </w:tcPr>
          <w:p w14:paraId="4C2BB49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eastAsia="等线"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eastAsia="等线" w:cs="Times New Roman"/>
                <w:color w:val="000000" w:themeColor="text1"/>
                <w:highlight w:val="none"/>
                <w:u w:val="none" w:color="auto"/>
                <w14:textFill>
                  <w14:solidFill>
                    <w14:schemeClr w14:val="tx1"/>
                  </w14:solidFill>
                </w14:textFill>
              </w:rPr>
              <w:t>000</w:t>
            </w:r>
          </w:p>
        </w:tc>
        <w:tc>
          <w:tcPr>
            <w:tcW w:w="857" w:type="dxa"/>
            <w:vAlign w:val="center"/>
          </w:tcPr>
          <w:p w14:paraId="501BD01A">
            <w:pPr>
              <w:pStyle w:val="19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0.0402</w:t>
            </w:r>
          </w:p>
        </w:tc>
        <w:tc>
          <w:tcPr>
            <w:tcW w:w="1043" w:type="dxa"/>
            <w:vAlign w:val="center"/>
          </w:tcPr>
          <w:p w14:paraId="5CD28CC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459</w:t>
            </w:r>
          </w:p>
        </w:tc>
        <w:tc>
          <w:tcPr>
            <w:tcW w:w="709" w:type="dxa"/>
            <w:vAlign w:val="center"/>
          </w:tcPr>
          <w:p w14:paraId="794C5D4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95</w:t>
            </w:r>
            <w:r>
              <w:rPr>
                <w:rFonts w:hint="default" w:ascii="Times New Roman" w:hAnsi="Times New Roman" w:cs="Times New Roman"/>
                <w:color w:val="000000" w:themeColor="text1"/>
                <w:highlight w:val="none"/>
                <w:u w:val="none" w:color="auto"/>
                <w14:textFill>
                  <w14:solidFill>
                    <w14:schemeClr w14:val="tx1"/>
                  </w14:solidFill>
                </w14:textFill>
              </w:rPr>
              <w:t>%</w:t>
            </w:r>
          </w:p>
        </w:tc>
        <w:tc>
          <w:tcPr>
            <w:tcW w:w="851" w:type="dxa"/>
            <w:vAlign w:val="center"/>
          </w:tcPr>
          <w:p w14:paraId="603D6F0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w:t>
            </w:r>
          </w:p>
        </w:tc>
        <w:tc>
          <w:tcPr>
            <w:tcW w:w="1136" w:type="dxa"/>
            <w:vAlign w:val="center"/>
          </w:tcPr>
          <w:p w14:paraId="41998A3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230</w:t>
            </w:r>
          </w:p>
        </w:tc>
        <w:tc>
          <w:tcPr>
            <w:tcW w:w="972" w:type="dxa"/>
            <w:vAlign w:val="center"/>
          </w:tcPr>
          <w:p w14:paraId="7E2AABC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0.000</w:t>
            </w:r>
            <w:r>
              <w:rPr>
                <w:rFonts w:hint="default" w:ascii="Times New Roman" w:hAnsi="Times New Roman" w:cs="Times New Roman"/>
                <w:color w:val="auto"/>
                <w:highlight w:val="none"/>
                <w:u w:val="none" w:color="auto"/>
                <w:lang w:val="en-US" w:eastAsia="zh-CN"/>
              </w:rPr>
              <w:t>23</w:t>
            </w:r>
          </w:p>
        </w:tc>
        <w:tc>
          <w:tcPr>
            <w:tcW w:w="694" w:type="dxa"/>
            <w:vAlign w:val="center"/>
          </w:tcPr>
          <w:p w14:paraId="154DE16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0.33</w:t>
            </w:r>
          </w:p>
        </w:tc>
      </w:tr>
    </w:tbl>
    <w:p w14:paraId="2083E6D2">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本项目恶臭污染物非正常排放，考虑除臭装置失效，恶臭气体未经处理直接有组织排放，项目非正常排放量见下表。</w:t>
      </w:r>
    </w:p>
    <w:p w14:paraId="5D75D637">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t xml:space="preserve">  恶臭污染物非正常排放量</w:t>
      </w:r>
    </w:p>
    <w:tbl>
      <w:tblPr>
        <w:tblStyle w:val="76"/>
        <w:tblW w:w="501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249"/>
        <w:gridCol w:w="1001"/>
        <w:gridCol w:w="890"/>
        <w:gridCol w:w="1245"/>
        <w:gridCol w:w="1276"/>
        <w:gridCol w:w="1936"/>
        <w:gridCol w:w="1717"/>
      </w:tblGrid>
      <w:tr w14:paraId="0CFA93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439" w:hRule="atLeast"/>
          <w:jc w:val="center"/>
        </w:trPr>
        <w:tc>
          <w:tcPr>
            <w:tcW w:w="0" w:type="auto"/>
            <w:vAlign w:val="center"/>
          </w:tcPr>
          <w:p w14:paraId="2A4BBFFB">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生产单元</w:t>
            </w:r>
          </w:p>
        </w:tc>
        <w:tc>
          <w:tcPr>
            <w:tcW w:w="0" w:type="auto"/>
            <w:shd w:val="clear" w:color="auto" w:fill="auto"/>
            <w:noWrap/>
            <w:vAlign w:val="center"/>
          </w:tcPr>
          <w:p w14:paraId="72BA6426">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污染物</w:t>
            </w:r>
          </w:p>
        </w:tc>
        <w:tc>
          <w:tcPr>
            <w:tcW w:w="0" w:type="auto"/>
            <w:shd w:val="clear" w:color="auto" w:fill="auto"/>
            <w:noWrap/>
            <w:vAlign w:val="center"/>
          </w:tcPr>
          <w:p w14:paraId="5A00F567">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时间h</w:t>
            </w:r>
          </w:p>
        </w:tc>
        <w:tc>
          <w:tcPr>
            <w:tcW w:w="0" w:type="auto"/>
            <w:shd w:val="clear" w:color="auto" w:fill="auto"/>
            <w:noWrap/>
            <w:vAlign w:val="center"/>
          </w:tcPr>
          <w:p w14:paraId="43F17212">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风量m</w:t>
            </w:r>
            <w:r>
              <w:rPr>
                <w:rFonts w:hint="default" w:ascii="Times New Roman" w:hAnsi="Times New Roman" w:cs="Times New Roman"/>
                <w:b/>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b/>
                <w:color w:val="000000" w:themeColor="text1"/>
                <w:highlight w:val="none"/>
                <w:u w:val="none" w:color="auto"/>
                <w14:textFill>
                  <w14:solidFill>
                    <w14:schemeClr w14:val="tx1"/>
                  </w14:solidFill>
                </w14:textFill>
              </w:rPr>
              <w:t>/h</w:t>
            </w:r>
          </w:p>
        </w:tc>
        <w:tc>
          <w:tcPr>
            <w:tcW w:w="0" w:type="auto"/>
            <w:shd w:val="clear" w:color="auto" w:fill="auto"/>
            <w:noWrap/>
            <w:vAlign w:val="center"/>
          </w:tcPr>
          <w:p w14:paraId="04C202C1">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排放量t/a</w:t>
            </w:r>
          </w:p>
        </w:tc>
        <w:tc>
          <w:tcPr>
            <w:tcW w:w="0" w:type="auto"/>
            <w:shd w:val="clear" w:color="auto" w:fill="auto"/>
            <w:noWrap/>
            <w:vAlign w:val="center"/>
          </w:tcPr>
          <w:p w14:paraId="238F8AB0">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排放浓度mg/m</w:t>
            </w:r>
            <w:r>
              <w:rPr>
                <w:rFonts w:hint="default" w:ascii="Times New Roman" w:hAnsi="Times New Roman" w:cs="Times New Roman"/>
                <w:b/>
                <w:color w:val="000000" w:themeColor="text1"/>
                <w:highlight w:val="none"/>
                <w:u w:val="none" w:color="auto"/>
                <w:vertAlign w:val="superscript"/>
                <w14:textFill>
                  <w14:solidFill>
                    <w14:schemeClr w14:val="tx1"/>
                  </w14:solidFill>
                </w14:textFill>
              </w:rPr>
              <w:t>3</w:t>
            </w:r>
          </w:p>
        </w:tc>
        <w:tc>
          <w:tcPr>
            <w:tcW w:w="0" w:type="auto"/>
            <w:shd w:val="clear" w:color="auto" w:fill="auto"/>
            <w:noWrap/>
            <w:vAlign w:val="center"/>
          </w:tcPr>
          <w:p w14:paraId="49A619BD">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排放速率kg/h</w:t>
            </w:r>
          </w:p>
        </w:tc>
      </w:tr>
      <w:tr w14:paraId="492272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7" w:hRule="atLeast"/>
          <w:jc w:val="center"/>
        </w:trPr>
        <w:tc>
          <w:tcPr>
            <w:tcW w:w="0" w:type="auto"/>
            <w:vMerge w:val="restart"/>
            <w:vAlign w:val="center"/>
          </w:tcPr>
          <w:p w14:paraId="0E5EB26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污水处理</w:t>
            </w:r>
          </w:p>
        </w:tc>
        <w:tc>
          <w:tcPr>
            <w:tcW w:w="0" w:type="auto"/>
            <w:shd w:val="clear" w:color="auto" w:fill="auto"/>
            <w:noWrap/>
            <w:vAlign w:val="center"/>
          </w:tcPr>
          <w:p w14:paraId="1276CFF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氨</w:t>
            </w:r>
          </w:p>
        </w:tc>
        <w:tc>
          <w:tcPr>
            <w:tcW w:w="0" w:type="auto"/>
            <w:shd w:val="clear" w:color="auto" w:fill="auto"/>
            <w:noWrap/>
            <w:vAlign w:val="center"/>
          </w:tcPr>
          <w:p w14:paraId="3963D14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8760</w:t>
            </w:r>
          </w:p>
        </w:tc>
        <w:tc>
          <w:tcPr>
            <w:tcW w:w="0" w:type="auto"/>
            <w:shd w:val="clear" w:color="auto" w:fill="auto"/>
            <w:noWrap/>
            <w:vAlign w:val="center"/>
          </w:tcPr>
          <w:p w14:paraId="0EC0E93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000</w:t>
            </w:r>
          </w:p>
        </w:tc>
        <w:tc>
          <w:tcPr>
            <w:tcW w:w="1276" w:type="dxa"/>
            <w:shd w:val="clear" w:color="auto" w:fill="auto"/>
            <w:noWrap/>
            <w:vAlign w:val="center"/>
          </w:tcPr>
          <w:p w14:paraId="2188A48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1.038</w:t>
            </w:r>
          </w:p>
        </w:tc>
        <w:tc>
          <w:tcPr>
            <w:tcW w:w="1936" w:type="dxa"/>
            <w:shd w:val="clear" w:color="auto" w:fill="auto"/>
            <w:noWrap/>
            <w:vAlign w:val="center"/>
          </w:tcPr>
          <w:p w14:paraId="73DA633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11.85</w:t>
            </w:r>
          </w:p>
        </w:tc>
        <w:tc>
          <w:tcPr>
            <w:tcW w:w="0" w:type="auto"/>
            <w:shd w:val="clear" w:color="auto" w:fill="auto"/>
            <w:noWrap/>
            <w:vAlign w:val="center"/>
          </w:tcPr>
          <w:p w14:paraId="31929E0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1185</w:t>
            </w:r>
          </w:p>
        </w:tc>
      </w:tr>
      <w:tr w14:paraId="4F37D3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0" w:hRule="atLeast"/>
          <w:jc w:val="center"/>
        </w:trPr>
        <w:tc>
          <w:tcPr>
            <w:tcW w:w="0" w:type="auto"/>
            <w:vMerge w:val="continue"/>
            <w:vAlign w:val="center"/>
          </w:tcPr>
          <w:p w14:paraId="3C42153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0" w:type="auto"/>
            <w:shd w:val="clear" w:color="auto" w:fill="auto"/>
            <w:noWrap/>
            <w:vAlign w:val="center"/>
          </w:tcPr>
          <w:p w14:paraId="64C6E92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硫化氢</w:t>
            </w:r>
          </w:p>
        </w:tc>
        <w:tc>
          <w:tcPr>
            <w:tcW w:w="0" w:type="auto"/>
            <w:shd w:val="clear" w:color="auto" w:fill="auto"/>
            <w:noWrap/>
            <w:vAlign w:val="center"/>
          </w:tcPr>
          <w:p w14:paraId="5E9A744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8760</w:t>
            </w:r>
          </w:p>
        </w:tc>
        <w:tc>
          <w:tcPr>
            <w:tcW w:w="0" w:type="auto"/>
            <w:shd w:val="clear" w:color="auto" w:fill="auto"/>
            <w:noWrap/>
            <w:vAlign w:val="center"/>
          </w:tcPr>
          <w:p w14:paraId="7ED60CA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000</w:t>
            </w:r>
          </w:p>
        </w:tc>
        <w:tc>
          <w:tcPr>
            <w:tcW w:w="1276" w:type="dxa"/>
            <w:shd w:val="clear" w:color="auto" w:fill="auto"/>
            <w:noWrap/>
            <w:vAlign w:val="center"/>
          </w:tcPr>
          <w:p w14:paraId="3557A07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0.0402</w:t>
            </w:r>
          </w:p>
        </w:tc>
        <w:tc>
          <w:tcPr>
            <w:tcW w:w="1936" w:type="dxa"/>
            <w:shd w:val="clear" w:color="auto" w:fill="auto"/>
            <w:noWrap/>
            <w:vAlign w:val="center"/>
          </w:tcPr>
          <w:p w14:paraId="14AD36C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459</w:t>
            </w:r>
          </w:p>
        </w:tc>
        <w:tc>
          <w:tcPr>
            <w:tcW w:w="0" w:type="auto"/>
            <w:shd w:val="clear" w:color="auto" w:fill="auto"/>
            <w:noWrap/>
            <w:vAlign w:val="center"/>
          </w:tcPr>
          <w:p w14:paraId="007BE24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46</w:t>
            </w:r>
          </w:p>
        </w:tc>
      </w:tr>
      <w:bookmarkEnd w:id="74"/>
    </w:tbl>
    <w:p w14:paraId="3BE9FA6E">
      <w:pPr>
        <w:numPr>
          <w:ilvl w:val="3"/>
          <w:numId w:val="0"/>
        </w:numPr>
        <w:tabs>
          <w:tab w:val="left" w:pos="0"/>
        </w:tabs>
        <w:ind w:left="420" w:leftChars="0"/>
        <w:outlineLvl w:val="9"/>
        <w:rPr>
          <w:rFonts w:hint="default" w:ascii="Times New Roman" w:hAnsi="Times New Roman" w:cs="Times New Roman" w:eastAsiaTheme="minorEastAsia"/>
          <w:b w:val="0"/>
          <w:bCs w:val="0"/>
          <w:color w:val="000000" w:themeColor="text1"/>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u w:val="none" w:color="auto"/>
          <w:lang w:val="en-US" w:eastAsia="zh-CN" w:bidi="ar-SA"/>
          <w14:textFill>
            <w14:solidFill>
              <w14:schemeClr w14:val="tx1"/>
            </w14:solidFill>
          </w14:textFill>
        </w:rPr>
        <w:t>（2）食堂油烟废气</w:t>
      </w:r>
    </w:p>
    <w:p w14:paraId="3B2EEF51">
      <w:pPr>
        <w:pStyle w:val="18"/>
        <w:autoSpaceDE/>
        <w:autoSpaceDN/>
        <w:snapToGrid w:val="0"/>
        <w:spacing w:line="360" w:lineRule="auto"/>
        <w:ind w:firstLine="420" w:firstLineChars="200"/>
        <w:jc w:val="both"/>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项目设有食堂，劳动定员为16人，</w:t>
      </w:r>
      <w:r>
        <w:rPr>
          <w:rFonts w:hint="default" w:ascii="Times New Roman" w:hAnsi="Times New Roman" w:eastAsia="宋体" w:cs="Times New Roman"/>
          <w:sz w:val="24"/>
          <w:highlight w:val="none"/>
          <w:lang w:val="en-US"/>
        </w:rPr>
        <w:t>餐饮油烟可按食用油消耗系数计算，食用油用量平均按0.03kg/人·天计，则项目耗油量约</w:t>
      </w:r>
      <w:r>
        <w:rPr>
          <w:rFonts w:hint="default" w:ascii="Times New Roman" w:hAnsi="Times New Roman" w:eastAsia="宋体" w:cs="Times New Roman"/>
          <w:sz w:val="24"/>
          <w:highlight w:val="none"/>
          <w:lang w:val="en-US" w:eastAsia="zh-CN"/>
        </w:rPr>
        <w:t>0.48</w:t>
      </w:r>
      <w:r>
        <w:rPr>
          <w:rFonts w:hint="default" w:ascii="Times New Roman" w:hAnsi="Times New Roman" w:eastAsia="宋体" w:cs="Times New Roman"/>
          <w:sz w:val="24"/>
          <w:highlight w:val="none"/>
          <w:lang w:val="en-US"/>
        </w:rPr>
        <w:t>kg/d（0.</w:t>
      </w:r>
      <w:r>
        <w:rPr>
          <w:rFonts w:hint="default" w:ascii="Times New Roman" w:hAnsi="Times New Roman" w:eastAsia="宋体" w:cs="Times New Roman"/>
          <w:sz w:val="24"/>
          <w:highlight w:val="none"/>
          <w:lang w:val="en-US" w:eastAsia="zh-CN"/>
        </w:rPr>
        <w:t>175</w:t>
      </w:r>
      <w:r>
        <w:rPr>
          <w:rFonts w:hint="default" w:ascii="Times New Roman" w:hAnsi="Times New Roman" w:eastAsia="宋体" w:cs="Times New Roman"/>
          <w:sz w:val="24"/>
          <w:highlight w:val="none"/>
          <w:lang w:val="en-US"/>
        </w:rPr>
        <w:t>t/a），油烟挥发量通常占总耗油量的2%，本项目日产生油烟量为0.0</w:t>
      </w:r>
      <w:r>
        <w:rPr>
          <w:rFonts w:hint="default" w:ascii="Times New Roman" w:hAnsi="Times New Roman" w:eastAsia="宋体" w:cs="Times New Roman"/>
          <w:sz w:val="24"/>
          <w:highlight w:val="none"/>
          <w:lang w:val="en-US" w:eastAsia="zh-CN"/>
        </w:rPr>
        <w:t>096</w:t>
      </w:r>
      <w:r>
        <w:rPr>
          <w:rFonts w:hint="default" w:ascii="Times New Roman" w:hAnsi="Times New Roman" w:eastAsia="宋体" w:cs="Times New Roman"/>
          <w:sz w:val="24"/>
          <w:highlight w:val="none"/>
          <w:lang w:val="en-US"/>
        </w:rPr>
        <w:t>kg/d，年产生油烟量0.0</w:t>
      </w:r>
      <w:r>
        <w:rPr>
          <w:rFonts w:hint="default" w:ascii="Times New Roman" w:hAnsi="Times New Roman" w:eastAsia="宋体" w:cs="Times New Roman"/>
          <w:sz w:val="24"/>
          <w:highlight w:val="none"/>
          <w:lang w:val="en-US" w:eastAsia="zh-CN"/>
        </w:rPr>
        <w:t>035</w:t>
      </w:r>
      <w:r>
        <w:rPr>
          <w:rFonts w:hint="default" w:ascii="Times New Roman" w:hAnsi="Times New Roman" w:eastAsia="宋体" w:cs="Times New Roman"/>
          <w:sz w:val="24"/>
          <w:highlight w:val="none"/>
          <w:lang w:val="en-US"/>
        </w:rPr>
        <w:t>t/a。食堂灶头数为2个，作业时间为</w:t>
      </w:r>
      <w:r>
        <w:rPr>
          <w:rFonts w:hint="default" w:ascii="Times New Roman" w:hAnsi="Times New Roman" w:eastAsia="宋体" w:cs="Times New Roman"/>
          <w:sz w:val="24"/>
          <w:highlight w:val="none"/>
          <w:lang w:val="en-US" w:eastAsia="zh-CN"/>
        </w:rPr>
        <w:t>4</w:t>
      </w:r>
      <w:r>
        <w:rPr>
          <w:rFonts w:hint="default" w:ascii="Times New Roman" w:hAnsi="Times New Roman" w:eastAsia="宋体" w:cs="Times New Roman"/>
          <w:sz w:val="24"/>
          <w:highlight w:val="none"/>
          <w:lang w:val="en-US"/>
        </w:rPr>
        <w:t>h/d，</w:t>
      </w:r>
      <w:r>
        <w:rPr>
          <w:rFonts w:hint="default" w:ascii="Times New Roman" w:hAnsi="Times New Roman" w:eastAsia="宋体" w:cs="Times New Roman"/>
          <w:sz w:val="24"/>
          <w:highlight w:val="none"/>
          <w:lang w:val="en-US" w:eastAsia="zh-CN"/>
        </w:rPr>
        <w:t>1460</w:t>
      </w:r>
      <w:r>
        <w:rPr>
          <w:rFonts w:hint="default" w:ascii="Times New Roman" w:hAnsi="Times New Roman" w:eastAsia="宋体" w:cs="Times New Roman"/>
          <w:sz w:val="24"/>
          <w:highlight w:val="none"/>
          <w:lang w:val="en-US"/>
        </w:rPr>
        <w:t>h/a。每个灶台基准排风量1</w:t>
      </w:r>
      <w:r>
        <w:rPr>
          <w:rFonts w:hint="default" w:ascii="Times New Roman" w:hAnsi="Times New Roman" w:eastAsia="宋体" w:cs="Times New Roman"/>
          <w:sz w:val="24"/>
          <w:highlight w:val="none"/>
          <w:lang w:val="en-US" w:eastAsia="zh-CN"/>
        </w:rPr>
        <w:t>0</w:t>
      </w:r>
      <w:r>
        <w:rPr>
          <w:rFonts w:hint="default" w:ascii="Times New Roman" w:hAnsi="Times New Roman" w:eastAsia="宋体" w:cs="Times New Roman"/>
          <w:sz w:val="24"/>
          <w:highlight w:val="none"/>
          <w:lang w:val="en-US"/>
        </w:rPr>
        <w:t>00m³/h，油烟产生浓度为</w:t>
      </w:r>
      <w:r>
        <w:rPr>
          <w:rFonts w:hint="default" w:ascii="Times New Roman" w:hAnsi="Times New Roman" w:eastAsia="宋体" w:cs="Times New Roman"/>
          <w:sz w:val="24"/>
          <w:highlight w:val="none"/>
          <w:lang w:val="en-US" w:eastAsia="zh-CN"/>
        </w:rPr>
        <w:t>1.2</w:t>
      </w:r>
      <w:r>
        <w:rPr>
          <w:rFonts w:hint="default" w:ascii="Times New Roman" w:hAnsi="Times New Roman" w:eastAsia="宋体" w:cs="Times New Roman"/>
          <w:sz w:val="24"/>
          <w:highlight w:val="none"/>
          <w:lang w:val="en-US"/>
        </w:rPr>
        <w:t>mg/m³，油烟废气经过油烟净化器（处理率约75%）处理后，排放量为</w:t>
      </w:r>
      <w:r>
        <w:rPr>
          <w:rFonts w:hint="default" w:ascii="Times New Roman" w:hAnsi="Times New Roman" w:eastAsia="宋体" w:cs="Times New Roman"/>
          <w:sz w:val="24"/>
          <w:highlight w:val="none"/>
          <w:lang w:val="en-US" w:eastAsia="zh-CN"/>
        </w:rPr>
        <w:t>0.876</w:t>
      </w:r>
      <w:r>
        <w:rPr>
          <w:rFonts w:hint="default" w:ascii="Times New Roman" w:hAnsi="Times New Roman" w:eastAsia="宋体" w:cs="Times New Roman"/>
          <w:sz w:val="24"/>
          <w:highlight w:val="none"/>
          <w:lang w:val="en-US"/>
        </w:rPr>
        <w:t>kg/a，油烟排放浓度约为0.</w:t>
      </w:r>
      <w:r>
        <w:rPr>
          <w:rFonts w:hint="default" w:ascii="Times New Roman" w:hAnsi="Times New Roman" w:eastAsia="宋体" w:cs="Times New Roman"/>
          <w:sz w:val="24"/>
          <w:highlight w:val="none"/>
          <w:lang w:val="en-US" w:eastAsia="zh-CN"/>
        </w:rPr>
        <w:t>3</w:t>
      </w:r>
      <w:r>
        <w:rPr>
          <w:rFonts w:hint="default" w:ascii="Times New Roman" w:hAnsi="Times New Roman" w:eastAsia="宋体" w:cs="Times New Roman"/>
          <w:sz w:val="24"/>
          <w:highlight w:val="none"/>
          <w:lang w:val="en-US"/>
        </w:rPr>
        <w:t>mg/m³。本项目食堂必须按《饮食业油烟排放标准》(GB18483-2001)中的规定安装排油烟净化器及专用烟道高于屋顶排放，油烟排放浓度须≤2mg/m³，净化率达到75%。</w:t>
      </w:r>
    </w:p>
    <w:p w14:paraId="76992C7F">
      <w:pPr>
        <w:pStyle w:val="5"/>
        <w:numPr>
          <w:ilvl w:val="2"/>
          <w:numId w:val="0"/>
        </w:numPr>
        <w:ind w:leftChars="0" w:firstLine="482" w:firstLineChars="200"/>
        <w:outlineLvl w:val="3"/>
        <w:rPr>
          <w:rFonts w:hint="default" w:ascii="Times New Roman" w:hAnsi="Times New Roman" w:cs="Times New Roman"/>
          <w:color w:val="000000" w:themeColor="text1"/>
          <w:sz w:val="24"/>
          <w:szCs w:val="28"/>
          <w:highlight w:val="none"/>
          <w:u w:val="none" w:color="auto"/>
          <w14:textFill>
            <w14:solidFill>
              <w14:schemeClr w14:val="tx1"/>
            </w14:solidFill>
          </w14:textFill>
        </w:rPr>
      </w:pPr>
      <w:r>
        <w:rPr>
          <w:rFonts w:hint="default" w:ascii="Times New Roman" w:hAnsi="Times New Roman" w:cs="Times New Roman"/>
          <w:color w:val="000000" w:themeColor="text1"/>
          <w:sz w:val="24"/>
          <w:szCs w:val="28"/>
          <w:highlight w:val="none"/>
          <w:u w:val="none" w:color="auto"/>
          <w:lang w:val="en-US" w:eastAsia="zh-CN"/>
          <w14:textFill>
            <w14:solidFill>
              <w14:schemeClr w14:val="tx1"/>
            </w14:solidFill>
          </w14:textFill>
        </w:rPr>
        <w:t xml:space="preserve">3.5.3.3 </w:t>
      </w:r>
      <w:r>
        <w:rPr>
          <w:rFonts w:hint="default" w:ascii="Times New Roman" w:hAnsi="Times New Roman" w:cs="Times New Roman"/>
          <w:color w:val="000000" w:themeColor="text1"/>
          <w:sz w:val="24"/>
          <w:szCs w:val="28"/>
          <w:highlight w:val="none"/>
          <w:u w:val="none" w:color="auto"/>
          <w14:textFill>
            <w14:solidFill>
              <w14:schemeClr w14:val="tx1"/>
            </w14:solidFill>
          </w14:textFill>
        </w:rPr>
        <w:t>运营期</w:t>
      </w:r>
      <w:r>
        <w:rPr>
          <w:rFonts w:hint="default" w:ascii="Times New Roman" w:hAnsi="Times New Roman" w:cs="Times New Roman"/>
          <w:color w:val="000000" w:themeColor="text1"/>
          <w:sz w:val="24"/>
          <w:szCs w:val="28"/>
          <w:highlight w:val="none"/>
          <w:u w:val="none" w:color="auto"/>
          <w:lang w:eastAsia="zh-CN"/>
          <w14:textFill>
            <w14:solidFill>
              <w14:schemeClr w14:val="tx1"/>
            </w14:solidFill>
          </w14:textFill>
        </w:rPr>
        <w:t>固体废物</w:t>
      </w:r>
      <w:r>
        <w:rPr>
          <w:rFonts w:hint="default" w:ascii="Times New Roman" w:hAnsi="Times New Roman" w:cs="Times New Roman"/>
          <w:color w:val="000000" w:themeColor="text1"/>
          <w:sz w:val="24"/>
          <w:szCs w:val="28"/>
          <w:highlight w:val="none"/>
          <w:u w:val="none" w:color="auto"/>
          <w14:textFill>
            <w14:solidFill>
              <w14:schemeClr w14:val="tx1"/>
            </w14:solidFill>
          </w14:textFill>
        </w:rPr>
        <w:t>污染源分析</w:t>
      </w:r>
    </w:p>
    <w:p w14:paraId="17FF4246">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本项目产生的固体废物包括</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生活垃圾、</w:t>
      </w:r>
      <w:r>
        <w:rPr>
          <w:rFonts w:hint="default" w:ascii="Times New Roman" w:hAnsi="Times New Roman" w:cs="Times New Roman"/>
          <w:color w:val="000000" w:themeColor="text1"/>
          <w:highlight w:val="none"/>
          <w:u w:val="none" w:color="auto"/>
          <w14:textFill>
            <w14:solidFill>
              <w14:schemeClr w14:val="tx1"/>
            </w14:solidFill>
          </w14:textFill>
        </w:rPr>
        <w:t>污水处理阶段截留的格栅渣和沉砂、污泥</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以及设备维修养护过程中产生的废机油、废含油抹布及手套、</w:t>
      </w:r>
      <w:r>
        <w:rPr>
          <w:rFonts w:hint="default" w:ascii="Times New Roman" w:hAnsi="Times New Roman" w:cs="Times New Roman"/>
          <w:color w:val="auto"/>
          <w:highlight w:val="none"/>
          <w:u w:val="none" w:color="auto"/>
        </w:rPr>
        <w:t>化验室废液及</w:t>
      </w:r>
      <w:r>
        <w:rPr>
          <w:rFonts w:hint="default" w:ascii="Times New Roman" w:hAnsi="Times New Roman" w:cs="Times New Roman"/>
          <w:color w:val="auto"/>
          <w:highlight w:val="none"/>
          <w:u w:val="none" w:color="auto"/>
          <w:lang w:val="en-US" w:eastAsia="zh-CN"/>
        </w:rPr>
        <w:t>沾染性废物以及在线监测废液</w:t>
      </w:r>
      <w:r>
        <w:rPr>
          <w:rFonts w:hint="default" w:ascii="Times New Roman" w:hAnsi="Times New Roman" w:cs="Times New Roman"/>
          <w:color w:val="000000" w:themeColor="text1"/>
          <w:highlight w:val="none"/>
          <w:u w:val="none" w:color="auto"/>
          <w14:textFill>
            <w14:solidFill>
              <w14:schemeClr w14:val="tx1"/>
            </w14:solidFill>
          </w14:textFill>
        </w:rPr>
        <w:t>。</w:t>
      </w:r>
    </w:p>
    <w:p w14:paraId="47D098FA">
      <w:pPr>
        <w:pStyle w:val="189"/>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一般固废</w:t>
      </w:r>
    </w:p>
    <w:p w14:paraId="3F52BBE4">
      <w:pPr>
        <w:pStyle w:val="74"/>
        <w:spacing w:after="0"/>
        <w:ind w:firstLine="480" w:firstLineChars="20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根据《污水处理厂工艺设计手册》（高俊发，王社平主编，化学工业出版社，2003年），污水处理厂栅渣产生量一般为0.05~0.1m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/1000m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·d，本项目取0.07m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/1000m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·d，栅渣容重取960kg/m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，含水率60%；沉砂产生量约0.03m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/1000m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·d，沉砂容重取1500kg/m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，含水率60%，则估算得本项目栅渣产生量为0.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2016</w:t>
      </w:r>
      <w:r>
        <w:rPr>
          <w:rFonts w:hint="default" w:ascii="Times New Roman" w:hAnsi="Times New Roman" w:cs="Times New Roman"/>
          <w:color w:val="000000" w:themeColor="text1"/>
          <w:highlight w:val="none"/>
          <w:u w:val="none" w:color="auto"/>
          <w14:textFill>
            <w14:solidFill>
              <w14:schemeClr w14:val="tx1"/>
            </w14:solidFill>
          </w14:textFill>
        </w:rPr>
        <w:t>t/d（</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73.584</w:t>
      </w:r>
      <w:r>
        <w:rPr>
          <w:rFonts w:hint="default" w:ascii="Times New Roman" w:hAnsi="Times New Roman" w:cs="Times New Roman"/>
          <w:color w:val="000000" w:themeColor="text1"/>
          <w:highlight w:val="none"/>
          <w:u w:val="none" w:color="auto"/>
          <w14:textFill>
            <w14:solidFill>
              <w14:schemeClr w14:val="tx1"/>
            </w14:solidFill>
          </w14:textFill>
        </w:rPr>
        <w:t>t/a），沉砂产生量为0.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135</w:t>
      </w:r>
      <w:r>
        <w:rPr>
          <w:rFonts w:hint="default" w:ascii="Times New Roman" w:hAnsi="Times New Roman" w:cs="Times New Roman"/>
          <w:color w:val="000000" w:themeColor="text1"/>
          <w:highlight w:val="none"/>
          <w:u w:val="none" w:color="auto"/>
          <w14:textFill>
            <w14:solidFill>
              <w14:schemeClr w14:val="tx1"/>
            </w14:solidFill>
          </w14:textFill>
        </w:rPr>
        <w:t xml:space="preserve"> t/d（</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49.275</w:t>
      </w:r>
      <w:r>
        <w:rPr>
          <w:rFonts w:hint="default" w:ascii="Times New Roman" w:hAnsi="Times New Roman" w:cs="Times New Roman"/>
          <w:color w:val="000000" w:themeColor="text1"/>
          <w:highlight w:val="none"/>
          <w:u w:val="none" w:color="auto"/>
          <w14:textFill>
            <w14:solidFill>
              <w14:schemeClr w14:val="tx1"/>
            </w14:solidFill>
          </w14:textFill>
        </w:rPr>
        <w:t>t/a）。</w:t>
      </w:r>
    </w:p>
    <w:p w14:paraId="12480FA9">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根据《排污许可证申请与核发技术规范 水处理（试行）》（HJ978-2018）中关于污泥产生量的核算公式：</w:t>
      </w:r>
    </w:p>
    <w:p w14:paraId="44CDDF52">
      <w:pPr>
        <w:pStyle w:val="189"/>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E</w:t>
      </w:r>
      <w:r>
        <w:rPr>
          <w:rFonts w:hint="default" w:ascii="Times New Roman" w:hAnsi="Times New Roman" w:cs="Times New Roman"/>
          <w:b/>
          <w:bCs/>
          <w:color w:val="000000" w:themeColor="text1"/>
          <w:highlight w:val="none"/>
          <w:u w:val="none" w:color="auto"/>
          <w:vertAlign w:val="subscript"/>
          <w14:textFill>
            <w14:solidFill>
              <w14:schemeClr w14:val="tx1"/>
            </w14:solidFill>
          </w14:textFill>
        </w:rPr>
        <w:t>产生量</w:t>
      </w:r>
      <w:r>
        <w:rPr>
          <w:rFonts w:hint="default" w:ascii="Times New Roman" w:hAnsi="Times New Roman" w:cs="Times New Roman"/>
          <w:color w:val="000000" w:themeColor="text1"/>
          <w:highlight w:val="none"/>
          <w:u w:val="none" w:color="auto"/>
          <w14:textFill>
            <w14:solidFill>
              <w14:schemeClr w14:val="tx1"/>
            </w14:solidFill>
          </w14:textFill>
        </w:rPr>
        <w:t>=1.7×Q×W×10</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-4</w:t>
      </w:r>
    </w:p>
    <w:p w14:paraId="25272274">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式中：E</w:t>
      </w:r>
      <w:r>
        <w:rPr>
          <w:rFonts w:hint="default" w:ascii="Times New Roman" w:hAnsi="Times New Roman" w:cs="Times New Roman"/>
          <w:b/>
          <w:bCs/>
          <w:color w:val="000000" w:themeColor="text1"/>
          <w:highlight w:val="none"/>
          <w:u w:val="none" w:color="auto"/>
          <w:vertAlign w:val="subscript"/>
          <w14:textFill>
            <w14:solidFill>
              <w14:schemeClr w14:val="tx1"/>
            </w14:solidFill>
          </w14:textFill>
        </w:rPr>
        <w:t>产生量</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污水处理过程中产生的污泥量，以干泥计，t；</w:t>
      </w:r>
    </w:p>
    <w:p w14:paraId="5DA2C2C4">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Q</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核算时段内排污单位废水排放量，m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w:t>
      </w:r>
    </w:p>
    <w:p w14:paraId="0A8B5416">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有深度处理工艺（添加化学药剂）时按</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计，无深度处理工艺时按</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none" w:color="auto"/>
          <w14:textFill>
            <w14:solidFill>
              <w14:schemeClr w14:val="tx1"/>
            </w14:solidFill>
          </w14:textFill>
        </w:rPr>
        <w:t>计，量纲一。</w:t>
      </w:r>
    </w:p>
    <w:p w14:paraId="10E81036">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项目工业废水处理量</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000m</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/d，计算得干泥产生量为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1.02</w:t>
      </w:r>
      <w:r>
        <w:rPr>
          <w:rFonts w:hint="default" w:ascii="Times New Roman" w:hAnsi="Times New Roman" w:cs="Times New Roman"/>
          <w:color w:val="000000" w:themeColor="text1"/>
          <w:highlight w:val="none"/>
          <w:u w:val="none" w:color="auto"/>
          <w14:textFill>
            <w14:solidFill>
              <w14:schemeClr w14:val="tx1"/>
            </w14:solidFill>
          </w14:textFill>
        </w:rPr>
        <w:t>t/d，</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372.3</w:t>
      </w:r>
      <w:r>
        <w:rPr>
          <w:rFonts w:hint="default" w:ascii="Times New Roman" w:hAnsi="Times New Roman" w:cs="Times New Roman"/>
          <w:color w:val="000000" w:themeColor="text1"/>
          <w:highlight w:val="none"/>
          <w:u w:val="none" w:color="auto"/>
          <w14:textFill>
            <w14:solidFill>
              <w14:schemeClr w14:val="tx1"/>
            </w14:solidFill>
          </w14:textFill>
        </w:rPr>
        <w:t xml:space="preserve"> t/a。污泥脱水前含水率取98%，湿污泥（98%含水率）产生量为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w:t>
      </w:r>
      <w:r>
        <w:rPr>
          <w:rFonts w:hint="default" w:ascii="Times New Roman" w:hAnsi="Times New Roman" w:cs="Times New Roman"/>
          <w:color w:val="000000" w:themeColor="text1"/>
          <w:highlight w:val="none"/>
          <w:u w:val="none" w:color="auto"/>
          <w14:textFill>
            <w14:solidFill>
              <w14:schemeClr w14:val="tx1"/>
            </w14:solidFill>
          </w14:textFill>
        </w:rPr>
        <w:t>t/d，</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18615</w:t>
      </w:r>
      <w:r>
        <w:rPr>
          <w:rFonts w:hint="default" w:ascii="Times New Roman" w:hAnsi="Times New Roman" w:cs="Times New Roman"/>
          <w:color w:val="000000" w:themeColor="text1"/>
          <w:highlight w:val="none"/>
          <w:u w:val="none" w:color="auto"/>
          <w14:textFill>
            <w14:solidFill>
              <w14:schemeClr w14:val="tx1"/>
            </w14:solidFill>
          </w14:textFill>
        </w:rPr>
        <w:t>t/a，经</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污泥调理+板框压榨</w:t>
      </w:r>
      <w:r>
        <w:rPr>
          <w:rFonts w:hint="default" w:ascii="Times New Roman" w:hAnsi="Times New Roman" w:cs="Times New Roman"/>
          <w:color w:val="000000" w:themeColor="text1"/>
          <w:highlight w:val="none"/>
          <w:u w:val="none" w:color="auto"/>
          <w14:textFill>
            <w14:solidFill>
              <w14:schemeClr w14:val="tx1"/>
            </w14:solidFill>
          </w14:textFill>
        </w:rPr>
        <w:t>脱水处理后含水率降至</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highlight w:val="none"/>
          <w:u w:val="none" w:color="auto"/>
          <w14:textFill>
            <w14:solidFill>
              <w14:schemeClr w14:val="tx1"/>
            </w14:solidFill>
          </w14:textFill>
        </w:rPr>
        <w:t>0%，则脱水后污泥量（</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highlight w:val="none"/>
          <w:u w:val="none" w:color="auto"/>
          <w14:textFill>
            <w14:solidFill>
              <w14:schemeClr w14:val="tx1"/>
            </w14:solidFill>
          </w14:textFill>
        </w:rPr>
        <w:t xml:space="preserve">0%含水率）为 </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2.55</w:t>
      </w:r>
      <w:r>
        <w:rPr>
          <w:rFonts w:hint="default" w:ascii="Times New Roman" w:hAnsi="Times New Roman" w:cs="Times New Roman"/>
          <w:color w:val="000000" w:themeColor="text1"/>
          <w:highlight w:val="none"/>
          <w:u w:val="none" w:color="auto"/>
          <w14:textFill>
            <w14:solidFill>
              <w14:schemeClr w14:val="tx1"/>
            </w14:solidFill>
          </w14:textFill>
        </w:rPr>
        <w:t>t/d，</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930.75</w:t>
      </w:r>
      <w:r>
        <w:rPr>
          <w:rFonts w:hint="default" w:ascii="Times New Roman" w:hAnsi="Times New Roman" w:cs="Times New Roman"/>
          <w:color w:val="000000" w:themeColor="text1"/>
          <w:highlight w:val="none"/>
          <w:u w:val="none" w:color="auto"/>
          <w14:textFill>
            <w14:solidFill>
              <w14:schemeClr w14:val="tx1"/>
            </w14:solidFill>
          </w14:textFill>
        </w:rPr>
        <w:t>t/a，污泥成分较简单，无重金属等有害成分</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污泥脱水</w:t>
      </w:r>
      <w:r>
        <w:rPr>
          <w:rFonts w:hint="default" w:ascii="Times New Roman" w:hAnsi="Times New Roman" w:cs="Times New Roman"/>
          <w:color w:val="000000" w:themeColor="text1"/>
          <w:highlight w:val="none"/>
          <w:u w:val="none" w:color="auto"/>
          <w:lang w:eastAsia="zh-CN"/>
          <w14:textFill>
            <w14:solidFill>
              <w14:schemeClr w14:val="tx1"/>
            </w14:solidFill>
          </w14:textFill>
        </w:rPr>
        <w:t>（含水量低于</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60%</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后运至</w:t>
      </w:r>
      <w:r>
        <w:rPr>
          <w:rFonts w:hint="default" w:ascii="Times New Roman" w:hAnsi="Times New Roman" w:cs="Times New Roman"/>
          <w:color w:val="000000" w:themeColor="text1"/>
          <w:highlight w:val="none"/>
          <w:u w:val="none" w:color="auto"/>
          <w:lang w:eastAsia="zh-CN"/>
          <w14:textFill>
            <w14:solidFill>
              <w14:schemeClr w14:val="tx1"/>
            </w14:solidFill>
          </w14:textFill>
        </w:rPr>
        <w:t>益阳海螺环保科技有限责任公司</w:t>
      </w:r>
      <w:r>
        <w:rPr>
          <w:rFonts w:hint="default" w:ascii="Times New Roman" w:hAnsi="Times New Roman" w:cs="Times New Roman"/>
          <w:color w:val="000000" w:themeColor="text1"/>
          <w:highlight w:val="none"/>
          <w:u w:val="none" w:color="auto"/>
          <w14:textFill>
            <w14:solidFill>
              <w14:schemeClr w14:val="tx1"/>
            </w14:solidFill>
          </w14:textFill>
        </w:rPr>
        <w:t>进行处置。</w:t>
      </w:r>
    </w:p>
    <w:p w14:paraId="1B822053">
      <w:pPr>
        <w:pStyle w:val="189"/>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生活垃圾</w:t>
      </w:r>
    </w:p>
    <w:p w14:paraId="623FA8BF">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产生的生活垃圾按</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kg/人·d计算，预计年产生生活垃圾</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16</w:t>
      </w:r>
      <w:r>
        <w:rPr>
          <w:rFonts w:hint="default" w:ascii="Times New Roman" w:hAnsi="Times New Roman" w:cs="Times New Roman"/>
          <w:color w:val="000000" w:themeColor="text1"/>
          <w:highlight w:val="none"/>
          <w:u w:val="none" w:color="auto"/>
          <w14:textFill>
            <w14:solidFill>
              <w14:schemeClr w14:val="tx1"/>
            </w14:solidFill>
          </w14:textFill>
        </w:rPr>
        <w:t>kg/d（</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5.84</w:t>
      </w:r>
      <w:r>
        <w:rPr>
          <w:rFonts w:hint="default" w:ascii="Times New Roman" w:hAnsi="Times New Roman" w:cs="Times New Roman"/>
          <w:color w:val="000000" w:themeColor="text1"/>
          <w:highlight w:val="none"/>
          <w:u w:val="none" w:color="auto"/>
          <w14:textFill>
            <w14:solidFill>
              <w14:schemeClr w14:val="tx1"/>
            </w14:solidFill>
          </w14:textFill>
        </w:rPr>
        <w:t>t/a），与剩余格栅及沉砂一起送至益阳市北部片区生活垃圾焚烧发电厂</w:t>
      </w:r>
      <w:r>
        <w:rPr>
          <w:rFonts w:hint="default" w:ascii="Times New Roman" w:hAnsi="Times New Roman" w:cs="Times New Roman"/>
          <w:color w:val="000000" w:themeColor="text1"/>
          <w:highlight w:val="none"/>
          <w:u w:val="none" w:color="auto"/>
          <w:lang w:eastAsia="zh-CN"/>
          <w14:textFill>
            <w14:solidFill>
              <w14:schemeClr w14:val="tx1"/>
            </w14:solidFill>
          </w14:textFill>
        </w:rPr>
        <w:t>处理</w:t>
      </w:r>
      <w:r>
        <w:rPr>
          <w:rFonts w:hint="default" w:ascii="Times New Roman" w:hAnsi="Times New Roman" w:cs="Times New Roman"/>
          <w:color w:val="000000" w:themeColor="text1"/>
          <w:highlight w:val="none"/>
          <w:u w:val="none" w:color="auto"/>
          <w14:textFill>
            <w14:solidFill>
              <w14:schemeClr w14:val="tx1"/>
            </w14:solidFill>
          </w14:textFill>
        </w:rPr>
        <w:t>。</w:t>
      </w:r>
    </w:p>
    <w:p w14:paraId="6165D019">
      <w:pPr>
        <w:pStyle w:val="189"/>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危险废物</w:t>
      </w:r>
    </w:p>
    <w:p w14:paraId="6BB4E190">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eastAsia="zh-CN"/>
        </w:rPr>
        <w:t>项目设置有在线监测房，</w:t>
      </w:r>
      <w:r>
        <w:rPr>
          <w:rFonts w:hint="default" w:ascii="Times New Roman" w:hAnsi="Times New Roman" w:cs="Times New Roman"/>
          <w:color w:val="auto"/>
          <w:highlight w:val="none"/>
          <w:u w:val="none" w:color="auto"/>
          <w:lang w:val="en-US" w:eastAsia="zh-CN"/>
        </w:rPr>
        <w:t>在线监测设备会产生废液，产生量为2.4t/a，危废代码为HW49 900-047-49。</w:t>
      </w:r>
    </w:p>
    <w:p w14:paraId="5A1E93DA">
      <w:pPr>
        <w:pStyle w:val="18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厂内设置有化验室，运营过程中会产生</w:t>
      </w:r>
      <w:r>
        <w:rPr>
          <w:rFonts w:hint="default" w:ascii="Times New Roman" w:hAnsi="Times New Roman" w:cs="Times New Roman"/>
          <w:color w:val="auto"/>
          <w:highlight w:val="none"/>
          <w:u w:val="none" w:color="auto"/>
        </w:rPr>
        <w:t>化验室废液及</w:t>
      </w:r>
      <w:r>
        <w:rPr>
          <w:rFonts w:hint="default" w:ascii="Times New Roman" w:hAnsi="Times New Roman" w:cs="Times New Roman"/>
          <w:color w:val="auto"/>
          <w:highlight w:val="none"/>
          <w:u w:val="none" w:color="auto"/>
          <w:lang w:val="en-US" w:eastAsia="zh-CN"/>
        </w:rPr>
        <w:t>沾染性废物（含废玻璃瓶、废塑料瓶及其他沾染性废物），化验室废液产生量约为0.3t/a，危废代码为HW49 900-047-49，沾染性废生量约为0.15t/a，危废代码为HW49 900-041-49</w:t>
      </w:r>
      <w:r>
        <w:rPr>
          <w:rFonts w:hint="default" w:ascii="Times New Roman" w:hAnsi="Times New Roman" w:cs="Times New Roman"/>
          <w:color w:val="auto"/>
          <w:highlight w:val="none"/>
          <w:u w:val="none" w:color="auto"/>
        </w:rPr>
        <w:t>。</w:t>
      </w:r>
    </w:p>
    <w:p w14:paraId="0859FBBA">
      <w:pPr>
        <w:pStyle w:val="189"/>
        <w:rPr>
          <w:rFonts w:hint="default" w:ascii="Times New Roman" w:hAnsi="Times New Roman" w:cs="Times New Roman" w:eastAsiaTheme="minorEastAsia"/>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项目运营过程中设备维修养护过程中会产生少量的废矿物油、废含油抹布及手套，产生量为废矿物油：0.1t/a，危废代码为HW08 900-214-08 废含油抹布及手套：0.01t/a，危废代码为</w:t>
      </w:r>
      <w:r>
        <w:rPr>
          <w:rFonts w:hint="default" w:ascii="Times New Roman" w:hAnsi="Times New Roman" w:cs="Times New Roman"/>
          <w:color w:val="auto"/>
          <w:highlight w:val="none"/>
          <w:u w:val="none" w:color="auto"/>
          <w:lang w:val="en-US" w:eastAsia="zh-CN"/>
        </w:rPr>
        <w:t>HW49 900-041-49</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w:t>
      </w:r>
    </w:p>
    <w:p w14:paraId="4AD4CCA1">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w:t>
      </w:r>
      <w:r>
        <w:rPr>
          <w:rFonts w:hint="default" w:ascii="Times New Roman" w:hAnsi="Times New Roman" w:cs="Times New Roman"/>
          <w:color w:val="000000" w:themeColor="text1"/>
          <w:highlight w:val="none"/>
          <w:u w:val="none" w:color="auto"/>
          <w14:textFill>
            <w14:solidFill>
              <w14:schemeClr w14:val="tx1"/>
            </w14:solidFill>
          </w14:textFill>
        </w:rPr>
        <w:t xml:space="preserve">  项目固体废物排放汇总表</w:t>
      </w:r>
    </w:p>
    <w:tbl>
      <w:tblPr>
        <w:tblStyle w:val="76"/>
        <w:tblW w:w="494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76"/>
        <w:gridCol w:w="2348"/>
        <w:gridCol w:w="917"/>
        <w:gridCol w:w="1288"/>
        <w:gridCol w:w="834"/>
        <w:gridCol w:w="1915"/>
        <w:gridCol w:w="1016"/>
      </w:tblGrid>
      <w:tr w14:paraId="6A5A1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8" w:hRule="atLeast"/>
          <w:jc w:val="center"/>
        </w:trPr>
        <w:tc>
          <w:tcPr>
            <w:tcW w:w="674" w:type="dxa"/>
            <w:tcBorders>
              <w:tl2br w:val="nil"/>
              <w:tr2bl w:val="nil"/>
            </w:tcBorders>
            <w:vAlign w:val="center"/>
          </w:tcPr>
          <w:p w14:paraId="7AD2B34C">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序号</w:t>
            </w:r>
          </w:p>
        </w:tc>
        <w:tc>
          <w:tcPr>
            <w:tcW w:w="2340" w:type="dxa"/>
            <w:tcBorders>
              <w:tl2br w:val="nil"/>
              <w:tr2bl w:val="nil"/>
            </w:tcBorders>
            <w:vAlign w:val="center"/>
          </w:tcPr>
          <w:p w14:paraId="00B2D0E9">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固废名称</w:t>
            </w:r>
          </w:p>
        </w:tc>
        <w:tc>
          <w:tcPr>
            <w:tcW w:w="914" w:type="dxa"/>
            <w:tcBorders>
              <w:tl2br w:val="nil"/>
              <w:tr2bl w:val="nil"/>
            </w:tcBorders>
            <w:vAlign w:val="center"/>
          </w:tcPr>
          <w:p w14:paraId="00C8BF68">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属性</w:t>
            </w:r>
          </w:p>
        </w:tc>
        <w:tc>
          <w:tcPr>
            <w:tcW w:w="1284" w:type="dxa"/>
            <w:tcBorders>
              <w:tl2br w:val="nil"/>
              <w:tr2bl w:val="nil"/>
            </w:tcBorders>
            <w:vAlign w:val="center"/>
          </w:tcPr>
          <w:p w14:paraId="6F066D34">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产生工序</w:t>
            </w:r>
          </w:p>
        </w:tc>
        <w:tc>
          <w:tcPr>
            <w:tcW w:w="831" w:type="dxa"/>
            <w:tcBorders>
              <w:tl2br w:val="nil"/>
              <w:tr2bl w:val="nil"/>
            </w:tcBorders>
            <w:vAlign w:val="center"/>
          </w:tcPr>
          <w:p w14:paraId="70477546">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形态</w:t>
            </w:r>
          </w:p>
        </w:tc>
        <w:tc>
          <w:tcPr>
            <w:tcW w:w="1909" w:type="dxa"/>
            <w:tcBorders>
              <w:tl2br w:val="nil"/>
              <w:tr2bl w:val="nil"/>
            </w:tcBorders>
            <w:vAlign w:val="center"/>
          </w:tcPr>
          <w:p w14:paraId="4A1E8781">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废物代码</w:t>
            </w:r>
          </w:p>
        </w:tc>
        <w:tc>
          <w:tcPr>
            <w:tcW w:w="1013" w:type="dxa"/>
            <w:tcBorders>
              <w:tl2br w:val="nil"/>
              <w:tr2bl w:val="nil"/>
            </w:tcBorders>
            <w:vAlign w:val="center"/>
          </w:tcPr>
          <w:p w14:paraId="3FB6476D">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产生量</w:t>
            </w:r>
          </w:p>
          <w:p w14:paraId="300331BA">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（t/a）</w:t>
            </w:r>
          </w:p>
        </w:tc>
      </w:tr>
      <w:tr w14:paraId="7275D9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674" w:type="dxa"/>
            <w:tcBorders>
              <w:tl2br w:val="nil"/>
              <w:tr2bl w:val="nil"/>
            </w:tcBorders>
            <w:vAlign w:val="center"/>
          </w:tcPr>
          <w:p w14:paraId="124F839A">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w:t>
            </w:r>
          </w:p>
        </w:tc>
        <w:tc>
          <w:tcPr>
            <w:tcW w:w="2340" w:type="dxa"/>
            <w:tcBorders>
              <w:tl2br w:val="nil"/>
              <w:tr2bl w:val="nil"/>
            </w:tcBorders>
            <w:vAlign w:val="center"/>
          </w:tcPr>
          <w:p w14:paraId="50ED695C">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格栅渣</w:t>
            </w:r>
          </w:p>
        </w:tc>
        <w:tc>
          <w:tcPr>
            <w:tcW w:w="914" w:type="dxa"/>
            <w:vMerge w:val="restart"/>
            <w:tcBorders>
              <w:tl2br w:val="nil"/>
              <w:tr2bl w:val="nil"/>
            </w:tcBorders>
            <w:vAlign w:val="center"/>
          </w:tcPr>
          <w:p w14:paraId="289DC491">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一般工业废物</w:t>
            </w:r>
          </w:p>
        </w:tc>
        <w:tc>
          <w:tcPr>
            <w:tcW w:w="1284" w:type="dxa"/>
            <w:vMerge w:val="restart"/>
            <w:tcBorders>
              <w:tl2br w:val="nil"/>
              <w:tr2bl w:val="nil"/>
            </w:tcBorders>
            <w:vAlign w:val="center"/>
          </w:tcPr>
          <w:p w14:paraId="56714EAD">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粗细格栅</w:t>
            </w:r>
          </w:p>
        </w:tc>
        <w:tc>
          <w:tcPr>
            <w:tcW w:w="831" w:type="dxa"/>
            <w:tcBorders>
              <w:tl2br w:val="nil"/>
              <w:tr2bl w:val="nil"/>
            </w:tcBorders>
            <w:vAlign w:val="center"/>
          </w:tcPr>
          <w:p w14:paraId="5EB02FD1">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9" w:type="dxa"/>
            <w:tcBorders>
              <w:tl2br w:val="nil"/>
              <w:tr2bl w:val="nil"/>
            </w:tcBorders>
            <w:vAlign w:val="center"/>
          </w:tcPr>
          <w:p w14:paraId="3E5D0265">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900-999-99</w:t>
            </w:r>
          </w:p>
        </w:tc>
        <w:tc>
          <w:tcPr>
            <w:tcW w:w="1013" w:type="dxa"/>
            <w:tcBorders>
              <w:tl2br w:val="nil"/>
              <w:tr2bl w:val="nil"/>
            </w:tcBorders>
            <w:vAlign w:val="center"/>
          </w:tcPr>
          <w:p w14:paraId="43773104">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73.584</w:t>
            </w:r>
          </w:p>
        </w:tc>
      </w:tr>
      <w:tr w14:paraId="136BA1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674" w:type="dxa"/>
            <w:tcBorders>
              <w:tl2br w:val="nil"/>
              <w:tr2bl w:val="nil"/>
            </w:tcBorders>
            <w:vAlign w:val="center"/>
          </w:tcPr>
          <w:p w14:paraId="299BAF2F">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w:t>
            </w:r>
          </w:p>
        </w:tc>
        <w:tc>
          <w:tcPr>
            <w:tcW w:w="2340" w:type="dxa"/>
            <w:tcBorders>
              <w:tl2br w:val="nil"/>
              <w:tr2bl w:val="nil"/>
            </w:tcBorders>
            <w:vAlign w:val="center"/>
          </w:tcPr>
          <w:p w14:paraId="6B0335B1">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沉砂</w:t>
            </w:r>
          </w:p>
        </w:tc>
        <w:tc>
          <w:tcPr>
            <w:tcW w:w="914" w:type="dxa"/>
            <w:vMerge w:val="continue"/>
            <w:tcBorders>
              <w:tl2br w:val="nil"/>
              <w:tr2bl w:val="nil"/>
            </w:tcBorders>
            <w:vAlign w:val="center"/>
          </w:tcPr>
          <w:p w14:paraId="5F5D7B07">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4" w:type="dxa"/>
            <w:vMerge w:val="continue"/>
            <w:tcBorders>
              <w:tl2br w:val="nil"/>
              <w:tr2bl w:val="nil"/>
            </w:tcBorders>
            <w:vAlign w:val="center"/>
          </w:tcPr>
          <w:p w14:paraId="53F7320C">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831" w:type="dxa"/>
            <w:tcBorders>
              <w:tl2br w:val="nil"/>
              <w:tr2bl w:val="nil"/>
            </w:tcBorders>
            <w:vAlign w:val="center"/>
          </w:tcPr>
          <w:p w14:paraId="045CAD2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9" w:type="dxa"/>
            <w:tcBorders>
              <w:tl2br w:val="nil"/>
              <w:tr2bl w:val="nil"/>
            </w:tcBorders>
            <w:vAlign w:val="center"/>
          </w:tcPr>
          <w:p w14:paraId="43E2A2D9">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900-999-99</w:t>
            </w:r>
          </w:p>
        </w:tc>
        <w:tc>
          <w:tcPr>
            <w:tcW w:w="1013" w:type="dxa"/>
            <w:tcBorders>
              <w:tl2br w:val="nil"/>
              <w:tr2bl w:val="nil"/>
            </w:tcBorders>
            <w:vAlign w:val="center"/>
          </w:tcPr>
          <w:p w14:paraId="68FD49CC">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49.275</w:t>
            </w:r>
          </w:p>
        </w:tc>
      </w:tr>
      <w:tr w14:paraId="1014B3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674" w:type="dxa"/>
            <w:tcBorders>
              <w:tl2br w:val="nil"/>
              <w:tr2bl w:val="nil"/>
            </w:tcBorders>
            <w:vAlign w:val="center"/>
          </w:tcPr>
          <w:p w14:paraId="65514DAC">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3</w:t>
            </w:r>
          </w:p>
        </w:tc>
        <w:tc>
          <w:tcPr>
            <w:tcW w:w="2340" w:type="dxa"/>
            <w:tcBorders>
              <w:tl2br w:val="nil"/>
              <w:tr2bl w:val="nil"/>
            </w:tcBorders>
            <w:vAlign w:val="center"/>
          </w:tcPr>
          <w:p w14:paraId="77A3877F">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污</w:t>
            </w:r>
            <w:r>
              <w:rPr>
                <w:rFonts w:hint="default" w:ascii="Times New Roman" w:hAnsi="Times New Roman" w:cs="Times New Roman"/>
                <w:color w:val="000000" w:themeColor="text1"/>
                <w:highlight w:val="none"/>
                <w:u w:val="none" w:color="auto"/>
                <w:lang w:eastAsia="zh-CN"/>
                <w14:textFill>
                  <w14:solidFill>
                    <w14:schemeClr w14:val="tx1"/>
                  </w14:solidFill>
                </w14:textFill>
              </w:rPr>
              <w:t>泥</w:t>
            </w:r>
          </w:p>
        </w:tc>
        <w:tc>
          <w:tcPr>
            <w:tcW w:w="914" w:type="dxa"/>
            <w:vMerge w:val="continue"/>
            <w:tcBorders>
              <w:tl2br w:val="nil"/>
              <w:tr2bl w:val="nil"/>
            </w:tcBorders>
            <w:vAlign w:val="center"/>
          </w:tcPr>
          <w:p w14:paraId="7FC5B898">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4" w:type="dxa"/>
            <w:tcBorders>
              <w:tl2br w:val="nil"/>
              <w:tr2bl w:val="nil"/>
            </w:tcBorders>
            <w:vAlign w:val="center"/>
          </w:tcPr>
          <w:p w14:paraId="3B4C7964">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污泥脱水</w:t>
            </w:r>
            <w:r>
              <w:rPr>
                <w:rFonts w:hint="default" w:ascii="Times New Roman" w:hAnsi="Times New Roman" w:cs="Times New Roman"/>
                <w:color w:val="000000" w:themeColor="text1"/>
                <w:highlight w:val="none"/>
                <w:u w:val="none" w:color="auto"/>
                <w14:textFill>
                  <w14:solidFill>
                    <w14:schemeClr w14:val="tx1"/>
                  </w14:solidFill>
                </w14:textFill>
              </w:rPr>
              <w:t>机房</w:t>
            </w:r>
          </w:p>
        </w:tc>
        <w:tc>
          <w:tcPr>
            <w:tcW w:w="831" w:type="dxa"/>
            <w:tcBorders>
              <w:tl2br w:val="nil"/>
              <w:tr2bl w:val="nil"/>
            </w:tcBorders>
            <w:vAlign w:val="center"/>
          </w:tcPr>
          <w:p w14:paraId="71E42A7A">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9" w:type="dxa"/>
            <w:tcBorders>
              <w:tl2br w:val="nil"/>
              <w:tr2bl w:val="nil"/>
            </w:tcBorders>
            <w:vAlign w:val="center"/>
          </w:tcPr>
          <w:p w14:paraId="1A9549CE">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462-001-62</w:t>
            </w:r>
          </w:p>
        </w:tc>
        <w:tc>
          <w:tcPr>
            <w:tcW w:w="1013" w:type="dxa"/>
            <w:tcBorders>
              <w:tl2br w:val="nil"/>
              <w:tr2bl w:val="nil"/>
            </w:tcBorders>
            <w:vAlign w:val="center"/>
          </w:tcPr>
          <w:p w14:paraId="41AA4BE6">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930.75</w:t>
            </w:r>
          </w:p>
        </w:tc>
      </w:tr>
      <w:tr w14:paraId="5A69D8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674" w:type="dxa"/>
            <w:tcBorders>
              <w:tl2br w:val="nil"/>
              <w:tr2bl w:val="nil"/>
            </w:tcBorders>
            <w:vAlign w:val="center"/>
          </w:tcPr>
          <w:p w14:paraId="4D77A54D">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w:t>
            </w:r>
          </w:p>
        </w:tc>
        <w:tc>
          <w:tcPr>
            <w:tcW w:w="2340" w:type="dxa"/>
            <w:tcBorders>
              <w:tl2br w:val="nil"/>
              <w:tr2bl w:val="nil"/>
            </w:tcBorders>
            <w:vAlign w:val="center"/>
          </w:tcPr>
          <w:p w14:paraId="5B5BF951">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生活垃圾</w:t>
            </w:r>
          </w:p>
        </w:tc>
        <w:tc>
          <w:tcPr>
            <w:tcW w:w="914" w:type="dxa"/>
            <w:tcBorders>
              <w:tl2br w:val="nil"/>
              <w:tr2bl w:val="nil"/>
            </w:tcBorders>
            <w:vAlign w:val="center"/>
          </w:tcPr>
          <w:p w14:paraId="765859F7">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生活垃圾</w:t>
            </w:r>
          </w:p>
        </w:tc>
        <w:tc>
          <w:tcPr>
            <w:tcW w:w="1284" w:type="dxa"/>
            <w:tcBorders>
              <w:tl2br w:val="nil"/>
              <w:tr2bl w:val="nil"/>
            </w:tcBorders>
            <w:vAlign w:val="center"/>
          </w:tcPr>
          <w:p w14:paraId="1BE183BE">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职工生活</w:t>
            </w:r>
          </w:p>
        </w:tc>
        <w:tc>
          <w:tcPr>
            <w:tcW w:w="831" w:type="dxa"/>
            <w:tcBorders>
              <w:tl2br w:val="nil"/>
              <w:tr2bl w:val="nil"/>
            </w:tcBorders>
            <w:vAlign w:val="center"/>
          </w:tcPr>
          <w:p w14:paraId="5ADB69B3">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9" w:type="dxa"/>
            <w:tcBorders>
              <w:tl2br w:val="nil"/>
              <w:tr2bl w:val="nil"/>
            </w:tcBorders>
            <w:vAlign w:val="center"/>
          </w:tcPr>
          <w:p w14:paraId="451C7F3B">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p>
        </w:tc>
        <w:tc>
          <w:tcPr>
            <w:tcW w:w="1013" w:type="dxa"/>
            <w:tcBorders>
              <w:tl2br w:val="nil"/>
              <w:tr2bl w:val="nil"/>
            </w:tcBorders>
            <w:vAlign w:val="center"/>
          </w:tcPr>
          <w:p w14:paraId="41261571">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highlight w:val="none"/>
                <w:u w:val="none" w:color="auto"/>
                <w:lang w:val="en-US" w:eastAsia="zh-CN"/>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5.84</w:t>
            </w:r>
          </w:p>
        </w:tc>
      </w:tr>
      <w:tr w14:paraId="3A2B69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674" w:type="dxa"/>
            <w:tcBorders>
              <w:tl2br w:val="nil"/>
              <w:tr2bl w:val="nil"/>
            </w:tcBorders>
            <w:vAlign w:val="center"/>
          </w:tcPr>
          <w:p w14:paraId="6023AA48">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p>
        </w:tc>
        <w:tc>
          <w:tcPr>
            <w:tcW w:w="2340" w:type="dxa"/>
            <w:tcBorders>
              <w:tl2br w:val="nil"/>
              <w:tr2bl w:val="nil"/>
            </w:tcBorders>
            <w:vAlign w:val="center"/>
          </w:tcPr>
          <w:p w14:paraId="19C41205">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废矿物油</w:t>
            </w:r>
          </w:p>
        </w:tc>
        <w:tc>
          <w:tcPr>
            <w:tcW w:w="914" w:type="dxa"/>
            <w:vMerge w:val="restart"/>
            <w:tcBorders>
              <w:tl2br w:val="nil"/>
              <w:tr2bl w:val="nil"/>
            </w:tcBorders>
            <w:vAlign w:val="center"/>
          </w:tcPr>
          <w:p w14:paraId="2BB26796">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危险废物</w:t>
            </w:r>
          </w:p>
        </w:tc>
        <w:tc>
          <w:tcPr>
            <w:tcW w:w="1284" w:type="dxa"/>
            <w:vMerge w:val="restart"/>
            <w:tcBorders>
              <w:tl2br w:val="nil"/>
              <w:tr2bl w:val="nil"/>
            </w:tcBorders>
            <w:vAlign w:val="center"/>
          </w:tcPr>
          <w:p w14:paraId="2E98F6EC">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设备维修养护</w:t>
            </w:r>
          </w:p>
        </w:tc>
        <w:tc>
          <w:tcPr>
            <w:tcW w:w="831" w:type="dxa"/>
            <w:tcBorders>
              <w:tl2br w:val="nil"/>
              <w:tr2bl w:val="nil"/>
            </w:tcBorders>
            <w:vAlign w:val="center"/>
          </w:tcPr>
          <w:p w14:paraId="3D14BA96">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9" w:type="dxa"/>
            <w:tcBorders>
              <w:tl2br w:val="nil"/>
              <w:tr2bl w:val="nil"/>
            </w:tcBorders>
            <w:vAlign w:val="center"/>
          </w:tcPr>
          <w:p w14:paraId="1E370D39">
            <w:pPr>
              <w:pStyle w:val="159"/>
              <w:keepNext w:val="0"/>
              <w:keepLines w:val="0"/>
              <w:suppressLineNumbers w:val="0"/>
              <w:spacing w:before="0" w:beforeAutospacing="0" w:after="0" w:afterAutospacing="0"/>
              <w:ind w:left="0" w:right="0"/>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HW08 900-214-08</w:t>
            </w:r>
          </w:p>
        </w:tc>
        <w:tc>
          <w:tcPr>
            <w:tcW w:w="1013" w:type="dxa"/>
            <w:tcBorders>
              <w:tl2br w:val="nil"/>
              <w:tr2bl w:val="nil"/>
            </w:tcBorders>
            <w:vAlign w:val="center"/>
          </w:tcPr>
          <w:p w14:paraId="12C14943">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0.1</w:t>
            </w:r>
          </w:p>
        </w:tc>
      </w:tr>
      <w:tr w14:paraId="785F28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674" w:type="dxa"/>
            <w:tcBorders>
              <w:tl2br w:val="nil"/>
              <w:tr2bl w:val="nil"/>
            </w:tcBorders>
            <w:vAlign w:val="center"/>
          </w:tcPr>
          <w:p w14:paraId="5CFFCFB3">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w:t>
            </w:r>
          </w:p>
        </w:tc>
        <w:tc>
          <w:tcPr>
            <w:tcW w:w="2340" w:type="dxa"/>
            <w:tcBorders>
              <w:tl2br w:val="nil"/>
              <w:tr2bl w:val="nil"/>
            </w:tcBorders>
            <w:vAlign w:val="center"/>
          </w:tcPr>
          <w:p w14:paraId="4A52E237">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废含油抹布及手套</w:t>
            </w:r>
          </w:p>
        </w:tc>
        <w:tc>
          <w:tcPr>
            <w:tcW w:w="914" w:type="dxa"/>
            <w:vMerge w:val="continue"/>
            <w:tcBorders>
              <w:tl2br w:val="nil"/>
              <w:tr2bl w:val="nil"/>
            </w:tcBorders>
            <w:vAlign w:val="center"/>
          </w:tcPr>
          <w:p w14:paraId="637B20A8">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4" w:type="dxa"/>
            <w:vMerge w:val="continue"/>
            <w:tcBorders>
              <w:tl2br w:val="nil"/>
              <w:tr2bl w:val="nil"/>
            </w:tcBorders>
            <w:vAlign w:val="center"/>
          </w:tcPr>
          <w:p w14:paraId="522048A0">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831" w:type="dxa"/>
            <w:tcBorders>
              <w:tl2br w:val="nil"/>
              <w:tr2bl w:val="nil"/>
            </w:tcBorders>
            <w:vAlign w:val="center"/>
          </w:tcPr>
          <w:p w14:paraId="02C718EE">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9" w:type="dxa"/>
            <w:tcBorders>
              <w:tl2br w:val="nil"/>
              <w:tr2bl w:val="nil"/>
            </w:tcBorders>
            <w:vAlign w:val="center"/>
          </w:tcPr>
          <w:p w14:paraId="75097499">
            <w:pPr>
              <w:pStyle w:val="159"/>
              <w:keepNext w:val="0"/>
              <w:keepLines w:val="0"/>
              <w:suppressLineNumbers w:val="0"/>
              <w:spacing w:before="0" w:beforeAutospacing="0" w:after="0" w:afterAutospacing="0"/>
              <w:ind w:left="0" w:right="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HW49 900-041-49</w:t>
            </w:r>
          </w:p>
        </w:tc>
        <w:tc>
          <w:tcPr>
            <w:tcW w:w="1013" w:type="dxa"/>
            <w:tcBorders>
              <w:tl2br w:val="nil"/>
              <w:tr2bl w:val="nil"/>
            </w:tcBorders>
            <w:vAlign w:val="center"/>
          </w:tcPr>
          <w:p w14:paraId="1E286333">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0.01</w:t>
            </w:r>
          </w:p>
        </w:tc>
      </w:tr>
      <w:tr w14:paraId="778654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674" w:type="dxa"/>
            <w:tcBorders>
              <w:tl2br w:val="nil"/>
              <w:tr2bl w:val="nil"/>
            </w:tcBorders>
            <w:vAlign w:val="center"/>
          </w:tcPr>
          <w:p w14:paraId="3181C150">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w:t>
            </w:r>
          </w:p>
        </w:tc>
        <w:tc>
          <w:tcPr>
            <w:tcW w:w="2340" w:type="dxa"/>
            <w:tcBorders>
              <w:tl2br w:val="nil"/>
              <w:tr2bl w:val="nil"/>
            </w:tcBorders>
            <w:vAlign w:val="center"/>
          </w:tcPr>
          <w:p w14:paraId="2478F12A">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在线监测废液</w:t>
            </w:r>
          </w:p>
        </w:tc>
        <w:tc>
          <w:tcPr>
            <w:tcW w:w="914" w:type="dxa"/>
            <w:vMerge w:val="continue"/>
            <w:tcBorders>
              <w:tl2br w:val="nil"/>
              <w:tr2bl w:val="nil"/>
            </w:tcBorders>
            <w:vAlign w:val="center"/>
          </w:tcPr>
          <w:p w14:paraId="7E0ED2DC">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4" w:type="dxa"/>
            <w:tcBorders>
              <w:tl2br w:val="nil"/>
              <w:tr2bl w:val="nil"/>
            </w:tcBorders>
            <w:vAlign w:val="center"/>
          </w:tcPr>
          <w:p w14:paraId="4B5B7798">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在线监测</w:t>
            </w:r>
          </w:p>
        </w:tc>
        <w:tc>
          <w:tcPr>
            <w:tcW w:w="831" w:type="dxa"/>
            <w:tcBorders>
              <w:tl2br w:val="nil"/>
              <w:tr2bl w:val="nil"/>
            </w:tcBorders>
            <w:vAlign w:val="center"/>
          </w:tcPr>
          <w:p w14:paraId="56A91EF2">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液态</w:t>
            </w:r>
          </w:p>
        </w:tc>
        <w:tc>
          <w:tcPr>
            <w:tcW w:w="1909" w:type="dxa"/>
            <w:tcBorders>
              <w:tl2br w:val="nil"/>
              <w:tr2bl w:val="nil"/>
            </w:tcBorders>
            <w:vAlign w:val="center"/>
          </w:tcPr>
          <w:p w14:paraId="578B322C">
            <w:pPr>
              <w:pStyle w:val="159"/>
              <w:keepNext w:val="0"/>
              <w:keepLines w:val="0"/>
              <w:suppressLineNumbers w:val="0"/>
              <w:spacing w:before="0" w:beforeAutospacing="0" w:after="0" w:afterAutospacing="0"/>
              <w:ind w:left="0" w:right="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HW49 900-047-49</w:t>
            </w:r>
          </w:p>
        </w:tc>
        <w:tc>
          <w:tcPr>
            <w:tcW w:w="1013" w:type="dxa"/>
            <w:tcBorders>
              <w:tl2br w:val="nil"/>
              <w:tr2bl w:val="nil"/>
            </w:tcBorders>
            <w:vAlign w:val="center"/>
          </w:tcPr>
          <w:p w14:paraId="7617845A">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2.4</w:t>
            </w:r>
          </w:p>
        </w:tc>
      </w:tr>
      <w:tr w14:paraId="23DB70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674" w:type="dxa"/>
            <w:tcBorders>
              <w:tl2br w:val="nil"/>
              <w:tr2bl w:val="nil"/>
            </w:tcBorders>
            <w:vAlign w:val="center"/>
          </w:tcPr>
          <w:p w14:paraId="35E482FC">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w:t>
            </w:r>
          </w:p>
        </w:tc>
        <w:tc>
          <w:tcPr>
            <w:tcW w:w="2340" w:type="dxa"/>
            <w:tcBorders>
              <w:tl2br w:val="nil"/>
              <w:tr2bl w:val="nil"/>
            </w:tcBorders>
            <w:vAlign w:val="center"/>
          </w:tcPr>
          <w:p w14:paraId="12B3DFCB">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化验室废液</w:t>
            </w:r>
          </w:p>
        </w:tc>
        <w:tc>
          <w:tcPr>
            <w:tcW w:w="914" w:type="dxa"/>
            <w:vMerge w:val="continue"/>
            <w:tcBorders>
              <w:tl2br w:val="nil"/>
              <w:tr2bl w:val="nil"/>
            </w:tcBorders>
            <w:vAlign w:val="center"/>
          </w:tcPr>
          <w:p w14:paraId="64A6AE20">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4" w:type="dxa"/>
            <w:vMerge w:val="restart"/>
            <w:tcBorders>
              <w:tl2br w:val="nil"/>
              <w:tr2bl w:val="nil"/>
            </w:tcBorders>
            <w:vAlign w:val="center"/>
          </w:tcPr>
          <w:p w14:paraId="7FB2F0EE">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污水检测</w:t>
            </w:r>
          </w:p>
        </w:tc>
        <w:tc>
          <w:tcPr>
            <w:tcW w:w="831" w:type="dxa"/>
            <w:tcBorders>
              <w:tl2br w:val="nil"/>
              <w:tr2bl w:val="nil"/>
            </w:tcBorders>
            <w:vAlign w:val="center"/>
          </w:tcPr>
          <w:p w14:paraId="7BE6EBCB">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液态</w:t>
            </w:r>
          </w:p>
        </w:tc>
        <w:tc>
          <w:tcPr>
            <w:tcW w:w="1909" w:type="dxa"/>
            <w:tcBorders>
              <w:tl2br w:val="nil"/>
              <w:tr2bl w:val="nil"/>
            </w:tcBorders>
            <w:vAlign w:val="center"/>
          </w:tcPr>
          <w:p w14:paraId="55B71B7C">
            <w:pPr>
              <w:pStyle w:val="159"/>
              <w:keepNext w:val="0"/>
              <w:keepLines w:val="0"/>
              <w:suppressLineNumbers w:val="0"/>
              <w:spacing w:before="0" w:beforeAutospacing="0" w:after="0" w:afterAutospacing="0"/>
              <w:ind w:left="0" w:right="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HW49 900-047-49</w:t>
            </w:r>
          </w:p>
        </w:tc>
        <w:tc>
          <w:tcPr>
            <w:tcW w:w="1013" w:type="dxa"/>
            <w:tcBorders>
              <w:tl2br w:val="nil"/>
              <w:tr2bl w:val="nil"/>
            </w:tcBorders>
            <w:vAlign w:val="center"/>
          </w:tcPr>
          <w:p w14:paraId="570BFF06">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0.3</w:t>
            </w:r>
          </w:p>
        </w:tc>
      </w:tr>
      <w:tr w14:paraId="0EC275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674" w:type="dxa"/>
            <w:tcBorders>
              <w:tl2br w:val="nil"/>
              <w:tr2bl w:val="nil"/>
            </w:tcBorders>
            <w:vAlign w:val="center"/>
          </w:tcPr>
          <w:p w14:paraId="00F08F12">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w:t>
            </w:r>
          </w:p>
        </w:tc>
        <w:tc>
          <w:tcPr>
            <w:tcW w:w="2340" w:type="dxa"/>
            <w:tcBorders>
              <w:tl2br w:val="nil"/>
              <w:tr2bl w:val="nil"/>
            </w:tcBorders>
            <w:vAlign w:val="center"/>
          </w:tcPr>
          <w:p w14:paraId="0C138891">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沾染性废物</w:t>
            </w:r>
          </w:p>
        </w:tc>
        <w:tc>
          <w:tcPr>
            <w:tcW w:w="914" w:type="dxa"/>
            <w:vMerge w:val="continue"/>
            <w:tcBorders>
              <w:tl2br w:val="nil"/>
              <w:tr2bl w:val="nil"/>
            </w:tcBorders>
            <w:vAlign w:val="center"/>
          </w:tcPr>
          <w:p w14:paraId="07B0B875">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4" w:type="dxa"/>
            <w:vMerge w:val="continue"/>
            <w:tcBorders>
              <w:tl2br w:val="nil"/>
              <w:tr2bl w:val="nil"/>
            </w:tcBorders>
            <w:vAlign w:val="center"/>
          </w:tcPr>
          <w:p w14:paraId="2B15802C">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831" w:type="dxa"/>
            <w:tcBorders>
              <w:tl2br w:val="nil"/>
              <w:tr2bl w:val="nil"/>
            </w:tcBorders>
            <w:vAlign w:val="center"/>
          </w:tcPr>
          <w:p w14:paraId="68D736F4">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9" w:type="dxa"/>
            <w:tcBorders>
              <w:tl2br w:val="nil"/>
              <w:tr2bl w:val="nil"/>
            </w:tcBorders>
            <w:vAlign w:val="center"/>
          </w:tcPr>
          <w:p w14:paraId="22DE03BD">
            <w:pPr>
              <w:pStyle w:val="159"/>
              <w:keepNext w:val="0"/>
              <w:keepLines w:val="0"/>
              <w:suppressLineNumbers w:val="0"/>
              <w:spacing w:before="0" w:beforeAutospacing="0" w:after="0" w:afterAutospacing="0"/>
              <w:ind w:left="0" w:right="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HW49 900-041-49</w:t>
            </w:r>
          </w:p>
        </w:tc>
        <w:tc>
          <w:tcPr>
            <w:tcW w:w="1013" w:type="dxa"/>
            <w:tcBorders>
              <w:tl2br w:val="nil"/>
              <w:tr2bl w:val="nil"/>
            </w:tcBorders>
            <w:vAlign w:val="center"/>
          </w:tcPr>
          <w:p w14:paraId="142CD7D3">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0.15</w:t>
            </w:r>
          </w:p>
        </w:tc>
      </w:tr>
    </w:tbl>
    <w:p w14:paraId="2E3F5523">
      <w:pPr>
        <w:pStyle w:val="5"/>
        <w:numPr>
          <w:ilvl w:val="2"/>
          <w:numId w:val="0"/>
        </w:numPr>
        <w:ind w:leftChars="0" w:firstLine="482" w:firstLineChars="200"/>
        <w:outlineLvl w:val="3"/>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3.5.3.4 </w:t>
      </w:r>
      <w:r>
        <w:rPr>
          <w:rFonts w:hint="default" w:ascii="Times New Roman" w:hAnsi="Times New Roman" w:cs="Times New Roman"/>
          <w:color w:val="000000" w:themeColor="text1"/>
          <w:highlight w:val="none"/>
          <w:u w:val="none" w:color="auto"/>
          <w14:textFill>
            <w14:solidFill>
              <w14:schemeClr w14:val="tx1"/>
            </w14:solidFill>
          </w14:textFill>
        </w:rPr>
        <w:t>声环境污染源</w:t>
      </w:r>
    </w:p>
    <w:p w14:paraId="77C400CE">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项目运行时的主要噪声源为风机、污水泵、污泥泵、脱水机等其它设备，类比调查同类设备噪声的声源强度情况见下表。</w:t>
      </w:r>
    </w:p>
    <w:p w14:paraId="749DB915">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w:t>
      </w:r>
      <w:r>
        <w:rPr>
          <w:rFonts w:hint="default" w:ascii="Times New Roman" w:hAnsi="Times New Roman" w:cs="Times New Roman"/>
          <w:color w:val="000000" w:themeColor="text1"/>
          <w:highlight w:val="none"/>
          <w:u w:val="none" w:color="auto"/>
          <w14:textFill>
            <w14:solidFill>
              <w14:schemeClr w14:val="tx1"/>
            </w14:solidFill>
          </w14:textFill>
        </w:rPr>
        <w:t xml:space="preserve">  污水处理厂主要设备噪声源强  </w:t>
      </w:r>
      <w:r>
        <w:rPr>
          <w:rFonts w:hint="default" w:ascii="Times New Roman" w:hAnsi="Times New Roman" w:cs="Times New Roman"/>
          <w:b w:val="0"/>
          <w:bCs/>
          <w:color w:val="000000" w:themeColor="text1"/>
          <w:highlight w:val="none"/>
          <w:u w:val="none" w:color="auto"/>
          <w14:textFill>
            <w14:solidFill>
              <w14:schemeClr w14:val="tx1"/>
            </w14:solidFill>
          </w14:textFill>
        </w:rPr>
        <w:t>dB（A）</w:t>
      </w:r>
    </w:p>
    <w:p w14:paraId="3198B42F">
      <w:pPr>
        <w:kinsoku w:val="0"/>
        <w:overflowPunct w:val="0"/>
        <w:spacing w:before="8" w:line="30" w:lineRule="exact"/>
        <w:ind w:firstLine="60"/>
        <w:rPr>
          <w:rFonts w:hint="default" w:ascii="Times New Roman" w:hAnsi="Times New Roman" w:eastAsia="Times New Roman" w:cs="Times New Roman"/>
          <w:color w:val="000000" w:themeColor="text1"/>
          <w:sz w:val="3"/>
          <w:highlight w:val="none"/>
          <w:u w:val="none" w:color="auto"/>
          <w14:textFill>
            <w14:solidFill>
              <w14:schemeClr w14:val="tx1"/>
            </w14:solidFill>
          </w14:textFill>
        </w:rPr>
      </w:pPr>
    </w:p>
    <w:bookmarkEnd w:id="71"/>
    <w:tbl>
      <w:tblPr>
        <w:tblStyle w:val="76"/>
        <w:tblW w:w="50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13"/>
        <w:gridCol w:w="3250"/>
        <w:gridCol w:w="1755"/>
        <w:gridCol w:w="1206"/>
        <w:gridCol w:w="1773"/>
      </w:tblGrid>
      <w:tr w14:paraId="527680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201" w:type="dxa"/>
            <w:tcBorders>
              <w:tl2br w:val="nil"/>
              <w:tr2bl w:val="nil"/>
            </w:tcBorders>
            <w:vAlign w:val="center"/>
          </w:tcPr>
          <w:p w14:paraId="5D1FE27C">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序号</w:t>
            </w:r>
          </w:p>
        </w:tc>
        <w:tc>
          <w:tcPr>
            <w:tcW w:w="3218" w:type="dxa"/>
            <w:tcBorders>
              <w:tl2br w:val="nil"/>
              <w:tr2bl w:val="nil"/>
            </w:tcBorders>
            <w:vAlign w:val="center"/>
          </w:tcPr>
          <w:p w14:paraId="3011A09C">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设备名称</w:t>
            </w:r>
          </w:p>
        </w:tc>
        <w:tc>
          <w:tcPr>
            <w:tcW w:w="1737" w:type="dxa"/>
            <w:tcBorders>
              <w:tl2br w:val="nil"/>
              <w:tr2bl w:val="nil"/>
            </w:tcBorders>
            <w:vAlign w:val="center"/>
          </w:tcPr>
          <w:p w14:paraId="2730A882">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单位</w:t>
            </w:r>
          </w:p>
        </w:tc>
        <w:tc>
          <w:tcPr>
            <w:tcW w:w="1194" w:type="dxa"/>
            <w:tcBorders>
              <w:tl2br w:val="nil"/>
              <w:tr2bl w:val="nil"/>
            </w:tcBorders>
            <w:vAlign w:val="center"/>
          </w:tcPr>
          <w:p w14:paraId="035FD0D7">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工况</w:t>
            </w:r>
          </w:p>
        </w:tc>
        <w:tc>
          <w:tcPr>
            <w:tcW w:w="1755" w:type="dxa"/>
            <w:tcBorders>
              <w:tl2br w:val="nil"/>
              <w:tr2bl w:val="nil"/>
            </w:tcBorders>
            <w:vAlign w:val="center"/>
          </w:tcPr>
          <w:p w14:paraId="2E88BEA8">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单机噪声级</w:t>
            </w:r>
          </w:p>
        </w:tc>
      </w:tr>
      <w:tr w14:paraId="687007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201" w:type="dxa"/>
            <w:tcBorders>
              <w:tl2br w:val="nil"/>
              <w:tr2bl w:val="nil"/>
            </w:tcBorders>
            <w:vAlign w:val="center"/>
          </w:tcPr>
          <w:p w14:paraId="672FEED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w:t>
            </w:r>
          </w:p>
        </w:tc>
        <w:tc>
          <w:tcPr>
            <w:tcW w:w="3218" w:type="dxa"/>
            <w:tcBorders>
              <w:tl2br w:val="nil"/>
              <w:tr2bl w:val="nil"/>
            </w:tcBorders>
            <w:vAlign w:val="center"/>
          </w:tcPr>
          <w:p w14:paraId="64EC90B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污泥</w:t>
            </w:r>
            <w:r>
              <w:rPr>
                <w:rFonts w:hint="default" w:ascii="Times New Roman" w:hAnsi="Times New Roman" w:cs="Times New Roman"/>
                <w:color w:val="000000" w:themeColor="text1"/>
                <w:highlight w:val="none"/>
                <w:u w:val="none" w:color="auto"/>
                <w14:textFill>
                  <w14:solidFill>
                    <w14:schemeClr w14:val="tx1"/>
                  </w14:solidFill>
                </w14:textFill>
              </w:rPr>
              <w:t>泵</w:t>
            </w:r>
          </w:p>
        </w:tc>
        <w:tc>
          <w:tcPr>
            <w:tcW w:w="1737" w:type="dxa"/>
            <w:tcBorders>
              <w:tl2br w:val="nil"/>
              <w:tr2bl w:val="nil"/>
            </w:tcBorders>
            <w:vAlign w:val="center"/>
          </w:tcPr>
          <w:p w14:paraId="5878AA6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4台</w:t>
            </w:r>
          </w:p>
        </w:tc>
        <w:tc>
          <w:tcPr>
            <w:tcW w:w="1194" w:type="dxa"/>
            <w:tcBorders>
              <w:tl2br w:val="nil"/>
              <w:tr2bl w:val="nil"/>
            </w:tcBorders>
            <w:vAlign w:val="center"/>
          </w:tcPr>
          <w:p w14:paraId="162743B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连续</w:t>
            </w:r>
          </w:p>
        </w:tc>
        <w:tc>
          <w:tcPr>
            <w:tcW w:w="1755" w:type="dxa"/>
            <w:tcBorders>
              <w:tl2br w:val="nil"/>
              <w:tr2bl w:val="nil"/>
            </w:tcBorders>
            <w:vAlign w:val="center"/>
          </w:tcPr>
          <w:p w14:paraId="7F5648E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80</w:t>
            </w:r>
          </w:p>
        </w:tc>
      </w:tr>
      <w:tr w14:paraId="7C50F6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201" w:type="dxa"/>
            <w:tcBorders>
              <w:tl2br w:val="nil"/>
              <w:tr2bl w:val="nil"/>
            </w:tcBorders>
            <w:vAlign w:val="center"/>
          </w:tcPr>
          <w:p w14:paraId="769EEDB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w:t>
            </w:r>
          </w:p>
        </w:tc>
        <w:tc>
          <w:tcPr>
            <w:tcW w:w="3218" w:type="dxa"/>
            <w:tcBorders>
              <w:tl2br w:val="nil"/>
              <w:tr2bl w:val="nil"/>
            </w:tcBorders>
            <w:vAlign w:val="center"/>
          </w:tcPr>
          <w:p w14:paraId="4191047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回流</w:t>
            </w:r>
            <w:r>
              <w:rPr>
                <w:rFonts w:hint="default" w:ascii="Times New Roman" w:hAnsi="Times New Roman" w:cs="Times New Roman"/>
                <w:color w:val="000000" w:themeColor="text1"/>
                <w:highlight w:val="none"/>
                <w:u w:val="none" w:color="auto"/>
                <w:lang w:eastAsia="zh-CN"/>
                <w14:textFill>
                  <w14:solidFill>
                    <w14:schemeClr w14:val="tx1"/>
                  </w14:solidFill>
                </w14:textFill>
              </w:rPr>
              <w:t>泵</w:t>
            </w:r>
          </w:p>
        </w:tc>
        <w:tc>
          <w:tcPr>
            <w:tcW w:w="1737" w:type="dxa"/>
            <w:tcBorders>
              <w:tl2br w:val="nil"/>
              <w:tr2bl w:val="nil"/>
            </w:tcBorders>
            <w:vAlign w:val="center"/>
          </w:tcPr>
          <w:p w14:paraId="799F505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5台</w:t>
            </w:r>
          </w:p>
        </w:tc>
        <w:tc>
          <w:tcPr>
            <w:tcW w:w="1194" w:type="dxa"/>
            <w:tcBorders>
              <w:tl2br w:val="nil"/>
              <w:tr2bl w:val="nil"/>
            </w:tcBorders>
            <w:vAlign w:val="center"/>
          </w:tcPr>
          <w:p w14:paraId="0917461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连续</w:t>
            </w:r>
          </w:p>
        </w:tc>
        <w:tc>
          <w:tcPr>
            <w:tcW w:w="1755" w:type="dxa"/>
            <w:tcBorders>
              <w:tl2br w:val="nil"/>
              <w:tr2bl w:val="nil"/>
            </w:tcBorders>
            <w:vAlign w:val="center"/>
          </w:tcPr>
          <w:p w14:paraId="79D3D54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80</w:t>
            </w:r>
          </w:p>
        </w:tc>
      </w:tr>
      <w:tr w14:paraId="761478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201" w:type="dxa"/>
            <w:tcBorders>
              <w:tl2br w:val="nil"/>
              <w:tr2bl w:val="nil"/>
            </w:tcBorders>
            <w:vAlign w:val="center"/>
          </w:tcPr>
          <w:p w14:paraId="5954008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p>
        </w:tc>
        <w:tc>
          <w:tcPr>
            <w:tcW w:w="3218" w:type="dxa"/>
            <w:tcBorders>
              <w:tl2br w:val="nil"/>
              <w:tr2bl w:val="nil"/>
            </w:tcBorders>
            <w:vAlign w:val="center"/>
          </w:tcPr>
          <w:p w14:paraId="51D1B7D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进料</w:t>
            </w:r>
            <w:r>
              <w:rPr>
                <w:rFonts w:hint="default" w:ascii="Times New Roman" w:hAnsi="Times New Roman" w:cs="Times New Roman"/>
                <w:color w:val="000000" w:themeColor="text1"/>
                <w:highlight w:val="none"/>
                <w:u w:val="none" w:color="auto"/>
                <w:lang w:eastAsia="zh-CN"/>
                <w14:textFill>
                  <w14:solidFill>
                    <w14:schemeClr w14:val="tx1"/>
                  </w14:solidFill>
                </w14:textFill>
              </w:rPr>
              <w:t>泵</w:t>
            </w:r>
          </w:p>
        </w:tc>
        <w:tc>
          <w:tcPr>
            <w:tcW w:w="1737" w:type="dxa"/>
            <w:tcBorders>
              <w:tl2br w:val="nil"/>
              <w:tr2bl w:val="nil"/>
            </w:tcBorders>
            <w:vAlign w:val="center"/>
          </w:tcPr>
          <w:p w14:paraId="25F5A47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2台（1用1备）</w:t>
            </w:r>
          </w:p>
        </w:tc>
        <w:tc>
          <w:tcPr>
            <w:tcW w:w="1194" w:type="dxa"/>
            <w:tcBorders>
              <w:tl2br w:val="nil"/>
              <w:tr2bl w:val="nil"/>
            </w:tcBorders>
            <w:vAlign w:val="center"/>
          </w:tcPr>
          <w:p w14:paraId="391ADEF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连续</w:t>
            </w:r>
          </w:p>
        </w:tc>
        <w:tc>
          <w:tcPr>
            <w:tcW w:w="1755" w:type="dxa"/>
            <w:tcBorders>
              <w:tl2br w:val="nil"/>
              <w:tr2bl w:val="nil"/>
            </w:tcBorders>
            <w:vAlign w:val="center"/>
          </w:tcPr>
          <w:p w14:paraId="7606BD3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85</w:t>
            </w:r>
          </w:p>
        </w:tc>
      </w:tr>
      <w:tr w14:paraId="545C4A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201" w:type="dxa"/>
            <w:tcBorders>
              <w:tl2br w:val="nil"/>
              <w:tr2bl w:val="nil"/>
            </w:tcBorders>
            <w:vAlign w:val="center"/>
          </w:tcPr>
          <w:p w14:paraId="29096AE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w:t>
            </w:r>
          </w:p>
        </w:tc>
        <w:tc>
          <w:tcPr>
            <w:tcW w:w="3218" w:type="dxa"/>
            <w:tcBorders>
              <w:tl2br w:val="nil"/>
              <w:tr2bl w:val="nil"/>
            </w:tcBorders>
            <w:vAlign w:val="center"/>
          </w:tcPr>
          <w:p w14:paraId="5B4B562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潜水搅拌机</w:t>
            </w:r>
          </w:p>
        </w:tc>
        <w:tc>
          <w:tcPr>
            <w:tcW w:w="1737" w:type="dxa"/>
            <w:tcBorders>
              <w:tl2br w:val="nil"/>
              <w:tr2bl w:val="nil"/>
            </w:tcBorders>
            <w:vAlign w:val="center"/>
          </w:tcPr>
          <w:p w14:paraId="67B425D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10台</w:t>
            </w:r>
          </w:p>
        </w:tc>
        <w:tc>
          <w:tcPr>
            <w:tcW w:w="1194" w:type="dxa"/>
            <w:tcBorders>
              <w:tl2br w:val="nil"/>
              <w:tr2bl w:val="nil"/>
            </w:tcBorders>
            <w:vAlign w:val="center"/>
          </w:tcPr>
          <w:p w14:paraId="2BBF50A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连续</w:t>
            </w:r>
          </w:p>
        </w:tc>
        <w:tc>
          <w:tcPr>
            <w:tcW w:w="1755" w:type="dxa"/>
            <w:tcBorders>
              <w:tl2br w:val="nil"/>
              <w:tr2bl w:val="nil"/>
            </w:tcBorders>
            <w:vAlign w:val="center"/>
          </w:tcPr>
          <w:p w14:paraId="7442880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80</w:t>
            </w:r>
          </w:p>
        </w:tc>
      </w:tr>
      <w:tr w14:paraId="356576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201" w:type="dxa"/>
            <w:tcBorders>
              <w:tl2br w:val="nil"/>
              <w:tr2bl w:val="nil"/>
            </w:tcBorders>
            <w:vAlign w:val="center"/>
          </w:tcPr>
          <w:p w14:paraId="7049FC0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p>
        </w:tc>
        <w:tc>
          <w:tcPr>
            <w:tcW w:w="3218" w:type="dxa"/>
            <w:tcBorders>
              <w:tl2br w:val="nil"/>
              <w:tr2bl w:val="nil"/>
            </w:tcBorders>
            <w:vAlign w:val="center"/>
          </w:tcPr>
          <w:p w14:paraId="4F65C8D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高压清洗泵</w:t>
            </w:r>
          </w:p>
        </w:tc>
        <w:tc>
          <w:tcPr>
            <w:tcW w:w="1737" w:type="dxa"/>
            <w:tcBorders>
              <w:tl2br w:val="nil"/>
              <w:tr2bl w:val="nil"/>
            </w:tcBorders>
            <w:vAlign w:val="center"/>
          </w:tcPr>
          <w:p w14:paraId="0551C17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2台（1用1备）</w:t>
            </w:r>
          </w:p>
        </w:tc>
        <w:tc>
          <w:tcPr>
            <w:tcW w:w="1194" w:type="dxa"/>
            <w:tcBorders>
              <w:tl2br w:val="nil"/>
              <w:tr2bl w:val="nil"/>
            </w:tcBorders>
            <w:vAlign w:val="center"/>
          </w:tcPr>
          <w:p w14:paraId="52E2C03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间歇</w:t>
            </w:r>
          </w:p>
        </w:tc>
        <w:tc>
          <w:tcPr>
            <w:tcW w:w="1755" w:type="dxa"/>
            <w:tcBorders>
              <w:tl2br w:val="nil"/>
              <w:tr2bl w:val="nil"/>
            </w:tcBorders>
            <w:vAlign w:val="center"/>
          </w:tcPr>
          <w:p w14:paraId="1B1FA84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85</w:t>
            </w:r>
          </w:p>
        </w:tc>
      </w:tr>
      <w:tr w14:paraId="468ACA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201" w:type="dxa"/>
            <w:tcBorders>
              <w:tl2br w:val="nil"/>
              <w:tr2bl w:val="nil"/>
            </w:tcBorders>
            <w:vAlign w:val="center"/>
          </w:tcPr>
          <w:p w14:paraId="7DAA331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w:t>
            </w:r>
          </w:p>
        </w:tc>
        <w:tc>
          <w:tcPr>
            <w:tcW w:w="3218" w:type="dxa"/>
            <w:tcBorders>
              <w:tl2br w:val="nil"/>
              <w:tr2bl w:val="nil"/>
            </w:tcBorders>
            <w:vAlign w:val="center"/>
          </w:tcPr>
          <w:p w14:paraId="6EAB1C6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叠螺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式污泥压缩</w:t>
            </w:r>
            <w:r>
              <w:rPr>
                <w:rFonts w:hint="default" w:ascii="Times New Roman" w:hAnsi="Times New Roman" w:cs="Times New Roman"/>
                <w:color w:val="000000" w:themeColor="text1"/>
                <w:highlight w:val="none"/>
                <w:u w:val="none" w:color="auto"/>
                <w14:textFill>
                  <w14:solidFill>
                    <w14:schemeClr w14:val="tx1"/>
                  </w14:solidFill>
                </w14:textFill>
              </w:rPr>
              <w:t>机</w:t>
            </w:r>
          </w:p>
        </w:tc>
        <w:tc>
          <w:tcPr>
            <w:tcW w:w="1737" w:type="dxa"/>
            <w:tcBorders>
              <w:tl2br w:val="nil"/>
              <w:tr2bl w:val="nil"/>
            </w:tcBorders>
            <w:vAlign w:val="center"/>
          </w:tcPr>
          <w:p w14:paraId="3066A7E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1台</w:t>
            </w:r>
          </w:p>
        </w:tc>
        <w:tc>
          <w:tcPr>
            <w:tcW w:w="1194" w:type="dxa"/>
            <w:tcBorders>
              <w:tl2br w:val="nil"/>
              <w:tr2bl w:val="nil"/>
            </w:tcBorders>
            <w:vAlign w:val="center"/>
          </w:tcPr>
          <w:p w14:paraId="5AE7351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间歇</w:t>
            </w:r>
          </w:p>
        </w:tc>
        <w:tc>
          <w:tcPr>
            <w:tcW w:w="1755" w:type="dxa"/>
            <w:tcBorders>
              <w:tl2br w:val="nil"/>
              <w:tr2bl w:val="nil"/>
            </w:tcBorders>
            <w:vAlign w:val="center"/>
          </w:tcPr>
          <w:p w14:paraId="5FDEEBE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80</w:t>
            </w:r>
          </w:p>
        </w:tc>
      </w:tr>
      <w:tr w14:paraId="5114D9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201" w:type="dxa"/>
            <w:tcBorders>
              <w:tl2br w:val="nil"/>
              <w:tr2bl w:val="nil"/>
            </w:tcBorders>
            <w:vAlign w:val="center"/>
          </w:tcPr>
          <w:p w14:paraId="76827D5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w:t>
            </w:r>
          </w:p>
        </w:tc>
        <w:tc>
          <w:tcPr>
            <w:tcW w:w="3218" w:type="dxa"/>
            <w:tcBorders>
              <w:tl2br w:val="nil"/>
              <w:tr2bl w:val="nil"/>
            </w:tcBorders>
            <w:vAlign w:val="center"/>
          </w:tcPr>
          <w:p w14:paraId="605E304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螺杆鼓</w:t>
            </w:r>
            <w:r>
              <w:rPr>
                <w:rFonts w:hint="default" w:ascii="Times New Roman" w:hAnsi="Times New Roman" w:cs="Times New Roman"/>
                <w:color w:val="000000" w:themeColor="text1"/>
                <w:highlight w:val="none"/>
                <w:u w:val="none" w:color="auto"/>
                <w14:textFill>
                  <w14:solidFill>
                    <w14:schemeClr w14:val="tx1"/>
                  </w14:solidFill>
                </w14:textFill>
              </w:rPr>
              <w:t>风机</w:t>
            </w:r>
          </w:p>
        </w:tc>
        <w:tc>
          <w:tcPr>
            <w:tcW w:w="1737" w:type="dxa"/>
            <w:tcBorders>
              <w:tl2br w:val="nil"/>
              <w:tr2bl w:val="nil"/>
            </w:tcBorders>
            <w:vAlign w:val="center"/>
          </w:tcPr>
          <w:p w14:paraId="0AABBA5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w:t>
            </w:r>
            <w:r>
              <w:rPr>
                <w:rFonts w:hint="default" w:ascii="Times New Roman" w:hAnsi="Times New Roman" w:cs="Times New Roman"/>
                <w:color w:val="000000" w:themeColor="text1"/>
                <w:highlight w:val="none"/>
                <w:u w:val="none" w:color="auto"/>
                <w14:textFill>
                  <w14:solidFill>
                    <w14:schemeClr w14:val="tx1"/>
                  </w14:solidFill>
                </w14:textFill>
              </w:rPr>
              <w:t>台</w:t>
            </w:r>
          </w:p>
        </w:tc>
        <w:tc>
          <w:tcPr>
            <w:tcW w:w="1194" w:type="dxa"/>
            <w:tcBorders>
              <w:tl2br w:val="nil"/>
              <w:tr2bl w:val="nil"/>
            </w:tcBorders>
            <w:vAlign w:val="center"/>
          </w:tcPr>
          <w:p w14:paraId="19CF6D0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连续</w:t>
            </w:r>
          </w:p>
        </w:tc>
        <w:tc>
          <w:tcPr>
            <w:tcW w:w="1755" w:type="dxa"/>
            <w:tcBorders>
              <w:tl2br w:val="nil"/>
              <w:tr2bl w:val="nil"/>
            </w:tcBorders>
            <w:vAlign w:val="center"/>
          </w:tcPr>
          <w:p w14:paraId="4F1E272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85</w:t>
            </w:r>
          </w:p>
        </w:tc>
      </w:tr>
      <w:tr w14:paraId="526501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201" w:type="dxa"/>
            <w:tcBorders>
              <w:tl2br w:val="nil"/>
              <w:tr2bl w:val="nil"/>
            </w:tcBorders>
            <w:vAlign w:val="center"/>
          </w:tcPr>
          <w:p w14:paraId="0DEC060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w:t>
            </w:r>
          </w:p>
        </w:tc>
        <w:tc>
          <w:tcPr>
            <w:tcW w:w="3218" w:type="dxa"/>
            <w:tcBorders>
              <w:tl2br w:val="nil"/>
              <w:tr2bl w:val="nil"/>
            </w:tcBorders>
            <w:vAlign w:val="center"/>
          </w:tcPr>
          <w:p w14:paraId="1546A88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轴流风机</w:t>
            </w:r>
          </w:p>
        </w:tc>
        <w:tc>
          <w:tcPr>
            <w:tcW w:w="1737" w:type="dxa"/>
            <w:tcBorders>
              <w:tl2br w:val="nil"/>
              <w:tr2bl w:val="nil"/>
            </w:tcBorders>
            <w:vAlign w:val="center"/>
          </w:tcPr>
          <w:p w14:paraId="2D3D941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15台</w:t>
            </w:r>
          </w:p>
        </w:tc>
        <w:tc>
          <w:tcPr>
            <w:tcW w:w="1194" w:type="dxa"/>
            <w:tcBorders>
              <w:tl2br w:val="nil"/>
              <w:tr2bl w:val="nil"/>
            </w:tcBorders>
            <w:vAlign w:val="center"/>
          </w:tcPr>
          <w:p w14:paraId="797BE12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连续</w:t>
            </w:r>
          </w:p>
        </w:tc>
        <w:tc>
          <w:tcPr>
            <w:tcW w:w="1755" w:type="dxa"/>
            <w:tcBorders>
              <w:tl2br w:val="nil"/>
              <w:tr2bl w:val="nil"/>
            </w:tcBorders>
            <w:vAlign w:val="center"/>
          </w:tcPr>
          <w:p w14:paraId="3B2B30F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85</w:t>
            </w:r>
          </w:p>
        </w:tc>
      </w:tr>
      <w:tr w14:paraId="4BAA21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201" w:type="dxa"/>
            <w:tcBorders>
              <w:tl2br w:val="nil"/>
              <w:tr2bl w:val="nil"/>
            </w:tcBorders>
            <w:vAlign w:val="center"/>
          </w:tcPr>
          <w:p w14:paraId="62F9E3E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w:t>
            </w:r>
          </w:p>
        </w:tc>
        <w:tc>
          <w:tcPr>
            <w:tcW w:w="3218" w:type="dxa"/>
            <w:tcBorders>
              <w:tl2br w:val="nil"/>
              <w:tr2bl w:val="nil"/>
            </w:tcBorders>
            <w:vAlign w:val="center"/>
          </w:tcPr>
          <w:p w14:paraId="3A25CE1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压榨进料泵</w:t>
            </w:r>
          </w:p>
        </w:tc>
        <w:tc>
          <w:tcPr>
            <w:tcW w:w="1737" w:type="dxa"/>
            <w:tcBorders>
              <w:tl2br w:val="nil"/>
              <w:tr2bl w:val="nil"/>
            </w:tcBorders>
            <w:vAlign w:val="center"/>
          </w:tcPr>
          <w:p w14:paraId="0C46976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2台</w:t>
            </w:r>
          </w:p>
        </w:tc>
        <w:tc>
          <w:tcPr>
            <w:tcW w:w="1194" w:type="dxa"/>
            <w:tcBorders>
              <w:tl2br w:val="nil"/>
              <w:tr2bl w:val="nil"/>
            </w:tcBorders>
            <w:vAlign w:val="center"/>
          </w:tcPr>
          <w:p w14:paraId="74E47CB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间歇</w:t>
            </w:r>
          </w:p>
        </w:tc>
        <w:tc>
          <w:tcPr>
            <w:tcW w:w="1755" w:type="dxa"/>
            <w:tcBorders>
              <w:tl2br w:val="nil"/>
              <w:tr2bl w:val="nil"/>
            </w:tcBorders>
            <w:vAlign w:val="center"/>
          </w:tcPr>
          <w:p w14:paraId="7E8BEA9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80</w:t>
            </w:r>
          </w:p>
        </w:tc>
      </w:tr>
      <w:tr w14:paraId="6F1DAC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201" w:type="dxa"/>
            <w:tcBorders>
              <w:tl2br w:val="nil"/>
              <w:tr2bl w:val="nil"/>
            </w:tcBorders>
            <w:vAlign w:val="center"/>
          </w:tcPr>
          <w:p w14:paraId="2871355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p>
        </w:tc>
        <w:tc>
          <w:tcPr>
            <w:tcW w:w="3218" w:type="dxa"/>
            <w:tcBorders>
              <w:tl2br w:val="nil"/>
              <w:tr2bl w:val="nil"/>
            </w:tcBorders>
            <w:vAlign w:val="center"/>
          </w:tcPr>
          <w:p w14:paraId="0F32963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压榨机</w:t>
            </w:r>
          </w:p>
        </w:tc>
        <w:tc>
          <w:tcPr>
            <w:tcW w:w="1737" w:type="dxa"/>
            <w:tcBorders>
              <w:tl2br w:val="nil"/>
              <w:tr2bl w:val="nil"/>
            </w:tcBorders>
            <w:vAlign w:val="center"/>
          </w:tcPr>
          <w:p w14:paraId="66F3952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2台</w:t>
            </w:r>
          </w:p>
        </w:tc>
        <w:tc>
          <w:tcPr>
            <w:tcW w:w="1194" w:type="dxa"/>
            <w:tcBorders>
              <w:tl2br w:val="nil"/>
              <w:tr2bl w:val="nil"/>
            </w:tcBorders>
            <w:vAlign w:val="center"/>
          </w:tcPr>
          <w:p w14:paraId="4FFA08A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间歇</w:t>
            </w:r>
          </w:p>
        </w:tc>
        <w:tc>
          <w:tcPr>
            <w:tcW w:w="1755" w:type="dxa"/>
            <w:tcBorders>
              <w:tl2br w:val="nil"/>
              <w:tr2bl w:val="nil"/>
            </w:tcBorders>
            <w:vAlign w:val="center"/>
          </w:tcPr>
          <w:p w14:paraId="7EF58EB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75</w:t>
            </w:r>
          </w:p>
        </w:tc>
      </w:tr>
      <w:tr w14:paraId="56207D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1201" w:type="dxa"/>
            <w:tcBorders>
              <w:tl2br w:val="nil"/>
              <w:tr2bl w:val="nil"/>
            </w:tcBorders>
            <w:vAlign w:val="center"/>
          </w:tcPr>
          <w:p w14:paraId="0F4B29D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w:t>
            </w:r>
          </w:p>
        </w:tc>
        <w:tc>
          <w:tcPr>
            <w:tcW w:w="3218" w:type="dxa"/>
            <w:tcBorders>
              <w:tl2br w:val="nil"/>
              <w:tr2bl w:val="nil"/>
            </w:tcBorders>
            <w:vAlign w:val="center"/>
          </w:tcPr>
          <w:p w14:paraId="00C03FB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空压机</w:t>
            </w:r>
          </w:p>
        </w:tc>
        <w:tc>
          <w:tcPr>
            <w:tcW w:w="1737" w:type="dxa"/>
            <w:tcBorders>
              <w:tl2br w:val="nil"/>
              <w:tr2bl w:val="nil"/>
            </w:tcBorders>
            <w:vAlign w:val="center"/>
          </w:tcPr>
          <w:p w14:paraId="4BC85FB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1台</w:t>
            </w:r>
          </w:p>
        </w:tc>
        <w:tc>
          <w:tcPr>
            <w:tcW w:w="1194" w:type="dxa"/>
            <w:tcBorders>
              <w:tl2br w:val="nil"/>
              <w:tr2bl w:val="nil"/>
            </w:tcBorders>
            <w:vAlign w:val="center"/>
          </w:tcPr>
          <w:p w14:paraId="2447BB6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连续</w:t>
            </w:r>
          </w:p>
        </w:tc>
        <w:tc>
          <w:tcPr>
            <w:tcW w:w="1755" w:type="dxa"/>
            <w:tcBorders>
              <w:tl2br w:val="nil"/>
              <w:tr2bl w:val="nil"/>
            </w:tcBorders>
            <w:vAlign w:val="center"/>
          </w:tcPr>
          <w:p w14:paraId="00F07B4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85</w:t>
            </w:r>
          </w:p>
        </w:tc>
      </w:tr>
    </w:tbl>
    <w:p w14:paraId="6CA1D778">
      <w:pPr>
        <w:pStyle w:val="5"/>
        <w:numPr>
          <w:ilvl w:val="2"/>
          <w:numId w:val="0"/>
        </w:numPr>
        <w:ind w:leftChars="0" w:firstLine="482" w:firstLineChars="200"/>
        <w:outlineLvl w:val="3"/>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color w:val="auto"/>
          <w:highlight w:val="none"/>
          <w:u w:val="none" w:color="auto"/>
          <w:lang w:val="en-US" w:eastAsia="zh-CN"/>
        </w:rPr>
        <w:t>3.5.3.5 污染物排放总量汇总</w:t>
      </w:r>
    </w:p>
    <w:p w14:paraId="12728D71">
      <w:pPr>
        <w:widowControl w:val="0"/>
        <w:numPr>
          <w:ilvl w:val="4"/>
          <w:numId w:val="0"/>
        </w:numPr>
        <w:spacing w:line="240" w:lineRule="auto"/>
        <w:ind w:left="0" w:leftChars="0" w:firstLine="0" w:firstLineChars="0"/>
        <w:jc w:val="center"/>
        <w:outlineLvl w:val="9"/>
        <w:rPr>
          <w:rFonts w:hint="default" w:ascii="Times New Roman" w:hAnsi="Times New Roman" w:eastAsia="宋体" w:cs="Times New Roman"/>
          <w:b/>
          <w:color w:val="auto"/>
          <w:kern w:val="0"/>
          <w:sz w:val="24"/>
          <w:szCs w:val="24"/>
          <w:highlight w:val="none"/>
          <w:lang w:val="en-US" w:eastAsia="zh-CN" w:bidi="ar-SA"/>
        </w:rPr>
      </w:pPr>
      <w:r>
        <w:rPr>
          <w:rFonts w:hint="default" w:ascii="Times New Roman" w:hAnsi="Times New Roman" w:eastAsia="宋体" w:cs="Times New Roman"/>
          <w:b/>
          <w:color w:val="auto"/>
          <w:kern w:val="0"/>
          <w:sz w:val="24"/>
          <w:szCs w:val="24"/>
          <w:highlight w:val="none"/>
          <w:lang w:val="en-US" w:eastAsia="zh-CN" w:bidi="ar-SA"/>
        </w:rPr>
        <w:t>表3.5-</w:t>
      </w:r>
      <w:r>
        <w:rPr>
          <w:rFonts w:hint="default" w:ascii="Times New Roman" w:hAnsi="Times New Roman" w:cs="Times New Roman"/>
          <w:b/>
          <w:color w:val="auto"/>
          <w:kern w:val="0"/>
          <w:sz w:val="24"/>
          <w:szCs w:val="24"/>
          <w:highlight w:val="none"/>
          <w:lang w:val="en-US" w:eastAsia="zh-CN" w:bidi="ar-SA"/>
        </w:rPr>
        <w:t>8</w:t>
      </w:r>
      <w:r>
        <w:rPr>
          <w:rFonts w:hint="default" w:ascii="Times New Roman" w:hAnsi="Times New Roman" w:eastAsia="宋体" w:cs="Times New Roman"/>
          <w:b/>
          <w:color w:val="auto"/>
          <w:kern w:val="0"/>
          <w:sz w:val="24"/>
          <w:szCs w:val="24"/>
          <w:highlight w:val="none"/>
          <w:lang w:val="en-US" w:eastAsia="zh-CN" w:bidi="ar-SA"/>
        </w:rPr>
        <w:t xml:space="preserve"> 改扩建项目污染物排放量汇总表（单位：t/a）</w:t>
      </w:r>
    </w:p>
    <w:tbl>
      <w:tblPr>
        <w:tblStyle w:val="76"/>
        <w:tblW w:w="90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48"/>
        <w:gridCol w:w="670"/>
        <w:gridCol w:w="585"/>
        <w:gridCol w:w="1590"/>
        <w:gridCol w:w="1110"/>
        <w:gridCol w:w="1185"/>
        <w:gridCol w:w="2929"/>
      </w:tblGrid>
      <w:tr w14:paraId="1DCC83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9" w:hRule="atLeast"/>
          <w:tblHeader/>
          <w:jc w:val="center"/>
        </w:trPr>
        <w:tc>
          <w:tcPr>
            <w:tcW w:w="948" w:type="dxa"/>
            <w:tcBorders>
              <w:tl2br w:val="nil"/>
              <w:tr2bl w:val="nil"/>
            </w:tcBorders>
            <w:vAlign w:val="center"/>
          </w:tcPr>
          <w:p w14:paraId="38225958">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污染物</w:t>
            </w:r>
          </w:p>
        </w:tc>
        <w:tc>
          <w:tcPr>
            <w:tcW w:w="1255" w:type="dxa"/>
            <w:gridSpan w:val="2"/>
            <w:tcBorders>
              <w:tl2br w:val="nil"/>
              <w:tr2bl w:val="nil"/>
            </w:tcBorders>
            <w:vAlign w:val="center"/>
          </w:tcPr>
          <w:p w14:paraId="08F13853">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排放源</w:t>
            </w:r>
          </w:p>
        </w:tc>
        <w:tc>
          <w:tcPr>
            <w:tcW w:w="1590" w:type="dxa"/>
            <w:tcBorders>
              <w:tl2br w:val="nil"/>
              <w:tr2bl w:val="nil"/>
            </w:tcBorders>
            <w:vAlign w:val="center"/>
          </w:tcPr>
          <w:p w14:paraId="6AB804D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主要污染</w:t>
            </w:r>
          </w:p>
          <w:p w14:paraId="7217481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因子</w:t>
            </w:r>
          </w:p>
        </w:tc>
        <w:tc>
          <w:tcPr>
            <w:tcW w:w="1110" w:type="dxa"/>
            <w:tcBorders>
              <w:tl2br w:val="nil"/>
              <w:tr2bl w:val="nil"/>
            </w:tcBorders>
            <w:vAlign w:val="center"/>
          </w:tcPr>
          <w:p w14:paraId="092AB96A">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产生量</w:t>
            </w:r>
          </w:p>
        </w:tc>
        <w:tc>
          <w:tcPr>
            <w:tcW w:w="1185" w:type="dxa"/>
            <w:tcBorders>
              <w:tl2br w:val="nil"/>
              <w:tr2bl w:val="nil"/>
            </w:tcBorders>
            <w:vAlign w:val="center"/>
          </w:tcPr>
          <w:p w14:paraId="3E96B12E">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排放量</w:t>
            </w:r>
          </w:p>
        </w:tc>
        <w:tc>
          <w:tcPr>
            <w:tcW w:w="2929" w:type="dxa"/>
            <w:tcBorders>
              <w:tl2br w:val="nil"/>
              <w:tr2bl w:val="nil"/>
            </w:tcBorders>
            <w:vAlign w:val="center"/>
          </w:tcPr>
          <w:p w14:paraId="6511C34B">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防治措施及</w:t>
            </w:r>
          </w:p>
          <w:p w14:paraId="013D8E04">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b/>
                <w:color w:val="FF0000"/>
                <w:kern w:val="2"/>
                <w:sz w:val="21"/>
                <w:szCs w:val="21"/>
                <w:highlight w:val="none"/>
              </w:rPr>
            </w:pPr>
            <w:r>
              <w:rPr>
                <w:rFonts w:hint="default" w:ascii="Times New Roman" w:hAnsi="Times New Roman" w:eastAsia="宋体" w:cs="Times New Roman"/>
                <w:b/>
                <w:color w:val="auto"/>
                <w:kern w:val="2"/>
                <w:sz w:val="21"/>
                <w:szCs w:val="21"/>
                <w:highlight w:val="none"/>
              </w:rPr>
              <w:t>排放去向</w:t>
            </w:r>
          </w:p>
        </w:tc>
      </w:tr>
      <w:tr w14:paraId="6EC239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8" w:type="dxa"/>
            <w:vMerge w:val="restart"/>
            <w:tcBorders>
              <w:tl2br w:val="nil"/>
              <w:tr2bl w:val="nil"/>
            </w:tcBorders>
            <w:vAlign w:val="center"/>
          </w:tcPr>
          <w:p w14:paraId="44DF867E">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废水</w:t>
            </w:r>
          </w:p>
        </w:tc>
        <w:tc>
          <w:tcPr>
            <w:tcW w:w="1255" w:type="dxa"/>
            <w:gridSpan w:val="2"/>
            <w:vMerge w:val="restart"/>
            <w:tcBorders>
              <w:tl2br w:val="nil"/>
              <w:tr2bl w:val="nil"/>
            </w:tcBorders>
            <w:vAlign w:val="center"/>
          </w:tcPr>
          <w:p w14:paraId="0140346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highlight w:val="none"/>
                <w:lang w:val="en-US" w:eastAsia="zh-CN"/>
              </w:rPr>
            </w:pPr>
            <w:r>
              <w:rPr>
                <w:rFonts w:hint="default" w:ascii="Times New Roman" w:hAnsi="Times New Roman" w:eastAsia="宋体" w:cs="Times New Roman"/>
                <w:color w:val="auto"/>
                <w:kern w:val="2"/>
                <w:sz w:val="21"/>
                <w:highlight w:val="none"/>
                <w:lang w:val="en-US" w:eastAsia="zh-CN"/>
              </w:rPr>
              <w:t>总排口</w:t>
            </w:r>
          </w:p>
        </w:tc>
        <w:tc>
          <w:tcPr>
            <w:tcW w:w="1590" w:type="dxa"/>
            <w:tcBorders>
              <w:tl2br w:val="nil"/>
              <w:tr2bl w:val="nil"/>
            </w:tcBorders>
            <w:vAlign w:val="center"/>
          </w:tcPr>
          <w:p w14:paraId="52BFBF81">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废水量</w:t>
            </w:r>
          </w:p>
        </w:tc>
        <w:tc>
          <w:tcPr>
            <w:tcW w:w="1110" w:type="dxa"/>
            <w:tcBorders>
              <w:tl2br w:val="nil"/>
              <w:tr2bl w:val="nil"/>
            </w:tcBorders>
            <w:vAlign w:val="center"/>
          </w:tcPr>
          <w:p w14:paraId="3F88C0A3">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109.5万</w:t>
            </w:r>
          </w:p>
        </w:tc>
        <w:tc>
          <w:tcPr>
            <w:tcW w:w="1185" w:type="dxa"/>
            <w:tcBorders>
              <w:tl2br w:val="nil"/>
              <w:tr2bl w:val="nil"/>
            </w:tcBorders>
            <w:vAlign w:val="center"/>
          </w:tcPr>
          <w:p w14:paraId="0A2F7B20">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109.5万</w:t>
            </w:r>
          </w:p>
        </w:tc>
        <w:tc>
          <w:tcPr>
            <w:tcW w:w="2929" w:type="dxa"/>
            <w:vMerge w:val="restart"/>
            <w:tcBorders>
              <w:tl2br w:val="nil"/>
              <w:tr2bl w:val="nil"/>
            </w:tcBorders>
            <w:vAlign w:val="center"/>
          </w:tcPr>
          <w:p w14:paraId="2375D633">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污水处理工艺采用“一体化泵站+调节均质+水解酸化+AAO生化+混凝沉淀+精密过滤+接触消毒”，园区企业废水经本污水处理站处理后达到达到《城镇污水处理厂污染物排放标准》</w:t>
            </w:r>
            <w:r>
              <w:rPr>
                <w:rFonts w:hint="eastAsia" w:cs="Times New Roman"/>
                <w:color w:val="auto"/>
                <w:kern w:val="2"/>
                <w:sz w:val="21"/>
                <w:szCs w:val="21"/>
                <w:highlight w:val="none"/>
                <w:lang w:val="en-US" w:eastAsia="zh-CN"/>
              </w:rPr>
              <w:t>（GB18918-2002）修改单</w:t>
            </w:r>
            <w:r>
              <w:rPr>
                <w:rFonts w:hint="default" w:ascii="Times New Roman" w:hAnsi="Times New Roman" w:eastAsia="宋体" w:cs="Times New Roman"/>
                <w:color w:val="auto"/>
                <w:kern w:val="2"/>
                <w:sz w:val="21"/>
                <w:szCs w:val="21"/>
                <w:highlight w:val="none"/>
                <w:lang w:val="en-US" w:eastAsia="zh-CN"/>
              </w:rPr>
              <w:t>一级A标准后经机排二十渠排入老三运河，最后进入漉湖。</w:t>
            </w:r>
          </w:p>
        </w:tc>
      </w:tr>
      <w:tr w14:paraId="6BEF6C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948" w:type="dxa"/>
            <w:vMerge w:val="continue"/>
            <w:tcBorders>
              <w:tl2br w:val="nil"/>
              <w:tr2bl w:val="nil"/>
            </w:tcBorders>
            <w:vAlign w:val="center"/>
          </w:tcPr>
          <w:p w14:paraId="4D936408">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255" w:type="dxa"/>
            <w:gridSpan w:val="2"/>
            <w:vMerge w:val="continue"/>
            <w:tcBorders>
              <w:tl2br w:val="nil"/>
              <w:tr2bl w:val="nil"/>
            </w:tcBorders>
            <w:vAlign w:val="center"/>
          </w:tcPr>
          <w:p w14:paraId="73CE8486">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590" w:type="dxa"/>
            <w:tcBorders>
              <w:tl2br w:val="nil"/>
              <w:tr2bl w:val="nil"/>
            </w:tcBorders>
            <w:vAlign w:val="center"/>
          </w:tcPr>
          <w:p w14:paraId="1C95CC95">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COD</w:t>
            </w:r>
          </w:p>
        </w:tc>
        <w:tc>
          <w:tcPr>
            <w:tcW w:w="1110" w:type="dxa"/>
            <w:tcBorders>
              <w:tl2br w:val="nil"/>
              <w:tr2bl w:val="nil"/>
            </w:tcBorders>
            <w:vAlign w:val="center"/>
          </w:tcPr>
          <w:p w14:paraId="1322A55D">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547.5</w:t>
            </w:r>
          </w:p>
        </w:tc>
        <w:tc>
          <w:tcPr>
            <w:tcW w:w="1185" w:type="dxa"/>
            <w:tcBorders>
              <w:tl2br w:val="nil"/>
              <w:tr2bl w:val="nil"/>
            </w:tcBorders>
            <w:vAlign w:val="center"/>
          </w:tcPr>
          <w:p w14:paraId="35962034">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54.75</w:t>
            </w:r>
          </w:p>
        </w:tc>
        <w:tc>
          <w:tcPr>
            <w:tcW w:w="2929" w:type="dxa"/>
            <w:vMerge w:val="continue"/>
            <w:tcBorders>
              <w:tl2br w:val="nil"/>
              <w:tr2bl w:val="nil"/>
            </w:tcBorders>
            <w:vAlign w:val="center"/>
          </w:tcPr>
          <w:p w14:paraId="7AB7EF97">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1C545E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948" w:type="dxa"/>
            <w:vMerge w:val="continue"/>
            <w:tcBorders>
              <w:tl2br w:val="nil"/>
              <w:tr2bl w:val="nil"/>
            </w:tcBorders>
            <w:vAlign w:val="center"/>
          </w:tcPr>
          <w:p w14:paraId="162C4B5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255" w:type="dxa"/>
            <w:gridSpan w:val="2"/>
            <w:vMerge w:val="continue"/>
            <w:tcBorders>
              <w:tl2br w:val="nil"/>
              <w:tr2bl w:val="nil"/>
            </w:tcBorders>
            <w:vAlign w:val="center"/>
          </w:tcPr>
          <w:p w14:paraId="18E34FF7">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590" w:type="dxa"/>
            <w:tcBorders>
              <w:tl2br w:val="nil"/>
              <w:tr2bl w:val="nil"/>
            </w:tcBorders>
            <w:vAlign w:val="center"/>
          </w:tcPr>
          <w:p w14:paraId="61DF17F5">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BOD</w:t>
            </w:r>
            <w:r>
              <w:rPr>
                <w:rFonts w:hint="default" w:ascii="Times New Roman" w:hAnsi="Times New Roman" w:cs="Times New Roman"/>
                <w:color w:val="auto"/>
                <w:kern w:val="2"/>
                <w:sz w:val="21"/>
                <w:szCs w:val="21"/>
                <w:highlight w:val="none"/>
                <w:vertAlign w:val="subscript"/>
                <w:lang w:val="en-US" w:eastAsia="zh-CN"/>
              </w:rPr>
              <w:t>5</w:t>
            </w:r>
          </w:p>
        </w:tc>
        <w:tc>
          <w:tcPr>
            <w:tcW w:w="1110" w:type="dxa"/>
            <w:tcBorders>
              <w:tl2br w:val="nil"/>
              <w:tr2bl w:val="nil"/>
            </w:tcBorders>
            <w:vAlign w:val="center"/>
          </w:tcPr>
          <w:p w14:paraId="6F7C5056">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383.25</w:t>
            </w:r>
          </w:p>
        </w:tc>
        <w:tc>
          <w:tcPr>
            <w:tcW w:w="1185" w:type="dxa"/>
            <w:tcBorders>
              <w:tl2br w:val="nil"/>
              <w:tr2bl w:val="nil"/>
            </w:tcBorders>
            <w:vAlign w:val="center"/>
          </w:tcPr>
          <w:p w14:paraId="34846B0F">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10.95</w:t>
            </w:r>
          </w:p>
        </w:tc>
        <w:tc>
          <w:tcPr>
            <w:tcW w:w="2929" w:type="dxa"/>
            <w:vMerge w:val="continue"/>
            <w:tcBorders>
              <w:tl2br w:val="nil"/>
              <w:tr2bl w:val="nil"/>
            </w:tcBorders>
            <w:vAlign w:val="center"/>
          </w:tcPr>
          <w:p w14:paraId="197052A2">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5E2A26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948" w:type="dxa"/>
            <w:vMerge w:val="continue"/>
            <w:tcBorders>
              <w:tl2br w:val="nil"/>
              <w:tr2bl w:val="nil"/>
            </w:tcBorders>
            <w:vAlign w:val="center"/>
          </w:tcPr>
          <w:p w14:paraId="450A9B02">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cs="Times New Roman"/>
                <w:highlight w:val="none"/>
              </w:rPr>
            </w:pPr>
          </w:p>
        </w:tc>
        <w:tc>
          <w:tcPr>
            <w:tcW w:w="1255" w:type="dxa"/>
            <w:gridSpan w:val="2"/>
            <w:vMerge w:val="continue"/>
            <w:tcBorders>
              <w:tl2br w:val="nil"/>
              <w:tr2bl w:val="nil"/>
            </w:tcBorders>
            <w:vAlign w:val="center"/>
          </w:tcPr>
          <w:p w14:paraId="68D11C9E">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cs="Times New Roman"/>
                <w:highlight w:val="none"/>
              </w:rPr>
            </w:pPr>
          </w:p>
        </w:tc>
        <w:tc>
          <w:tcPr>
            <w:tcW w:w="1590" w:type="dxa"/>
            <w:tcBorders>
              <w:tl2br w:val="nil"/>
              <w:tr2bl w:val="nil"/>
            </w:tcBorders>
            <w:vAlign w:val="center"/>
          </w:tcPr>
          <w:p w14:paraId="6F874ECC">
            <w:pPr>
              <w:keepNext w:val="0"/>
              <w:keepLines w:val="0"/>
              <w:suppressLineNumbers w:val="0"/>
              <w:autoSpaceDE/>
              <w:autoSpaceDN/>
              <w:adjustRightInd/>
              <w:spacing w:before="0" w:beforeAutospacing="0" w:after="0" w:afterAutospacing="0" w:line="240" w:lineRule="auto"/>
              <w:ind w:left="-50" w:leftChars="0" w:right="-5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氨氮</w:t>
            </w:r>
          </w:p>
        </w:tc>
        <w:tc>
          <w:tcPr>
            <w:tcW w:w="1110" w:type="dxa"/>
            <w:tcBorders>
              <w:tl2br w:val="nil"/>
              <w:tr2bl w:val="nil"/>
            </w:tcBorders>
            <w:vAlign w:val="center"/>
          </w:tcPr>
          <w:p w14:paraId="033342D3">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rPr>
              <w:t>49.275</w:t>
            </w:r>
          </w:p>
        </w:tc>
        <w:tc>
          <w:tcPr>
            <w:tcW w:w="1185" w:type="dxa"/>
            <w:tcBorders>
              <w:tl2br w:val="nil"/>
              <w:tr2bl w:val="nil"/>
            </w:tcBorders>
            <w:vAlign w:val="center"/>
          </w:tcPr>
          <w:p w14:paraId="7EF62274">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5.475</w:t>
            </w:r>
          </w:p>
        </w:tc>
        <w:tc>
          <w:tcPr>
            <w:tcW w:w="2929" w:type="dxa"/>
            <w:vMerge w:val="continue"/>
            <w:tcBorders>
              <w:tl2br w:val="nil"/>
              <w:tr2bl w:val="nil"/>
            </w:tcBorders>
            <w:vAlign w:val="center"/>
          </w:tcPr>
          <w:p w14:paraId="25BD9BD9">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p>
        </w:tc>
      </w:tr>
      <w:tr w14:paraId="75EEE3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948" w:type="dxa"/>
            <w:vMerge w:val="continue"/>
            <w:tcBorders>
              <w:tl2br w:val="nil"/>
              <w:tr2bl w:val="nil"/>
            </w:tcBorders>
            <w:vAlign w:val="center"/>
          </w:tcPr>
          <w:p w14:paraId="15966A15">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255" w:type="dxa"/>
            <w:gridSpan w:val="2"/>
            <w:vMerge w:val="continue"/>
            <w:tcBorders>
              <w:tl2br w:val="nil"/>
              <w:tr2bl w:val="nil"/>
            </w:tcBorders>
            <w:vAlign w:val="center"/>
          </w:tcPr>
          <w:p w14:paraId="4D1D4640">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590" w:type="dxa"/>
            <w:tcBorders>
              <w:tl2br w:val="nil"/>
              <w:tr2bl w:val="nil"/>
            </w:tcBorders>
            <w:vAlign w:val="center"/>
          </w:tcPr>
          <w:p w14:paraId="7BCE7DA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总氮</w:t>
            </w:r>
          </w:p>
        </w:tc>
        <w:tc>
          <w:tcPr>
            <w:tcW w:w="1110" w:type="dxa"/>
            <w:tcBorders>
              <w:tl2br w:val="nil"/>
              <w:tr2bl w:val="nil"/>
            </w:tcBorders>
            <w:vAlign w:val="center"/>
          </w:tcPr>
          <w:p w14:paraId="5BC8C85F">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76.65</w:t>
            </w:r>
          </w:p>
        </w:tc>
        <w:tc>
          <w:tcPr>
            <w:tcW w:w="1185" w:type="dxa"/>
            <w:tcBorders>
              <w:tl2br w:val="nil"/>
              <w:tr2bl w:val="nil"/>
            </w:tcBorders>
            <w:vAlign w:val="center"/>
          </w:tcPr>
          <w:p w14:paraId="6B213CDA">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16.425</w:t>
            </w:r>
          </w:p>
        </w:tc>
        <w:tc>
          <w:tcPr>
            <w:tcW w:w="2929" w:type="dxa"/>
            <w:vMerge w:val="continue"/>
            <w:tcBorders>
              <w:tl2br w:val="nil"/>
              <w:tr2bl w:val="nil"/>
            </w:tcBorders>
            <w:vAlign w:val="center"/>
          </w:tcPr>
          <w:p w14:paraId="55FF0921">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74DDAE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948" w:type="dxa"/>
            <w:vMerge w:val="continue"/>
            <w:tcBorders>
              <w:tl2br w:val="nil"/>
              <w:tr2bl w:val="nil"/>
            </w:tcBorders>
            <w:vAlign w:val="center"/>
          </w:tcPr>
          <w:p w14:paraId="30DFF059">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cs="Times New Roman"/>
                <w:highlight w:val="none"/>
              </w:rPr>
            </w:pPr>
          </w:p>
        </w:tc>
        <w:tc>
          <w:tcPr>
            <w:tcW w:w="1255" w:type="dxa"/>
            <w:gridSpan w:val="2"/>
            <w:vMerge w:val="continue"/>
            <w:tcBorders>
              <w:tl2br w:val="nil"/>
              <w:tr2bl w:val="nil"/>
            </w:tcBorders>
            <w:vAlign w:val="center"/>
          </w:tcPr>
          <w:p w14:paraId="32D0752B">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cs="Times New Roman"/>
                <w:highlight w:val="none"/>
              </w:rPr>
            </w:pPr>
          </w:p>
        </w:tc>
        <w:tc>
          <w:tcPr>
            <w:tcW w:w="1590" w:type="dxa"/>
            <w:tcBorders>
              <w:tl2br w:val="nil"/>
              <w:tr2bl w:val="nil"/>
            </w:tcBorders>
            <w:vAlign w:val="center"/>
          </w:tcPr>
          <w:p w14:paraId="713638B6">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SS</w:t>
            </w:r>
          </w:p>
        </w:tc>
        <w:tc>
          <w:tcPr>
            <w:tcW w:w="1110" w:type="dxa"/>
            <w:tcBorders>
              <w:tl2br w:val="nil"/>
              <w:tr2bl w:val="nil"/>
            </w:tcBorders>
            <w:vAlign w:val="center"/>
          </w:tcPr>
          <w:p w14:paraId="3B863F9A">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438</w:t>
            </w:r>
          </w:p>
        </w:tc>
        <w:tc>
          <w:tcPr>
            <w:tcW w:w="1185" w:type="dxa"/>
            <w:tcBorders>
              <w:tl2br w:val="nil"/>
              <w:tr2bl w:val="nil"/>
            </w:tcBorders>
            <w:vAlign w:val="center"/>
          </w:tcPr>
          <w:p w14:paraId="28683D0D">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10.95</w:t>
            </w:r>
          </w:p>
        </w:tc>
        <w:tc>
          <w:tcPr>
            <w:tcW w:w="2929" w:type="dxa"/>
            <w:vMerge w:val="continue"/>
            <w:tcBorders>
              <w:tl2br w:val="nil"/>
              <w:tr2bl w:val="nil"/>
            </w:tcBorders>
            <w:vAlign w:val="center"/>
          </w:tcPr>
          <w:p w14:paraId="324496E0">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p>
        </w:tc>
      </w:tr>
      <w:tr w14:paraId="098859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948" w:type="dxa"/>
            <w:vMerge w:val="continue"/>
            <w:tcBorders>
              <w:tl2br w:val="nil"/>
              <w:tr2bl w:val="nil"/>
            </w:tcBorders>
            <w:vAlign w:val="center"/>
          </w:tcPr>
          <w:p w14:paraId="51E19260">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255" w:type="dxa"/>
            <w:gridSpan w:val="2"/>
            <w:vMerge w:val="continue"/>
            <w:tcBorders>
              <w:tl2br w:val="nil"/>
              <w:tr2bl w:val="nil"/>
            </w:tcBorders>
            <w:vAlign w:val="center"/>
          </w:tcPr>
          <w:p w14:paraId="5D35B4AD">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590" w:type="dxa"/>
            <w:tcBorders>
              <w:tl2br w:val="nil"/>
              <w:tr2bl w:val="nil"/>
            </w:tcBorders>
            <w:vAlign w:val="center"/>
          </w:tcPr>
          <w:p w14:paraId="7A99405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总磷</w:t>
            </w:r>
          </w:p>
        </w:tc>
        <w:tc>
          <w:tcPr>
            <w:tcW w:w="1110" w:type="dxa"/>
            <w:tcBorders>
              <w:tl2br w:val="nil"/>
              <w:tr2bl w:val="nil"/>
            </w:tcBorders>
            <w:vAlign w:val="center"/>
          </w:tcPr>
          <w:p w14:paraId="3BCF0421">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8.76</w:t>
            </w:r>
          </w:p>
        </w:tc>
        <w:tc>
          <w:tcPr>
            <w:tcW w:w="1185" w:type="dxa"/>
            <w:tcBorders>
              <w:tl2br w:val="nil"/>
              <w:tr2bl w:val="nil"/>
            </w:tcBorders>
            <w:vAlign w:val="center"/>
          </w:tcPr>
          <w:p w14:paraId="246644C6">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0.5475</w:t>
            </w:r>
          </w:p>
        </w:tc>
        <w:tc>
          <w:tcPr>
            <w:tcW w:w="2929" w:type="dxa"/>
            <w:vMerge w:val="continue"/>
            <w:tcBorders>
              <w:tl2br w:val="nil"/>
              <w:tr2bl w:val="nil"/>
            </w:tcBorders>
            <w:vAlign w:val="center"/>
          </w:tcPr>
          <w:p w14:paraId="7DA6419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74E8F7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948" w:type="dxa"/>
            <w:vMerge w:val="restart"/>
            <w:tcBorders>
              <w:tl2br w:val="nil"/>
              <w:tr2bl w:val="nil"/>
            </w:tcBorders>
            <w:vAlign w:val="center"/>
          </w:tcPr>
          <w:p w14:paraId="4CB67BDF">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废气</w:t>
            </w:r>
          </w:p>
        </w:tc>
        <w:tc>
          <w:tcPr>
            <w:tcW w:w="670" w:type="dxa"/>
            <w:vMerge w:val="restart"/>
            <w:tcBorders>
              <w:tl2br w:val="nil"/>
              <w:tr2bl w:val="nil"/>
            </w:tcBorders>
            <w:vAlign w:val="center"/>
          </w:tcPr>
          <w:p w14:paraId="578F1EF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有组织废气</w:t>
            </w:r>
          </w:p>
        </w:tc>
        <w:tc>
          <w:tcPr>
            <w:tcW w:w="585" w:type="dxa"/>
            <w:vMerge w:val="restart"/>
            <w:tcBorders>
              <w:tl2br w:val="nil"/>
              <w:tr2bl w:val="nil"/>
            </w:tcBorders>
            <w:vAlign w:val="center"/>
          </w:tcPr>
          <w:p w14:paraId="21164C5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生物除臭</w:t>
            </w:r>
          </w:p>
        </w:tc>
        <w:tc>
          <w:tcPr>
            <w:tcW w:w="1590" w:type="dxa"/>
            <w:tcBorders>
              <w:tl2br w:val="nil"/>
              <w:tr2bl w:val="nil"/>
            </w:tcBorders>
            <w:vAlign w:val="center"/>
          </w:tcPr>
          <w:p w14:paraId="44FAC4B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废气量</w:t>
            </w:r>
          </w:p>
        </w:tc>
        <w:tc>
          <w:tcPr>
            <w:tcW w:w="1110" w:type="dxa"/>
            <w:tcBorders>
              <w:tl2br w:val="nil"/>
              <w:tr2bl w:val="nil"/>
            </w:tcBorders>
            <w:vAlign w:val="center"/>
          </w:tcPr>
          <w:p w14:paraId="6B72681B">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10000m</w:t>
            </w:r>
            <w:r>
              <w:rPr>
                <w:rFonts w:hint="default" w:ascii="Times New Roman" w:hAnsi="Times New Roman" w:eastAsia="宋体" w:cs="Times New Roman"/>
                <w:color w:val="auto"/>
                <w:kern w:val="2"/>
                <w:sz w:val="21"/>
                <w:szCs w:val="21"/>
                <w:highlight w:val="none"/>
                <w:vertAlign w:val="superscript"/>
                <w:lang w:val="en-US" w:eastAsia="zh-CN"/>
              </w:rPr>
              <w:t>3</w:t>
            </w:r>
            <w:r>
              <w:rPr>
                <w:rFonts w:hint="default" w:ascii="Times New Roman" w:hAnsi="Times New Roman" w:eastAsia="宋体" w:cs="Times New Roman"/>
                <w:color w:val="auto"/>
                <w:kern w:val="2"/>
                <w:sz w:val="21"/>
                <w:szCs w:val="21"/>
                <w:highlight w:val="none"/>
                <w:lang w:val="en-US" w:eastAsia="zh-CN"/>
              </w:rPr>
              <w:t>/h</w:t>
            </w:r>
          </w:p>
        </w:tc>
        <w:tc>
          <w:tcPr>
            <w:tcW w:w="1185" w:type="dxa"/>
            <w:tcBorders>
              <w:tl2br w:val="nil"/>
              <w:tr2bl w:val="nil"/>
            </w:tcBorders>
            <w:vAlign w:val="center"/>
          </w:tcPr>
          <w:p w14:paraId="0893A417">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10000m</w:t>
            </w:r>
            <w:r>
              <w:rPr>
                <w:rFonts w:hint="default" w:ascii="Times New Roman" w:hAnsi="Times New Roman" w:eastAsia="宋体" w:cs="Times New Roman"/>
                <w:color w:val="auto"/>
                <w:kern w:val="2"/>
                <w:sz w:val="21"/>
                <w:szCs w:val="21"/>
                <w:highlight w:val="none"/>
                <w:vertAlign w:val="superscript"/>
                <w:lang w:val="en-US" w:eastAsia="zh-CN"/>
              </w:rPr>
              <w:t>3</w:t>
            </w:r>
            <w:r>
              <w:rPr>
                <w:rFonts w:hint="default" w:ascii="Times New Roman" w:hAnsi="Times New Roman" w:eastAsia="宋体" w:cs="Times New Roman"/>
                <w:color w:val="auto"/>
                <w:kern w:val="2"/>
                <w:sz w:val="21"/>
                <w:szCs w:val="21"/>
                <w:highlight w:val="none"/>
                <w:lang w:val="en-US" w:eastAsia="zh-CN"/>
              </w:rPr>
              <w:t>/h</w:t>
            </w:r>
          </w:p>
        </w:tc>
        <w:tc>
          <w:tcPr>
            <w:tcW w:w="2929" w:type="dxa"/>
            <w:vMerge w:val="restart"/>
            <w:tcBorders>
              <w:tl2br w:val="nil"/>
              <w:tr2bl w:val="nil"/>
            </w:tcBorders>
            <w:vAlign w:val="center"/>
          </w:tcPr>
          <w:p w14:paraId="2F880EBE">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主要恶臭产生单元密闭加盖后通过负压收集至生物除臭塔处理后通过15m高排气筒排放</w:t>
            </w:r>
          </w:p>
        </w:tc>
      </w:tr>
      <w:tr w14:paraId="60811C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48" w:type="dxa"/>
            <w:vMerge w:val="continue"/>
            <w:tcBorders>
              <w:tl2br w:val="nil"/>
              <w:tr2bl w:val="nil"/>
            </w:tcBorders>
            <w:vAlign w:val="center"/>
          </w:tcPr>
          <w:p w14:paraId="4349C9C2">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670" w:type="dxa"/>
            <w:vMerge w:val="continue"/>
            <w:tcBorders>
              <w:tl2br w:val="nil"/>
              <w:tr2bl w:val="nil"/>
            </w:tcBorders>
            <w:vAlign w:val="center"/>
          </w:tcPr>
          <w:p w14:paraId="2157C41C">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585" w:type="dxa"/>
            <w:vMerge w:val="continue"/>
            <w:tcBorders>
              <w:tl2br w:val="nil"/>
              <w:tr2bl w:val="nil"/>
            </w:tcBorders>
            <w:vAlign w:val="center"/>
          </w:tcPr>
          <w:p w14:paraId="6459DAE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p>
        </w:tc>
        <w:tc>
          <w:tcPr>
            <w:tcW w:w="1590" w:type="dxa"/>
            <w:tcBorders>
              <w:tl2br w:val="nil"/>
              <w:tr2bl w:val="nil"/>
            </w:tcBorders>
            <w:vAlign w:val="center"/>
          </w:tcPr>
          <w:p w14:paraId="6BA85074">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NH</w:t>
            </w:r>
            <w:r>
              <w:rPr>
                <w:rFonts w:hint="default" w:ascii="Times New Roman" w:hAnsi="Times New Roman" w:eastAsia="宋体" w:cs="Times New Roman"/>
                <w:color w:val="auto"/>
                <w:kern w:val="2"/>
                <w:sz w:val="21"/>
                <w:szCs w:val="21"/>
                <w:highlight w:val="none"/>
                <w:vertAlign w:val="subscript"/>
                <w:lang w:val="en-US" w:eastAsia="zh-CN"/>
              </w:rPr>
              <w:t>3</w:t>
            </w:r>
          </w:p>
        </w:tc>
        <w:tc>
          <w:tcPr>
            <w:tcW w:w="1110" w:type="dxa"/>
            <w:tcBorders>
              <w:tl2br w:val="nil"/>
              <w:tr2bl w:val="nil"/>
            </w:tcBorders>
            <w:vAlign w:val="center"/>
          </w:tcPr>
          <w:p w14:paraId="6F3944C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1.038</w:t>
            </w:r>
          </w:p>
        </w:tc>
        <w:tc>
          <w:tcPr>
            <w:tcW w:w="1185" w:type="dxa"/>
            <w:tcBorders>
              <w:tl2br w:val="nil"/>
              <w:tr2bl w:val="nil"/>
            </w:tcBorders>
            <w:vAlign w:val="center"/>
          </w:tcPr>
          <w:p w14:paraId="0FCAEC1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lang w:val="en-US"/>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0519</w:t>
            </w:r>
          </w:p>
        </w:tc>
        <w:tc>
          <w:tcPr>
            <w:tcW w:w="2929" w:type="dxa"/>
            <w:vMerge w:val="continue"/>
            <w:tcBorders>
              <w:tl2br w:val="nil"/>
              <w:tr2bl w:val="nil"/>
            </w:tcBorders>
            <w:vAlign w:val="center"/>
          </w:tcPr>
          <w:p w14:paraId="38DC3171">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66C8D4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948" w:type="dxa"/>
            <w:vMerge w:val="continue"/>
            <w:tcBorders>
              <w:tl2br w:val="nil"/>
              <w:tr2bl w:val="nil"/>
            </w:tcBorders>
            <w:vAlign w:val="center"/>
          </w:tcPr>
          <w:p w14:paraId="5CE86FF5">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670" w:type="dxa"/>
            <w:vMerge w:val="continue"/>
            <w:tcBorders>
              <w:tl2br w:val="nil"/>
              <w:tr2bl w:val="nil"/>
            </w:tcBorders>
            <w:vAlign w:val="center"/>
          </w:tcPr>
          <w:p w14:paraId="0524E347">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585" w:type="dxa"/>
            <w:vMerge w:val="continue"/>
            <w:tcBorders>
              <w:tl2br w:val="nil"/>
              <w:tr2bl w:val="nil"/>
            </w:tcBorders>
            <w:vAlign w:val="center"/>
          </w:tcPr>
          <w:p w14:paraId="315F7C38">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p>
        </w:tc>
        <w:tc>
          <w:tcPr>
            <w:tcW w:w="1590" w:type="dxa"/>
            <w:tcBorders>
              <w:tl2br w:val="nil"/>
              <w:tr2bl w:val="nil"/>
            </w:tcBorders>
            <w:vAlign w:val="center"/>
          </w:tcPr>
          <w:p w14:paraId="41D6C53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H</w:t>
            </w:r>
            <w:r>
              <w:rPr>
                <w:rFonts w:hint="default" w:ascii="Times New Roman" w:hAnsi="Times New Roman" w:eastAsia="宋体" w:cs="Times New Roman"/>
                <w:color w:val="auto"/>
                <w:kern w:val="2"/>
                <w:sz w:val="21"/>
                <w:szCs w:val="21"/>
                <w:highlight w:val="none"/>
                <w:vertAlign w:val="subscript"/>
                <w:lang w:val="en-US" w:eastAsia="zh-CN"/>
              </w:rPr>
              <w:t>2</w:t>
            </w:r>
            <w:r>
              <w:rPr>
                <w:rFonts w:hint="default" w:ascii="Times New Roman" w:hAnsi="Times New Roman" w:eastAsia="宋体" w:cs="Times New Roman"/>
                <w:color w:val="auto"/>
                <w:kern w:val="2"/>
                <w:sz w:val="21"/>
                <w:szCs w:val="21"/>
                <w:highlight w:val="none"/>
                <w:lang w:val="en-US" w:eastAsia="zh-CN"/>
              </w:rPr>
              <w:t>S</w:t>
            </w:r>
          </w:p>
        </w:tc>
        <w:tc>
          <w:tcPr>
            <w:tcW w:w="1110" w:type="dxa"/>
            <w:tcBorders>
              <w:tl2br w:val="nil"/>
              <w:tr2bl w:val="nil"/>
            </w:tcBorders>
            <w:vAlign w:val="center"/>
          </w:tcPr>
          <w:p w14:paraId="6236FAD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0.0402</w:t>
            </w:r>
          </w:p>
        </w:tc>
        <w:tc>
          <w:tcPr>
            <w:tcW w:w="1185" w:type="dxa"/>
            <w:tcBorders>
              <w:tl2br w:val="nil"/>
              <w:tr2bl w:val="nil"/>
            </w:tcBorders>
            <w:vAlign w:val="center"/>
          </w:tcPr>
          <w:p w14:paraId="3D656DD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highlight w:val="none"/>
              </w:rPr>
            </w:pP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w:t>
            </w:r>
          </w:p>
        </w:tc>
        <w:tc>
          <w:tcPr>
            <w:tcW w:w="2929" w:type="dxa"/>
            <w:vMerge w:val="continue"/>
            <w:tcBorders>
              <w:tl2br w:val="nil"/>
              <w:tr2bl w:val="nil"/>
            </w:tcBorders>
            <w:vAlign w:val="center"/>
          </w:tcPr>
          <w:p w14:paraId="78DB2C4F">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703918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948" w:type="dxa"/>
            <w:vMerge w:val="continue"/>
            <w:tcBorders>
              <w:tl2br w:val="nil"/>
              <w:tr2bl w:val="nil"/>
            </w:tcBorders>
            <w:vAlign w:val="center"/>
          </w:tcPr>
          <w:p w14:paraId="79B71E77">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255" w:type="dxa"/>
            <w:gridSpan w:val="2"/>
            <w:vMerge w:val="restart"/>
            <w:tcBorders>
              <w:tl2br w:val="nil"/>
              <w:tr2bl w:val="nil"/>
            </w:tcBorders>
            <w:vAlign w:val="center"/>
          </w:tcPr>
          <w:p w14:paraId="42D28FC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无组织废气</w:t>
            </w:r>
          </w:p>
        </w:tc>
        <w:tc>
          <w:tcPr>
            <w:tcW w:w="1590" w:type="dxa"/>
            <w:tcBorders>
              <w:tl2br w:val="nil"/>
              <w:tr2bl w:val="nil"/>
            </w:tcBorders>
            <w:vAlign w:val="center"/>
          </w:tcPr>
          <w:p w14:paraId="16715CD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NH</w:t>
            </w:r>
            <w:r>
              <w:rPr>
                <w:rFonts w:hint="default" w:ascii="Times New Roman" w:hAnsi="Times New Roman" w:eastAsia="宋体" w:cs="Times New Roman"/>
                <w:color w:val="auto"/>
                <w:kern w:val="2"/>
                <w:sz w:val="21"/>
                <w:szCs w:val="21"/>
                <w:highlight w:val="none"/>
                <w:vertAlign w:val="subscript"/>
                <w:lang w:val="en-US" w:eastAsia="zh-CN"/>
              </w:rPr>
              <w:t>3</w:t>
            </w:r>
          </w:p>
        </w:tc>
        <w:tc>
          <w:tcPr>
            <w:tcW w:w="1110" w:type="dxa"/>
            <w:tcBorders>
              <w:tl2br w:val="nil"/>
              <w:tr2bl w:val="nil"/>
            </w:tcBorders>
            <w:vAlign w:val="center"/>
          </w:tcPr>
          <w:p w14:paraId="030ED8D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11534</w:t>
            </w:r>
          </w:p>
        </w:tc>
        <w:tc>
          <w:tcPr>
            <w:tcW w:w="1185" w:type="dxa"/>
            <w:tcBorders>
              <w:tl2br w:val="nil"/>
              <w:tr2bl w:val="nil"/>
            </w:tcBorders>
            <w:vAlign w:val="center"/>
          </w:tcPr>
          <w:p w14:paraId="5946BE2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04614</w:t>
            </w:r>
          </w:p>
        </w:tc>
        <w:tc>
          <w:tcPr>
            <w:tcW w:w="2929" w:type="dxa"/>
            <w:vMerge w:val="restart"/>
            <w:tcBorders>
              <w:tl2br w:val="nil"/>
              <w:tr2bl w:val="nil"/>
            </w:tcBorders>
            <w:vAlign w:val="center"/>
          </w:tcPr>
          <w:p w14:paraId="698D04D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主要产臭源均加盖密封，加强绿化</w:t>
            </w:r>
          </w:p>
        </w:tc>
      </w:tr>
      <w:tr w14:paraId="64BF8B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948" w:type="dxa"/>
            <w:vMerge w:val="continue"/>
            <w:tcBorders>
              <w:tl2br w:val="nil"/>
              <w:tr2bl w:val="nil"/>
            </w:tcBorders>
            <w:vAlign w:val="center"/>
          </w:tcPr>
          <w:p w14:paraId="0A65C254">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255" w:type="dxa"/>
            <w:gridSpan w:val="2"/>
            <w:vMerge w:val="continue"/>
            <w:tcBorders>
              <w:tl2br w:val="nil"/>
              <w:tr2bl w:val="nil"/>
            </w:tcBorders>
            <w:vAlign w:val="center"/>
          </w:tcPr>
          <w:p w14:paraId="5A294AE8">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590" w:type="dxa"/>
            <w:tcBorders>
              <w:tl2br w:val="nil"/>
              <w:tr2bl w:val="nil"/>
            </w:tcBorders>
            <w:vAlign w:val="center"/>
          </w:tcPr>
          <w:p w14:paraId="7703304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H</w:t>
            </w:r>
            <w:r>
              <w:rPr>
                <w:rFonts w:hint="default" w:ascii="Times New Roman" w:hAnsi="Times New Roman" w:eastAsia="宋体" w:cs="Times New Roman"/>
                <w:color w:val="auto"/>
                <w:kern w:val="2"/>
                <w:sz w:val="21"/>
                <w:szCs w:val="21"/>
                <w:highlight w:val="none"/>
                <w:vertAlign w:val="subscript"/>
                <w:lang w:val="en-US" w:eastAsia="zh-CN"/>
              </w:rPr>
              <w:t>2</w:t>
            </w:r>
            <w:r>
              <w:rPr>
                <w:rFonts w:hint="default" w:ascii="Times New Roman" w:hAnsi="Times New Roman" w:eastAsia="宋体" w:cs="Times New Roman"/>
                <w:color w:val="auto"/>
                <w:kern w:val="2"/>
                <w:sz w:val="21"/>
                <w:szCs w:val="21"/>
                <w:highlight w:val="none"/>
                <w:lang w:val="en-US" w:eastAsia="zh-CN"/>
              </w:rPr>
              <w:t>S</w:t>
            </w:r>
          </w:p>
        </w:tc>
        <w:tc>
          <w:tcPr>
            <w:tcW w:w="1110" w:type="dxa"/>
            <w:tcBorders>
              <w:tl2br w:val="nil"/>
              <w:tr2bl w:val="nil"/>
            </w:tcBorders>
            <w:vAlign w:val="center"/>
          </w:tcPr>
          <w:p w14:paraId="33BAB94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4468</w:t>
            </w:r>
          </w:p>
        </w:tc>
        <w:tc>
          <w:tcPr>
            <w:tcW w:w="1185" w:type="dxa"/>
            <w:tcBorders>
              <w:tl2br w:val="nil"/>
              <w:tr2bl w:val="nil"/>
            </w:tcBorders>
            <w:vAlign w:val="center"/>
          </w:tcPr>
          <w:p w14:paraId="1172765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1787</w:t>
            </w:r>
          </w:p>
        </w:tc>
        <w:tc>
          <w:tcPr>
            <w:tcW w:w="2929" w:type="dxa"/>
            <w:vMerge w:val="continue"/>
            <w:tcBorders>
              <w:tl2br w:val="nil"/>
              <w:tr2bl w:val="nil"/>
            </w:tcBorders>
            <w:vAlign w:val="center"/>
          </w:tcPr>
          <w:p w14:paraId="34F49751">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23C911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948" w:type="dxa"/>
            <w:vMerge w:val="continue"/>
            <w:tcBorders>
              <w:tl2br w:val="nil"/>
              <w:tr2bl w:val="nil"/>
            </w:tcBorders>
            <w:vAlign w:val="center"/>
          </w:tcPr>
          <w:p w14:paraId="7C1DC9D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255" w:type="dxa"/>
            <w:gridSpan w:val="2"/>
            <w:tcBorders>
              <w:tl2br w:val="nil"/>
              <w:tr2bl w:val="nil"/>
            </w:tcBorders>
            <w:vAlign w:val="center"/>
          </w:tcPr>
          <w:p w14:paraId="5A16349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食堂油烟</w:t>
            </w:r>
          </w:p>
        </w:tc>
        <w:tc>
          <w:tcPr>
            <w:tcW w:w="1590" w:type="dxa"/>
            <w:tcBorders>
              <w:tl2br w:val="nil"/>
              <w:tr2bl w:val="nil"/>
            </w:tcBorders>
            <w:vAlign w:val="center"/>
          </w:tcPr>
          <w:p w14:paraId="38B3DC9C">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食堂油烟</w:t>
            </w:r>
          </w:p>
        </w:tc>
        <w:tc>
          <w:tcPr>
            <w:tcW w:w="1110" w:type="dxa"/>
            <w:tcBorders>
              <w:tl2br w:val="nil"/>
              <w:tr2bl w:val="nil"/>
            </w:tcBorders>
            <w:vAlign w:val="center"/>
          </w:tcPr>
          <w:p w14:paraId="52C76188">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3.5</w:t>
            </w:r>
            <w:r>
              <w:rPr>
                <w:rFonts w:hint="default" w:ascii="Times New Roman" w:hAnsi="Times New Roman" w:eastAsia="宋体" w:cs="Times New Roman"/>
                <w:color w:val="auto"/>
                <w:kern w:val="2"/>
                <w:sz w:val="21"/>
                <w:szCs w:val="21"/>
                <w:highlight w:val="none"/>
              </w:rPr>
              <w:t>kg/a</w:t>
            </w:r>
          </w:p>
        </w:tc>
        <w:tc>
          <w:tcPr>
            <w:tcW w:w="1185" w:type="dxa"/>
            <w:tcBorders>
              <w:tl2br w:val="nil"/>
              <w:tr2bl w:val="nil"/>
            </w:tcBorders>
            <w:vAlign w:val="center"/>
          </w:tcPr>
          <w:p w14:paraId="19CA05AC">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0.876</w:t>
            </w:r>
            <w:r>
              <w:rPr>
                <w:rFonts w:hint="default" w:ascii="Times New Roman" w:hAnsi="Times New Roman" w:eastAsia="宋体" w:cs="Times New Roman"/>
                <w:color w:val="auto"/>
                <w:kern w:val="2"/>
                <w:sz w:val="21"/>
                <w:szCs w:val="21"/>
                <w:highlight w:val="none"/>
              </w:rPr>
              <w:t xml:space="preserve"> kg/a</w:t>
            </w:r>
          </w:p>
        </w:tc>
        <w:tc>
          <w:tcPr>
            <w:tcW w:w="2929" w:type="dxa"/>
            <w:tcBorders>
              <w:tl2br w:val="nil"/>
              <w:tr2bl w:val="nil"/>
            </w:tcBorders>
            <w:vAlign w:val="center"/>
          </w:tcPr>
          <w:p w14:paraId="1A55E85F">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油烟</w:t>
            </w:r>
            <w:r>
              <w:rPr>
                <w:rFonts w:hint="default" w:ascii="Times New Roman" w:hAnsi="Times New Roman" w:eastAsia="宋体" w:cs="Times New Roman"/>
                <w:color w:val="auto"/>
                <w:kern w:val="2"/>
                <w:sz w:val="21"/>
                <w:szCs w:val="21"/>
                <w:highlight w:val="none"/>
                <w:lang w:eastAsia="zh-CN"/>
              </w:rPr>
              <w:t>净化</w:t>
            </w:r>
            <w:r>
              <w:rPr>
                <w:rFonts w:hint="default" w:ascii="Times New Roman" w:hAnsi="Times New Roman" w:eastAsia="宋体" w:cs="Times New Roman"/>
                <w:color w:val="auto"/>
                <w:kern w:val="2"/>
                <w:sz w:val="21"/>
                <w:szCs w:val="21"/>
                <w:highlight w:val="none"/>
              </w:rPr>
              <w:t>装置</w:t>
            </w:r>
            <w:r>
              <w:rPr>
                <w:rFonts w:hint="default" w:ascii="Times New Roman" w:hAnsi="Times New Roman" w:eastAsia="宋体" w:cs="Times New Roman"/>
                <w:color w:val="auto"/>
                <w:kern w:val="2"/>
                <w:sz w:val="21"/>
                <w:szCs w:val="21"/>
                <w:highlight w:val="none"/>
                <w:lang w:val="en-US" w:eastAsia="zh-CN"/>
              </w:rPr>
              <w:t>处理后通过专用油烟管道引至屋顶排放</w:t>
            </w:r>
          </w:p>
        </w:tc>
      </w:tr>
      <w:tr w14:paraId="2AF23D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948" w:type="dxa"/>
            <w:vMerge w:val="restart"/>
            <w:tcBorders>
              <w:tl2br w:val="nil"/>
              <w:tr2bl w:val="nil"/>
            </w:tcBorders>
            <w:vAlign w:val="center"/>
          </w:tcPr>
          <w:p w14:paraId="069FFBC8">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固体</w:t>
            </w:r>
          </w:p>
          <w:p w14:paraId="5577EBC8">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废物</w:t>
            </w:r>
          </w:p>
        </w:tc>
        <w:tc>
          <w:tcPr>
            <w:tcW w:w="1255" w:type="dxa"/>
            <w:gridSpan w:val="2"/>
            <w:tcBorders>
              <w:tl2br w:val="nil"/>
              <w:tr2bl w:val="nil"/>
            </w:tcBorders>
            <w:vAlign w:val="center"/>
          </w:tcPr>
          <w:p w14:paraId="173F0952">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生活垃圾</w:t>
            </w:r>
          </w:p>
        </w:tc>
        <w:tc>
          <w:tcPr>
            <w:tcW w:w="1590" w:type="dxa"/>
            <w:tcBorders>
              <w:tl2br w:val="nil"/>
              <w:tr2bl w:val="nil"/>
            </w:tcBorders>
            <w:vAlign w:val="center"/>
          </w:tcPr>
          <w:p w14:paraId="4AA42AC1">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生活垃圾</w:t>
            </w:r>
          </w:p>
        </w:tc>
        <w:tc>
          <w:tcPr>
            <w:tcW w:w="1110" w:type="dxa"/>
            <w:tcBorders>
              <w:tl2br w:val="nil"/>
              <w:tr2bl w:val="nil"/>
            </w:tcBorders>
            <w:vAlign w:val="center"/>
          </w:tcPr>
          <w:p w14:paraId="72303F1E">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5.84</w:t>
            </w:r>
          </w:p>
        </w:tc>
        <w:tc>
          <w:tcPr>
            <w:tcW w:w="1185" w:type="dxa"/>
            <w:tcBorders>
              <w:tl2br w:val="nil"/>
              <w:tr2bl w:val="nil"/>
            </w:tcBorders>
            <w:vAlign w:val="center"/>
          </w:tcPr>
          <w:p w14:paraId="2E391885">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929" w:type="dxa"/>
            <w:vMerge w:val="restart"/>
            <w:tcBorders>
              <w:tl2br w:val="nil"/>
              <w:tr2bl w:val="nil"/>
            </w:tcBorders>
            <w:vAlign w:val="center"/>
          </w:tcPr>
          <w:p w14:paraId="6D0E9313">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分类收集后，暂存于厂区内垃圾收集点，由当地环卫部门定期清运处理</w:t>
            </w:r>
          </w:p>
        </w:tc>
      </w:tr>
      <w:tr w14:paraId="6BFF73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48" w:type="dxa"/>
            <w:vMerge w:val="continue"/>
            <w:tcBorders>
              <w:tl2br w:val="nil"/>
              <w:tr2bl w:val="nil"/>
            </w:tcBorders>
            <w:vAlign w:val="center"/>
          </w:tcPr>
          <w:p w14:paraId="04385224">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255" w:type="dxa"/>
            <w:gridSpan w:val="2"/>
            <w:vMerge w:val="restart"/>
            <w:tcBorders>
              <w:tl2br w:val="nil"/>
              <w:tr2bl w:val="nil"/>
            </w:tcBorders>
            <w:vAlign w:val="center"/>
          </w:tcPr>
          <w:p w14:paraId="72694BEF">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一般固废</w:t>
            </w:r>
          </w:p>
        </w:tc>
        <w:tc>
          <w:tcPr>
            <w:tcW w:w="1590" w:type="dxa"/>
            <w:tcBorders>
              <w:tl2br w:val="nil"/>
              <w:tr2bl w:val="nil"/>
            </w:tcBorders>
            <w:vAlign w:val="center"/>
          </w:tcPr>
          <w:p w14:paraId="2F35D03F">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栅渣</w:t>
            </w:r>
          </w:p>
        </w:tc>
        <w:tc>
          <w:tcPr>
            <w:tcW w:w="1110" w:type="dxa"/>
            <w:tcBorders>
              <w:tl2br w:val="nil"/>
              <w:tr2bl w:val="nil"/>
            </w:tcBorders>
            <w:vAlign w:val="center"/>
          </w:tcPr>
          <w:p w14:paraId="7F53EE3D">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73.584</w:t>
            </w:r>
          </w:p>
        </w:tc>
        <w:tc>
          <w:tcPr>
            <w:tcW w:w="1185" w:type="dxa"/>
            <w:tcBorders>
              <w:tl2br w:val="nil"/>
              <w:tr2bl w:val="nil"/>
            </w:tcBorders>
            <w:vAlign w:val="center"/>
          </w:tcPr>
          <w:p w14:paraId="72530CC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0</w:t>
            </w:r>
          </w:p>
        </w:tc>
        <w:tc>
          <w:tcPr>
            <w:tcW w:w="2929" w:type="dxa"/>
            <w:vMerge w:val="continue"/>
            <w:tcBorders>
              <w:tl2br w:val="nil"/>
              <w:tr2bl w:val="nil"/>
            </w:tcBorders>
            <w:vAlign w:val="center"/>
          </w:tcPr>
          <w:p w14:paraId="54630F22">
            <w:pPr>
              <w:keepNext w:val="0"/>
              <w:keepLines w:val="0"/>
              <w:widowControl w:val="0"/>
              <w:suppressLineNumbers w:val="0"/>
              <w:snapToGrid/>
              <w:spacing w:before="0" w:beforeAutospacing="0" w:after="0" w:afterAutospacing="0"/>
              <w:ind w:left="0" w:right="0"/>
              <w:jc w:val="center"/>
              <w:rPr>
                <w:rFonts w:hint="default" w:ascii="Times New Roman" w:hAnsi="Times New Roman" w:eastAsia="宋体" w:cs="Times New Roman"/>
                <w:color w:val="FF0000"/>
                <w:kern w:val="2"/>
                <w:sz w:val="21"/>
                <w:szCs w:val="21"/>
                <w:highlight w:val="none"/>
                <w:lang w:val="en-US" w:eastAsia="zh-CN" w:bidi="ar-SA"/>
              </w:rPr>
            </w:pPr>
          </w:p>
        </w:tc>
      </w:tr>
      <w:tr w14:paraId="0B6896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948" w:type="dxa"/>
            <w:vMerge w:val="continue"/>
            <w:tcBorders>
              <w:tl2br w:val="nil"/>
              <w:tr2bl w:val="nil"/>
            </w:tcBorders>
            <w:vAlign w:val="center"/>
          </w:tcPr>
          <w:p w14:paraId="14D10A24">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255" w:type="dxa"/>
            <w:gridSpan w:val="2"/>
            <w:vMerge w:val="continue"/>
            <w:tcBorders>
              <w:tl2br w:val="nil"/>
              <w:tr2bl w:val="nil"/>
            </w:tcBorders>
            <w:vAlign w:val="center"/>
          </w:tcPr>
          <w:p w14:paraId="0CF7B21C">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590" w:type="dxa"/>
            <w:tcBorders>
              <w:tl2br w:val="nil"/>
              <w:tr2bl w:val="nil"/>
            </w:tcBorders>
            <w:vAlign w:val="center"/>
          </w:tcPr>
          <w:p w14:paraId="6FAA7FAC">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沉砂</w:t>
            </w:r>
          </w:p>
        </w:tc>
        <w:tc>
          <w:tcPr>
            <w:tcW w:w="1110" w:type="dxa"/>
            <w:tcBorders>
              <w:tl2br w:val="nil"/>
              <w:tr2bl w:val="nil"/>
            </w:tcBorders>
            <w:vAlign w:val="center"/>
          </w:tcPr>
          <w:p w14:paraId="27C74406">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49.275</w:t>
            </w:r>
          </w:p>
        </w:tc>
        <w:tc>
          <w:tcPr>
            <w:tcW w:w="1185" w:type="dxa"/>
            <w:tcBorders>
              <w:tl2br w:val="nil"/>
              <w:tr2bl w:val="nil"/>
            </w:tcBorders>
            <w:vAlign w:val="center"/>
          </w:tcPr>
          <w:p w14:paraId="0774BAFE">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0</w:t>
            </w:r>
          </w:p>
        </w:tc>
        <w:tc>
          <w:tcPr>
            <w:tcW w:w="2929" w:type="dxa"/>
            <w:vMerge w:val="continue"/>
            <w:tcBorders>
              <w:tl2br w:val="nil"/>
              <w:tr2bl w:val="nil"/>
            </w:tcBorders>
            <w:vAlign w:val="center"/>
          </w:tcPr>
          <w:p w14:paraId="5B835EA7">
            <w:pPr>
              <w:keepNext w:val="0"/>
              <w:keepLines w:val="0"/>
              <w:widowControl w:val="0"/>
              <w:suppressLineNumbers w:val="0"/>
              <w:snapToGrid/>
              <w:spacing w:before="0" w:beforeAutospacing="0" w:after="0" w:afterAutospacing="0"/>
              <w:ind w:left="0" w:right="0"/>
              <w:jc w:val="center"/>
              <w:rPr>
                <w:rFonts w:hint="default" w:ascii="Times New Roman" w:hAnsi="Times New Roman" w:eastAsia="宋体" w:cs="Times New Roman"/>
                <w:color w:val="FF0000"/>
                <w:kern w:val="2"/>
                <w:sz w:val="21"/>
                <w:szCs w:val="21"/>
                <w:highlight w:val="none"/>
                <w:lang w:val="en-US" w:eastAsia="zh-CN" w:bidi="ar-SA"/>
              </w:rPr>
            </w:pPr>
          </w:p>
        </w:tc>
      </w:tr>
      <w:tr w14:paraId="1DDB26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948" w:type="dxa"/>
            <w:vMerge w:val="continue"/>
            <w:tcBorders>
              <w:tl2br w:val="nil"/>
              <w:tr2bl w:val="nil"/>
            </w:tcBorders>
            <w:vAlign w:val="center"/>
          </w:tcPr>
          <w:p w14:paraId="498C1980">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255" w:type="dxa"/>
            <w:gridSpan w:val="2"/>
            <w:vMerge w:val="continue"/>
            <w:tcBorders>
              <w:tl2br w:val="nil"/>
              <w:tr2bl w:val="nil"/>
            </w:tcBorders>
            <w:vAlign w:val="center"/>
          </w:tcPr>
          <w:p w14:paraId="526FD047">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590" w:type="dxa"/>
            <w:tcBorders>
              <w:tl2br w:val="nil"/>
              <w:tr2bl w:val="nil"/>
            </w:tcBorders>
            <w:vAlign w:val="center"/>
          </w:tcPr>
          <w:p w14:paraId="415D8ED6">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污泥</w:t>
            </w:r>
          </w:p>
        </w:tc>
        <w:tc>
          <w:tcPr>
            <w:tcW w:w="1110" w:type="dxa"/>
            <w:tcBorders>
              <w:tl2br w:val="nil"/>
              <w:tr2bl w:val="nil"/>
            </w:tcBorders>
            <w:vAlign w:val="center"/>
          </w:tcPr>
          <w:p w14:paraId="7A4C8836">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930.75</w:t>
            </w:r>
          </w:p>
        </w:tc>
        <w:tc>
          <w:tcPr>
            <w:tcW w:w="1185" w:type="dxa"/>
            <w:tcBorders>
              <w:tl2br w:val="nil"/>
              <w:tr2bl w:val="nil"/>
            </w:tcBorders>
            <w:vAlign w:val="center"/>
          </w:tcPr>
          <w:p w14:paraId="72C8821A">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0</w:t>
            </w:r>
          </w:p>
        </w:tc>
        <w:tc>
          <w:tcPr>
            <w:tcW w:w="2929" w:type="dxa"/>
            <w:tcBorders>
              <w:tl2br w:val="nil"/>
              <w:tr2bl w:val="nil"/>
            </w:tcBorders>
            <w:vAlign w:val="center"/>
          </w:tcPr>
          <w:p w14:paraId="520FB2A8">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污泥脱水后</w:t>
            </w:r>
            <w:r>
              <w:rPr>
                <w:rFonts w:hint="default" w:ascii="Times New Roman" w:hAnsi="Times New Roman" w:eastAsia="宋体" w:cs="Times New Roman"/>
                <w:color w:val="auto"/>
                <w:kern w:val="2"/>
                <w:sz w:val="21"/>
                <w:szCs w:val="21"/>
                <w:highlight w:val="none"/>
                <w:lang w:eastAsia="zh-CN"/>
              </w:rPr>
              <w:t>暂存于污泥脱水间，委托益阳海螺环保科技有限责任公司进行处置</w:t>
            </w:r>
          </w:p>
        </w:tc>
      </w:tr>
      <w:tr w14:paraId="3114FC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948" w:type="dxa"/>
            <w:vMerge w:val="continue"/>
            <w:tcBorders>
              <w:tl2br w:val="nil"/>
              <w:tr2bl w:val="nil"/>
            </w:tcBorders>
            <w:vAlign w:val="center"/>
          </w:tcPr>
          <w:p w14:paraId="32D341B8">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255" w:type="dxa"/>
            <w:gridSpan w:val="2"/>
            <w:vMerge w:val="restart"/>
            <w:tcBorders>
              <w:tl2br w:val="nil"/>
              <w:tr2bl w:val="nil"/>
            </w:tcBorders>
            <w:vAlign w:val="center"/>
          </w:tcPr>
          <w:p w14:paraId="08F978DC">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highlight w:val="none"/>
                <w:lang w:val="en-US" w:eastAsia="zh-CN"/>
              </w:rPr>
            </w:pPr>
            <w:r>
              <w:rPr>
                <w:rFonts w:hint="default" w:ascii="Times New Roman" w:hAnsi="Times New Roman" w:eastAsia="宋体" w:cs="Times New Roman"/>
                <w:color w:val="auto"/>
                <w:kern w:val="2"/>
                <w:sz w:val="21"/>
                <w:highlight w:val="none"/>
                <w:lang w:val="en-US" w:eastAsia="zh-CN"/>
              </w:rPr>
              <w:t>危险废物</w:t>
            </w:r>
          </w:p>
        </w:tc>
        <w:tc>
          <w:tcPr>
            <w:tcW w:w="1590" w:type="dxa"/>
            <w:tcBorders>
              <w:tl2br w:val="nil"/>
              <w:tr2bl w:val="nil"/>
            </w:tcBorders>
            <w:vAlign w:val="center"/>
          </w:tcPr>
          <w:p w14:paraId="46EB8BD5">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废矿物油</w:t>
            </w:r>
          </w:p>
        </w:tc>
        <w:tc>
          <w:tcPr>
            <w:tcW w:w="1110" w:type="dxa"/>
            <w:tcBorders>
              <w:tl2br w:val="nil"/>
              <w:tr2bl w:val="nil"/>
            </w:tcBorders>
            <w:vAlign w:val="center"/>
          </w:tcPr>
          <w:p w14:paraId="248150D7">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0.1</w:t>
            </w:r>
          </w:p>
        </w:tc>
        <w:tc>
          <w:tcPr>
            <w:tcW w:w="1185" w:type="dxa"/>
            <w:tcBorders>
              <w:tl2br w:val="nil"/>
              <w:tr2bl w:val="nil"/>
            </w:tcBorders>
            <w:vAlign w:val="center"/>
          </w:tcPr>
          <w:p w14:paraId="4A97B9F4">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929" w:type="dxa"/>
            <w:vMerge w:val="restart"/>
            <w:tcBorders>
              <w:tl2br w:val="nil"/>
              <w:tr2bl w:val="nil"/>
            </w:tcBorders>
            <w:vAlign w:val="center"/>
          </w:tcPr>
          <w:p w14:paraId="527F4371">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highlight w:val="none"/>
              </w:rPr>
            </w:pPr>
            <w:r>
              <w:rPr>
                <w:rFonts w:hint="default" w:ascii="Times New Roman" w:hAnsi="Times New Roman" w:eastAsia="宋体" w:cs="Times New Roman"/>
                <w:color w:val="auto"/>
                <w:kern w:val="2"/>
                <w:sz w:val="21"/>
                <w:highlight w:val="none"/>
                <w:lang w:val="en-US" w:eastAsia="zh-CN"/>
              </w:rPr>
              <w:t>分类</w:t>
            </w:r>
            <w:r>
              <w:rPr>
                <w:rFonts w:hint="default" w:ascii="Times New Roman" w:hAnsi="Times New Roman" w:eastAsia="宋体" w:cs="Times New Roman"/>
                <w:color w:val="auto"/>
                <w:kern w:val="2"/>
                <w:sz w:val="21"/>
                <w:highlight w:val="none"/>
              </w:rPr>
              <w:t>收集后，暂存于危废间，委托有相应危废处置资质的单位进行处置</w:t>
            </w:r>
          </w:p>
        </w:tc>
      </w:tr>
      <w:tr w14:paraId="0F0CB2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948" w:type="dxa"/>
            <w:vMerge w:val="continue"/>
            <w:tcBorders>
              <w:tl2br w:val="nil"/>
              <w:tr2bl w:val="nil"/>
            </w:tcBorders>
            <w:vAlign w:val="center"/>
          </w:tcPr>
          <w:p w14:paraId="27FFB007">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255" w:type="dxa"/>
            <w:gridSpan w:val="2"/>
            <w:vMerge w:val="continue"/>
            <w:tcBorders>
              <w:tl2br w:val="nil"/>
              <w:tr2bl w:val="nil"/>
            </w:tcBorders>
            <w:vAlign w:val="center"/>
          </w:tcPr>
          <w:p w14:paraId="28D68544">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highlight w:val="none"/>
              </w:rPr>
            </w:pPr>
          </w:p>
        </w:tc>
        <w:tc>
          <w:tcPr>
            <w:tcW w:w="1590" w:type="dxa"/>
            <w:tcBorders>
              <w:tl2br w:val="nil"/>
              <w:tr2bl w:val="nil"/>
            </w:tcBorders>
            <w:vAlign w:val="center"/>
          </w:tcPr>
          <w:p w14:paraId="6FF8AB7C">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废含油抹布及手套</w:t>
            </w:r>
          </w:p>
        </w:tc>
        <w:tc>
          <w:tcPr>
            <w:tcW w:w="1110" w:type="dxa"/>
            <w:tcBorders>
              <w:tl2br w:val="nil"/>
              <w:tr2bl w:val="nil"/>
            </w:tcBorders>
            <w:vAlign w:val="center"/>
          </w:tcPr>
          <w:p w14:paraId="490BAD5F">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0.01</w:t>
            </w:r>
          </w:p>
        </w:tc>
        <w:tc>
          <w:tcPr>
            <w:tcW w:w="1185" w:type="dxa"/>
            <w:tcBorders>
              <w:tl2br w:val="nil"/>
              <w:tr2bl w:val="nil"/>
            </w:tcBorders>
            <w:vAlign w:val="center"/>
          </w:tcPr>
          <w:p w14:paraId="1E7F657A">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929" w:type="dxa"/>
            <w:vMerge w:val="continue"/>
            <w:tcBorders>
              <w:tl2br w:val="nil"/>
              <w:tr2bl w:val="nil"/>
            </w:tcBorders>
            <w:vAlign w:val="center"/>
          </w:tcPr>
          <w:p w14:paraId="39431441">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highlight w:val="none"/>
              </w:rPr>
            </w:pPr>
          </w:p>
        </w:tc>
      </w:tr>
      <w:tr w14:paraId="1131CE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948" w:type="dxa"/>
            <w:vMerge w:val="continue"/>
            <w:tcBorders>
              <w:tl2br w:val="nil"/>
              <w:tr2bl w:val="nil"/>
            </w:tcBorders>
            <w:vAlign w:val="center"/>
          </w:tcPr>
          <w:p w14:paraId="7E781FD5">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255" w:type="dxa"/>
            <w:gridSpan w:val="2"/>
            <w:vMerge w:val="continue"/>
            <w:tcBorders>
              <w:tl2br w:val="nil"/>
              <w:tr2bl w:val="nil"/>
            </w:tcBorders>
            <w:vAlign w:val="center"/>
          </w:tcPr>
          <w:p w14:paraId="63D7B1F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highlight w:val="none"/>
              </w:rPr>
            </w:pPr>
          </w:p>
        </w:tc>
        <w:tc>
          <w:tcPr>
            <w:tcW w:w="1590" w:type="dxa"/>
            <w:tcBorders>
              <w:tl2br w:val="nil"/>
              <w:tr2bl w:val="nil"/>
            </w:tcBorders>
            <w:vAlign w:val="center"/>
          </w:tcPr>
          <w:p w14:paraId="356D4BBF">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在线监测废液</w:t>
            </w:r>
          </w:p>
        </w:tc>
        <w:tc>
          <w:tcPr>
            <w:tcW w:w="1110" w:type="dxa"/>
            <w:tcBorders>
              <w:tl2br w:val="nil"/>
              <w:tr2bl w:val="nil"/>
            </w:tcBorders>
            <w:vAlign w:val="center"/>
          </w:tcPr>
          <w:p w14:paraId="67B73779">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auto"/>
                <w:highlight w:val="none"/>
                <w:u w:val="none" w:color="auto"/>
                <w:lang w:val="en-US" w:eastAsia="zh-CN"/>
              </w:rPr>
              <w:t>2.4</w:t>
            </w:r>
          </w:p>
        </w:tc>
        <w:tc>
          <w:tcPr>
            <w:tcW w:w="1185" w:type="dxa"/>
            <w:tcBorders>
              <w:tl2br w:val="nil"/>
              <w:tr2bl w:val="nil"/>
            </w:tcBorders>
            <w:vAlign w:val="center"/>
          </w:tcPr>
          <w:p w14:paraId="7154563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929" w:type="dxa"/>
            <w:vMerge w:val="continue"/>
            <w:tcBorders>
              <w:tl2br w:val="nil"/>
              <w:tr2bl w:val="nil"/>
            </w:tcBorders>
            <w:vAlign w:val="center"/>
          </w:tcPr>
          <w:p w14:paraId="644E9121">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highlight w:val="none"/>
              </w:rPr>
            </w:pPr>
          </w:p>
        </w:tc>
      </w:tr>
      <w:tr w14:paraId="484BDC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948" w:type="dxa"/>
            <w:vMerge w:val="continue"/>
            <w:tcBorders>
              <w:tl2br w:val="nil"/>
              <w:tr2bl w:val="nil"/>
            </w:tcBorders>
            <w:vAlign w:val="center"/>
          </w:tcPr>
          <w:p w14:paraId="4CC77220">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255" w:type="dxa"/>
            <w:gridSpan w:val="2"/>
            <w:vMerge w:val="continue"/>
            <w:tcBorders>
              <w:tl2br w:val="nil"/>
              <w:tr2bl w:val="nil"/>
            </w:tcBorders>
            <w:vAlign w:val="center"/>
          </w:tcPr>
          <w:p w14:paraId="4356D9F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highlight w:val="none"/>
              </w:rPr>
            </w:pPr>
          </w:p>
        </w:tc>
        <w:tc>
          <w:tcPr>
            <w:tcW w:w="1590" w:type="dxa"/>
            <w:tcBorders>
              <w:tl2br w:val="nil"/>
              <w:tr2bl w:val="nil"/>
            </w:tcBorders>
            <w:vAlign w:val="center"/>
          </w:tcPr>
          <w:p w14:paraId="332ED425">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化验室废液</w:t>
            </w:r>
          </w:p>
        </w:tc>
        <w:tc>
          <w:tcPr>
            <w:tcW w:w="1110" w:type="dxa"/>
            <w:tcBorders>
              <w:tl2br w:val="nil"/>
              <w:tr2bl w:val="nil"/>
            </w:tcBorders>
            <w:vAlign w:val="center"/>
          </w:tcPr>
          <w:p w14:paraId="775E7A03">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auto"/>
                <w:highlight w:val="none"/>
                <w:u w:val="none" w:color="auto"/>
                <w:lang w:val="en-US" w:eastAsia="zh-CN"/>
              </w:rPr>
              <w:t>0.3</w:t>
            </w:r>
          </w:p>
        </w:tc>
        <w:tc>
          <w:tcPr>
            <w:tcW w:w="1185" w:type="dxa"/>
            <w:tcBorders>
              <w:tl2br w:val="nil"/>
              <w:tr2bl w:val="nil"/>
            </w:tcBorders>
            <w:vAlign w:val="center"/>
          </w:tcPr>
          <w:p w14:paraId="54A847F9">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929" w:type="dxa"/>
            <w:vMerge w:val="continue"/>
            <w:tcBorders>
              <w:tl2br w:val="nil"/>
              <w:tr2bl w:val="nil"/>
            </w:tcBorders>
            <w:vAlign w:val="center"/>
          </w:tcPr>
          <w:p w14:paraId="14FAD2DF">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highlight w:val="none"/>
              </w:rPr>
            </w:pPr>
          </w:p>
        </w:tc>
      </w:tr>
      <w:tr w14:paraId="6F74F5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948" w:type="dxa"/>
            <w:vMerge w:val="continue"/>
            <w:tcBorders>
              <w:tl2br w:val="nil"/>
              <w:tr2bl w:val="nil"/>
            </w:tcBorders>
            <w:vAlign w:val="center"/>
          </w:tcPr>
          <w:p w14:paraId="2AAA4CF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255" w:type="dxa"/>
            <w:gridSpan w:val="2"/>
            <w:vMerge w:val="continue"/>
            <w:tcBorders>
              <w:tl2br w:val="nil"/>
              <w:tr2bl w:val="nil"/>
            </w:tcBorders>
            <w:vAlign w:val="center"/>
          </w:tcPr>
          <w:p w14:paraId="7C6AD9C7">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highlight w:val="none"/>
              </w:rPr>
            </w:pPr>
          </w:p>
        </w:tc>
        <w:tc>
          <w:tcPr>
            <w:tcW w:w="1590" w:type="dxa"/>
            <w:tcBorders>
              <w:tl2br w:val="nil"/>
              <w:tr2bl w:val="nil"/>
            </w:tcBorders>
            <w:vAlign w:val="center"/>
          </w:tcPr>
          <w:p w14:paraId="0A0E0648">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沾染性废物</w:t>
            </w:r>
          </w:p>
        </w:tc>
        <w:tc>
          <w:tcPr>
            <w:tcW w:w="1110" w:type="dxa"/>
            <w:tcBorders>
              <w:tl2br w:val="nil"/>
              <w:tr2bl w:val="nil"/>
            </w:tcBorders>
            <w:vAlign w:val="center"/>
          </w:tcPr>
          <w:p w14:paraId="79F554F6">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auto"/>
                <w:highlight w:val="none"/>
                <w:u w:val="none" w:color="auto"/>
                <w:lang w:val="en-US" w:eastAsia="zh-CN"/>
              </w:rPr>
              <w:t>0.15</w:t>
            </w:r>
          </w:p>
        </w:tc>
        <w:tc>
          <w:tcPr>
            <w:tcW w:w="1185" w:type="dxa"/>
            <w:tcBorders>
              <w:tl2br w:val="nil"/>
              <w:tr2bl w:val="nil"/>
            </w:tcBorders>
            <w:vAlign w:val="center"/>
          </w:tcPr>
          <w:p w14:paraId="688533EC">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929" w:type="dxa"/>
            <w:vMerge w:val="continue"/>
            <w:tcBorders>
              <w:tl2br w:val="nil"/>
              <w:tr2bl w:val="nil"/>
            </w:tcBorders>
            <w:vAlign w:val="center"/>
          </w:tcPr>
          <w:p w14:paraId="3121553C">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highlight w:val="none"/>
              </w:rPr>
            </w:pPr>
          </w:p>
        </w:tc>
      </w:tr>
    </w:tbl>
    <w:p w14:paraId="61CD4D4F">
      <w:pPr>
        <w:pStyle w:val="3"/>
        <w:numPr>
          <w:ilvl w:val="1"/>
          <w:numId w:val="0"/>
        </w:numPr>
        <w:ind w:leftChars="0"/>
        <w:rPr>
          <w:rFonts w:hint="default" w:ascii="Times New Roman" w:hAnsi="Times New Roman" w:eastAsia="宋体" w:cs="Times New Roman"/>
          <w:color w:val="auto"/>
          <w:highlight w:val="none"/>
          <w:u w:val="none" w:color="auto"/>
          <w:lang w:val="en-US" w:eastAsia="zh-CN"/>
        </w:rPr>
      </w:pPr>
      <w:bookmarkStart w:id="75" w:name="_Toc8636"/>
      <w:r>
        <w:rPr>
          <w:rFonts w:hint="default" w:ascii="Times New Roman" w:hAnsi="Times New Roman" w:eastAsia="宋体" w:cs="Times New Roman"/>
          <w:color w:val="auto"/>
          <w:highlight w:val="none"/>
          <w:u w:val="none" w:color="auto"/>
          <w:lang w:val="en-US" w:eastAsia="zh-CN"/>
        </w:rPr>
        <w:t>3.6“三本帐”分析</w:t>
      </w:r>
      <w:bookmarkEnd w:id="75"/>
    </w:p>
    <w:p w14:paraId="6E3E619B">
      <w:pPr>
        <w:widowControl w:val="0"/>
        <w:numPr>
          <w:ilvl w:val="4"/>
          <w:numId w:val="0"/>
        </w:numPr>
        <w:spacing w:line="240" w:lineRule="auto"/>
        <w:ind w:left="0" w:leftChars="0" w:firstLine="0" w:firstLineChars="0"/>
        <w:jc w:val="center"/>
        <w:outlineLvl w:val="9"/>
        <w:rPr>
          <w:rFonts w:hint="default" w:ascii="Times New Roman" w:hAnsi="Times New Roman" w:eastAsia="宋体" w:cs="Times New Roman"/>
          <w:b/>
          <w:color w:val="auto"/>
          <w:kern w:val="0"/>
          <w:sz w:val="24"/>
          <w:szCs w:val="24"/>
          <w:highlight w:val="none"/>
          <w:lang w:val="en-US" w:eastAsia="zh-CN" w:bidi="ar-SA"/>
        </w:rPr>
      </w:pPr>
      <w:r>
        <w:rPr>
          <w:rFonts w:hint="default" w:ascii="Times New Roman" w:hAnsi="Times New Roman" w:eastAsia="宋体" w:cs="Times New Roman"/>
          <w:b/>
          <w:color w:val="auto"/>
          <w:kern w:val="0"/>
          <w:sz w:val="24"/>
          <w:szCs w:val="24"/>
          <w:highlight w:val="none"/>
          <w:lang w:val="en-US" w:eastAsia="zh-CN" w:bidi="ar-SA"/>
        </w:rPr>
        <w:t>表3.6-1 改扩建项目前后各污染物排放量变化情况一览表</w:t>
      </w:r>
    </w:p>
    <w:tbl>
      <w:tblPr>
        <w:tblStyle w:val="76"/>
        <w:tblW w:w="484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7"/>
        <w:gridCol w:w="751"/>
        <w:gridCol w:w="1503"/>
        <w:gridCol w:w="1031"/>
        <w:gridCol w:w="1203"/>
        <w:gridCol w:w="1442"/>
        <w:gridCol w:w="1270"/>
        <w:gridCol w:w="1210"/>
      </w:tblGrid>
      <w:tr w14:paraId="0A52D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tblHeader/>
          <w:jc w:val="center"/>
        </w:trPr>
        <w:tc>
          <w:tcPr>
            <w:tcW w:w="743" w:type="pct"/>
            <w:gridSpan w:val="2"/>
            <w:vAlign w:val="center"/>
          </w:tcPr>
          <w:p w14:paraId="53A3333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污染物</w:t>
            </w:r>
          </w:p>
        </w:tc>
        <w:tc>
          <w:tcPr>
            <w:tcW w:w="835" w:type="pct"/>
            <w:vAlign w:val="center"/>
          </w:tcPr>
          <w:p w14:paraId="2158CC7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主要污染因子</w:t>
            </w:r>
          </w:p>
        </w:tc>
        <w:tc>
          <w:tcPr>
            <w:tcW w:w="572" w:type="pct"/>
            <w:vAlign w:val="center"/>
          </w:tcPr>
          <w:p w14:paraId="269A1057">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现有工程t/a</w:t>
            </w:r>
          </w:p>
        </w:tc>
        <w:tc>
          <w:tcPr>
            <w:tcW w:w="668" w:type="pct"/>
            <w:vAlign w:val="center"/>
          </w:tcPr>
          <w:p w14:paraId="119025A2">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改扩建项目t/a</w:t>
            </w:r>
          </w:p>
        </w:tc>
        <w:tc>
          <w:tcPr>
            <w:tcW w:w="801" w:type="pct"/>
            <w:vAlign w:val="center"/>
          </w:tcPr>
          <w:p w14:paraId="7E126FB7">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0"/>
                <w:sz w:val="21"/>
                <w:szCs w:val="21"/>
                <w:highlight w:val="none"/>
              </w:rPr>
              <w:t>以新带老的削减量</w:t>
            </w:r>
            <w:r>
              <w:rPr>
                <w:rFonts w:hint="default" w:ascii="Times New Roman" w:hAnsi="Times New Roman" w:eastAsia="宋体" w:cs="Times New Roman"/>
                <w:b/>
                <w:color w:val="auto"/>
                <w:kern w:val="2"/>
                <w:sz w:val="21"/>
                <w:szCs w:val="21"/>
                <w:highlight w:val="none"/>
              </w:rPr>
              <w:t>t/a</w:t>
            </w:r>
          </w:p>
        </w:tc>
        <w:tc>
          <w:tcPr>
            <w:tcW w:w="705" w:type="pct"/>
            <w:vAlign w:val="center"/>
          </w:tcPr>
          <w:p w14:paraId="5544A1FC">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全厂t/a</w:t>
            </w:r>
          </w:p>
        </w:tc>
        <w:tc>
          <w:tcPr>
            <w:tcW w:w="672" w:type="pct"/>
            <w:vAlign w:val="center"/>
          </w:tcPr>
          <w:p w14:paraId="1F262AD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增减量t/a</w:t>
            </w:r>
          </w:p>
        </w:tc>
      </w:tr>
      <w:tr w14:paraId="3A342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326" w:type="pct"/>
            <w:vMerge w:val="restart"/>
            <w:vAlign w:val="center"/>
          </w:tcPr>
          <w:p w14:paraId="12F714E4">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废气</w:t>
            </w:r>
          </w:p>
        </w:tc>
        <w:tc>
          <w:tcPr>
            <w:tcW w:w="417" w:type="pct"/>
            <w:vMerge w:val="restart"/>
            <w:vAlign w:val="center"/>
          </w:tcPr>
          <w:p w14:paraId="29DAB984">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有组织</w:t>
            </w:r>
          </w:p>
        </w:tc>
        <w:tc>
          <w:tcPr>
            <w:tcW w:w="835" w:type="pct"/>
            <w:vAlign w:val="center"/>
          </w:tcPr>
          <w:p w14:paraId="65AA2FC8">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NH</w:t>
            </w:r>
            <w:r>
              <w:rPr>
                <w:rFonts w:hint="default" w:ascii="Times New Roman" w:hAnsi="Times New Roman" w:eastAsia="宋体" w:cs="Times New Roman"/>
                <w:color w:val="auto"/>
                <w:kern w:val="2"/>
                <w:sz w:val="21"/>
                <w:szCs w:val="21"/>
                <w:highlight w:val="none"/>
                <w:vertAlign w:val="subscript"/>
                <w:lang w:val="en-US" w:eastAsia="zh-CN"/>
              </w:rPr>
              <w:t>3</w:t>
            </w:r>
          </w:p>
        </w:tc>
        <w:tc>
          <w:tcPr>
            <w:tcW w:w="572" w:type="pct"/>
            <w:vAlign w:val="center"/>
          </w:tcPr>
          <w:p w14:paraId="0C49D800">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1203" w:type="dxa"/>
            <w:vAlign w:val="center"/>
          </w:tcPr>
          <w:p w14:paraId="787AE28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0519</w:t>
            </w:r>
          </w:p>
        </w:tc>
        <w:tc>
          <w:tcPr>
            <w:tcW w:w="801" w:type="pct"/>
            <w:vAlign w:val="center"/>
          </w:tcPr>
          <w:p w14:paraId="15990DDF">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1270" w:type="dxa"/>
            <w:vAlign w:val="center"/>
          </w:tcPr>
          <w:p w14:paraId="3CE8F81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0519</w:t>
            </w:r>
          </w:p>
        </w:tc>
        <w:tc>
          <w:tcPr>
            <w:tcW w:w="1210" w:type="dxa"/>
            <w:vAlign w:val="center"/>
          </w:tcPr>
          <w:p w14:paraId="3978F1E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0519</w:t>
            </w:r>
          </w:p>
        </w:tc>
      </w:tr>
      <w:tr w14:paraId="76D0EE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326" w:type="pct"/>
            <w:vMerge w:val="continue"/>
            <w:vAlign w:val="center"/>
          </w:tcPr>
          <w:p w14:paraId="34E762B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rPr>
            </w:pPr>
          </w:p>
        </w:tc>
        <w:tc>
          <w:tcPr>
            <w:tcW w:w="417" w:type="pct"/>
            <w:vMerge w:val="continue"/>
            <w:vAlign w:val="center"/>
          </w:tcPr>
          <w:p w14:paraId="7A3ABBF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rPr>
            </w:pPr>
          </w:p>
        </w:tc>
        <w:tc>
          <w:tcPr>
            <w:tcW w:w="835" w:type="pct"/>
            <w:vAlign w:val="center"/>
          </w:tcPr>
          <w:p w14:paraId="08D7A4E7">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H</w:t>
            </w:r>
            <w:r>
              <w:rPr>
                <w:rFonts w:hint="default" w:ascii="Times New Roman" w:hAnsi="Times New Roman" w:eastAsia="宋体" w:cs="Times New Roman"/>
                <w:color w:val="auto"/>
                <w:kern w:val="2"/>
                <w:sz w:val="21"/>
                <w:szCs w:val="21"/>
                <w:highlight w:val="none"/>
                <w:vertAlign w:val="subscript"/>
                <w:lang w:val="en-US" w:eastAsia="zh-CN"/>
              </w:rPr>
              <w:t>2</w:t>
            </w:r>
            <w:r>
              <w:rPr>
                <w:rFonts w:hint="default" w:ascii="Times New Roman" w:hAnsi="Times New Roman" w:eastAsia="宋体" w:cs="Times New Roman"/>
                <w:color w:val="auto"/>
                <w:kern w:val="2"/>
                <w:sz w:val="21"/>
                <w:szCs w:val="21"/>
                <w:highlight w:val="none"/>
                <w:lang w:val="en-US" w:eastAsia="zh-CN"/>
              </w:rPr>
              <w:t>S</w:t>
            </w:r>
          </w:p>
        </w:tc>
        <w:tc>
          <w:tcPr>
            <w:tcW w:w="572" w:type="pct"/>
            <w:vAlign w:val="center"/>
          </w:tcPr>
          <w:p w14:paraId="2E8C1676">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1203" w:type="dxa"/>
            <w:vAlign w:val="center"/>
          </w:tcPr>
          <w:p w14:paraId="355CA32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w:t>
            </w:r>
          </w:p>
        </w:tc>
        <w:tc>
          <w:tcPr>
            <w:tcW w:w="801" w:type="pct"/>
            <w:vAlign w:val="center"/>
          </w:tcPr>
          <w:p w14:paraId="1E661BF6">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p>
        </w:tc>
        <w:tc>
          <w:tcPr>
            <w:tcW w:w="1270" w:type="dxa"/>
            <w:vAlign w:val="center"/>
          </w:tcPr>
          <w:p w14:paraId="4FFC68E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w:t>
            </w:r>
          </w:p>
        </w:tc>
        <w:tc>
          <w:tcPr>
            <w:tcW w:w="1210" w:type="dxa"/>
            <w:vAlign w:val="center"/>
          </w:tcPr>
          <w:p w14:paraId="0F0F03C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w:t>
            </w:r>
          </w:p>
        </w:tc>
      </w:tr>
      <w:tr w14:paraId="06312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326" w:type="pct"/>
            <w:vMerge w:val="continue"/>
            <w:vAlign w:val="center"/>
          </w:tcPr>
          <w:p w14:paraId="4D1CC900">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417" w:type="pct"/>
            <w:vMerge w:val="restart"/>
            <w:vAlign w:val="center"/>
          </w:tcPr>
          <w:p w14:paraId="18E2CBC4">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无组织</w:t>
            </w:r>
          </w:p>
        </w:tc>
        <w:tc>
          <w:tcPr>
            <w:tcW w:w="835" w:type="pct"/>
            <w:vAlign w:val="center"/>
          </w:tcPr>
          <w:p w14:paraId="0EFB8876">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NH</w:t>
            </w:r>
            <w:r>
              <w:rPr>
                <w:rFonts w:hint="default" w:ascii="Times New Roman" w:hAnsi="Times New Roman" w:eastAsia="宋体" w:cs="Times New Roman"/>
                <w:color w:val="000000" w:themeColor="text1"/>
                <w:kern w:val="2"/>
                <w:sz w:val="21"/>
                <w:szCs w:val="21"/>
                <w:highlight w:val="none"/>
                <w:vertAlign w:val="subscript"/>
                <w:lang w:val="en-US" w:eastAsia="zh-CN"/>
                <w14:textFill>
                  <w14:solidFill>
                    <w14:schemeClr w14:val="tx1"/>
                  </w14:solidFill>
                </w14:textFill>
              </w:rPr>
              <w:t>3</w:t>
            </w:r>
          </w:p>
        </w:tc>
        <w:tc>
          <w:tcPr>
            <w:tcW w:w="572" w:type="pct"/>
            <w:vAlign w:val="center"/>
          </w:tcPr>
          <w:p w14:paraId="19D62DD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0.4599</w:t>
            </w:r>
          </w:p>
        </w:tc>
        <w:tc>
          <w:tcPr>
            <w:tcW w:w="668" w:type="pct"/>
            <w:vAlign w:val="center"/>
          </w:tcPr>
          <w:p w14:paraId="6E2A9CC6">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2768</w:t>
            </w:r>
          </w:p>
        </w:tc>
        <w:tc>
          <w:tcPr>
            <w:tcW w:w="801" w:type="pct"/>
            <w:vAlign w:val="center"/>
          </w:tcPr>
          <w:p w14:paraId="1E77A0CF">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0.4</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4144</w:t>
            </w:r>
          </w:p>
        </w:tc>
        <w:tc>
          <w:tcPr>
            <w:tcW w:w="705" w:type="pct"/>
            <w:vAlign w:val="center"/>
          </w:tcPr>
          <w:p w14:paraId="1B58493B">
            <w:pPr>
              <w:keepNext w:val="0"/>
              <w:keepLines w:val="0"/>
              <w:suppressLineNumbers w:val="0"/>
              <w:autoSpaceDE/>
              <w:autoSpaceDN/>
              <w:adjustRightIn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0.04614</w:t>
            </w:r>
          </w:p>
        </w:tc>
        <w:tc>
          <w:tcPr>
            <w:tcW w:w="672" w:type="pct"/>
            <w:vAlign w:val="center"/>
          </w:tcPr>
          <w:p w14:paraId="3E67171A">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-0.4</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4144</w:t>
            </w:r>
          </w:p>
        </w:tc>
      </w:tr>
      <w:tr w14:paraId="69E313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326" w:type="pct"/>
            <w:vMerge w:val="continue"/>
            <w:vAlign w:val="center"/>
          </w:tcPr>
          <w:p w14:paraId="3913332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417" w:type="pct"/>
            <w:vMerge w:val="continue"/>
            <w:vAlign w:val="center"/>
          </w:tcPr>
          <w:p w14:paraId="354B8BD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835" w:type="pct"/>
            <w:vAlign w:val="center"/>
          </w:tcPr>
          <w:p w14:paraId="67E251A2">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kern w:val="2"/>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S</w:t>
            </w:r>
          </w:p>
        </w:tc>
        <w:tc>
          <w:tcPr>
            <w:tcW w:w="572" w:type="pct"/>
            <w:vAlign w:val="center"/>
          </w:tcPr>
          <w:p w14:paraId="20BD32D7">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0.01787</w:t>
            </w:r>
          </w:p>
        </w:tc>
        <w:tc>
          <w:tcPr>
            <w:tcW w:w="668" w:type="pct"/>
            <w:vAlign w:val="center"/>
          </w:tcPr>
          <w:p w14:paraId="3144AF0F">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0.00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1072</w:t>
            </w:r>
          </w:p>
        </w:tc>
        <w:tc>
          <w:tcPr>
            <w:tcW w:w="801" w:type="pct"/>
            <w:vAlign w:val="center"/>
          </w:tcPr>
          <w:p w14:paraId="7F5EE21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17155</w:t>
            </w:r>
          </w:p>
        </w:tc>
        <w:tc>
          <w:tcPr>
            <w:tcW w:w="705" w:type="pct"/>
            <w:vAlign w:val="center"/>
          </w:tcPr>
          <w:p w14:paraId="4FF512BF">
            <w:pPr>
              <w:keepNext w:val="0"/>
              <w:keepLines w:val="0"/>
              <w:suppressLineNumbers w:val="0"/>
              <w:autoSpaceDE/>
              <w:autoSpaceDN/>
              <w:adjustRightIn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0.001787</w:t>
            </w:r>
          </w:p>
        </w:tc>
        <w:tc>
          <w:tcPr>
            <w:tcW w:w="672" w:type="pct"/>
            <w:vAlign w:val="center"/>
          </w:tcPr>
          <w:p w14:paraId="0BB65D2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17155</w:t>
            </w:r>
          </w:p>
        </w:tc>
      </w:tr>
      <w:tr w14:paraId="5E9AFD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326" w:type="pct"/>
            <w:vMerge w:val="continue"/>
            <w:vAlign w:val="center"/>
          </w:tcPr>
          <w:p w14:paraId="2D52597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highlight w:val="none"/>
              </w:rPr>
            </w:pPr>
          </w:p>
        </w:tc>
        <w:tc>
          <w:tcPr>
            <w:tcW w:w="417" w:type="pct"/>
            <w:vAlign w:val="center"/>
          </w:tcPr>
          <w:p w14:paraId="24EBFACF">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食堂油烟</w:t>
            </w:r>
          </w:p>
        </w:tc>
        <w:tc>
          <w:tcPr>
            <w:tcW w:w="835" w:type="pct"/>
            <w:vAlign w:val="center"/>
          </w:tcPr>
          <w:p w14:paraId="74F86256">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油烟</w:t>
            </w:r>
          </w:p>
        </w:tc>
        <w:tc>
          <w:tcPr>
            <w:tcW w:w="572" w:type="pct"/>
            <w:vAlign w:val="center"/>
          </w:tcPr>
          <w:p w14:paraId="07A40516">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668" w:type="pct"/>
            <w:vAlign w:val="center"/>
          </w:tcPr>
          <w:p w14:paraId="1642742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0.876</w:t>
            </w:r>
            <w:r>
              <w:rPr>
                <w:rFonts w:hint="default" w:ascii="Times New Roman" w:hAnsi="Times New Roman" w:eastAsia="宋体" w:cs="Times New Roman"/>
                <w:color w:val="auto"/>
                <w:kern w:val="2"/>
                <w:sz w:val="21"/>
                <w:szCs w:val="21"/>
                <w:highlight w:val="none"/>
              </w:rPr>
              <w:t xml:space="preserve"> kg/a</w:t>
            </w:r>
          </w:p>
        </w:tc>
        <w:tc>
          <w:tcPr>
            <w:tcW w:w="801" w:type="pct"/>
            <w:vAlign w:val="center"/>
          </w:tcPr>
          <w:p w14:paraId="6DCF5178">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705" w:type="pct"/>
            <w:vAlign w:val="center"/>
          </w:tcPr>
          <w:p w14:paraId="1AD20FAD">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0.876</w:t>
            </w:r>
            <w:r>
              <w:rPr>
                <w:rFonts w:hint="default" w:ascii="Times New Roman" w:hAnsi="Times New Roman" w:eastAsia="宋体" w:cs="Times New Roman"/>
                <w:color w:val="auto"/>
                <w:kern w:val="2"/>
                <w:sz w:val="21"/>
                <w:szCs w:val="21"/>
                <w:highlight w:val="none"/>
              </w:rPr>
              <w:t xml:space="preserve"> kg/a</w:t>
            </w:r>
          </w:p>
        </w:tc>
        <w:tc>
          <w:tcPr>
            <w:tcW w:w="672" w:type="pct"/>
            <w:vAlign w:val="center"/>
          </w:tcPr>
          <w:p w14:paraId="2BC77841">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+0.876</w:t>
            </w:r>
            <w:r>
              <w:rPr>
                <w:rFonts w:hint="default" w:ascii="Times New Roman" w:hAnsi="Times New Roman" w:eastAsia="宋体" w:cs="Times New Roman"/>
                <w:color w:val="auto"/>
                <w:kern w:val="2"/>
                <w:sz w:val="21"/>
                <w:szCs w:val="21"/>
                <w:highlight w:val="none"/>
              </w:rPr>
              <w:t xml:space="preserve"> kg/a</w:t>
            </w:r>
          </w:p>
        </w:tc>
      </w:tr>
      <w:tr w14:paraId="4A3F7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43" w:type="pct"/>
            <w:gridSpan w:val="2"/>
            <w:vMerge w:val="restart"/>
            <w:vAlign w:val="center"/>
          </w:tcPr>
          <w:p w14:paraId="7AB9784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废水</w:t>
            </w:r>
          </w:p>
        </w:tc>
        <w:tc>
          <w:tcPr>
            <w:tcW w:w="835" w:type="pct"/>
            <w:vAlign w:val="center"/>
          </w:tcPr>
          <w:p w14:paraId="558FF272">
            <w:pPr>
              <w:keepNext w:val="0"/>
              <w:keepLines w:val="0"/>
              <w:suppressLineNumbers w:val="0"/>
              <w:autoSpaceDE/>
              <w:autoSpaceDN/>
              <w:adjustRightInd/>
              <w:spacing w:before="0" w:beforeAutospacing="0" w:after="0" w:afterAutospacing="0" w:line="240" w:lineRule="auto"/>
              <w:ind w:left="-50" w:leftChars="0" w:right="-50" w:rightChars="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lang w:val="en-US" w:eastAsia="zh-CN"/>
              </w:rPr>
              <w:t>废水量</w:t>
            </w:r>
          </w:p>
        </w:tc>
        <w:tc>
          <w:tcPr>
            <w:tcW w:w="572" w:type="pct"/>
            <w:vAlign w:val="center"/>
          </w:tcPr>
          <w:p w14:paraId="07001C9E">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43.8万</w:t>
            </w:r>
          </w:p>
        </w:tc>
        <w:tc>
          <w:tcPr>
            <w:tcW w:w="668" w:type="pct"/>
            <w:vAlign w:val="center"/>
          </w:tcPr>
          <w:p w14:paraId="3BA93BD7">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65.4万</w:t>
            </w:r>
          </w:p>
        </w:tc>
        <w:tc>
          <w:tcPr>
            <w:tcW w:w="801" w:type="pct"/>
            <w:vAlign w:val="center"/>
          </w:tcPr>
          <w:p w14:paraId="0A327282">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w:t>
            </w:r>
          </w:p>
        </w:tc>
        <w:tc>
          <w:tcPr>
            <w:tcW w:w="705" w:type="pct"/>
            <w:vAlign w:val="center"/>
          </w:tcPr>
          <w:p w14:paraId="0B54AA0E">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109.2万</w:t>
            </w:r>
          </w:p>
        </w:tc>
        <w:tc>
          <w:tcPr>
            <w:tcW w:w="672" w:type="pct"/>
            <w:vAlign w:val="center"/>
          </w:tcPr>
          <w:p w14:paraId="678CBBFA">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+65.4万</w:t>
            </w:r>
          </w:p>
        </w:tc>
      </w:tr>
      <w:tr w14:paraId="064F3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743" w:type="pct"/>
            <w:gridSpan w:val="2"/>
            <w:vMerge w:val="continue"/>
            <w:vAlign w:val="center"/>
          </w:tcPr>
          <w:p w14:paraId="0CD5E9E4">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7E63E27E">
            <w:pPr>
              <w:keepNext w:val="0"/>
              <w:keepLines w:val="0"/>
              <w:suppressLineNumbers w:val="0"/>
              <w:autoSpaceDE/>
              <w:autoSpaceDN/>
              <w:adjustRightInd/>
              <w:spacing w:before="0" w:beforeAutospacing="0" w:after="0" w:afterAutospacing="0" w:line="240" w:lineRule="auto"/>
              <w:ind w:left="-50" w:leftChars="0" w:right="-50" w:rightChars="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lang w:val="en-US" w:eastAsia="zh-CN"/>
              </w:rPr>
              <w:t>COD</w:t>
            </w:r>
          </w:p>
        </w:tc>
        <w:tc>
          <w:tcPr>
            <w:tcW w:w="572" w:type="pct"/>
            <w:vAlign w:val="center"/>
          </w:tcPr>
          <w:p w14:paraId="0F90DF26">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21.9</w:t>
            </w:r>
          </w:p>
        </w:tc>
        <w:tc>
          <w:tcPr>
            <w:tcW w:w="668" w:type="pct"/>
            <w:vAlign w:val="center"/>
          </w:tcPr>
          <w:p w14:paraId="4C974706">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highlight w:val="none"/>
                <w:u w:val="none"/>
              </w:rPr>
            </w:pPr>
            <w:r>
              <w:rPr>
                <w:rFonts w:hint="default" w:ascii="Times New Roman" w:hAnsi="Times New Roman" w:eastAsia="宋体" w:cs="Times New Roman"/>
                <w:color w:val="auto"/>
                <w:kern w:val="2"/>
                <w:sz w:val="21"/>
                <w:szCs w:val="21"/>
                <w:highlight w:val="none"/>
                <w:u w:val="none"/>
                <w:lang w:val="en-US" w:eastAsia="zh-CN"/>
              </w:rPr>
              <w:t>32.85</w:t>
            </w:r>
          </w:p>
        </w:tc>
        <w:tc>
          <w:tcPr>
            <w:tcW w:w="801" w:type="pct"/>
            <w:vAlign w:val="center"/>
          </w:tcPr>
          <w:p w14:paraId="0A47A80C">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w:t>
            </w:r>
          </w:p>
        </w:tc>
        <w:tc>
          <w:tcPr>
            <w:tcW w:w="705" w:type="pct"/>
            <w:vAlign w:val="center"/>
          </w:tcPr>
          <w:p w14:paraId="6AC43869">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54.75</w:t>
            </w:r>
          </w:p>
        </w:tc>
        <w:tc>
          <w:tcPr>
            <w:tcW w:w="672" w:type="pct"/>
            <w:vAlign w:val="center"/>
          </w:tcPr>
          <w:p w14:paraId="3F821BF6">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+32.85</w:t>
            </w:r>
          </w:p>
        </w:tc>
      </w:tr>
      <w:tr w14:paraId="42FA8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743" w:type="pct"/>
            <w:gridSpan w:val="2"/>
            <w:vMerge w:val="continue"/>
            <w:vAlign w:val="center"/>
          </w:tcPr>
          <w:p w14:paraId="1FF5800D">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35C5412F">
            <w:pPr>
              <w:keepNext w:val="0"/>
              <w:keepLines w:val="0"/>
              <w:suppressLineNumbers w:val="0"/>
              <w:autoSpaceDE/>
              <w:autoSpaceDN/>
              <w:adjustRightInd/>
              <w:spacing w:before="0" w:beforeAutospacing="0" w:after="0" w:afterAutospacing="0" w:line="240" w:lineRule="auto"/>
              <w:ind w:left="-50" w:leftChars="0" w:right="-5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BOD</w:t>
            </w:r>
            <w:r>
              <w:rPr>
                <w:rFonts w:hint="default" w:ascii="Times New Roman" w:hAnsi="Times New Roman" w:cs="Times New Roman"/>
                <w:color w:val="auto"/>
                <w:kern w:val="2"/>
                <w:sz w:val="21"/>
                <w:szCs w:val="21"/>
                <w:highlight w:val="none"/>
                <w:vertAlign w:val="subscript"/>
                <w:lang w:val="en-US" w:eastAsia="zh-CN"/>
              </w:rPr>
              <w:t>5</w:t>
            </w:r>
          </w:p>
        </w:tc>
        <w:tc>
          <w:tcPr>
            <w:tcW w:w="572" w:type="pct"/>
            <w:vAlign w:val="center"/>
          </w:tcPr>
          <w:p w14:paraId="19F03733">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kern w:val="2"/>
                <w:sz w:val="21"/>
                <w:szCs w:val="21"/>
                <w:highlight w:val="none"/>
                <w:u w:val="none"/>
                <w:lang w:val="en-US" w:eastAsia="zh-CN"/>
              </w:rPr>
              <w:t>153.3</w:t>
            </w:r>
          </w:p>
        </w:tc>
        <w:tc>
          <w:tcPr>
            <w:tcW w:w="668" w:type="pct"/>
            <w:vAlign w:val="center"/>
          </w:tcPr>
          <w:p w14:paraId="2F98DD47">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kern w:val="2"/>
                <w:sz w:val="21"/>
                <w:szCs w:val="21"/>
                <w:highlight w:val="none"/>
                <w:u w:val="none"/>
                <w:lang w:val="en-US" w:eastAsia="zh-CN"/>
              </w:rPr>
              <w:t>229.95</w:t>
            </w:r>
          </w:p>
        </w:tc>
        <w:tc>
          <w:tcPr>
            <w:tcW w:w="801" w:type="pct"/>
            <w:vAlign w:val="center"/>
          </w:tcPr>
          <w:p w14:paraId="028C829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kern w:val="2"/>
                <w:sz w:val="21"/>
                <w:szCs w:val="21"/>
                <w:highlight w:val="none"/>
                <w:u w:val="none"/>
                <w:lang w:val="en-US" w:eastAsia="zh-CN"/>
              </w:rPr>
              <w:t>/</w:t>
            </w:r>
          </w:p>
        </w:tc>
        <w:tc>
          <w:tcPr>
            <w:tcW w:w="705" w:type="pct"/>
            <w:vAlign w:val="center"/>
          </w:tcPr>
          <w:p w14:paraId="6E9FB23B">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kern w:val="2"/>
                <w:sz w:val="21"/>
                <w:szCs w:val="21"/>
                <w:highlight w:val="none"/>
                <w:u w:val="none"/>
                <w:lang w:val="en-US" w:eastAsia="zh-CN"/>
              </w:rPr>
              <w:t>383.25</w:t>
            </w:r>
          </w:p>
        </w:tc>
        <w:tc>
          <w:tcPr>
            <w:tcW w:w="672" w:type="pct"/>
            <w:vAlign w:val="center"/>
          </w:tcPr>
          <w:p w14:paraId="6C212C48">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kern w:val="2"/>
                <w:sz w:val="21"/>
                <w:szCs w:val="21"/>
                <w:highlight w:val="none"/>
                <w:u w:val="none"/>
                <w:lang w:val="en-US" w:eastAsia="zh-CN"/>
              </w:rPr>
              <w:t>+229.95</w:t>
            </w:r>
          </w:p>
        </w:tc>
      </w:tr>
      <w:tr w14:paraId="6FA63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743" w:type="pct"/>
            <w:gridSpan w:val="2"/>
            <w:vMerge w:val="continue"/>
            <w:vAlign w:val="center"/>
          </w:tcPr>
          <w:p w14:paraId="1BC3D80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278CB8F5">
            <w:pPr>
              <w:keepNext w:val="0"/>
              <w:keepLines w:val="0"/>
              <w:suppressLineNumbers w:val="0"/>
              <w:autoSpaceDE/>
              <w:autoSpaceDN/>
              <w:adjustRightInd/>
              <w:spacing w:before="0" w:beforeAutospacing="0" w:after="0" w:afterAutospacing="0" w:line="240" w:lineRule="auto"/>
              <w:ind w:left="-50" w:leftChars="0" w:right="-50" w:rightChars="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lang w:val="en-US" w:eastAsia="zh-CN"/>
              </w:rPr>
              <w:t>氨氮</w:t>
            </w:r>
          </w:p>
        </w:tc>
        <w:tc>
          <w:tcPr>
            <w:tcW w:w="572" w:type="pct"/>
            <w:vAlign w:val="center"/>
          </w:tcPr>
          <w:p w14:paraId="02C2C64B">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2.19</w:t>
            </w:r>
          </w:p>
        </w:tc>
        <w:tc>
          <w:tcPr>
            <w:tcW w:w="668" w:type="pct"/>
            <w:vAlign w:val="center"/>
          </w:tcPr>
          <w:p w14:paraId="363874FC">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highlight w:val="none"/>
                <w:u w:val="none"/>
              </w:rPr>
            </w:pPr>
            <w:r>
              <w:rPr>
                <w:rFonts w:hint="default" w:ascii="Times New Roman" w:hAnsi="Times New Roman" w:eastAsia="宋体" w:cs="Times New Roman"/>
                <w:color w:val="auto"/>
                <w:kern w:val="2"/>
                <w:sz w:val="21"/>
                <w:szCs w:val="21"/>
                <w:highlight w:val="none"/>
                <w:u w:val="none"/>
                <w:lang w:val="en-US" w:eastAsia="zh-CN"/>
              </w:rPr>
              <w:t>3.285</w:t>
            </w:r>
          </w:p>
        </w:tc>
        <w:tc>
          <w:tcPr>
            <w:tcW w:w="801" w:type="pct"/>
            <w:vAlign w:val="center"/>
          </w:tcPr>
          <w:p w14:paraId="1616F58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w:t>
            </w:r>
          </w:p>
        </w:tc>
        <w:tc>
          <w:tcPr>
            <w:tcW w:w="705" w:type="pct"/>
            <w:vAlign w:val="center"/>
          </w:tcPr>
          <w:p w14:paraId="29EAC13B">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5.475</w:t>
            </w:r>
          </w:p>
        </w:tc>
        <w:tc>
          <w:tcPr>
            <w:tcW w:w="672" w:type="pct"/>
            <w:vAlign w:val="center"/>
          </w:tcPr>
          <w:p w14:paraId="51B7CE52">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+3.285</w:t>
            </w:r>
          </w:p>
        </w:tc>
      </w:tr>
      <w:tr w14:paraId="498601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743" w:type="pct"/>
            <w:gridSpan w:val="2"/>
            <w:vMerge w:val="continue"/>
            <w:vAlign w:val="center"/>
          </w:tcPr>
          <w:p w14:paraId="22AD8B0E">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48AE2977">
            <w:pPr>
              <w:keepNext w:val="0"/>
              <w:keepLines w:val="0"/>
              <w:suppressLineNumbers w:val="0"/>
              <w:autoSpaceDE/>
              <w:autoSpaceDN/>
              <w:adjustRightInd/>
              <w:spacing w:before="0" w:beforeAutospacing="0" w:after="0" w:afterAutospacing="0" w:line="240" w:lineRule="auto"/>
              <w:ind w:left="-50" w:leftChars="0" w:right="-50" w:rightChars="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lang w:val="en-US" w:eastAsia="zh-CN"/>
              </w:rPr>
              <w:t>总氮</w:t>
            </w:r>
          </w:p>
        </w:tc>
        <w:tc>
          <w:tcPr>
            <w:tcW w:w="572" w:type="pct"/>
            <w:vAlign w:val="center"/>
          </w:tcPr>
          <w:p w14:paraId="75144C66">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6.57</w:t>
            </w:r>
          </w:p>
        </w:tc>
        <w:tc>
          <w:tcPr>
            <w:tcW w:w="668" w:type="pct"/>
            <w:vAlign w:val="center"/>
          </w:tcPr>
          <w:p w14:paraId="32D7A20A">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highlight w:val="none"/>
                <w:u w:val="none"/>
              </w:rPr>
            </w:pPr>
            <w:r>
              <w:rPr>
                <w:rFonts w:hint="default" w:ascii="Times New Roman" w:hAnsi="Times New Roman" w:eastAsia="宋体" w:cs="Times New Roman"/>
                <w:color w:val="auto"/>
                <w:kern w:val="2"/>
                <w:sz w:val="21"/>
                <w:szCs w:val="21"/>
                <w:highlight w:val="none"/>
                <w:u w:val="none"/>
                <w:lang w:val="en-US" w:eastAsia="zh-CN"/>
              </w:rPr>
              <w:t>9.855</w:t>
            </w:r>
          </w:p>
        </w:tc>
        <w:tc>
          <w:tcPr>
            <w:tcW w:w="801" w:type="pct"/>
            <w:vAlign w:val="center"/>
          </w:tcPr>
          <w:p w14:paraId="034845A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w:t>
            </w:r>
          </w:p>
        </w:tc>
        <w:tc>
          <w:tcPr>
            <w:tcW w:w="705" w:type="pct"/>
            <w:vAlign w:val="center"/>
          </w:tcPr>
          <w:p w14:paraId="59E45336">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16.425</w:t>
            </w:r>
          </w:p>
        </w:tc>
        <w:tc>
          <w:tcPr>
            <w:tcW w:w="672" w:type="pct"/>
            <w:vAlign w:val="center"/>
          </w:tcPr>
          <w:p w14:paraId="667A431F">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+9.855</w:t>
            </w:r>
          </w:p>
        </w:tc>
      </w:tr>
      <w:tr w14:paraId="621381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743" w:type="pct"/>
            <w:gridSpan w:val="2"/>
            <w:vMerge w:val="continue"/>
            <w:vAlign w:val="center"/>
          </w:tcPr>
          <w:p w14:paraId="4A86F3F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1CA04C48">
            <w:pPr>
              <w:keepNext w:val="0"/>
              <w:keepLines w:val="0"/>
              <w:suppressLineNumbers w:val="0"/>
              <w:autoSpaceDE/>
              <w:autoSpaceDN/>
              <w:adjustRightInd/>
              <w:spacing w:before="0" w:beforeAutospacing="0" w:after="0" w:afterAutospacing="0" w:line="240" w:lineRule="auto"/>
              <w:ind w:left="-50" w:leftChars="0" w:right="-5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SS</w:t>
            </w:r>
          </w:p>
        </w:tc>
        <w:tc>
          <w:tcPr>
            <w:tcW w:w="572" w:type="pct"/>
            <w:vAlign w:val="center"/>
          </w:tcPr>
          <w:p w14:paraId="16B2583B">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kern w:val="2"/>
                <w:sz w:val="21"/>
                <w:szCs w:val="21"/>
                <w:highlight w:val="none"/>
                <w:u w:val="none"/>
                <w:lang w:val="en-US" w:eastAsia="zh-CN"/>
              </w:rPr>
              <w:t>175.2</w:t>
            </w:r>
          </w:p>
        </w:tc>
        <w:tc>
          <w:tcPr>
            <w:tcW w:w="668" w:type="pct"/>
            <w:vAlign w:val="center"/>
          </w:tcPr>
          <w:p w14:paraId="754B8D6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kern w:val="2"/>
                <w:sz w:val="21"/>
                <w:szCs w:val="21"/>
                <w:highlight w:val="none"/>
                <w:u w:val="none"/>
                <w:lang w:val="en-US" w:eastAsia="zh-CN"/>
              </w:rPr>
              <w:t>262.8</w:t>
            </w:r>
          </w:p>
        </w:tc>
        <w:tc>
          <w:tcPr>
            <w:tcW w:w="801" w:type="pct"/>
            <w:vAlign w:val="center"/>
          </w:tcPr>
          <w:p w14:paraId="2C5971AC">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705" w:type="pct"/>
            <w:vAlign w:val="center"/>
          </w:tcPr>
          <w:p w14:paraId="62AF7135">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kern w:val="2"/>
                <w:sz w:val="21"/>
                <w:szCs w:val="21"/>
                <w:highlight w:val="none"/>
                <w:u w:val="none"/>
                <w:lang w:val="en-US" w:eastAsia="zh-CN"/>
              </w:rPr>
              <w:t>438</w:t>
            </w:r>
          </w:p>
        </w:tc>
        <w:tc>
          <w:tcPr>
            <w:tcW w:w="672" w:type="pct"/>
            <w:vAlign w:val="center"/>
          </w:tcPr>
          <w:p w14:paraId="4F10D066">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kern w:val="2"/>
                <w:sz w:val="21"/>
                <w:szCs w:val="21"/>
                <w:highlight w:val="none"/>
                <w:u w:val="none"/>
                <w:lang w:val="en-US" w:eastAsia="zh-CN"/>
              </w:rPr>
              <w:t>+262.8</w:t>
            </w:r>
          </w:p>
        </w:tc>
      </w:tr>
      <w:tr w14:paraId="6F1AC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743" w:type="pct"/>
            <w:gridSpan w:val="2"/>
            <w:vMerge w:val="continue"/>
            <w:vAlign w:val="center"/>
          </w:tcPr>
          <w:p w14:paraId="24CF7C7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34F2D845">
            <w:pPr>
              <w:keepNext w:val="0"/>
              <w:keepLines w:val="0"/>
              <w:suppressLineNumbers w:val="0"/>
              <w:autoSpaceDE/>
              <w:autoSpaceDN/>
              <w:adjustRightInd/>
              <w:spacing w:before="0" w:beforeAutospacing="0" w:after="0" w:afterAutospacing="0" w:line="240" w:lineRule="auto"/>
              <w:ind w:left="-50" w:leftChars="0" w:right="-50" w:rightChars="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lang w:val="en-US" w:eastAsia="zh-CN"/>
              </w:rPr>
              <w:t>总磷</w:t>
            </w:r>
          </w:p>
        </w:tc>
        <w:tc>
          <w:tcPr>
            <w:tcW w:w="572" w:type="pct"/>
            <w:vAlign w:val="center"/>
          </w:tcPr>
          <w:p w14:paraId="3F64405C">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0.129</w:t>
            </w:r>
          </w:p>
        </w:tc>
        <w:tc>
          <w:tcPr>
            <w:tcW w:w="668" w:type="pct"/>
            <w:vAlign w:val="center"/>
          </w:tcPr>
          <w:p w14:paraId="6E079AE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highlight w:val="none"/>
                <w:u w:val="none"/>
              </w:rPr>
            </w:pPr>
            <w:r>
              <w:rPr>
                <w:rFonts w:hint="default" w:ascii="Times New Roman" w:hAnsi="Times New Roman" w:eastAsia="宋体" w:cs="Times New Roman"/>
                <w:color w:val="auto"/>
                <w:kern w:val="2"/>
                <w:sz w:val="21"/>
                <w:szCs w:val="21"/>
                <w:highlight w:val="none"/>
                <w:u w:val="none"/>
                <w:lang w:val="en-US" w:eastAsia="zh-CN"/>
              </w:rPr>
              <w:t>0.4185</w:t>
            </w:r>
          </w:p>
        </w:tc>
        <w:tc>
          <w:tcPr>
            <w:tcW w:w="801" w:type="pct"/>
            <w:vAlign w:val="center"/>
          </w:tcPr>
          <w:p w14:paraId="5A46956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w:t>
            </w:r>
          </w:p>
        </w:tc>
        <w:tc>
          <w:tcPr>
            <w:tcW w:w="705" w:type="pct"/>
            <w:vAlign w:val="center"/>
          </w:tcPr>
          <w:p w14:paraId="226AFE34">
            <w:pPr>
              <w:keepNext w:val="0"/>
              <w:keepLines w:val="0"/>
              <w:suppressLineNumbers w:val="0"/>
              <w:autoSpaceDE/>
              <w:autoSpaceDN/>
              <w:adjustRightInd/>
              <w:spacing w:before="0" w:beforeAutospacing="0" w:after="0" w:afterAutospacing="0" w:line="400" w:lineRule="exact"/>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0.5475</w:t>
            </w:r>
          </w:p>
        </w:tc>
        <w:tc>
          <w:tcPr>
            <w:tcW w:w="672" w:type="pct"/>
            <w:vAlign w:val="center"/>
          </w:tcPr>
          <w:p w14:paraId="0ED05596">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+0.4185</w:t>
            </w:r>
          </w:p>
        </w:tc>
      </w:tr>
      <w:tr w14:paraId="6E3DD6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743" w:type="pct"/>
            <w:gridSpan w:val="2"/>
            <w:vMerge w:val="restart"/>
            <w:vAlign w:val="center"/>
          </w:tcPr>
          <w:p w14:paraId="7703B11F">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固废</w:t>
            </w:r>
          </w:p>
        </w:tc>
        <w:tc>
          <w:tcPr>
            <w:tcW w:w="835" w:type="pct"/>
            <w:vAlign w:val="center"/>
          </w:tcPr>
          <w:p w14:paraId="548866E2">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生活垃圾</w:t>
            </w:r>
          </w:p>
        </w:tc>
        <w:tc>
          <w:tcPr>
            <w:tcW w:w="572" w:type="pct"/>
            <w:vAlign w:val="center"/>
          </w:tcPr>
          <w:p w14:paraId="6E37C8A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1.46</w:t>
            </w:r>
          </w:p>
        </w:tc>
        <w:tc>
          <w:tcPr>
            <w:tcW w:w="668" w:type="pct"/>
            <w:vAlign w:val="center"/>
          </w:tcPr>
          <w:p w14:paraId="24B544F2">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4.38</w:t>
            </w:r>
          </w:p>
        </w:tc>
        <w:tc>
          <w:tcPr>
            <w:tcW w:w="801" w:type="pct"/>
            <w:vAlign w:val="center"/>
          </w:tcPr>
          <w:p w14:paraId="7B2418F1">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w:t>
            </w:r>
          </w:p>
        </w:tc>
        <w:tc>
          <w:tcPr>
            <w:tcW w:w="705" w:type="pct"/>
            <w:vAlign w:val="center"/>
          </w:tcPr>
          <w:p w14:paraId="1DA3ABF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lang w:val="en-US" w:eastAsia="zh-CN"/>
              </w:rPr>
              <w:t>5.84</w:t>
            </w:r>
          </w:p>
        </w:tc>
        <w:tc>
          <w:tcPr>
            <w:tcW w:w="672" w:type="pct"/>
            <w:vAlign w:val="center"/>
          </w:tcPr>
          <w:p w14:paraId="7711906E">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lang w:val="en-US" w:eastAsia="zh-CN"/>
              </w:rPr>
              <w:t>+4.38</w:t>
            </w:r>
          </w:p>
        </w:tc>
      </w:tr>
      <w:tr w14:paraId="595EC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43" w:type="pct"/>
            <w:gridSpan w:val="2"/>
            <w:vMerge w:val="continue"/>
            <w:vAlign w:val="center"/>
          </w:tcPr>
          <w:p w14:paraId="56967EB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1581A092">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栅渣</w:t>
            </w:r>
          </w:p>
        </w:tc>
        <w:tc>
          <w:tcPr>
            <w:tcW w:w="572" w:type="pct"/>
            <w:vAlign w:val="center"/>
          </w:tcPr>
          <w:p w14:paraId="6D867A6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29.434</w:t>
            </w:r>
          </w:p>
        </w:tc>
        <w:tc>
          <w:tcPr>
            <w:tcW w:w="668" w:type="pct"/>
            <w:vAlign w:val="center"/>
          </w:tcPr>
          <w:p w14:paraId="393DE23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44.15</w:t>
            </w:r>
          </w:p>
        </w:tc>
        <w:tc>
          <w:tcPr>
            <w:tcW w:w="801" w:type="pct"/>
            <w:vAlign w:val="center"/>
          </w:tcPr>
          <w:p w14:paraId="2370FEA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w:t>
            </w:r>
          </w:p>
        </w:tc>
        <w:tc>
          <w:tcPr>
            <w:tcW w:w="705" w:type="pct"/>
            <w:vAlign w:val="center"/>
          </w:tcPr>
          <w:p w14:paraId="4F8167C8">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73.584</w:t>
            </w:r>
          </w:p>
        </w:tc>
        <w:tc>
          <w:tcPr>
            <w:tcW w:w="672" w:type="pct"/>
            <w:vAlign w:val="center"/>
          </w:tcPr>
          <w:p w14:paraId="3957ECF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+44.15</w:t>
            </w:r>
          </w:p>
        </w:tc>
      </w:tr>
      <w:tr w14:paraId="120DEB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743" w:type="pct"/>
            <w:gridSpan w:val="2"/>
            <w:vMerge w:val="continue"/>
            <w:vAlign w:val="center"/>
          </w:tcPr>
          <w:p w14:paraId="7458793C">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2510BDFF">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lang w:val="en-US" w:eastAsia="zh-CN" w:bidi="ar-SA"/>
              </w:rPr>
              <w:t>沉砂</w:t>
            </w:r>
          </w:p>
        </w:tc>
        <w:tc>
          <w:tcPr>
            <w:tcW w:w="572" w:type="pct"/>
            <w:vAlign w:val="center"/>
          </w:tcPr>
          <w:p w14:paraId="5F99226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19.71</w:t>
            </w:r>
          </w:p>
        </w:tc>
        <w:tc>
          <w:tcPr>
            <w:tcW w:w="668" w:type="pct"/>
            <w:vAlign w:val="center"/>
          </w:tcPr>
          <w:p w14:paraId="15B6894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29.565</w:t>
            </w:r>
          </w:p>
        </w:tc>
        <w:tc>
          <w:tcPr>
            <w:tcW w:w="801" w:type="pct"/>
            <w:vAlign w:val="center"/>
          </w:tcPr>
          <w:p w14:paraId="380D596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w:t>
            </w:r>
          </w:p>
        </w:tc>
        <w:tc>
          <w:tcPr>
            <w:tcW w:w="705" w:type="pct"/>
            <w:vAlign w:val="center"/>
          </w:tcPr>
          <w:p w14:paraId="531B56B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49.275</w:t>
            </w:r>
          </w:p>
        </w:tc>
        <w:tc>
          <w:tcPr>
            <w:tcW w:w="672" w:type="pct"/>
            <w:vAlign w:val="center"/>
          </w:tcPr>
          <w:p w14:paraId="2610D321">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+29.565</w:t>
            </w:r>
          </w:p>
        </w:tc>
      </w:tr>
      <w:tr w14:paraId="304DB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743" w:type="pct"/>
            <w:gridSpan w:val="2"/>
            <w:vMerge w:val="continue"/>
            <w:vAlign w:val="center"/>
          </w:tcPr>
          <w:p w14:paraId="5F31E8E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4FDE7A2C">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highlight w:val="none"/>
                <w:u w:val="none"/>
              </w:rPr>
            </w:pPr>
            <w:r>
              <w:rPr>
                <w:rFonts w:hint="default" w:ascii="Times New Roman" w:hAnsi="Times New Roman" w:eastAsia="宋体" w:cs="Times New Roman"/>
                <w:color w:val="auto"/>
                <w:kern w:val="2"/>
                <w:sz w:val="21"/>
                <w:szCs w:val="21"/>
                <w:highlight w:val="none"/>
                <w:lang w:val="en-US" w:eastAsia="zh-CN" w:bidi="ar-SA"/>
              </w:rPr>
              <w:t>污泥</w:t>
            </w:r>
          </w:p>
        </w:tc>
        <w:tc>
          <w:tcPr>
            <w:tcW w:w="572" w:type="pct"/>
            <w:vAlign w:val="center"/>
          </w:tcPr>
          <w:p w14:paraId="4FEFBA0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285.65</w:t>
            </w:r>
          </w:p>
        </w:tc>
        <w:tc>
          <w:tcPr>
            <w:tcW w:w="668" w:type="pct"/>
            <w:vAlign w:val="center"/>
          </w:tcPr>
          <w:p w14:paraId="34D72F56">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428.475</w:t>
            </w:r>
          </w:p>
        </w:tc>
        <w:tc>
          <w:tcPr>
            <w:tcW w:w="801" w:type="pct"/>
            <w:vAlign w:val="center"/>
          </w:tcPr>
          <w:p w14:paraId="6EFB46B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w:t>
            </w:r>
          </w:p>
        </w:tc>
        <w:tc>
          <w:tcPr>
            <w:tcW w:w="705" w:type="pct"/>
            <w:vAlign w:val="center"/>
          </w:tcPr>
          <w:p w14:paraId="3084FB45">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930.75</w:t>
            </w:r>
          </w:p>
        </w:tc>
        <w:tc>
          <w:tcPr>
            <w:tcW w:w="672" w:type="pct"/>
            <w:vAlign w:val="center"/>
          </w:tcPr>
          <w:p w14:paraId="1F6560BF">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eastAsia="zh-CN"/>
              </w:rPr>
            </w:pPr>
            <w:r>
              <w:rPr>
                <w:rFonts w:hint="default" w:ascii="Times New Roman" w:hAnsi="Times New Roman" w:eastAsia="宋体" w:cs="Times New Roman"/>
                <w:color w:val="auto"/>
                <w:kern w:val="2"/>
                <w:sz w:val="21"/>
                <w:szCs w:val="21"/>
                <w:highlight w:val="none"/>
                <w:u w:val="none"/>
                <w:lang w:val="en-US" w:eastAsia="zh-CN"/>
              </w:rPr>
              <w:t>+428.475</w:t>
            </w:r>
          </w:p>
        </w:tc>
      </w:tr>
      <w:tr w14:paraId="37CB8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743" w:type="pct"/>
            <w:gridSpan w:val="2"/>
            <w:vMerge w:val="continue"/>
            <w:vAlign w:val="center"/>
          </w:tcPr>
          <w:p w14:paraId="6457EA1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6A436C92">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highlight w:val="none"/>
                <w:u w:val="none"/>
              </w:rPr>
            </w:pPr>
            <w:r>
              <w:rPr>
                <w:rFonts w:hint="default" w:ascii="Times New Roman" w:hAnsi="Times New Roman" w:cs="Times New Roman"/>
                <w:color w:val="auto"/>
                <w:highlight w:val="none"/>
                <w:u w:val="none" w:color="auto"/>
                <w:lang w:val="en-US" w:eastAsia="zh-CN"/>
              </w:rPr>
              <w:t>废矿物油</w:t>
            </w:r>
          </w:p>
        </w:tc>
        <w:tc>
          <w:tcPr>
            <w:tcW w:w="572" w:type="pct"/>
            <w:vAlign w:val="center"/>
          </w:tcPr>
          <w:p w14:paraId="0D2E4654">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w:t>
            </w:r>
          </w:p>
        </w:tc>
        <w:tc>
          <w:tcPr>
            <w:tcW w:w="668" w:type="pct"/>
            <w:vAlign w:val="center"/>
          </w:tcPr>
          <w:p w14:paraId="34EABCFE">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highlight w:val="none"/>
                <w:u w:val="none" w:color="auto"/>
                <w:lang w:val="en-US" w:eastAsia="zh-CN"/>
              </w:rPr>
              <w:t>0.1</w:t>
            </w:r>
          </w:p>
        </w:tc>
        <w:tc>
          <w:tcPr>
            <w:tcW w:w="801" w:type="pct"/>
            <w:vAlign w:val="center"/>
          </w:tcPr>
          <w:p w14:paraId="25029680">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rPr>
              <w:t>/</w:t>
            </w:r>
          </w:p>
        </w:tc>
        <w:tc>
          <w:tcPr>
            <w:tcW w:w="705" w:type="pct"/>
            <w:vAlign w:val="center"/>
          </w:tcPr>
          <w:p w14:paraId="2F0E8DDC">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highlight w:val="none"/>
                <w:u w:val="none" w:color="auto"/>
                <w:lang w:val="en-US" w:eastAsia="zh-CN"/>
              </w:rPr>
              <w:t>0.1</w:t>
            </w:r>
          </w:p>
        </w:tc>
        <w:tc>
          <w:tcPr>
            <w:tcW w:w="672" w:type="pct"/>
            <w:vAlign w:val="center"/>
          </w:tcPr>
          <w:p w14:paraId="57E432AA">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highlight w:val="none"/>
                <w:u w:val="none" w:color="auto"/>
                <w:lang w:val="en-US" w:eastAsia="zh-CN"/>
              </w:rPr>
              <w:t>+0.1</w:t>
            </w:r>
          </w:p>
        </w:tc>
      </w:tr>
      <w:tr w14:paraId="703525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43" w:type="pct"/>
            <w:gridSpan w:val="2"/>
            <w:vMerge w:val="continue"/>
            <w:vAlign w:val="center"/>
          </w:tcPr>
          <w:p w14:paraId="4679733A">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460065A5">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highlight w:val="none"/>
                <w:u w:val="none"/>
              </w:rPr>
            </w:pPr>
            <w:r>
              <w:rPr>
                <w:rFonts w:hint="default" w:ascii="Times New Roman" w:hAnsi="Times New Roman" w:cs="Times New Roman"/>
                <w:color w:val="auto"/>
                <w:highlight w:val="none"/>
                <w:u w:val="none" w:color="auto"/>
                <w:lang w:val="en-US" w:eastAsia="zh-CN"/>
              </w:rPr>
              <w:t>废含油抹布及手套</w:t>
            </w:r>
          </w:p>
        </w:tc>
        <w:tc>
          <w:tcPr>
            <w:tcW w:w="572" w:type="pct"/>
            <w:vAlign w:val="center"/>
          </w:tcPr>
          <w:p w14:paraId="00E3404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w:t>
            </w:r>
          </w:p>
        </w:tc>
        <w:tc>
          <w:tcPr>
            <w:tcW w:w="668" w:type="pct"/>
            <w:vAlign w:val="center"/>
          </w:tcPr>
          <w:p w14:paraId="30CB687A">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highlight w:val="none"/>
                <w:u w:val="none" w:color="auto"/>
                <w:lang w:val="en-US" w:eastAsia="zh-CN"/>
              </w:rPr>
              <w:t>0.01</w:t>
            </w:r>
          </w:p>
        </w:tc>
        <w:tc>
          <w:tcPr>
            <w:tcW w:w="801" w:type="pct"/>
            <w:vAlign w:val="center"/>
          </w:tcPr>
          <w:p w14:paraId="3F10AC0E">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lang w:val="en-US" w:eastAsia="zh-CN"/>
              </w:rPr>
              <w:t>/</w:t>
            </w:r>
          </w:p>
        </w:tc>
        <w:tc>
          <w:tcPr>
            <w:tcW w:w="705" w:type="pct"/>
            <w:vAlign w:val="center"/>
          </w:tcPr>
          <w:p w14:paraId="11217414">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highlight w:val="none"/>
                <w:u w:val="none" w:color="auto"/>
                <w:lang w:val="en-US" w:eastAsia="zh-CN"/>
              </w:rPr>
              <w:t>0.01</w:t>
            </w:r>
          </w:p>
        </w:tc>
        <w:tc>
          <w:tcPr>
            <w:tcW w:w="672" w:type="pct"/>
            <w:vAlign w:val="center"/>
          </w:tcPr>
          <w:p w14:paraId="4C9A11C5">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highlight w:val="none"/>
                <w:u w:val="none" w:color="auto"/>
                <w:lang w:val="en-US" w:eastAsia="zh-CN"/>
              </w:rPr>
              <w:t>+0.01</w:t>
            </w:r>
          </w:p>
        </w:tc>
      </w:tr>
      <w:tr w14:paraId="2767E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743" w:type="pct"/>
            <w:gridSpan w:val="2"/>
            <w:vMerge w:val="continue"/>
            <w:vAlign w:val="center"/>
          </w:tcPr>
          <w:p w14:paraId="22E453D1">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p>
        </w:tc>
        <w:tc>
          <w:tcPr>
            <w:tcW w:w="835" w:type="pct"/>
            <w:vAlign w:val="center"/>
          </w:tcPr>
          <w:p w14:paraId="011DE681">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highlight w:val="none"/>
                <w:u w:val="none"/>
              </w:rPr>
            </w:pPr>
            <w:r>
              <w:rPr>
                <w:rFonts w:hint="default" w:ascii="Times New Roman" w:hAnsi="Times New Roman" w:cs="Times New Roman"/>
                <w:color w:val="auto"/>
                <w:highlight w:val="none"/>
                <w:u w:val="none" w:color="auto"/>
                <w:lang w:val="en-US" w:eastAsia="zh-CN"/>
              </w:rPr>
              <w:t>在线监测废液</w:t>
            </w:r>
          </w:p>
        </w:tc>
        <w:tc>
          <w:tcPr>
            <w:tcW w:w="572" w:type="pct"/>
            <w:vAlign w:val="center"/>
          </w:tcPr>
          <w:p w14:paraId="37DB0021">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0.96</w:t>
            </w:r>
          </w:p>
        </w:tc>
        <w:tc>
          <w:tcPr>
            <w:tcW w:w="668" w:type="pct"/>
            <w:vAlign w:val="center"/>
          </w:tcPr>
          <w:p w14:paraId="06C6560D">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1.44</w:t>
            </w:r>
          </w:p>
        </w:tc>
        <w:tc>
          <w:tcPr>
            <w:tcW w:w="801" w:type="pct"/>
            <w:vAlign w:val="center"/>
          </w:tcPr>
          <w:p w14:paraId="37BB423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kern w:val="2"/>
                <w:sz w:val="21"/>
                <w:szCs w:val="21"/>
                <w:highlight w:val="none"/>
                <w:u w:val="none"/>
                <w:lang w:val="en-US" w:eastAsia="zh-CN"/>
              </w:rPr>
              <w:t>/</w:t>
            </w:r>
          </w:p>
        </w:tc>
        <w:tc>
          <w:tcPr>
            <w:tcW w:w="705" w:type="pct"/>
            <w:vAlign w:val="center"/>
          </w:tcPr>
          <w:p w14:paraId="44950588">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highlight w:val="none"/>
                <w:u w:val="none" w:color="auto"/>
                <w:lang w:val="en-US" w:eastAsia="zh-CN"/>
              </w:rPr>
              <w:t>2.4</w:t>
            </w:r>
          </w:p>
        </w:tc>
        <w:tc>
          <w:tcPr>
            <w:tcW w:w="672" w:type="pct"/>
            <w:vAlign w:val="center"/>
          </w:tcPr>
          <w:p w14:paraId="0FECE99F">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+1.44</w:t>
            </w:r>
          </w:p>
        </w:tc>
      </w:tr>
      <w:tr w14:paraId="0DF8A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43" w:type="pct"/>
            <w:gridSpan w:val="2"/>
            <w:vMerge w:val="continue"/>
            <w:vAlign w:val="center"/>
          </w:tcPr>
          <w:p w14:paraId="4A71DAF8">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highlight w:val="none"/>
                <w:u w:val="none"/>
              </w:rPr>
            </w:pPr>
          </w:p>
        </w:tc>
        <w:tc>
          <w:tcPr>
            <w:tcW w:w="835" w:type="pct"/>
            <w:vAlign w:val="center"/>
          </w:tcPr>
          <w:p w14:paraId="6A925C7C">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化验室废液</w:t>
            </w:r>
          </w:p>
        </w:tc>
        <w:tc>
          <w:tcPr>
            <w:tcW w:w="572" w:type="pct"/>
            <w:vAlign w:val="center"/>
          </w:tcPr>
          <w:p w14:paraId="720907B8">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0.1</w:t>
            </w:r>
          </w:p>
        </w:tc>
        <w:tc>
          <w:tcPr>
            <w:tcW w:w="668" w:type="pct"/>
            <w:vAlign w:val="center"/>
          </w:tcPr>
          <w:p w14:paraId="648248F1">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0.3</w:t>
            </w:r>
          </w:p>
        </w:tc>
        <w:tc>
          <w:tcPr>
            <w:tcW w:w="801" w:type="pct"/>
            <w:vAlign w:val="center"/>
          </w:tcPr>
          <w:p w14:paraId="669040F8">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0.1</w:t>
            </w:r>
          </w:p>
        </w:tc>
        <w:tc>
          <w:tcPr>
            <w:tcW w:w="705" w:type="pct"/>
            <w:vAlign w:val="center"/>
          </w:tcPr>
          <w:p w14:paraId="71ECA34D">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highlight w:val="none"/>
                <w:u w:val="none" w:color="auto"/>
                <w:lang w:val="en-US" w:eastAsia="zh-CN"/>
              </w:rPr>
              <w:t>0.3</w:t>
            </w:r>
          </w:p>
        </w:tc>
        <w:tc>
          <w:tcPr>
            <w:tcW w:w="672" w:type="pct"/>
            <w:vAlign w:val="center"/>
          </w:tcPr>
          <w:p w14:paraId="054671EC">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+0.2</w:t>
            </w:r>
          </w:p>
        </w:tc>
      </w:tr>
      <w:tr w14:paraId="672588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743" w:type="pct"/>
            <w:gridSpan w:val="2"/>
            <w:vMerge w:val="continue"/>
            <w:vAlign w:val="center"/>
          </w:tcPr>
          <w:p w14:paraId="10267D2E">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highlight w:val="none"/>
                <w:u w:val="none"/>
              </w:rPr>
            </w:pPr>
          </w:p>
        </w:tc>
        <w:tc>
          <w:tcPr>
            <w:tcW w:w="835" w:type="pct"/>
            <w:vAlign w:val="center"/>
          </w:tcPr>
          <w:p w14:paraId="2C2D4F58">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沾染性废物</w:t>
            </w:r>
          </w:p>
        </w:tc>
        <w:tc>
          <w:tcPr>
            <w:tcW w:w="572" w:type="pct"/>
            <w:vAlign w:val="center"/>
          </w:tcPr>
          <w:p w14:paraId="569E5881">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0.05</w:t>
            </w:r>
          </w:p>
        </w:tc>
        <w:tc>
          <w:tcPr>
            <w:tcW w:w="668" w:type="pct"/>
            <w:vAlign w:val="center"/>
          </w:tcPr>
          <w:p w14:paraId="23C3BACD">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0.15</w:t>
            </w:r>
          </w:p>
        </w:tc>
        <w:tc>
          <w:tcPr>
            <w:tcW w:w="801" w:type="pct"/>
            <w:vAlign w:val="center"/>
          </w:tcPr>
          <w:p w14:paraId="68306D2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0.05</w:t>
            </w:r>
          </w:p>
        </w:tc>
        <w:tc>
          <w:tcPr>
            <w:tcW w:w="705" w:type="pct"/>
            <w:vAlign w:val="center"/>
          </w:tcPr>
          <w:p w14:paraId="2FA41313">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cs="Times New Roman"/>
                <w:color w:val="auto"/>
                <w:highlight w:val="none"/>
                <w:u w:val="none" w:color="auto"/>
                <w:lang w:val="en-US" w:eastAsia="zh-CN"/>
              </w:rPr>
              <w:t>0.15</w:t>
            </w:r>
          </w:p>
        </w:tc>
        <w:tc>
          <w:tcPr>
            <w:tcW w:w="672" w:type="pct"/>
            <w:vAlign w:val="center"/>
          </w:tcPr>
          <w:p w14:paraId="38D6A5EF">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u w:val="none"/>
                <w:lang w:val="en-US" w:eastAsia="zh-CN"/>
              </w:rPr>
              <w:t>+0.1</w:t>
            </w:r>
          </w:p>
        </w:tc>
      </w:tr>
    </w:tbl>
    <w:p w14:paraId="4E5B45BB">
      <w:pPr>
        <w:pStyle w:val="98"/>
        <w:rPr>
          <w:rFonts w:hint="default" w:ascii="Times New Roman" w:hAnsi="Times New Roman" w:cs="Times New Roman"/>
          <w:highlight w:val="none"/>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312" w:charSpace="0"/>
        </w:sectPr>
      </w:pPr>
    </w:p>
    <w:p w14:paraId="3D56E72F">
      <w:pPr>
        <w:pStyle w:val="2"/>
        <w:numPr>
          <w:ilvl w:val="0"/>
          <w:numId w:val="0"/>
        </w:numPr>
        <w:ind w:leftChars="0"/>
        <w:rPr>
          <w:rFonts w:hint="default" w:ascii="Times New Roman" w:hAnsi="Times New Roman" w:eastAsia="宋体" w:cs="Times New Roman"/>
          <w:color w:val="000000" w:themeColor="text1"/>
          <w:sz w:val="28"/>
          <w:highlight w:val="none"/>
          <w:u w:val="none" w:color="auto"/>
          <w:lang w:eastAsia="zh-CN"/>
          <w14:textFill>
            <w14:solidFill>
              <w14:schemeClr w14:val="tx1"/>
            </w14:solidFill>
          </w14:textFill>
        </w:rPr>
      </w:pPr>
      <w:bookmarkStart w:id="76" w:name="bookmark20"/>
      <w:bookmarkEnd w:id="76"/>
      <w:bookmarkStart w:id="77" w:name="_Toc18389"/>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4 </w:t>
      </w:r>
      <w:r>
        <w:rPr>
          <w:rFonts w:hint="default" w:ascii="Times New Roman" w:hAnsi="Times New Roman" w:cs="Times New Roman"/>
          <w:color w:val="000000" w:themeColor="text1"/>
          <w:highlight w:val="none"/>
          <w:u w:val="none" w:color="auto"/>
          <w:lang w:eastAsia="zh-CN"/>
          <w14:textFill>
            <w14:solidFill>
              <w14:schemeClr w14:val="tx1"/>
            </w14:solidFill>
          </w14:textFill>
        </w:rPr>
        <w:t>区域环境概况</w:t>
      </w:r>
      <w:bookmarkEnd w:id="77"/>
    </w:p>
    <w:p w14:paraId="759B5273">
      <w:pPr>
        <w:pStyle w:val="3"/>
        <w:numPr>
          <w:ilvl w:val="1"/>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bookmarkStart w:id="78" w:name="bookmark21"/>
      <w:bookmarkEnd w:id="78"/>
      <w:bookmarkStart w:id="79" w:name="_Toc5240"/>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4.1</w:t>
      </w:r>
      <w:r>
        <w:rPr>
          <w:rFonts w:hint="default" w:ascii="Times New Roman" w:hAnsi="Times New Roman" w:cs="Times New Roman"/>
          <w:color w:val="000000" w:themeColor="text1"/>
          <w:highlight w:val="none"/>
          <w:u w:val="none" w:color="auto"/>
          <w14:textFill>
            <w14:solidFill>
              <w14:schemeClr w14:val="tx1"/>
            </w14:solidFill>
          </w14:textFill>
        </w:rPr>
        <w:t>自然环境概况</w:t>
      </w:r>
      <w:bookmarkEnd w:id="79"/>
    </w:p>
    <w:p w14:paraId="28F49EAF">
      <w:pPr>
        <w:pStyle w:val="4"/>
        <w:numPr>
          <w:ilvl w:val="2"/>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bookmarkStart w:id="80" w:name="bookmark22"/>
      <w:bookmarkEnd w:id="80"/>
      <w:bookmarkStart w:id="81" w:name="_Toc7221"/>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4.1.1 </w:t>
      </w:r>
      <w:r>
        <w:rPr>
          <w:rFonts w:hint="default" w:ascii="Times New Roman" w:hAnsi="Times New Roman" w:cs="Times New Roman"/>
          <w:color w:val="000000" w:themeColor="text1"/>
          <w:highlight w:val="none"/>
          <w:u w:val="none" w:color="auto"/>
          <w14:textFill>
            <w14:solidFill>
              <w14:schemeClr w14:val="tx1"/>
            </w14:solidFill>
          </w14:textFill>
        </w:rPr>
        <w:t>地理位置</w:t>
      </w:r>
      <w:bookmarkEnd w:id="81"/>
    </w:p>
    <w:p w14:paraId="44EBA676">
      <w:pPr>
        <w:pStyle w:val="31"/>
        <w:autoSpaceDE/>
        <w:autoSpaceDN/>
        <w:adjustRightInd w:val="0"/>
        <w:snapToGrid w:val="0"/>
        <w:spacing w:before="0" w:line="360" w:lineRule="auto"/>
        <w:ind w:left="0" w:firstLine="480" w:firstLineChars="200"/>
        <w:jc w:val="both"/>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大通湖区隶属于湖南省益阳市，是益阳市下辖县级行政管理区（非民政部正式批准的县级行政区）。位于湖南省中北部，地理坐标为东经112°15′28″至112°42′02″，北纬29°01′19″至29°19′16″东邻漉湖，南与沅江市相连，西北与南县、华容县比邻。地形为典型的洞庭湖冲积平原，区内的湖泊、水面、沟渠纵横交错。区境属大陆性季风湿润气候区。地势低洼平坦，地面</w:t>
      </w:r>
      <w:r>
        <w:rPr>
          <w:rFonts w:hint="default" w:ascii="Times New Roman" w:hAnsi="Times New Roman" w:cs="Times New Roman"/>
          <w:color w:val="auto"/>
          <w:sz w:val="24"/>
          <w:szCs w:val="24"/>
          <w:highlight w:val="none"/>
          <w:u w:val="none" w:color="auto"/>
          <w:lang w:eastAsia="zh-CN"/>
        </w:rPr>
        <w:t>海拔</w:t>
      </w:r>
      <w:r>
        <w:rPr>
          <w:rFonts w:hint="default" w:ascii="Times New Roman" w:hAnsi="Times New Roman" w:cs="Times New Roman"/>
          <w:color w:val="auto"/>
          <w:sz w:val="24"/>
          <w:szCs w:val="24"/>
          <w:highlight w:val="none"/>
          <w:u w:val="none" w:color="auto"/>
        </w:rPr>
        <w:t>高程24~32米之间。辖4镇1个办事处，总面积384平方公里。</w:t>
      </w:r>
    </w:p>
    <w:p w14:paraId="7214E89F">
      <w:pPr>
        <w:pStyle w:val="31"/>
        <w:autoSpaceDE/>
        <w:autoSpaceDN/>
        <w:adjustRightInd w:val="0"/>
        <w:snapToGrid w:val="0"/>
        <w:spacing w:before="0" w:line="360" w:lineRule="auto"/>
        <w:ind w:left="0" w:firstLine="480" w:firstLineChars="200"/>
        <w:jc w:val="both"/>
        <w:rPr>
          <w:rFonts w:hint="default" w:ascii="Times New Roman" w:hAnsi="Times New Roman" w:cs="Times New Roman"/>
          <w:snapToGrid w:val="0"/>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snapToGrid w:val="0"/>
          <w:color w:val="000000" w:themeColor="text1"/>
          <w:highlight w:val="none"/>
          <w:u w:val="none" w:color="auto"/>
          <w:lang w:val="en-US" w:eastAsia="zh-CN"/>
          <w14:textFill>
            <w14:solidFill>
              <w14:schemeClr w14:val="tx1"/>
            </w14:solidFill>
          </w14:textFill>
        </w:rPr>
        <w:t>项目建设地点位于</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大通湖区工业园内机排二十渠旁</w:t>
      </w:r>
      <w:r>
        <w:rPr>
          <w:rFonts w:hint="default" w:ascii="Times New Roman" w:hAnsi="Times New Roman" w:cs="Times New Roman"/>
          <w:snapToGrid w:val="0"/>
          <w:color w:val="000000" w:themeColor="text1"/>
          <w:highlight w:val="none"/>
          <w:u w:val="none" w:color="auto"/>
          <w:lang w:val="en-US" w:eastAsia="zh-CN"/>
          <w14:textFill>
            <w14:solidFill>
              <w14:schemeClr w14:val="tx1"/>
            </w14:solidFill>
          </w14:textFill>
        </w:rPr>
        <w:t>，地理经纬度为E112°36′52.53151″，N29°11′0.79100″，项目地理位置图详见附图。</w:t>
      </w:r>
    </w:p>
    <w:p w14:paraId="23C1958F">
      <w:pPr>
        <w:pStyle w:val="31"/>
        <w:autoSpaceDE/>
        <w:autoSpaceDN/>
        <w:adjustRightInd w:val="0"/>
        <w:snapToGrid w:val="0"/>
        <w:spacing w:before="0" w:line="360" w:lineRule="auto"/>
        <w:ind w:left="0" w:firstLine="480" w:firstLineChars="20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3897630" cy="3008630"/>
            <wp:effectExtent l="0" t="0" r="762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3897630" cy="3008630"/>
                    </a:xfrm>
                    <a:prstGeom prst="rect">
                      <a:avLst/>
                    </a:prstGeom>
                    <a:noFill/>
                    <a:ln>
                      <a:noFill/>
                    </a:ln>
                  </pic:spPr>
                </pic:pic>
              </a:graphicData>
            </a:graphic>
          </wp:inline>
        </w:drawing>
      </w:r>
    </w:p>
    <w:p w14:paraId="3EA998ED">
      <w:pPr>
        <w:pStyle w:val="31"/>
        <w:autoSpaceDE/>
        <w:autoSpaceDN/>
        <w:adjustRightInd w:val="0"/>
        <w:snapToGrid w:val="0"/>
        <w:spacing w:before="0" w:line="360" w:lineRule="auto"/>
        <w:ind w:left="0" w:firstLine="482" w:firstLineChars="200"/>
        <w:jc w:val="center"/>
        <w:rPr>
          <w:rFonts w:hint="default" w:ascii="Times New Roman" w:hAnsi="Times New Roman" w:eastAsia="宋体" w:cs="Times New Roman"/>
          <w:b/>
          <w:bCs/>
          <w:snapToGrid w:val="0"/>
          <w:color w:val="auto"/>
          <w:highlight w:val="none"/>
          <w:u w:val="none" w:color="auto"/>
          <w:lang w:val="en-US" w:eastAsia="zh-CN"/>
        </w:rPr>
      </w:pPr>
      <w:r>
        <w:rPr>
          <w:rFonts w:hint="default" w:ascii="Times New Roman" w:hAnsi="Times New Roman" w:cs="Times New Roman"/>
          <w:b/>
          <w:bCs/>
          <w:color w:val="auto"/>
          <w:highlight w:val="none"/>
          <w:lang w:val="en-US" w:eastAsia="zh-CN"/>
        </w:rPr>
        <w:t>图4.1-1大通湖区位图</w:t>
      </w:r>
    </w:p>
    <w:p w14:paraId="1D2F22D5">
      <w:pPr>
        <w:pStyle w:val="4"/>
        <w:numPr>
          <w:ilvl w:val="2"/>
          <w:numId w:val="0"/>
        </w:numPr>
        <w:ind w:left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bookmarkStart w:id="82" w:name="_Toc13147"/>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4.1.2 </w:t>
      </w:r>
      <w:bookmarkEnd w:id="82"/>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气候条件</w:t>
      </w:r>
    </w:p>
    <w:p w14:paraId="7A936184">
      <w:pPr>
        <w:adjustRightInd/>
        <w:spacing w:line="360" w:lineRule="auto"/>
        <w:ind w:firstLine="480" w:firstLineChars="200"/>
        <w:jc w:val="left"/>
        <w:rPr>
          <w:rFonts w:hint="default" w:ascii="Times New Roman" w:hAnsi="Times New Roman" w:eastAsia="宋体" w:cs="Times New Roman"/>
          <w:snapToGrid w:val="0"/>
          <w:color w:val="000000"/>
          <w:sz w:val="24"/>
          <w:szCs w:val="24"/>
          <w:highlight w:val="none"/>
          <w:u w:val="none" w:color="auto"/>
          <w:lang w:val="en-US" w:eastAsia="zh-CN" w:bidi="zh-CN"/>
        </w:rPr>
      </w:pPr>
      <w:r>
        <w:rPr>
          <w:rFonts w:hint="default" w:ascii="Times New Roman" w:hAnsi="Times New Roman" w:eastAsia="宋体" w:cs="Times New Roman"/>
          <w:snapToGrid w:val="0"/>
          <w:color w:val="000000"/>
          <w:sz w:val="24"/>
          <w:szCs w:val="24"/>
          <w:highlight w:val="none"/>
          <w:u w:val="none" w:color="auto"/>
          <w:lang w:val="en-US" w:eastAsia="zh-CN" w:bidi="zh-CN"/>
        </w:rPr>
        <w:t>益阳市境属亚热带大陆性季风湿润气候，境内阳光充足，雨量充沛，气候温和，具有气温总体偏高、冬暖夏凉明显、降水年年偏丰、7 月多雨成灾、日照普遍偏少，春寒阴雨突出等特征。年平均气温 16.1℃-16.9℃，日照 1348 小时-1772小时，无霜期 263 天-276 天，降雨量 1230 毫米-1700 毫米，适合鱼类的生存繁殖。</w:t>
      </w:r>
    </w:p>
    <w:p w14:paraId="353CF077">
      <w:pPr>
        <w:adjustRightInd/>
        <w:spacing w:line="360" w:lineRule="auto"/>
        <w:ind w:firstLine="480" w:firstLineChars="200"/>
        <w:jc w:val="both"/>
        <w:rPr>
          <w:rFonts w:hint="default" w:ascii="Times New Roman" w:hAnsi="Times New Roman" w:eastAsia="宋体" w:cs="Times New Roman"/>
          <w:snapToGrid w:val="0"/>
          <w:color w:val="000000"/>
          <w:sz w:val="24"/>
          <w:szCs w:val="24"/>
          <w:highlight w:val="none"/>
          <w:u w:val="none" w:color="auto"/>
          <w:lang w:val="en-US" w:eastAsia="zh-CN" w:bidi="zh-CN"/>
        </w:rPr>
      </w:pPr>
      <w:r>
        <w:rPr>
          <w:rFonts w:hint="default" w:ascii="Times New Roman" w:hAnsi="Times New Roman" w:eastAsia="宋体" w:cs="Times New Roman"/>
          <w:snapToGrid w:val="0"/>
          <w:color w:val="000000"/>
          <w:sz w:val="24"/>
          <w:szCs w:val="24"/>
          <w:highlight w:val="none"/>
          <w:u w:val="none" w:color="auto"/>
          <w:lang w:val="en-US" w:eastAsia="zh-CN" w:bidi="zh-CN"/>
        </w:rPr>
        <w:t xml:space="preserve">各区（市）县累年（1986~2000 年，下同）平均气温比 1986 年前（1955~1985年，下同）升高 0.06~0.35℃，湖区比山丘区升高较多。气温变化的另一特点是冬季气温升高而夏季气温降低，时有“冬暖夏凉”现象。12 月至 2 月，平均气温升高0.7~1.0℃，湖区升高较多；6 月至 8 月，平均气温下降 0.2~0.5℃，桃江下降最多。相应累年平均气温年较差减少 0.8~1.3℃，气温日较差亦减少 0.1~0.4℃；日最低气温小于、等于 0℃的日数减少 8~11 天，积雪日数减少 3~5 天，霜日减少3~8 天；土壤冻结除南县于 1988、1989 年出现过 0~2 厘米深的冻土外，其他县市区均未有出现。 </w:t>
      </w:r>
    </w:p>
    <w:p w14:paraId="43711B5B">
      <w:pPr>
        <w:adjustRightInd/>
        <w:spacing w:line="360" w:lineRule="auto"/>
        <w:ind w:firstLine="480" w:firstLineChars="200"/>
        <w:jc w:val="both"/>
        <w:rPr>
          <w:rFonts w:hint="default" w:ascii="Times New Roman" w:hAnsi="Times New Roman" w:eastAsia="宋体" w:cs="Times New Roman"/>
          <w:snapToGrid w:val="0"/>
          <w:color w:val="000000"/>
          <w:sz w:val="24"/>
          <w:szCs w:val="24"/>
          <w:highlight w:val="none"/>
          <w:u w:val="none" w:color="auto"/>
          <w:lang w:val="en-US" w:eastAsia="zh-CN" w:bidi="zh-CN"/>
        </w:rPr>
      </w:pPr>
      <w:r>
        <w:rPr>
          <w:rFonts w:hint="default" w:ascii="Times New Roman" w:hAnsi="Times New Roman" w:eastAsia="宋体" w:cs="Times New Roman"/>
          <w:snapToGrid w:val="0"/>
          <w:color w:val="000000"/>
          <w:sz w:val="24"/>
          <w:szCs w:val="24"/>
          <w:highlight w:val="none"/>
          <w:u w:val="none" w:color="auto"/>
          <w:lang w:val="en-US" w:eastAsia="zh-CN" w:bidi="zh-CN"/>
        </w:rPr>
        <w:t>累年平均年降水量各地增加 80.2~175.8 毫米，增幅为 6%~11%，南县增加最少，赫山增加最多。其中 7 月降水量增加 83.2~120.2 毫米，增幅达 50%~121%，由少雨多旱变得多雨少旱，间有洪涝发生。5 月份降水量却减少 6.8~61.3 毫米，减幅为 4%~23%。降水强度增大，年暴雨日数增加 0.5~2.2 日；大暴雨日数除南县外，增加 0.2~1.1 日，安化增加 5 倍。特大暴雨日数，前 30 年全市共出现 6 天，而后 15 年出现 7 天。降水总量增加，但年际变化大，分布不均，安化、赫山等地最多年比最少年多近一倍。</w:t>
      </w:r>
    </w:p>
    <w:p w14:paraId="510F9265">
      <w:pPr>
        <w:adjustRightInd/>
        <w:spacing w:line="360" w:lineRule="auto"/>
        <w:ind w:firstLine="480" w:firstLineChars="200"/>
        <w:jc w:val="both"/>
        <w:rPr>
          <w:rFonts w:hint="default" w:ascii="Times New Roman" w:hAnsi="Times New Roman" w:eastAsia="宋体" w:cs="Times New Roman"/>
          <w:color w:val="000000"/>
          <w:sz w:val="28"/>
          <w:szCs w:val="28"/>
          <w:highlight w:val="none"/>
          <w:u w:val="none" w:color="auto"/>
          <w:lang w:val="zh-CN" w:bidi="zh-CN"/>
        </w:rPr>
      </w:pPr>
      <w:r>
        <w:rPr>
          <w:rFonts w:hint="default" w:ascii="Times New Roman" w:hAnsi="Times New Roman" w:eastAsia="宋体" w:cs="Times New Roman"/>
          <w:snapToGrid w:val="0"/>
          <w:color w:val="000000"/>
          <w:sz w:val="24"/>
          <w:szCs w:val="24"/>
          <w:highlight w:val="none"/>
          <w:u w:val="none" w:color="auto"/>
          <w:lang w:val="en-US" w:eastAsia="zh-CN" w:bidi="zh-CN"/>
        </w:rPr>
        <w:t>各区县（市）累年平均年日照时数减少 44~231 小时，日照百分率减少 1%~6%，安化减得少，南县减得多。年太阳总辐射量相应减少 2.75 千卡/平方厘米至 8.90千卡/平方厘米，减幅为 4%~8%，益阳、桃江、南县减少最多。日平均气温稳定通过 10℃期间的日照时数减少 48~185 小时，占全年减少量的 71%~78%，即在农作物生长期间日照减少尤为明显。</w:t>
      </w:r>
      <w:bookmarkStart w:id="83" w:name="_Hlk65053068"/>
    </w:p>
    <w:bookmarkEnd w:id="83"/>
    <w:p w14:paraId="63DC2E6E">
      <w:pPr>
        <w:pStyle w:val="95"/>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left"/>
        <w:textAlignment w:val="auto"/>
        <w:outlineLvl w:val="2"/>
        <w:rPr>
          <w:rFonts w:hint="default" w:ascii="Times New Roman" w:hAnsi="Times New Roman" w:eastAsia="宋体" w:cs="Times New Roman"/>
          <w:b/>
          <w:bCs/>
          <w:color w:val="000000" w:themeColor="text1"/>
          <w:sz w:val="28"/>
          <w:szCs w:val="28"/>
          <w:highlight w:val="none"/>
          <w:u w:val="none" w:color="auto"/>
          <w:lang w:val="en-US" w:eastAsia="zh-CN"/>
          <w14:textFill>
            <w14:solidFill>
              <w14:schemeClr w14:val="tx1"/>
            </w14:solidFill>
          </w14:textFill>
        </w:rPr>
      </w:pPr>
      <w:bookmarkStart w:id="84" w:name="_Toc19670"/>
      <w:r>
        <w:rPr>
          <w:rFonts w:hint="default" w:ascii="Times New Roman" w:hAnsi="Times New Roman" w:eastAsia="宋体" w:cs="Times New Roman"/>
          <w:b/>
          <w:bCs/>
          <w:color w:val="000000" w:themeColor="text1"/>
          <w:sz w:val="28"/>
          <w:szCs w:val="28"/>
          <w:highlight w:val="none"/>
          <w:u w:val="none" w:color="auto"/>
          <w:lang w:val="en-US" w:eastAsia="zh-CN"/>
          <w14:textFill>
            <w14:solidFill>
              <w14:schemeClr w14:val="tx1"/>
            </w14:solidFill>
          </w14:textFill>
        </w:rPr>
        <w:t xml:space="preserve">4.1.3 </w:t>
      </w:r>
      <w:r>
        <w:rPr>
          <w:rFonts w:hint="default" w:ascii="Times New Roman" w:hAnsi="Times New Roman" w:cs="Times New Roman"/>
          <w:b/>
          <w:bCs/>
          <w:color w:val="000000" w:themeColor="text1"/>
          <w:sz w:val="28"/>
          <w:szCs w:val="28"/>
          <w:highlight w:val="none"/>
          <w:u w:val="none" w:color="auto"/>
          <w:lang w:val="en-US" w:eastAsia="zh-CN"/>
          <w14:textFill>
            <w14:solidFill>
              <w14:schemeClr w14:val="tx1"/>
            </w14:solidFill>
          </w14:textFill>
        </w:rPr>
        <w:t>水资源</w:t>
      </w:r>
    </w:p>
    <w:p w14:paraId="07FDCA2F">
      <w:pPr>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u w:val="none" w:color="auto"/>
          <w:lang w:val="en-US" w:eastAsia="zh-CN" w:bidi="ar-SA"/>
        </w:rPr>
      </w:pPr>
      <w:r>
        <w:rPr>
          <w:rFonts w:hint="default" w:ascii="Times New Roman" w:hAnsi="Times New Roman" w:eastAsia="宋体" w:cs="Times New Roman"/>
          <w:color w:val="000000"/>
          <w:sz w:val="24"/>
          <w:szCs w:val="24"/>
          <w:highlight w:val="none"/>
          <w:u w:val="none" w:color="auto"/>
          <w:lang w:val="en-US" w:eastAsia="zh-CN" w:bidi="ar-SA"/>
        </w:rPr>
        <w:t>益阳水资源丰富。山丘区有资江南北贯通，平原地带河网纵横、湖泊棋布，水路经洞庭湖外通长江，内联湘、资、沅、澧水道，向有灌溉、航行之利。全市水资源总量为 277亿立方米，其中年均地表径流量约为91亿立方米，平均每亩耕地拥有水量1770 多立方米。</w:t>
      </w:r>
    </w:p>
    <w:p w14:paraId="7C349829">
      <w:pPr>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u w:val="none" w:color="auto"/>
          <w:lang w:val="en-US" w:eastAsia="zh-CN" w:bidi="ar-SA"/>
        </w:rPr>
      </w:pPr>
      <w:r>
        <w:rPr>
          <w:rFonts w:hint="default" w:ascii="Times New Roman" w:hAnsi="Times New Roman" w:eastAsia="宋体" w:cs="Times New Roman"/>
          <w:color w:val="000000"/>
          <w:sz w:val="24"/>
          <w:szCs w:val="24"/>
          <w:highlight w:val="none"/>
          <w:u w:val="none" w:color="auto"/>
          <w:lang w:val="en-US" w:eastAsia="zh-CN" w:bidi="ar-SA"/>
        </w:rPr>
        <w:t>大通湖区东临东洞庭湖，与之交界的防洪大堤北超向东闸，南至五门闸，全长10350 米，其中河坝堤段3100米，北洲子堤段2400米，金盆堤段2650米，千山红堤段2200米；大通湖内湖是沿湖各乡镇最大的调蓄湖，现有大湖水面82.67平方千米（12.4万亩），湖底海拔高程23.7-25米，夏秋季水深3-5米，冬春季1-3米。</w:t>
      </w:r>
    </w:p>
    <w:p w14:paraId="55115721">
      <w:pPr>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u w:val="none" w:color="auto"/>
          <w:lang w:val="en-US" w:eastAsia="zh-CN" w:bidi="ar-SA"/>
        </w:rPr>
      </w:pPr>
      <w:r>
        <w:rPr>
          <w:rFonts w:hint="default" w:ascii="Times New Roman" w:hAnsi="Times New Roman" w:eastAsia="宋体" w:cs="Times New Roman"/>
          <w:color w:val="000000"/>
          <w:sz w:val="24"/>
          <w:szCs w:val="24"/>
          <w:highlight w:val="none"/>
          <w:u w:val="none" w:color="auto"/>
          <w:lang w:val="en-US" w:eastAsia="zh-CN" w:bidi="ar-SA"/>
        </w:rPr>
        <w:t>（1）大通湖流域</w:t>
      </w:r>
    </w:p>
    <w:p w14:paraId="6D6B1F30">
      <w:pPr>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u w:val="none" w:color="auto"/>
          <w:lang w:val="en-US" w:eastAsia="zh-CN" w:bidi="ar-SA"/>
        </w:rPr>
      </w:pPr>
      <w:r>
        <w:rPr>
          <w:rFonts w:hint="default" w:ascii="Times New Roman" w:hAnsi="Times New Roman" w:eastAsia="宋体" w:cs="Times New Roman"/>
          <w:color w:val="000000"/>
          <w:sz w:val="24"/>
          <w:szCs w:val="24"/>
          <w:highlight w:val="none"/>
          <w:u w:val="none" w:color="auto"/>
          <w:lang w:val="en-US" w:eastAsia="zh-CN" w:bidi="ar-SA"/>
        </w:rPr>
        <w:t>大通湖流域内沟渠密布，水系四通八达，主要入湖河流有4条，即大新河、老河（老三运河与右四兴河交汇入湖段）、五七运河和苏河。流域内又有四兴河、塞阳运河、金盆河等与入湖河流相连，其余大小沟渠与周边河流相连，最终通入大通湖。大通湖来水主要为流域内降雨，排水通过位于金盆河口的五门闸及大东口电排、明山电排实现向漉湖和洞庭湖泄洪。流域内河流沟渠水系长度总计约为546km，河网密度为0.82km/km</w:t>
      </w:r>
      <w:r>
        <w:rPr>
          <w:rFonts w:hint="default" w:ascii="Times New Roman" w:hAnsi="Times New Roman" w:eastAsia="宋体" w:cs="Times New Roman"/>
          <w:color w:val="000000"/>
          <w:sz w:val="24"/>
          <w:szCs w:val="24"/>
          <w:highlight w:val="none"/>
          <w:u w:val="none" w:color="auto"/>
          <w:vertAlign w:val="superscript"/>
          <w:lang w:val="en-US" w:eastAsia="zh-CN" w:bidi="ar-SA"/>
        </w:rPr>
        <w:t>2</w:t>
      </w:r>
      <w:r>
        <w:rPr>
          <w:rFonts w:hint="default" w:ascii="Times New Roman" w:hAnsi="Times New Roman" w:eastAsia="宋体" w:cs="Times New Roman"/>
          <w:color w:val="000000"/>
          <w:sz w:val="24"/>
          <w:szCs w:val="24"/>
          <w:highlight w:val="none"/>
          <w:u w:val="none" w:color="auto"/>
          <w:lang w:val="en-US" w:eastAsia="zh-CN" w:bidi="ar-SA"/>
        </w:rPr>
        <w:t>。大通湖流域外围水系由藕池河东支、沱江、胡子口河草尾河组成：垸内水系由大通湖、瓦岗湖和老苏河、大新河、右四兴河、五七运河、老三运河、塞阳运河、金盆河、四兴河等纵横交错的通湖河道组成。</w:t>
      </w:r>
    </w:p>
    <w:p w14:paraId="3E545E1F">
      <w:pPr>
        <w:numPr>
          <w:ilvl w:val="0"/>
          <w:numId w:val="0"/>
        </w:numPr>
        <w:adjustRightInd w:val="0"/>
        <w:snapToGrid w:val="0"/>
        <w:spacing w:line="360" w:lineRule="auto"/>
        <w:ind w:left="0" w:leftChars="0" w:firstLine="480" w:firstLineChars="200"/>
        <w:jc w:val="both"/>
        <w:rPr>
          <w:rFonts w:hint="default" w:ascii="Times New Roman" w:hAnsi="Times New Roman" w:eastAsia="宋体" w:cs="Times New Roman"/>
          <w:color w:val="000000"/>
          <w:sz w:val="24"/>
          <w:szCs w:val="24"/>
          <w:highlight w:val="none"/>
          <w:u w:val="none" w:color="auto"/>
          <w:lang w:val="en-US" w:eastAsia="zh-CN" w:bidi="ar-SA"/>
        </w:rPr>
      </w:pPr>
      <w:r>
        <w:rPr>
          <w:rFonts w:hint="default" w:ascii="Times New Roman" w:hAnsi="Times New Roman" w:eastAsia="宋体" w:cs="Times New Roman"/>
          <w:color w:val="000000"/>
          <w:sz w:val="24"/>
          <w:szCs w:val="24"/>
          <w:highlight w:val="none"/>
          <w:u w:color="auto"/>
          <w:lang w:val="en-US" w:eastAsia="zh-CN" w:bidi="ar-SA"/>
        </w:rPr>
        <w:t>（2）</w:t>
      </w:r>
      <w:r>
        <w:rPr>
          <w:rFonts w:hint="default" w:ascii="Times New Roman" w:hAnsi="Times New Roman" w:eastAsia="宋体" w:cs="Times New Roman"/>
          <w:color w:val="000000"/>
          <w:sz w:val="24"/>
          <w:szCs w:val="24"/>
          <w:highlight w:val="none"/>
          <w:u w:val="none" w:color="auto"/>
          <w:lang w:val="en-US" w:eastAsia="zh-CN" w:bidi="ar-SA"/>
        </w:rPr>
        <w:t>老三运河</w:t>
      </w:r>
    </w:p>
    <w:p w14:paraId="206A6738">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u w:val="none" w:color="auto"/>
          <w:lang w:val="en-US" w:eastAsia="zh-CN" w:bidi="ar-SA"/>
        </w:rPr>
      </w:pPr>
      <w:r>
        <w:rPr>
          <w:rFonts w:hint="default" w:ascii="Times New Roman" w:hAnsi="Times New Roman" w:eastAsia="宋体" w:cs="Times New Roman"/>
          <w:color w:val="000000"/>
          <w:sz w:val="24"/>
          <w:szCs w:val="24"/>
          <w:highlight w:val="none"/>
          <w:u w:val="none" w:color="auto"/>
          <w:lang w:val="en-US" w:eastAsia="zh-CN" w:bidi="ar-SA"/>
        </w:rPr>
        <w:t>老三运河起于大通湖区河坝镇镇区，于河坝镇老河口村汇入右四兴河，流经大通湖区河坝镇三财垸村、河心洲村、老河口村、芸洲子村、芸美村共五个村及银海社区、金山社区两个社区，全长7.8km，干流平均坡降0.5‰，多年平均年径流量0.14 亿m</w:t>
      </w:r>
      <w:r>
        <w:rPr>
          <w:rFonts w:hint="default" w:ascii="Times New Roman" w:hAnsi="Times New Roman" w:eastAsia="宋体" w:cs="Times New Roman"/>
          <w:color w:val="000000"/>
          <w:sz w:val="24"/>
          <w:szCs w:val="24"/>
          <w:highlight w:val="none"/>
          <w:u w:val="none" w:color="auto"/>
          <w:vertAlign w:val="superscript"/>
          <w:lang w:val="en-US" w:eastAsia="zh-CN" w:bidi="ar-SA"/>
        </w:rPr>
        <w:t>3</w:t>
      </w:r>
      <w:r>
        <w:rPr>
          <w:rFonts w:hint="default" w:ascii="Times New Roman" w:hAnsi="Times New Roman" w:eastAsia="宋体" w:cs="Times New Roman"/>
          <w:color w:val="000000"/>
          <w:sz w:val="24"/>
          <w:szCs w:val="24"/>
          <w:highlight w:val="none"/>
          <w:u w:val="none" w:color="auto"/>
          <w:lang w:val="en-US" w:eastAsia="zh-CN" w:bidi="ar-SA"/>
        </w:rPr>
        <w:t>，多年平均流量0.44m</w:t>
      </w:r>
      <w:r>
        <w:rPr>
          <w:rFonts w:hint="default" w:ascii="Times New Roman" w:hAnsi="Times New Roman" w:eastAsia="宋体" w:cs="Times New Roman"/>
          <w:color w:val="000000"/>
          <w:sz w:val="24"/>
          <w:szCs w:val="24"/>
          <w:highlight w:val="none"/>
          <w:u w:val="none" w:color="auto"/>
          <w:vertAlign w:val="superscript"/>
          <w:lang w:val="en-US" w:eastAsia="zh-CN" w:bidi="ar-SA"/>
        </w:rPr>
        <w:t>3</w:t>
      </w:r>
      <w:r>
        <w:rPr>
          <w:rFonts w:hint="default" w:ascii="Times New Roman" w:hAnsi="Times New Roman" w:eastAsia="宋体" w:cs="Times New Roman"/>
          <w:color w:val="000000"/>
          <w:sz w:val="24"/>
          <w:szCs w:val="24"/>
          <w:highlight w:val="none"/>
          <w:u w:val="none" w:color="auto"/>
          <w:lang w:val="en-US" w:eastAsia="zh-CN" w:bidi="ar-SA"/>
        </w:rPr>
        <w:t>/s。老三运河为大通湖河坝镇的唯一水运道，东西走向，东起胡子口隔堤，西至塞阳运河大通湖连接道，全长7.8公里，目前河道宽度在30～45米之间。</w:t>
      </w:r>
    </w:p>
    <w:p w14:paraId="36078CAF">
      <w:pPr>
        <w:pStyle w:val="4"/>
        <w:numPr>
          <w:ilvl w:val="2"/>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4.1.4</w:t>
      </w:r>
      <w:bookmarkEnd w:id="84"/>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 地形、地质、地貌</w:t>
      </w:r>
      <w:r>
        <w:rPr>
          <w:rFonts w:hint="default" w:ascii="Times New Roman" w:hAnsi="Times New Roman" w:cs="Times New Roman"/>
          <w:color w:val="000000" w:themeColor="text1"/>
          <w:highlight w:val="none"/>
          <w:u w:val="none" w:color="auto"/>
          <w14:textFill>
            <w14:solidFill>
              <w14:schemeClr w14:val="tx1"/>
            </w14:solidFill>
          </w14:textFill>
        </w:rPr>
        <w:t xml:space="preserve"> </w:t>
      </w:r>
    </w:p>
    <w:p w14:paraId="713ECC90">
      <w:pPr>
        <w:widowControl w:val="0"/>
        <w:autoSpaceDE/>
        <w:autoSpaceDN/>
        <w:adjustRightInd w:val="0"/>
        <w:snapToGrid w:val="0"/>
        <w:spacing w:before="0" w:line="360" w:lineRule="auto"/>
        <w:ind w:left="0" w:firstLine="480" w:firstLineChars="200"/>
        <w:jc w:val="both"/>
        <w:rPr>
          <w:rFonts w:hint="default" w:ascii="Times New Roman" w:hAnsi="Times New Roman" w:cs="Times New Roman"/>
          <w:highlight w:val="none"/>
          <w:lang w:val="en-US" w:eastAsia="zh-CN"/>
        </w:rPr>
      </w:pPr>
      <w:bookmarkStart w:id="85" w:name="_Toc66206072"/>
      <w:bookmarkStart w:id="86" w:name="_Toc3725"/>
      <w:bookmarkStart w:id="87" w:name="_Toc69284598"/>
      <w:bookmarkStart w:id="88" w:name="_Toc82593146"/>
      <w:r>
        <w:rPr>
          <w:rFonts w:hint="default" w:ascii="Times New Roman" w:hAnsi="Times New Roman" w:eastAsia="宋体" w:cs="Times New Roman"/>
          <w:snapToGrid w:val="0"/>
          <w:color w:val="000000"/>
          <w:sz w:val="24"/>
          <w:szCs w:val="24"/>
          <w:highlight w:val="none"/>
          <w:u w:val="none" w:color="auto"/>
          <w:lang w:val="en-US" w:eastAsia="zh-CN" w:bidi="zh-CN"/>
        </w:rPr>
        <w:t>项目区地形为典型的洞庭湖冲积平原，地形平坦，区内水面、沟渠纵横交错。流域内地势北高南低，较平缓，地面高程大致在23.30m-32.30m之间，平均高程为26m，其中高程为20-30m区域面积占97.41%，为滨湖冲积平原，流域北部和西部边缘以及明山头镇少量区域高程达30-40m，为江河冲积平原，所占面积比为2.56%，北部分布极少量溪谷冲积平原及岗地，所占面积比为0.03%。流域位于洞庭湖“沅江凹陷”区内，地处目平湖凸起之东北翼，属古洞庭湖沉积，地质构造为第四系全新世河流冲积湖积地层，沉积环境较复杂，欠规律性，层次较紊乱，形成地层结构的复杂性，主要为淤泥质亚粘土，褐黄色粉土，砂砾，砂卵石层。根据《中国地震烈度区划图（1990）》，大通湖区属于地震烈度为六度区。</w:t>
      </w:r>
    </w:p>
    <w:p w14:paraId="6C65271A">
      <w:pPr>
        <w:pStyle w:val="439"/>
        <w:numPr>
          <w:ilvl w:val="2"/>
          <w:numId w:val="0"/>
        </w:numPr>
        <w:rPr>
          <w:rFonts w:hint="default" w:ascii="Times New Roman" w:hAnsi="Times New Roman" w:eastAsia="宋体" w:cs="Times New Roman"/>
          <w:b/>
          <w:bCs/>
          <w:color w:val="000000" w:themeColor="text1"/>
          <w:kern w:val="0"/>
          <w:sz w:val="28"/>
          <w:szCs w:val="32"/>
          <w:highlight w:val="none"/>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8"/>
          <w:szCs w:val="32"/>
          <w:highlight w:val="none"/>
          <w:u w:val="none" w:color="auto"/>
          <w:lang w:val="en-US" w:eastAsia="zh-CN" w:bidi="ar-SA"/>
          <w14:textFill>
            <w14:solidFill>
              <w14:schemeClr w14:val="tx1"/>
            </w14:solidFill>
          </w14:textFill>
        </w:rPr>
        <w:t>4.1.</w:t>
      </w:r>
      <w:r>
        <w:rPr>
          <w:rFonts w:hint="default" w:ascii="Times New Roman" w:hAnsi="Times New Roman" w:cs="Times New Roman"/>
          <w:b/>
          <w:bCs/>
          <w:color w:val="000000" w:themeColor="text1"/>
          <w:kern w:val="0"/>
          <w:sz w:val="28"/>
          <w:szCs w:val="32"/>
          <w:highlight w:val="none"/>
          <w:u w:val="none" w:color="auto"/>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0"/>
          <w:sz w:val="28"/>
          <w:szCs w:val="32"/>
          <w:highlight w:val="none"/>
          <w:u w:val="none" w:color="auto"/>
          <w:lang w:val="en-US" w:eastAsia="zh-CN" w:bidi="ar-SA"/>
          <w14:textFill>
            <w14:solidFill>
              <w14:schemeClr w14:val="tx1"/>
            </w14:solidFill>
          </w14:textFill>
        </w:rPr>
        <w:t xml:space="preserve"> 生态环境</w:t>
      </w:r>
    </w:p>
    <w:p w14:paraId="64F0CCFB">
      <w:pPr>
        <w:spacing w:line="360" w:lineRule="auto"/>
        <w:ind w:firstLine="480" w:firstLineChars="200"/>
        <w:textAlignment w:val="baseline"/>
        <w:rPr>
          <w:rFonts w:hint="default" w:ascii="Times New Roman" w:hAnsi="Times New Roman" w:cs="Times New Roman"/>
          <w:bCs/>
          <w:sz w:val="24"/>
          <w:szCs w:val="20"/>
          <w:highlight w:val="none"/>
        </w:rPr>
      </w:pPr>
      <w:r>
        <w:rPr>
          <w:rFonts w:hint="default" w:ascii="Times New Roman" w:hAnsi="Times New Roman" w:cs="Times New Roman"/>
          <w:bCs/>
          <w:sz w:val="24"/>
          <w:szCs w:val="20"/>
          <w:highlight w:val="none"/>
        </w:rPr>
        <w:t>大通湖</w:t>
      </w:r>
      <w:r>
        <w:rPr>
          <w:rFonts w:hint="default" w:ascii="Times New Roman" w:hAnsi="Times New Roman" w:cs="Times New Roman"/>
          <w:bCs/>
          <w:sz w:val="24"/>
          <w:szCs w:val="20"/>
          <w:highlight w:val="none"/>
          <w:lang w:val="en-US" w:eastAsia="zh-CN"/>
        </w:rPr>
        <w:t>产业园</w:t>
      </w:r>
      <w:r>
        <w:rPr>
          <w:rFonts w:hint="default" w:ascii="Times New Roman" w:hAnsi="Times New Roman" w:cs="Times New Roman"/>
          <w:bCs/>
          <w:sz w:val="24"/>
          <w:szCs w:val="20"/>
          <w:highlight w:val="none"/>
        </w:rPr>
        <w:t>区地带性植被为常绿阔叶林，受人类活动的影响，植被类型较为单一，以针叶林为主。植被类型有杉木林、马尾松林、杉木一香樟混交林、油茶林，植园和农作物，主要生态系统类型有：森林、农田、水域、湿地、城市，具有一定的生态系统多样性，生态系统较稳定，生态环境质量一般。</w:t>
      </w:r>
    </w:p>
    <w:p w14:paraId="00141D10">
      <w:pPr>
        <w:spacing w:line="360" w:lineRule="auto"/>
        <w:ind w:firstLine="480" w:firstLineChars="200"/>
        <w:textAlignment w:val="baseline"/>
        <w:rPr>
          <w:rFonts w:hint="default" w:ascii="Times New Roman" w:hAnsi="Times New Roman" w:cs="Times New Roman"/>
          <w:bCs/>
          <w:sz w:val="24"/>
          <w:szCs w:val="20"/>
          <w:highlight w:val="none"/>
        </w:rPr>
      </w:pPr>
      <w:r>
        <w:rPr>
          <w:rFonts w:hint="default" w:ascii="Times New Roman" w:hAnsi="Times New Roman" w:cs="Times New Roman"/>
          <w:bCs/>
          <w:sz w:val="24"/>
          <w:szCs w:val="20"/>
          <w:highlight w:val="none"/>
        </w:rPr>
        <w:t>大通湖区主要野生木本植物有杉木、马尾松、油茶、香樟、苦槠、白栎、槲树、朴树、青冈、化香、构树、槐树、山矾、冬青、构骨、槛木、山胡椒、苦楝、女贞、黄檀、花椒、野桐、盐肤木、楠竹、吊竹、花竹等；草本植物主要有白茅、野古草、香茅草、狗尾草、车前草、野菊花、狗牙根、芒、浦公英等；另外还有多种蕨类和藤本植物。物种相对较为丰富，其中香樟为国家II级保护植物。区内农作物主要有水稻、包菜、白菜、萝卜等粮食和蔬菜类作物。</w:t>
      </w:r>
    </w:p>
    <w:p w14:paraId="1F64BE14">
      <w:pPr>
        <w:spacing w:line="360" w:lineRule="auto"/>
        <w:ind w:firstLine="480" w:firstLineChars="200"/>
        <w:textAlignment w:val="baseline"/>
        <w:rPr>
          <w:rFonts w:hint="default" w:ascii="Times New Roman" w:hAnsi="Times New Roman" w:eastAsia="宋体" w:cs="Times New Roman"/>
          <w:snapToGrid w:val="0"/>
          <w:color w:val="000000"/>
          <w:sz w:val="24"/>
          <w:szCs w:val="24"/>
          <w:highlight w:val="none"/>
          <w:u w:val="none" w:color="auto"/>
          <w:lang w:val="zh-CN" w:eastAsia="zh-CN" w:bidi="zh-CN"/>
        </w:rPr>
      </w:pPr>
      <w:r>
        <w:rPr>
          <w:rFonts w:hint="default" w:ascii="Times New Roman" w:hAnsi="Times New Roman" w:cs="Times New Roman"/>
          <w:bCs/>
          <w:sz w:val="24"/>
          <w:szCs w:val="20"/>
          <w:highlight w:val="none"/>
        </w:rPr>
        <w:t>大通湖区野生动物主要有蛇类、野兔、田鼠、蜥蝎、青蛙、壁虎、山雀、八哥、黄鼠狼等。家畜主要有猪、牛、羊、鸡、鸭、兔等。水生鱼类资源主要有草鱼、鲤鱼、鲫鱼、鲭鱼、一鲢鱼等，经调查，评价地区未发现野生的珍稀濒危动物种类。</w:t>
      </w:r>
    </w:p>
    <w:bookmarkEnd w:id="85"/>
    <w:bookmarkEnd w:id="86"/>
    <w:bookmarkEnd w:id="87"/>
    <w:bookmarkEnd w:id="88"/>
    <w:p w14:paraId="3DB8D3C1">
      <w:pPr>
        <w:pStyle w:val="3"/>
        <w:numPr>
          <w:ilvl w:val="1"/>
          <w:numId w:val="0"/>
        </w:numPr>
        <w:ind w:left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bookmarkStart w:id="89" w:name="bookmark25"/>
      <w:bookmarkEnd w:id="89"/>
      <w:bookmarkStart w:id="90" w:name="bookmark26"/>
      <w:bookmarkEnd w:id="90"/>
      <w:bookmarkStart w:id="91" w:name="_Toc19383"/>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4.2 环境质量现状调查与评价</w:t>
      </w:r>
      <w:bookmarkEnd w:id="91"/>
    </w:p>
    <w:p w14:paraId="0A85D0E2">
      <w:pPr>
        <w:pStyle w:val="4"/>
        <w:numPr>
          <w:ilvl w:val="1"/>
          <w:numId w:val="0"/>
        </w:numPr>
        <w:ind w:leftChars="0"/>
        <w:outlineLvl w:val="2"/>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pPr>
      <w:bookmarkStart w:id="92" w:name="_Toc5777"/>
      <w:r>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t>4.2.1 环境功能区划</w:t>
      </w:r>
      <w:bookmarkEnd w:id="92"/>
    </w:p>
    <w:p w14:paraId="5CA916DB">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w:t>
      </w:r>
      <w:r>
        <w:rPr>
          <w:rFonts w:hint="default" w:ascii="Times New Roman" w:hAnsi="Times New Roman" w:cs="Times New Roman"/>
          <w:color w:val="000000" w:themeColor="text1"/>
          <w:highlight w:val="none"/>
          <w:u w:val="none" w:color="auto"/>
          <w:lang w:eastAsia="zh-CN"/>
          <w14:textFill>
            <w14:solidFill>
              <w14:schemeClr w14:val="tx1"/>
            </w14:solidFill>
          </w14:textFill>
        </w:rPr>
        <w:t>所在地</w:t>
      </w:r>
      <w:r>
        <w:rPr>
          <w:rFonts w:hint="default" w:ascii="Times New Roman" w:hAnsi="Times New Roman" w:cs="Times New Roman"/>
          <w:color w:val="000000" w:themeColor="text1"/>
          <w:highlight w:val="none"/>
          <w:u w:val="none" w:color="auto"/>
          <w14:textFill>
            <w14:solidFill>
              <w14:schemeClr w14:val="tx1"/>
            </w14:solidFill>
          </w14:textFill>
        </w:rPr>
        <w:t>环境空气为《环境空气质量标准》（GB3095-2012）中的二级功能区，</w:t>
      </w:r>
      <w:r>
        <w:rPr>
          <w:rFonts w:hint="default" w:ascii="Times New Roman" w:hAnsi="Times New Roman" w:cs="Times New Roman"/>
          <w:color w:val="auto"/>
          <w:highlight w:val="none"/>
          <w:u w:val="none" w:color="auto"/>
        </w:rPr>
        <w:t>地表水</w:t>
      </w:r>
      <w:r>
        <w:rPr>
          <w:rFonts w:hint="default" w:ascii="Times New Roman" w:hAnsi="Times New Roman" w:cs="Times New Roman"/>
          <w:color w:val="auto"/>
          <w:highlight w:val="none"/>
          <w:u w:val="none" w:color="auto"/>
          <w:lang w:val="en-US" w:eastAsia="zh-CN"/>
        </w:rPr>
        <w:t>机排二十渠执行</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《农田灌溉水质标准》（GB5084-2021）表1和表2水田作物标准</w:t>
      </w:r>
      <w:r>
        <w:rPr>
          <w:rFonts w:hint="default" w:ascii="Times New Roman" w:hAnsi="Times New Roman" w:cs="Times New Roman"/>
          <w:color w:val="auto"/>
          <w:highlight w:val="none"/>
          <w:u w:val="none" w:color="auto"/>
          <w:lang w:val="en-US" w:eastAsia="zh-CN"/>
        </w:rPr>
        <w:t>老三运河</w:t>
      </w:r>
      <w:r>
        <w:rPr>
          <w:rFonts w:hint="default" w:ascii="Times New Roman" w:hAnsi="Times New Roman" w:cs="Times New Roman"/>
          <w:color w:val="auto"/>
          <w:highlight w:val="none"/>
          <w:u w:val="none" w:color="auto"/>
        </w:rPr>
        <w:t>执行《地表水环境质量标准》（GB3838-2002）</w:t>
      </w:r>
      <w:r>
        <w:rPr>
          <w:rFonts w:hint="default" w:ascii="Times New Roman" w:hAnsi="Times New Roman" w:cs="Times New Roman"/>
          <w:color w:val="auto"/>
          <w:highlight w:val="none"/>
          <w:u w:val="none" w:color="auto"/>
          <w:lang w:val="en-US" w:eastAsia="zh-CN"/>
        </w:rPr>
        <w:t>中</w:t>
      </w:r>
      <w:r>
        <w:rPr>
          <w:rFonts w:hint="default" w:ascii="Times New Roman" w:hAnsi="Times New Roman" w:cs="Times New Roman"/>
          <w:color w:val="000000" w:themeColor="text1"/>
          <w:highlight w:val="none"/>
          <w:u w:val="none" w:color="auto"/>
          <w14:textFill>
            <w14:solidFill>
              <w14:schemeClr w14:val="tx1"/>
            </w14:solidFill>
          </w14:textFill>
        </w:rPr>
        <w:t>的</w:t>
      </w:r>
      <w:r>
        <w:rPr>
          <w:rFonts w:hint="default" w:ascii="Times New Roman" w:hAnsi="Times New Roman" w:eastAsia="宋体" w:cs="Times New Roman"/>
          <w:color w:val="000000"/>
          <w:kern w:val="0"/>
          <w:sz w:val="21"/>
          <w:szCs w:val="21"/>
          <w:highlight w:val="none"/>
          <w:lang w:val="en-US" w:eastAsia="zh-CN" w:bidi="ar"/>
        </w:rPr>
        <w:t>Ⅲ</w:t>
      </w:r>
      <w:r>
        <w:rPr>
          <w:rFonts w:hint="default" w:ascii="Times New Roman" w:hAnsi="Times New Roman" w:cs="Times New Roman"/>
          <w:color w:val="000000" w:themeColor="text1"/>
          <w:highlight w:val="none"/>
          <w:u w:val="none" w:color="auto"/>
          <w14:textFill>
            <w14:solidFill>
              <w14:schemeClr w14:val="tx1"/>
            </w14:solidFill>
          </w14:textFill>
        </w:rPr>
        <w:t>类标准。声环境为《声环境质量标准》（GB3096-2008）中的3类功能区。</w:t>
      </w:r>
    </w:p>
    <w:p w14:paraId="0FF7A663">
      <w:pPr>
        <w:pStyle w:val="4"/>
        <w:numPr>
          <w:ilvl w:val="1"/>
          <w:numId w:val="0"/>
        </w:numPr>
        <w:ind w:leftChars="0"/>
        <w:outlineLvl w:val="2"/>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pPr>
      <w:bookmarkStart w:id="93" w:name="_Toc7523"/>
      <w:r>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t>4.2.2 环境空气质量现状调查与评价</w:t>
      </w:r>
      <w:bookmarkEnd w:id="93"/>
    </w:p>
    <w:p w14:paraId="222B37C1">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根据《环境影响评价导则大气环境》（HJ2.2-2018）导则“6.环境空气质量现状调查与评价”要求，项目为二级评价，需调查所在区域环境质量状况达标情况，调查评价范围内有环境质量标准评价因子和环境质量监测数据或进行补充监测，用于项目所在区域污染物环境质量现状进行评价。因此评价根据导则中6.2数据来源要求，选用</w:t>
      </w:r>
      <w:r>
        <w:rPr>
          <w:rFonts w:hint="default" w:ascii="Times New Roman" w:hAnsi="Times New Roman" w:cs="Times New Roman"/>
          <w:color w:val="auto"/>
          <w:highlight w:val="none"/>
          <w:u w:val="none" w:color="auto"/>
          <w:lang w:val="en-US" w:eastAsia="zh-CN"/>
        </w:rPr>
        <w:t>2024</w:t>
      </w:r>
      <w:r>
        <w:rPr>
          <w:rFonts w:hint="default" w:ascii="Times New Roman" w:hAnsi="Times New Roman" w:cs="Times New Roman"/>
          <w:color w:val="auto"/>
          <w:highlight w:val="none"/>
          <w:u w:val="none" w:color="auto"/>
        </w:rPr>
        <w:t>年全年的环境空气质量统计数据，用于项目所在区域污染物环境质量现状评价。同时</w:t>
      </w:r>
      <w:r>
        <w:rPr>
          <w:rFonts w:hint="default" w:ascii="Times New Roman" w:hAnsi="Times New Roman" w:cs="Times New Roman"/>
          <w:color w:val="auto"/>
          <w:highlight w:val="none"/>
          <w:u w:val="none" w:color="auto"/>
          <w:lang w:eastAsia="zh-CN"/>
        </w:rPr>
        <w:t>委托湖南瑞鉴检测有限公司于202</w:t>
      </w:r>
      <w:r>
        <w:rPr>
          <w:rFonts w:hint="default"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lang w:eastAsia="zh-CN"/>
        </w:rPr>
        <w:t>年</w:t>
      </w:r>
      <w:r>
        <w:rPr>
          <w:rFonts w:hint="default" w:ascii="Times New Roman" w:hAnsi="Times New Roman" w:cs="Times New Roman"/>
          <w:color w:val="auto"/>
          <w:highlight w:val="none"/>
          <w:u w:val="none" w:color="auto"/>
          <w:lang w:val="en-US" w:eastAsia="zh-CN"/>
        </w:rPr>
        <w:t>10</w:t>
      </w:r>
      <w:r>
        <w:rPr>
          <w:rFonts w:hint="default" w:ascii="Times New Roman" w:hAnsi="Times New Roman" w:cs="Times New Roman"/>
          <w:color w:val="auto"/>
          <w:highlight w:val="none"/>
          <w:u w:val="none" w:color="auto"/>
          <w:lang w:eastAsia="zh-CN"/>
        </w:rPr>
        <w:t>月</w:t>
      </w:r>
      <w:r>
        <w:rPr>
          <w:rFonts w:hint="default" w:ascii="Times New Roman" w:hAnsi="Times New Roman" w:cs="Times New Roman"/>
          <w:color w:val="auto"/>
          <w:highlight w:val="none"/>
          <w:u w:val="none" w:color="auto"/>
          <w:lang w:val="en-US" w:eastAsia="zh-CN"/>
        </w:rPr>
        <w:t>18</w:t>
      </w:r>
      <w:r>
        <w:rPr>
          <w:rFonts w:hint="default" w:ascii="Times New Roman" w:hAnsi="Times New Roman" w:cs="Times New Roman"/>
          <w:color w:val="auto"/>
          <w:highlight w:val="none"/>
          <w:u w:val="none" w:color="auto"/>
          <w:lang w:eastAsia="zh-CN"/>
        </w:rPr>
        <w:t>日~</w:t>
      </w:r>
      <w:r>
        <w:rPr>
          <w:rFonts w:hint="default" w:ascii="Times New Roman" w:hAnsi="Times New Roman" w:cs="Times New Roman"/>
          <w:color w:val="auto"/>
          <w:highlight w:val="none"/>
          <w:u w:val="none" w:color="auto"/>
          <w:lang w:val="en-US" w:eastAsia="zh-CN"/>
        </w:rPr>
        <w:t>10</w:t>
      </w:r>
      <w:r>
        <w:rPr>
          <w:rFonts w:hint="default" w:ascii="Times New Roman" w:hAnsi="Times New Roman" w:cs="Times New Roman"/>
          <w:color w:val="auto"/>
          <w:highlight w:val="none"/>
          <w:u w:val="none" w:color="auto"/>
          <w:lang w:eastAsia="zh-CN"/>
        </w:rPr>
        <w:t>月</w:t>
      </w:r>
      <w:r>
        <w:rPr>
          <w:rFonts w:hint="default" w:ascii="Times New Roman" w:hAnsi="Times New Roman" w:cs="Times New Roman"/>
          <w:color w:val="auto"/>
          <w:highlight w:val="none"/>
          <w:u w:val="none" w:color="auto"/>
          <w:lang w:val="en-US" w:eastAsia="zh-CN"/>
        </w:rPr>
        <w:t>24</w:t>
      </w:r>
      <w:r>
        <w:rPr>
          <w:rFonts w:hint="default" w:ascii="Times New Roman" w:hAnsi="Times New Roman" w:cs="Times New Roman"/>
          <w:color w:val="auto"/>
          <w:highlight w:val="none"/>
          <w:u w:val="none" w:color="auto"/>
          <w:lang w:eastAsia="zh-CN"/>
        </w:rPr>
        <w:t>日对</w:t>
      </w:r>
      <w:r>
        <w:rPr>
          <w:rFonts w:hint="default" w:ascii="Times New Roman" w:hAnsi="Times New Roman" w:cs="Times New Roman"/>
          <w:color w:val="auto"/>
          <w:highlight w:val="none"/>
          <w:u w:val="none" w:color="auto"/>
        </w:rPr>
        <w:t>特征因子H</w:t>
      </w:r>
      <w:r>
        <w:rPr>
          <w:rFonts w:hint="default" w:ascii="Times New Roman" w:hAnsi="Times New Roman" w:cs="Times New Roman"/>
          <w:color w:val="auto"/>
          <w:sz w:val="15"/>
          <w:szCs w:val="15"/>
          <w:highlight w:val="none"/>
          <w:u w:val="none" w:color="auto"/>
        </w:rPr>
        <w:t>2</w:t>
      </w:r>
      <w:r>
        <w:rPr>
          <w:rFonts w:hint="default" w:ascii="Times New Roman" w:hAnsi="Times New Roman" w:cs="Times New Roman"/>
          <w:color w:val="auto"/>
          <w:highlight w:val="none"/>
          <w:u w:val="none" w:color="auto"/>
        </w:rPr>
        <w:t>S、NH</w:t>
      </w:r>
      <w:r>
        <w:rPr>
          <w:rFonts w:hint="default" w:ascii="Times New Roman" w:hAnsi="Times New Roman" w:cs="Times New Roman"/>
          <w:color w:val="auto"/>
          <w:sz w:val="15"/>
          <w:szCs w:val="15"/>
          <w:highlight w:val="none"/>
          <w:u w:val="none" w:color="auto"/>
        </w:rPr>
        <w:t>3</w:t>
      </w:r>
      <w:r>
        <w:rPr>
          <w:rFonts w:hint="default" w:ascii="Times New Roman" w:hAnsi="Times New Roman" w:cs="Times New Roman"/>
          <w:color w:val="auto"/>
          <w:highlight w:val="none"/>
          <w:u w:val="none" w:color="auto"/>
          <w:lang w:eastAsia="zh-CN"/>
        </w:rPr>
        <w:t>进行现状监测来</w:t>
      </w:r>
      <w:r>
        <w:rPr>
          <w:rFonts w:hint="default" w:ascii="Times New Roman" w:hAnsi="Times New Roman" w:cs="Times New Roman"/>
          <w:color w:val="auto"/>
          <w:highlight w:val="none"/>
          <w:u w:val="none" w:color="auto"/>
        </w:rPr>
        <w:t>说明特征因子区域环境质量现状。</w:t>
      </w:r>
    </w:p>
    <w:p w14:paraId="4F2DD293">
      <w:pPr>
        <w:numPr>
          <w:ilvl w:val="2"/>
          <w:numId w:val="0"/>
        </w:numPr>
        <w:tabs>
          <w:tab w:val="left" w:pos="0"/>
        </w:tabs>
        <w:ind w:leftChars="0"/>
        <w:outlineLvl w:val="9"/>
        <w:rPr>
          <w:rFonts w:hint="default" w:ascii="Times New Roman" w:hAnsi="Times New Roman" w:eastAsia="宋体" w:cs="Times New Roman"/>
          <w:b/>
          <w:bCs/>
          <w:sz w:val="24"/>
          <w:szCs w:val="24"/>
          <w:highlight w:val="none"/>
          <w:lang w:val="en-US" w:eastAsia="zh-CN" w:bidi="ar-SA"/>
        </w:rPr>
      </w:pPr>
      <w:bookmarkStart w:id="94" w:name="_Toc30752"/>
      <w:r>
        <w:rPr>
          <w:rFonts w:hint="default" w:ascii="Times New Roman" w:hAnsi="Times New Roman" w:eastAsia="宋体" w:cs="Times New Roman"/>
          <w:b/>
          <w:bCs/>
          <w:sz w:val="24"/>
          <w:szCs w:val="24"/>
          <w:highlight w:val="none"/>
          <w:lang w:val="en-US" w:eastAsia="zh-CN" w:bidi="ar-SA"/>
        </w:rPr>
        <w:tab/>
      </w:r>
      <w:r>
        <w:rPr>
          <w:rFonts w:hint="default" w:ascii="Times New Roman" w:hAnsi="Times New Roman" w:eastAsia="宋体" w:cs="Times New Roman"/>
          <w:b/>
          <w:bCs/>
          <w:sz w:val="24"/>
          <w:szCs w:val="24"/>
          <w:highlight w:val="none"/>
          <w:lang w:val="en-US" w:eastAsia="zh-CN" w:bidi="ar-SA"/>
        </w:rPr>
        <w:t>1、基本污染物环境质量现状数据</w:t>
      </w:r>
      <w:bookmarkEnd w:id="94"/>
    </w:p>
    <w:p w14:paraId="5C324894">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根据《环境影响评价技术导则大气环境》（HJ2.2-2018）“6.2.1.2采用评价范围内国家或地方环境空气质量监测网中评价基准年连续1年的监测数据，或采用生态环境主管部门公开发布的环境空气质量现状数据。”、“6.2.1.3评价范围内没有环境空气质量监测网数据或公开发布的环境空气质量现状数据的，可选择符合HJ664规定，并且与评价范围地理位置邻近，地形、气候条件相近的环境空气质量城市点或区域点监测数据。”</w:t>
      </w:r>
    </w:p>
    <w:p w14:paraId="24D6A12E">
      <w:pPr>
        <w:widowControl/>
        <w:autoSpaceDE/>
        <w:autoSpaceDN/>
        <w:adjustRightInd/>
        <w:spacing w:line="360" w:lineRule="auto"/>
        <w:ind w:firstLine="480" w:firstLineChars="200"/>
        <w:rPr>
          <w:rFonts w:hint="default" w:ascii="Times New Roman" w:hAnsi="Times New Roman" w:eastAsia="宋体" w:cs="Times New Roman"/>
          <w:color w:val="FF0000"/>
          <w:kern w:val="2"/>
          <w:sz w:val="24"/>
          <w:szCs w:val="24"/>
          <w:highlight w:val="none"/>
          <w:u w:val="none" w:color="auto"/>
          <w:lang w:eastAsia="zh-CN"/>
        </w:rPr>
      </w:pPr>
      <w:r>
        <w:rPr>
          <w:rFonts w:hint="default" w:ascii="Times New Roman" w:hAnsi="Times New Roman" w:cs="Times New Roman"/>
          <w:sz w:val="24"/>
          <w:highlight w:val="none"/>
        </w:rPr>
        <w:t>由于大通湖区尚无大气环境常规监测点位，大通湖区与南县地理位置相邻，地形和气候条件相近，因此本项目引用益阳市生态环境局发布的202</w:t>
      </w:r>
      <w:r>
        <w:rPr>
          <w:rFonts w:hint="default" w:ascii="Times New Roman" w:hAnsi="Times New Roman" w:cs="Times New Roman"/>
          <w:sz w:val="24"/>
          <w:highlight w:val="none"/>
          <w:lang w:val="en-US" w:eastAsia="zh-CN"/>
        </w:rPr>
        <w:t>4</w:t>
      </w:r>
      <w:r>
        <w:rPr>
          <w:rFonts w:hint="default" w:ascii="Times New Roman" w:hAnsi="Times New Roman" w:cs="Times New Roman"/>
          <w:sz w:val="24"/>
          <w:highlight w:val="none"/>
        </w:rPr>
        <w:t>年南县环境空气质量状况统计数据代表大通湖区的环境空气质量现状，其统计分析结果见下表</w:t>
      </w:r>
      <w:r>
        <w:rPr>
          <w:rFonts w:hint="default" w:ascii="Times New Roman" w:hAnsi="Times New Roman" w:cs="Times New Roman"/>
          <w:sz w:val="24"/>
          <w:highlight w:val="none"/>
          <w:lang w:eastAsia="zh-CN"/>
        </w:rPr>
        <w:t>。</w:t>
      </w:r>
    </w:p>
    <w:p w14:paraId="0A1AC1E0">
      <w:pPr>
        <w:widowControl/>
        <w:spacing w:line="240" w:lineRule="auto"/>
        <w:jc w:val="center"/>
        <w:rPr>
          <w:rFonts w:hint="default" w:ascii="Times New Roman" w:hAnsi="Times New Roman" w:eastAsia="宋体" w:cs="Times New Roman"/>
          <w:b/>
          <w:bCs/>
          <w:color w:val="000000" w:themeColor="text1"/>
          <w:kern w:val="0"/>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u w:val="none" w:color="auto"/>
          <w:lang w:val="en-US" w:eastAsia="zh-CN" w:bidi="ar-SA"/>
          <w14:textFill>
            <w14:solidFill>
              <w14:schemeClr w14:val="tx1"/>
            </w14:solidFill>
          </w14:textFill>
        </w:rPr>
        <w:t>表</w:t>
      </w:r>
      <w:r>
        <w:rPr>
          <w:rFonts w:hint="default" w:ascii="Times New Roman" w:hAnsi="Times New Roman" w:cs="Times New Roman"/>
          <w:b/>
          <w:bCs/>
          <w:color w:val="000000" w:themeColor="text1"/>
          <w:kern w:val="0"/>
          <w:sz w:val="24"/>
          <w:szCs w:val="24"/>
          <w:highlight w:val="none"/>
          <w:u w:val="none" w:color="auto"/>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0"/>
          <w:sz w:val="24"/>
          <w:szCs w:val="24"/>
          <w:highlight w:val="none"/>
          <w:u w:val="none" w:color="auto"/>
          <w:lang w:val="en-US" w:eastAsia="zh-CN" w:bidi="ar-SA"/>
          <w14:textFill>
            <w14:solidFill>
              <w14:schemeClr w14:val="tx1"/>
            </w14:solidFill>
          </w14:textFill>
        </w:rPr>
        <w:t>.2-1  202</w:t>
      </w:r>
      <w:r>
        <w:rPr>
          <w:rFonts w:hint="default" w:ascii="Times New Roman" w:hAnsi="Times New Roman" w:cs="Times New Roman"/>
          <w:b/>
          <w:bCs/>
          <w:color w:val="000000" w:themeColor="text1"/>
          <w:kern w:val="0"/>
          <w:sz w:val="24"/>
          <w:szCs w:val="24"/>
          <w:highlight w:val="none"/>
          <w:u w:val="none" w:color="auto"/>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0"/>
          <w:sz w:val="24"/>
          <w:szCs w:val="24"/>
          <w:highlight w:val="none"/>
          <w:u w:val="none" w:color="auto"/>
          <w:lang w:val="en-US" w:eastAsia="zh-CN" w:bidi="ar-SA"/>
          <w14:textFill>
            <w14:solidFill>
              <w14:schemeClr w14:val="tx1"/>
            </w14:solidFill>
          </w14:textFill>
        </w:rPr>
        <w:t>年</w:t>
      </w:r>
      <w:r>
        <w:rPr>
          <w:rFonts w:hint="default" w:ascii="Times New Roman" w:hAnsi="Times New Roman" w:cs="Times New Roman"/>
          <w:b/>
          <w:bCs/>
          <w:color w:val="000000" w:themeColor="text1"/>
          <w:kern w:val="0"/>
          <w:sz w:val="24"/>
          <w:szCs w:val="24"/>
          <w:highlight w:val="none"/>
          <w:u w:val="none" w:color="auto"/>
          <w:lang w:val="en-US" w:eastAsia="zh-CN" w:bidi="ar-SA"/>
          <w14:textFill>
            <w14:solidFill>
              <w14:schemeClr w14:val="tx1"/>
            </w14:solidFill>
          </w14:textFill>
        </w:rPr>
        <w:t>大通湖区</w:t>
      </w:r>
      <w:r>
        <w:rPr>
          <w:rFonts w:hint="default" w:ascii="Times New Roman" w:hAnsi="Times New Roman" w:eastAsia="宋体" w:cs="Times New Roman"/>
          <w:b/>
          <w:bCs/>
          <w:color w:val="000000" w:themeColor="text1"/>
          <w:kern w:val="0"/>
          <w:sz w:val="24"/>
          <w:szCs w:val="24"/>
          <w:highlight w:val="none"/>
          <w:u w:val="none" w:color="auto"/>
          <w:lang w:val="en-US" w:eastAsia="zh-CN" w:bidi="ar-SA"/>
          <w14:textFill>
            <w14:solidFill>
              <w14:schemeClr w14:val="tx1"/>
            </w14:solidFill>
          </w14:textFill>
        </w:rPr>
        <w:t>环境空气质量</w:t>
      </w:r>
      <w:r>
        <w:rPr>
          <w:rFonts w:hint="default" w:ascii="Times New Roman" w:hAnsi="Times New Roman" w:cs="Times New Roman"/>
          <w:b/>
          <w:bCs/>
          <w:color w:val="000000" w:themeColor="text1"/>
          <w:kern w:val="0"/>
          <w:sz w:val="24"/>
          <w:szCs w:val="24"/>
          <w:highlight w:val="none"/>
          <w:u w:val="none" w:color="auto"/>
          <w:lang w:val="en-US" w:eastAsia="zh-CN" w:bidi="ar-SA"/>
          <w14:textFill>
            <w14:solidFill>
              <w14:schemeClr w14:val="tx1"/>
            </w14:solidFill>
          </w14:textFill>
        </w:rPr>
        <w:t>现状评价表</w:t>
      </w:r>
      <w:r>
        <w:rPr>
          <w:rFonts w:hint="default" w:ascii="Times New Roman" w:hAnsi="Times New Roman" w:eastAsia="宋体" w:cs="Times New Roman"/>
          <w:b/>
          <w:bCs/>
          <w:color w:val="000000" w:themeColor="text1"/>
          <w:kern w:val="0"/>
          <w:sz w:val="24"/>
          <w:szCs w:val="24"/>
          <w:highlight w:val="none"/>
          <w:u w:val="none" w:color="auto"/>
          <w:lang w:val="en-US" w:eastAsia="zh-CN" w:bidi="ar-SA"/>
          <w14:textFill>
            <w14:solidFill>
              <w14:schemeClr w14:val="tx1"/>
            </w14:solidFill>
          </w14:textFill>
        </w:rPr>
        <w:t>（单位：mg/m</w:t>
      </w:r>
      <w:r>
        <w:rPr>
          <w:rFonts w:hint="default" w:ascii="Times New Roman" w:hAnsi="Times New Roman" w:eastAsia="宋体" w:cs="Times New Roman"/>
          <w:b/>
          <w:bCs/>
          <w:color w:val="000000" w:themeColor="text1"/>
          <w:kern w:val="0"/>
          <w:sz w:val="24"/>
          <w:szCs w:val="24"/>
          <w:highlight w:val="none"/>
          <w:u w:val="none" w:color="auto"/>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0"/>
          <w:sz w:val="24"/>
          <w:szCs w:val="24"/>
          <w:highlight w:val="none"/>
          <w:u w:val="none" w:color="auto"/>
          <w:lang w:val="en-US" w:eastAsia="zh-CN" w:bidi="ar-SA"/>
          <w14:textFill>
            <w14:solidFill>
              <w14:schemeClr w14:val="tx1"/>
            </w14:solidFill>
          </w14:textFill>
        </w:rPr>
        <w:t>）</w:t>
      </w:r>
    </w:p>
    <w:tbl>
      <w:tblPr>
        <w:tblStyle w:val="7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847"/>
        <w:gridCol w:w="1728"/>
        <w:gridCol w:w="1781"/>
        <w:gridCol w:w="1379"/>
        <w:gridCol w:w="1131"/>
      </w:tblGrid>
      <w:tr w14:paraId="3E3EC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tcBorders>
              <w:tl2br w:val="nil"/>
              <w:tr2bl w:val="nil"/>
            </w:tcBorders>
            <w:vAlign w:val="center"/>
          </w:tcPr>
          <w:p w14:paraId="1BB66937">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评价因子</w:t>
            </w:r>
          </w:p>
        </w:tc>
        <w:tc>
          <w:tcPr>
            <w:tcW w:w="1017" w:type="pct"/>
            <w:tcBorders>
              <w:tl2br w:val="nil"/>
              <w:tr2bl w:val="nil"/>
            </w:tcBorders>
            <w:vAlign w:val="center"/>
          </w:tcPr>
          <w:p w14:paraId="1A1C57FD">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评价时段</w:t>
            </w:r>
          </w:p>
        </w:tc>
        <w:tc>
          <w:tcPr>
            <w:tcW w:w="953" w:type="pct"/>
            <w:tcBorders>
              <w:tl2br w:val="nil"/>
              <w:tr2bl w:val="nil"/>
            </w:tcBorders>
            <w:vAlign w:val="center"/>
          </w:tcPr>
          <w:p w14:paraId="7CF7435F">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现状浓度μg/m³</w:t>
            </w:r>
          </w:p>
        </w:tc>
        <w:tc>
          <w:tcPr>
            <w:tcW w:w="981" w:type="pct"/>
            <w:tcBorders>
              <w:tl2br w:val="nil"/>
              <w:tr2bl w:val="nil"/>
            </w:tcBorders>
            <w:vAlign w:val="center"/>
          </w:tcPr>
          <w:p w14:paraId="13D24E5F">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标准浓度μg/m³</w:t>
            </w:r>
          </w:p>
        </w:tc>
        <w:tc>
          <w:tcPr>
            <w:tcW w:w="631" w:type="pct"/>
            <w:tcBorders>
              <w:tl2br w:val="nil"/>
              <w:tr2bl w:val="nil"/>
            </w:tcBorders>
            <w:vAlign w:val="center"/>
          </w:tcPr>
          <w:p w14:paraId="12B0B12C">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占标率</w:t>
            </w:r>
          </w:p>
        </w:tc>
        <w:tc>
          <w:tcPr>
            <w:tcW w:w="631" w:type="pct"/>
            <w:tcBorders>
              <w:tl2br w:val="nil"/>
              <w:tr2bl w:val="nil"/>
            </w:tcBorders>
            <w:vAlign w:val="center"/>
          </w:tcPr>
          <w:p w14:paraId="308F4CCB">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达标情况</w:t>
            </w:r>
          </w:p>
        </w:tc>
      </w:tr>
      <w:tr w14:paraId="278E8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tcBorders>
              <w:tl2br w:val="nil"/>
              <w:tr2bl w:val="nil"/>
            </w:tcBorders>
            <w:vAlign w:val="center"/>
          </w:tcPr>
          <w:p w14:paraId="4600AD84">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SO</w:t>
            </w:r>
            <w:r>
              <w:rPr>
                <w:rFonts w:hint="default" w:ascii="Times New Roman" w:hAnsi="Times New Roman" w:eastAsia="宋体" w:cs="Times New Roman"/>
                <w:kern w:val="2"/>
                <w:sz w:val="21"/>
                <w:szCs w:val="21"/>
                <w:highlight w:val="none"/>
                <w:vertAlign w:val="subscript"/>
              </w:rPr>
              <w:t>2</w:t>
            </w:r>
          </w:p>
        </w:tc>
        <w:tc>
          <w:tcPr>
            <w:tcW w:w="1017" w:type="pct"/>
            <w:tcBorders>
              <w:tl2br w:val="nil"/>
              <w:tr2bl w:val="nil"/>
            </w:tcBorders>
            <w:vAlign w:val="center"/>
          </w:tcPr>
          <w:p w14:paraId="5748E350">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年平均浓度</w:t>
            </w:r>
          </w:p>
        </w:tc>
        <w:tc>
          <w:tcPr>
            <w:tcW w:w="953" w:type="pct"/>
            <w:tcBorders>
              <w:tl2br w:val="nil"/>
              <w:tr2bl w:val="nil"/>
            </w:tcBorders>
            <w:vAlign w:val="center"/>
          </w:tcPr>
          <w:p w14:paraId="4D46198F">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8.1</w:t>
            </w:r>
          </w:p>
        </w:tc>
        <w:tc>
          <w:tcPr>
            <w:tcW w:w="981" w:type="pct"/>
            <w:tcBorders>
              <w:tl2br w:val="nil"/>
              <w:tr2bl w:val="nil"/>
            </w:tcBorders>
            <w:vAlign w:val="center"/>
          </w:tcPr>
          <w:p w14:paraId="2B07E341">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60</w:t>
            </w:r>
          </w:p>
        </w:tc>
        <w:tc>
          <w:tcPr>
            <w:tcW w:w="1076" w:type="dxa"/>
            <w:tcBorders>
              <w:tl2br w:val="nil"/>
              <w:tr2bl w:val="nil"/>
            </w:tcBorders>
            <w:vAlign w:val="center"/>
          </w:tcPr>
          <w:p w14:paraId="4E1C5C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0"/>
                <w:highlight w:val="none"/>
                <w:lang w:val="en-US" w:eastAsia="en-US" w:bidi="en-US"/>
              </w:rPr>
            </w:pPr>
            <w:r>
              <w:rPr>
                <w:rFonts w:hint="default" w:ascii="Times New Roman" w:hAnsi="Times New Roman" w:eastAsia="宋体" w:cs="Times New Roman"/>
                <w:kern w:val="0"/>
                <w:sz w:val="21"/>
                <w:szCs w:val="20"/>
                <w:highlight w:val="none"/>
                <w:lang w:val="en-US" w:eastAsia="zh-CN" w:bidi="en-US"/>
              </w:rPr>
              <w:t>13.5%</w:t>
            </w:r>
          </w:p>
        </w:tc>
        <w:tc>
          <w:tcPr>
            <w:tcW w:w="631" w:type="pct"/>
            <w:tcBorders>
              <w:tl2br w:val="nil"/>
              <w:tr2bl w:val="nil"/>
            </w:tcBorders>
            <w:vAlign w:val="center"/>
          </w:tcPr>
          <w:p w14:paraId="46F91351">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达标</w:t>
            </w:r>
          </w:p>
        </w:tc>
      </w:tr>
      <w:tr w14:paraId="133AB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tcBorders>
              <w:tl2br w:val="nil"/>
              <w:tr2bl w:val="nil"/>
            </w:tcBorders>
            <w:vAlign w:val="center"/>
          </w:tcPr>
          <w:p w14:paraId="77394246">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NO</w:t>
            </w:r>
            <w:r>
              <w:rPr>
                <w:rFonts w:hint="default" w:ascii="Times New Roman" w:hAnsi="Times New Roman" w:eastAsia="宋体" w:cs="Times New Roman"/>
                <w:kern w:val="2"/>
                <w:sz w:val="21"/>
                <w:szCs w:val="21"/>
                <w:highlight w:val="none"/>
                <w:vertAlign w:val="subscript"/>
              </w:rPr>
              <w:t>2</w:t>
            </w:r>
          </w:p>
        </w:tc>
        <w:tc>
          <w:tcPr>
            <w:tcW w:w="1017" w:type="pct"/>
            <w:tcBorders>
              <w:tl2br w:val="nil"/>
              <w:tr2bl w:val="nil"/>
            </w:tcBorders>
            <w:vAlign w:val="center"/>
          </w:tcPr>
          <w:p w14:paraId="09B12CDD">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年平均浓度</w:t>
            </w:r>
          </w:p>
        </w:tc>
        <w:tc>
          <w:tcPr>
            <w:tcW w:w="953" w:type="pct"/>
            <w:tcBorders>
              <w:tl2br w:val="nil"/>
              <w:tr2bl w:val="nil"/>
            </w:tcBorders>
            <w:vAlign w:val="center"/>
          </w:tcPr>
          <w:p w14:paraId="112D6687">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14.2</w:t>
            </w:r>
          </w:p>
        </w:tc>
        <w:tc>
          <w:tcPr>
            <w:tcW w:w="981" w:type="pct"/>
            <w:tcBorders>
              <w:tl2br w:val="nil"/>
              <w:tr2bl w:val="nil"/>
            </w:tcBorders>
            <w:vAlign w:val="center"/>
          </w:tcPr>
          <w:p w14:paraId="618D8B62">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40</w:t>
            </w:r>
          </w:p>
        </w:tc>
        <w:tc>
          <w:tcPr>
            <w:tcW w:w="1076" w:type="dxa"/>
            <w:tcBorders>
              <w:tl2br w:val="nil"/>
              <w:tr2bl w:val="nil"/>
            </w:tcBorders>
            <w:vAlign w:val="center"/>
          </w:tcPr>
          <w:p w14:paraId="12B288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0"/>
                <w:highlight w:val="none"/>
                <w:lang w:val="en-US" w:eastAsia="en-US" w:bidi="en-US"/>
              </w:rPr>
            </w:pPr>
            <w:r>
              <w:rPr>
                <w:rFonts w:hint="default" w:ascii="Times New Roman" w:hAnsi="Times New Roman" w:eastAsia="宋体" w:cs="Times New Roman"/>
                <w:kern w:val="0"/>
                <w:sz w:val="21"/>
                <w:szCs w:val="20"/>
                <w:highlight w:val="none"/>
                <w:lang w:val="en-US" w:eastAsia="zh-CN" w:bidi="en-US"/>
              </w:rPr>
              <w:t>32.5%</w:t>
            </w:r>
          </w:p>
        </w:tc>
        <w:tc>
          <w:tcPr>
            <w:tcW w:w="631" w:type="pct"/>
            <w:tcBorders>
              <w:tl2br w:val="nil"/>
              <w:tr2bl w:val="nil"/>
            </w:tcBorders>
            <w:vAlign w:val="center"/>
          </w:tcPr>
          <w:p w14:paraId="55FD67F2">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达标</w:t>
            </w:r>
          </w:p>
        </w:tc>
      </w:tr>
      <w:tr w14:paraId="3AF64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tcBorders>
              <w:tl2br w:val="nil"/>
              <w:tr2bl w:val="nil"/>
            </w:tcBorders>
            <w:vAlign w:val="center"/>
          </w:tcPr>
          <w:p w14:paraId="00F2C184">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CO</w:t>
            </w:r>
          </w:p>
        </w:tc>
        <w:tc>
          <w:tcPr>
            <w:tcW w:w="1017" w:type="pct"/>
            <w:tcBorders>
              <w:tl2br w:val="nil"/>
              <w:tr2bl w:val="nil"/>
            </w:tcBorders>
            <w:vAlign w:val="center"/>
          </w:tcPr>
          <w:p w14:paraId="30DF056B">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24小时平均第95百分位数</w:t>
            </w:r>
          </w:p>
        </w:tc>
        <w:tc>
          <w:tcPr>
            <w:tcW w:w="953" w:type="pct"/>
            <w:tcBorders>
              <w:tl2br w:val="nil"/>
              <w:tr2bl w:val="nil"/>
            </w:tcBorders>
            <w:vAlign w:val="center"/>
          </w:tcPr>
          <w:p w14:paraId="505E693D">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1000</w:t>
            </w:r>
          </w:p>
        </w:tc>
        <w:tc>
          <w:tcPr>
            <w:tcW w:w="981" w:type="pct"/>
            <w:tcBorders>
              <w:tl2br w:val="nil"/>
              <w:tr2bl w:val="nil"/>
            </w:tcBorders>
            <w:vAlign w:val="center"/>
          </w:tcPr>
          <w:p w14:paraId="12D416B4">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4000</w:t>
            </w:r>
          </w:p>
        </w:tc>
        <w:tc>
          <w:tcPr>
            <w:tcW w:w="1076" w:type="dxa"/>
            <w:tcBorders>
              <w:tl2br w:val="nil"/>
              <w:tr2bl w:val="nil"/>
            </w:tcBorders>
            <w:vAlign w:val="center"/>
          </w:tcPr>
          <w:p w14:paraId="127ADF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0"/>
                <w:highlight w:val="none"/>
                <w:lang w:val="en-US" w:eastAsia="en-US" w:bidi="en-US"/>
              </w:rPr>
            </w:pPr>
            <w:r>
              <w:rPr>
                <w:rFonts w:hint="default" w:ascii="Times New Roman" w:hAnsi="Times New Roman" w:eastAsia="宋体" w:cs="Times New Roman"/>
                <w:kern w:val="0"/>
                <w:sz w:val="21"/>
                <w:szCs w:val="20"/>
                <w:highlight w:val="none"/>
                <w:lang w:val="en-US" w:eastAsia="zh-CN" w:bidi="en-US"/>
              </w:rPr>
              <w:t>25%</w:t>
            </w:r>
          </w:p>
        </w:tc>
        <w:tc>
          <w:tcPr>
            <w:tcW w:w="631" w:type="pct"/>
            <w:tcBorders>
              <w:tl2br w:val="nil"/>
              <w:tr2bl w:val="nil"/>
            </w:tcBorders>
            <w:vAlign w:val="center"/>
          </w:tcPr>
          <w:p w14:paraId="3B823414">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达标</w:t>
            </w:r>
          </w:p>
        </w:tc>
      </w:tr>
      <w:tr w14:paraId="1D515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tcBorders>
              <w:tl2br w:val="nil"/>
              <w:tr2bl w:val="nil"/>
            </w:tcBorders>
            <w:vAlign w:val="center"/>
          </w:tcPr>
          <w:p w14:paraId="07209799">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O</w:t>
            </w:r>
            <w:r>
              <w:rPr>
                <w:rFonts w:hint="default" w:ascii="Times New Roman" w:hAnsi="Times New Roman" w:eastAsia="宋体" w:cs="Times New Roman"/>
                <w:kern w:val="2"/>
                <w:sz w:val="21"/>
                <w:szCs w:val="21"/>
                <w:highlight w:val="none"/>
                <w:vertAlign w:val="subscript"/>
              </w:rPr>
              <w:t>3</w:t>
            </w:r>
          </w:p>
        </w:tc>
        <w:tc>
          <w:tcPr>
            <w:tcW w:w="1017" w:type="pct"/>
            <w:tcBorders>
              <w:tl2br w:val="nil"/>
              <w:tr2bl w:val="nil"/>
            </w:tcBorders>
            <w:vAlign w:val="center"/>
          </w:tcPr>
          <w:p w14:paraId="5F3751BC">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最大8小时平均第90百分位数</w:t>
            </w:r>
          </w:p>
        </w:tc>
        <w:tc>
          <w:tcPr>
            <w:tcW w:w="953" w:type="pct"/>
            <w:tcBorders>
              <w:tl2br w:val="nil"/>
              <w:tr2bl w:val="nil"/>
            </w:tcBorders>
            <w:vAlign w:val="center"/>
          </w:tcPr>
          <w:p w14:paraId="13CECA8F">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132</w:t>
            </w:r>
          </w:p>
        </w:tc>
        <w:tc>
          <w:tcPr>
            <w:tcW w:w="981" w:type="pct"/>
            <w:tcBorders>
              <w:tl2br w:val="nil"/>
              <w:tr2bl w:val="nil"/>
            </w:tcBorders>
            <w:vAlign w:val="center"/>
          </w:tcPr>
          <w:p w14:paraId="038352FC">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160</w:t>
            </w:r>
          </w:p>
        </w:tc>
        <w:tc>
          <w:tcPr>
            <w:tcW w:w="1076" w:type="dxa"/>
            <w:tcBorders>
              <w:tl2br w:val="nil"/>
              <w:tr2bl w:val="nil"/>
            </w:tcBorders>
            <w:vAlign w:val="center"/>
          </w:tcPr>
          <w:p w14:paraId="3647C12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0"/>
                <w:highlight w:val="none"/>
                <w:lang w:val="en-US" w:eastAsia="en-US" w:bidi="en-US"/>
              </w:rPr>
            </w:pPr>
            <w:r>
              <w:rPr>
                <w:rFonts w:hint="default" w:ascii="Times New Roman" w:hAnsi="Times New Roman" w:eastAsia="宋体" w:cs="Times New Roman"/>
                <w:kern w:val="0"/>
                <w:sz w:val="21"/>
                <w:szCs w:val="20"/>
                <w:highlight w:val="none"/>
                <w:lang w:val="en-US" w:eastAsia="zh-CN" w:bidi="en-US"/>
              </w:rPr>
              <w:t>82.5%</w:t>
            </w:r>
          </w:p>
        </w:tc>
        <w:tc>
          <w:tcPr>
            <w:tcW w:w="631" w:type="pct"/>
            <w:tcBorders>
              <w:tl2br w:val="nil"/>
              <w:tr2bl w:val="nil"/>
            </w:tcBorders>
            <w:vAlign w:val="center"/>
          </w:tcPr>
          <w:p w14:paraId="17FB2EFA">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达标</w:t>
            </w:r>
          </w:p>
        </w:tc>
      </w:tr>
      <w:tr w14:paraId="31E66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tcBorders>
              <w:tl2br w:val="nil"/>
              <w:tr2bl w:val="nil"/>
            </w:tcBorders>
            <w:vAlign w:val="center"/>
          </w:tcPr>
          <w:p w14:paraId="220DF4F1">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21"/>
                <w:szCs w:val="21"/>
                <w:highlight w:val="none"/>
              </w:rPr>
            </w:pPr>
            <w:r>
              <w:rPr>
                <w:rFonts w:hint="default" w:ascii="Times New Roman" w:hAnsi="Times New Roman" w:eastAsia="宋体" w:cs="Times New Roman"/>
                <w:b/>
                <w:bCs/>
                <w:kern w:val="2"/>
                <w:sz w:val="21"/>
                <w:szCs w:val="21"/>
                <w:highlight w:val="none"/>
              </w:rPr>
              <w:t>PM</w:t>
            </w:r>
            <w:r>
              <w:rPr>
                <w:rFonts w:hint="default" w:ascii="Times New Roman" w:hAnsi="Times New Roman" w:eastAsia="宋体" w:cs="Times New Roman"/>
                <w:b/>
                <w:bCs/>
                <w:kern w:val="2"/>
                <w:sz w:val="21"/>
                <w:szCs w:val="21"/>
                <w:highlight w:val="none"/>
                <w:vertAlign w:val="subscript"/>
              </w:rPr>
              <w:t>2.5</w:t>
            </w:r>
          </w:p>
        </w:tc>
        <w:tc>
          <w:tcPr>
            <w:tcW w:w="1017" w:type="pct"/>
            <w:tcBorders>
              <w:tl2br w:val="nil"/>
              <w:tr2bl w:val="nil"/>
            </w:tcBorders>
            <w:vAlign w:val="center"/>
          </w:tcPr>
          <w:p w14:paraId="629721DD">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21"/>
                <w:szCs w:val="21"/>
                <w:highlight w:val="none"/>
              </w:rPr>
            </w:pPr>
            <w:r>
              <w:rPr>
                <w:rFonts w:hint="default" w:ascii="Times New Roman" w:hAnsi="Times New Roman" w:eastAsia="宋体" w:cs="Times New Roman"/>
                <w:b/>
                <w:bCs/>
                <w:kern w:val="2"/>
                <w:sz w:val="21"/>
                <w:szCs w:val="21"/>
                <w:highlight w:val="none"/>
              </w:rPr>
              <w:t>年平均浓度</w:t>
            </w:r>
          </w:p>
        </w:tc>
        <w:tc>
          <w:tcPr>
            <w:tcW w:w="953" w:type="pct"/>
            <w:tcBorders>
              <w:tl2br w:val="nil"/>
              <w:tr2bl w:val="nil"/>
            </w:tcBorders>
            <w:vAlign w:val="center"/>
          </w:tcPr>
          <w:p w14:paraId="70992248">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21"/>
                <w:szCs w:val="21"/>
                <w:highlight w:val="none"/>
              </w:rPr>
            </w:pPr>
            <w:r>
              <w:rPr>
                <w:rFonts w:hint="default" w:ascii="Times New Roman" w:hAnsi="Times New Roman" w:eastAsia="宋体" w:cs="Times New Roman"/>
                <w:b/>
                <w:bCs/>
                <w:kern w:val="2"/>
                <w:sz w:val="21"/>
                <w:szCs w:val="21"/>
                <w:highlight w:val="none"/>
              </w:rPr>
              <w:t>36.8</w:t>
            </w:r>
          </w:p>
        </w:tc>
        <w:tc>
          <w:tcPr>
            <w:tcW w:w="981" w:type="pct"/>
            <w:tcBorders>
              <w:tl2br w:val="nil"/>
              <w:tr2bl w:val="nil"/>
            </w:tcBorders>
            <w:vAlign w:val="center"/>
          </w:tcPr>
          <w:p w14:paraId="2B8E27A7">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21"/>
                <w:szCs w:val="21"/>
                <w:highlight w:val="none"/>
              </w:rPr>
            </w:pPr>
            <w:r>
              <w:rPr>
                <w:rFonts w:hint="default" w:ascii="Times New Roman" w:hAnsi="Times New Roman" w:eastAsia="宋体" w:cs="Times New Roman"/>
                <w:b/>
                <w:bCs/>
                <w:kern w:val="2"/>
                <w:sz w:val="21"/>
                <w:szCs w:val="21"/>
                <w:highlight w:val="none"/>
              </w:rPr>
              <w:t>35</w:t>
            </w:r>
          </w:p>
        </w:tc>
        <w:tc>
          <w:tcPr>
            <w:tcW w:w="1076" w:type="dxa"/>
            <w:tcBorders>
              <w:tl2br w:val="nil"/>
              <w:tr2bl w:val="nil"/>
            </w:tcBorders>
            <w:vAlign w:val="center"/>
          </w:tcPr>
          <w:p w14:paraId="77A0A3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0"/>
                <w:sz w:val="21"/>
                <w:szCs w:val="20"/>
                <w:highlight w:val="none"/>
                <w:lang w:val="en-US" w:eastAsia="en-US" w:bidi="en-US"/>
              </w:rPr>
            </w:pPr>
            <w:r>
              <w:rPr>
                <w:rFonts w:hint="default" w:ascii="Times New Roman" w:hAnsi="Times New Roman" w:eastAsia="宋体" w:cs="Times New Roman"/>
                <w:b/>
                <w:bCs/>
                <w:kern w:val="0"/>
                <w:sz w:val="21"/>
                <w:szCs w:val="20"/>
                <w:highlight w:val="none"/>
                <w:lang w:val="en-US" w:eastAsia="zh-CN" w:bidi="en-US"/>
              </w:rPr>
              <w:t>105.1%</w:t>
            </w:r>
          </w:p>
        </w:tc>
        <w:tc>
          <w:tcPr>
            <w:tcW w:w="631" w:type="pct"/>
            <w:tcBorders>
              <w:tl2br w:val="nil"/>
              <w:tr2bl w:val="nil"/>
            </w:tcBorders>
            <w:vAlign w:val="center"/>
          </w:tcPr>
          <w:p w14:paraId="62C6D266">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21"/>
                <w:szCs w:val="21"/>
                <w:highlight w:val="none"/>
              </w:rPr>
            </w:pPr>
            <w:r>
              <w:rPr>
                <w:rFonts w:hint="default" w:ascii="Times New Roman" w:hAnsi="Times New Roman" w:eastAsia="宋体" w:cs="Times New Roman"/>
                <w:b/>
                <w:bCs/>
                <w:kern w:val="2"/>
                <w:sz w:val="21"/>
                <w:szCs w:val="21"/>
                <w:highlight w:val="none"/>
              </w:rPr>
              <w:t>超标</w:t>
            </w:r>
          </w:p>
        </w:tc>
      </w:tr>
      <w:tr w14:paraId="3F0C3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tcBorders>
              <w:tl2br w:val="nil"/>
              <w:tr2bl w:val="nil"/>
            </w:tcBorders>
            <w:vAlign w:val="center"/>
          </w:tcPr>
          <w:p w14:paraId="083A5C2D">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PM</w:t>
            </w:r>
            <w:r>
              <w:rPr>
                <w:rFonts w:hint="default" w:ascii="Times New Roman" w:hAnsi="Times New Roman" w:eastAsia="宋体" w:cs="Times New Roman"/>
                <w:kern w:val="2"/>
                <w:sz w:val="21"/>
                <w:szCs w:val="21"/>
                <w:highlight w:val="none"/>
                <w:vertAlign w:val="subscript"/>
              </w:rPr>
              <w:t>10</w:t>
            </w:r>
          </w:p>
        </w:tc>
        <w:tc>
          <w:tcPr>
            <w:tcW w:w="1017" w:type="pct"/>
            <w:tcBorders>
              <w:tl2br w:val="nil"/>
              <w:tr2bl w:val="nil"/>
            </w:tcBorders>
            <w:vAlign w:val="center"/>
          </w:tcPr>
          <w:p w14:paraId="1AADDBEE">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年平均浓度</w:t>
            </w:r>
          </w:p>
        </w:tc>
        <w:tc>
          <w:tcPr>
            <w:tcW w:w="953" w:type="pct"/>
            <w:tcBorders>
              <w:tl2br w:val="nil"/>
              <w:tr2bl w:val="nil"/>
            </w:tcBorders>
            <w:vAlign w:val="center"/>
          </w:tcPr>
          <w:p w14:paraId="28E3F40B">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50.7</w:t>
            </w:r>
          </w:p>
        </w:tc>
        <w:tc>
          <w:tcPr>
            <w:tcW w:w="981" w:type="pct"/>
            <w:tcBorders>
              <w:tl2br w:val="nil"/>
              <w:tr2bl w:val="nil"/>
            </w:tcBorders>
            <w:vAlign w:val="center"/>
          </w:tcPr>
          <w:p w14:paraId="516EEA37">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70</w:t>
            </w:r>
          </w:p>
        </w:tc>
        <w:tc>
          <w:tcPr>
            <w:tcW w:w="1076" w:type="dxa"/>
            <w:tcBorders>
              <w:tl2br w:val="nil"/>
              <w:tr2bl w:val="nil"/>
            </w:tcBorders>
            <w:vAlign w:val="center"/>
          </w:tcPr>
          <w:p w14:paraId="30845C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0"/>
                <w:highlight w:val="none"/>
                <w:lang w:val="en-US" w:eastAsia="en-US" w:bidi="en-US"/>
              </w:rPr>
            </w:pPr>
            <w:r>
              <w:rPr>
                <w:rFonts w:hint="default" w:ascii="Times New Roman" w:hAnsi="Times New Roman" w:eastAsia="宋体" w:cs="Times New Roman"/>
                <w:kern w:val="0"/>
                <w:sz w:val="21"/>
                <w:szCs w:val="20"/>
                <w:highlight w:val="none"/>
                <w:lang w:val="en-US" w:eastAsia="zh-CN" w:bidi="en-US"/>
              </w:rPr>
              <w:t>72.4%</w:t>
            </w:r>
          </w:p>
        </w:tc>
        <w:tc>
          <w:tcPr>
            <w:tcW w:w="631" w:type="pct"/>
            <w:tcBorders>
              <w:tl2br w:val="nil"/>
              <w:tr2bl w:val="nil"/>
            </w:tcBorders>
            <w:vAlign w:val="center"/>
          </w:tcPr>
          <w:p w14:paraId="31B0807E">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达标</w:t>
            </w:r>
          </w:p>
        </w:tc>
      </w:tr>
    </w:tbl>
    <w:p w14:paraId="6E435466">
      <w:pPr>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bookmarkStart w:id="95" w:name="_Toc20609"/>
      <w:r>
        <w:rPr>
          <w:rFonts w:hint="default" w:ascii="Times New Roman" w:hAnsi="Times New Roman" w:eastAsia="宋体" w:cs="Times New Roman"/>
          <w:color w:val="auto"/>
          <w:sz w:val="24"/>
          <w:szCs w:val="24"/>
          <w:highlight w:val="none"/>
          <w:u w:val="none" w:color="auto"/>
        </w:rPr>
        <w:t>由上可知，项目所在区20</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年益阳市环境空气质量SO</w:t>
      </w:r>
      <w:r>
        <w:rPr>
          <w:rFonts w:hint="default" w:ascii="Times New Roman" w:hAnsi="Times New Roman" w:eastAsia="宋体" w:cs="Times New Roman"/>
          <w:color w:val="auto"/>
          <w:sz w:val="24"/>
          <w:szCs w:val="24"/>
          <w:highlight w:val="none"/>
          <w:u w:val="none" w:color="auto"/>
          <w:vertAlign w:val="subscript"/>
        </w:rPr>
        <w:t>2</w:t>
      </w:r>
      <w:r>
        <w:rPr>
          <w:rFonts w:hint="default" w:ascii="Times New Roman" w:hAnsi="Times New Roman" w:eastAsia="宋体" w:cs="Times New Roman"/>
          <w:color w:val="auto"/>
          <w:sz w:val="24"/>
          <w:szCs w:val="24"/>
          <w:highlight w:val="none"/>
          <w:u w:val="none" w:color="auto"/>
        </w:rPr>
        <w:t>、NO</w:t>
      </w:r>
      <w:r>
        <w:rPr>
          <w:rFonts w:hint="default" w:ascii="Times New Roman" w:hAnsi="Times New Roman" w:eastAsia="宋体" w:cs="Times New Roman"/>
          <w:color w:val="auto"/>
          <w:sz w:val="24"/>
          <w:szCs w:val="24"/>
          <w:highlight w:val="none"/>
          <w:u w:val="none" w:color="auto"/>
          <w:vertAlign w:val="subscript"/>
        </w:rPr>
        <w:t>2</w:t>
      </w:r>
      <w:r>
        <w:rPr>
          <w:rFonts w:hint="default" w:ascii="Times New Roman" w:hAnsi="Times New Roman" w:eastAsia="宋体" w:cs="Times New Roman"/>
          <w:color w:val="auto"/>
          <w:sz w:val="24"/>
          <w:szCs w:val="24"/>
          <w:highlight w:val="none"/>
          <w:u w:val="none" w:color="auto"/>
        </w:rPr>
        <w:t>、CO、O</w:t>
      </w:r>
      <w:r>
        <w:rPr>
          <w:rFonts w:hint="default" w:ascii="Times New Roman" w:hAnsi="Times New Roman" w:eastAsia="宋体" w:cs="Times New Roman"/>
          <w:color w:val="auto"/>
          <w:sz w:val="24"/>
          <w:szCs w:val="24"/>
          <w:highlight w:val="none"/>
          <w:u w:val="none" w:color="auto"/>
          <w:vertAlign w:val="subscript"/>
        </w:rPr>
        <w:t>3</w:t>
      </w:r>
      <w:r>
        <w:rPr>
          <w:rFonts w:hint="default" w:ascii="Times New Roman" w:hAnsi="Times New Roman" w:eastAsia="宋体" w:cs="Times New Roman"/>
          <w:color w:val="auto"/>
          <w:sz w:val="24"/>
          <w:szCs w:val="24"/>
          <w:highlight w:val="none"/>
          <w:u w:val="none" w:color="auto"/>
          <w:vertAlign w:val="baseline"/>
          <w:lang w:eastAsia="zh-CN"/>
        </w:rPr>
        <w:t>、</w:t>
      </w:r>
      <w:r>
        <w:rPr>
          <w:rFonts w:hint="default" w:ascii="Times New Roman" w:hAnsi="Times New Roman" w:eastAsia="宋体" w:cs="Times New Roman"/>
          <w:color w:val="auto"/>
          <w:sz w:val="24"/>
          <w:szCs w:val="24"/>
          <w:highlight w:val="none"/>
          <w:u w:val="none" w:color="auto"/>
        </w:rPr>
        <w:t>PM</w:t>
      </w:r>
      <w:r>
        <w:rPr>
          <w:rFonts w:hint="default" w:ascii="Times New Roman" w:hAnsi="Times New Roman" w:eastAsia="宋体" w:cs="Times New Roman"/>
          <w:color w:val="auto"/>
          <w:sz w:val="24"/>
          <w:szCs w:val="24"/>
          <w:highlight w:val="none"/>
          <w:u w:val="none" w:color="auto"/>
          <w:vertAlign w:val="subscript"/>
        </w:rPr>
        <w:t>10</w:t>
      </w:r>
      <w:r>
        <w:rPr>
          <w:rFonts w:hint="default" w:ascii="Times New Roman" w:hAnsi="Times New Roman" w:eastAsia="宋体" w:cs="Times New Roman"/>
          <w:color w:val="auto"/>
          <w:sz w:val="24"/>
          <w:szCs w:val="24"/>
          <w:highlight w:val="none"/>
          <w:u w:val="none" w:color="auto"/>
        </w:rPr>
        <w:t>的年平均质量浓度和其百分位数日平均质量浓度均可达到《环境空气质量标准》(GB3095-2012)中二级标准限值要求，但PM</w:t>
      </w:r>
      <w:r>
        <w:rPr>
          <w:rFonts w:hint="default" w:ascii="Times New Roman" w:hAnsi="Times New Roman" w:eastAsia="宋体" w:cs="Times New Roman"/>
          <w:color w:val="auto"/>
          <w:sz w:val="24"/>
          <w:szCs w:val="24"/>
          <w:highlight w:val="none"/>
          <w:u w:val="none" w:color="auto"/>
          <w:vertAlign w:val="subscript"/>
        </w:rPr>
        <w:t>2.5</w:t>
      </w:r>
      <w:r>
        <w:rPr>
          <w:rFonts w:hint="default" w:ascii="Times New Roman" w:hAnsi="Times New Roman" w:eastAsia="宋体" w:cs="Times New Roman"/>
          <w:color w:val="auto"/>
          <w:sz w:val="24"/>
          <w:szCs w:val="24"/>
          <w:highlight w:val="none"/>
          <w:u w:val="none" w:color="auto"/>
        </w:rPr>
        <w:t>的年平均质量浓度均出现超标。根据《环境影响评价技术导则 大气环境》</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HJ2.2-2018</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，判定本项目所在区域为非达标区。</w:t>
      </w:r>
    </w:p>
    <w:p w14:paraId="0869672C">
      <w:pPr>
        <w:widowControl/>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szCs w:val="24"/>
          <w:highlight w:val="none"/>
          <w:u w:val="none" w:color="auto"/>
        </w:rPr>
        <w:t>目前益阳市发布了《益阳市大气环境质量限期达标规划（2020-2025）》， 规划范围为益阳市行政区域，总面积12144平方公里。包括市辖3县（桃江、 安化、南县）、1市（沅江）、3区（资阳、赫山、大通湖区）和国家级益阳南县高新技术产业开发区。规划基准年为2017年，规划期限从2020年到2025年。总体目标：益阳市环境空气质量在2025年实现达标。近期规划到2024年， PM2.5、PM10年均浓度和特护期浓度显著下降，且PM10年均浓度实现达标。中期规划到2025年，PM2.5年均浓度低于35μg/m3，实现达标，O3污染形势得到有效遏制。规划期间，环境空气质量优良率稳步上升</w:t>
      </w:r>
      <w:r>
        <w:rPr>
          <w:rFonts w:hint="default" w:ascii="Times New Roman" w:hAnsi="Times New Roman" w:eastAsia="宋体" w:cs="Times New Roman"/>
          <w:color w:val="auto"/>
          <w:sz w:val="24"/>
          <w:highlight w:val="none"/>
          <w:u w:val="none" w:color="auto"/>
        </w:rPr>
        <w:t>。</w:t>
      </w:r>
    </w:p>
    <w:p w14:paraId="02879B1C">
      <w:pPr>
        <w:numPr>
          <w:ilvl w:val="2"/>
          <w:numId w:val="0"/>
        </w:numPr>
        <w:tabs>
          <w:tab w:val="left" w:pos="0"/>
        </w:tabs>
        <w:ind w:leftChars="0"/>
        <w:outlineLvl w:val="9"/>
        <w:rPr>
          <w:rFonts w:hint="default" w:ascii="Times New Roman" w:hAnsi="Times New Roman" w:eastAsia="宋体" w:cs="Times New Roman"/>
          <w:b/>
          <w:bCs/>
          <w:sz w:val="24"/>
          <w:szCs w:val="24"/>
          <w:highlight w:val="none"/>
          <w:lang w:val="en-US" w:eastAsia="zh-CN" w:bidi="ar-SA"/>
        </w:rPr>
      </w:pPr>
      <w:r>
        <w:rPr>
          <w:rFonts w:hint="default" w:ascii="Times New Roman" w:hAnsi="Times New Roman" w:eastAsia="宋体" w:cs="Times New Roman"/>
          <w:b/>
          <w:bCs/>
          <w:sz w:val="24"/>
          <w:szCs w:val="24"/>
          <w:highlight w:val="none"/>
          <w:lang w:val="en-US" w:eastAsia="zh-CN" w:bidi="ar-SA"/>
        </w:rPr>
        <w:tab/>
      </w:r>
      <w:r>
        <w:rPr>
          <w:rFonts w:hint="default" w:ascii="Times New Roman" w:hAnsi="Times New Roman" w:eastAsia="宋体" w:cs="Times New Roman"/>
          <w:b/>
          <w:bCs/>
          <w:sz w:val="24"/>
          <w:szCs w:val="24"/>
          <w:highlight w:val="none"/>
          <w:lang w:val="en-US" w:eastAsia="zh-CN" w:bidi="ar-SA"/>
        </w:rPr>
        <w:t>2、补充监测数据</w:t>
      </w:r>
      <w:bookmarkEnd w:id="95"/>
    </w:p>
    <w:p w14:paraId="18FD2F8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sz w:val="24"/>
          <w:szCs w:val="24"/>
          <w:highlight w:val="none"/>
          <w:u w:val="none" w:color="auto"/>
        </w:rPr>
        <w:t>为了解项目所在区域环境空气质量现状</w:t>
      </w: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highlight w:val="none"/>
          <w:u w:val="none" w:color="auto"/>
        </w:rPr>
        <w:t>本次</w:t>
      </w:r>
      <w:r>
        <w:rPr>
          <w:rFonts w:hint="default" w:ascii="Times New Roman" w:hAnsi="Times New Roman" w:cs="Times New Roman"/>
          <w:color w:val="auto"/>
          <w:highlight w:val="none"/>
          <w:u w:val="none" w:color="auto"/>
          <w:lang w:eastAsia="zh-CN"/>
        </w:rPr>
        <w:t>评价委托湖南瑞鉴检测有限公司于2025年10月18日~10月24日对</w:t>
      </w:r>
      <w:r>
        <w:rPr>
          <w:rFonts w:hint="default" w:ascii="Times New Roman" w:hAnsi="Times New Roman" w:cs="Times New Roman"/>
          <w:color w:val="auto"/>
          <w:highlight w:val="none"/>
          <w:u w:val="none" w:color="auto"/>
        </w:rPr>
        <w:t>特征因子H</w:t>
      </w:r>
      <w:r>
        <w:rPr>
          <w:rFonts w:hint="default" w:ascii="Times New Roman" w:hAnsi="Times New Roman" w:cs="Times New Roman"/>
          <w:color w:val="auto"/>
          <w:sz w:val="15"/>
          <w:szCs w:val="15"/>
          <w:highlight w:val="none"/>
          <w:u w:val="none" w:color="auto"/>
        </w:rPr>
        <w:t>2</w:t>
      </w:r>
      <w:r>
        <w:rPr>
          <w:rFonts w:hint="default" w:ascii="Times New Roman" w:hAnsi="Times New Roman" w:cs="Times New Roman"/>
          <w:color w:val="auto"/>
          <w:highlight w:val="none"/>
          <w:u w:val="none" w:color="auto"/>
        </w:rPr>
        <w:t>S、NH</w:t>
      </w:r>
      <w:r>
        <w:rPr>
          <w:rFonts w:hint="default" w:ascii="Times New Roman" w:hAnsi="Times New Roman" w:cs="Times New Roman"/>
          <w:color w:val="auto"/>
          <w:sz w:val="15"/>
          <w:szCs w:val="15"/>
          <w:highlight w:val="none"/>
          <w:u w:val="none" w:color="auto"/>
        </w:rPr>
        <w:t>3</w:t>
      </w:r>
      <w:r>
        <w:rPr>
          <w:rFonts w:hint="default" w:ascii="Times New Roman" w:hAnsi="Times New Roman" w:cs="Times New Roman"/>
          <w:color w:val="auto"/>
          <w:highlight w:val="none"/>
          <w:u w:val="none" w:color="auto"/>
          <w:lang w:eastAsia="zh-CN"/>
        </w:rPr>
        <w:t>进行了现状监测</w:t>
      </w:r>
      <w:r>
        <w:rPr>
          <w:rFonts w:hint="default" w:ascii="Times New Roman" w:hAnsi="Times New Roman" w:cs="Times New Roman"/>
          <w:color w:val="auto"/>
          <w:highlight w:val="none"/>
          <w:u w:val="none" w:color="auto"/>
        </w:rPr>
        <w:t>。</w:t>
      </w:r>
    </w:p>
    <w:p w14:paraId="089F617F">
      <w:pPr>
        <w:pStyle w:val="21"/>
        <w:spacing w:line="240" w:lineRule="auto"/>
        <w:ind w:firstLine="482"/>
        <w:jc w:val="center"/>
        <w:rPr>
          <w:rFonts w:hint="default" w:ascii="Times New Roman" w:hAnsi="Times New Roman" w:eastAsia="黑体" w:cs="Times New Roman"/>
          <w:color w:val="auto"/>
          <w:szCs w:val="24"/>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4</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szCs w:val="24"/>
          <w:highlight w:val="none"/>
          <w:u w:val="none" w:color="auto"/>
        </w:rPr>
        <w:t xml:space="preserve">  环境空气质量现状监测情况一览表</w:t>
      </w:r>
    </w:p>
    <w:p w14:paraId="446D31DF">
      <w:pPr>
        <w:spacing w:before="9" w:line="10" w:lineRule="exact"/>
        <w:ind w:firstLine="80"/>
        <w:rPr>
          <w:rFonts w:hint="default" w:ascii="Times New Roman" w:hAnsi="Times New Roman" w:cs="Times New Roman"/>
          <w:color w:val="auto"/>
          <w:sz w:val="4"/>
          <w:szCs w:val="4"/>
          <w:highlight w:val="none"/>
          <w:u w:val="none" w:color="auto"/>
        </w:rPr>
      </w:pPr>
    </w:p>
    <w:tbl>
      <w:tblPr>
        <w:tblStyle w:val="76"/>
        <w:tblW w:w="934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0"/>
        <w:gridCol w:w="1815"/>
        <w:gridCol w:w="2283"/>
        <w:gridCol w:w="3686"/>
      </w:tblGrid>
      <w:tr w14:paraId="4073B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1560" w:type="dxa"/>
            <w:vAlign w:val="center"/>
          </w:tcPr>
          <w:p w14:paraId="52EF23F4">
            <w:pPr>
              <w:pStyle w:val="192"/>
              <w:keepNext w:val="0"/>
              <w:keepLines w:val="0"/>
              <w:suppressLineNumbers w:val="0"/>
              <w:spacing w:before="0" w:beforeAutospacing="0" w:after="0" w:afterAutospacing="0"/>
              <w:ind w:left="0" w:right="0"/>
              <w:jc w:val="center"/>
              <w:rPr>
                <w:rFonts w:hint="default" w:ascii="Times New Roman" w:hAnsi="Times New Roman" w:eastAsia="Times New Roman" w:cs="Times New Roman"/>
                <w:b/>
                <w:bCs/>
                <w:color w:val="auto"/>
                <w:highlight w:val="none"/>
                <w:u w:val="none" w:color="auto"/>
              </w:rPr>
            </w:pPr>
            <w:r>
              <w:rPr>
                <w:rFonts w:hint="default" w:ascii="Times New Roman" w:hAnsi="Times New Roman" w:cs="Times New Roman"/>
                <w:b/>
                <w:bCs/>
                <w:color w:val="auto"/>
                <w:highlight w:val="none"/>
                <w:u w:val="none" w:color="auto"/>
              </w:rPr>
              <w:t>点位名称</w:t>
            </w:r>
          </w:p>
        </w:tc>
        <w:tc>
          <w:tcPr>
            <w:tcW w:w="1815" w:type="dxa"/>
            <w:vAlign w:val="center"/>
          </w:tcPr>
          <w:p w14:paraId="64C8912E">
            <w:pPr>
              <w:pStyle w:val="192"/>
              <w:keepNext w:val="0"/>
              <w:keepLines w:val="0"/>
              <w:suppressLineNumbers w:val="0"/>
              <w:spacing w:before="0" w:beforeAutospacing="0" w:after="0" w:afterAutospacing="0"/>
              <w:ind w:left="0" w:right="0"/>
              <w:jc w:val="center"/>
              <w:rPr>
                <w:rFonts w:hint="default" w:ascii="Times New Roman" w:hAnsi="Times New Roman" w:eastAsia="Times New Roman" w:cs="Times New Roman"/>
                <w:b/>
                <w:bCs/>
                <w:color w:val="auto"/>
                <w:highlight w:val="none"/>
                <w:u w:val="none" w:color="auto"/>
              </w:rPr>
            </w:pPr>
            <w:r>
              <w:rPr>
                <w:rFonts w:hint="default" w:ascii="Times New Roman" w:hAnsi="Times New Roman" w:cs="Times New Roman"/>
                <w:b/>
                <w:bCs/>
                <w:color w:val="auto"/>
                <w:highlight w:val="none"/>
                <w:u w:val="none" w:color="auto"/>
              </w:rPr>
              <w:t>监测项目</w:t>
            </w:r>
          </w:p>
        </w:tc>
        <w:tc>
          <w:tcPr>
            <w:tcW w:w="2283" w:type="dxa"/>
            <w:vAlign w:val="center"/>
          </w:tcPr>
          <w:p w14:paraId="48C7786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监测点位</w:t>
            </w:r>
          </w:p>
        </w:tc>
        <w:tc>
          <w:tcPr>
            <w:tcW w:w="3686" w:type="dxa"/>
            <w:vAlign w:val="center"/>
          </w:tcPr>
          <w:p w14:paraId="5FBFB29C">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监测时间、频次和要求</w:t>
            </w:r>
          </w:p>
        </w:tc>
      </w:tr>
      <w:tr w14:paraId="30846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1560" w:type="dxa"/>
            <w:vAlign w:val="center"/>
          </w:tcPr>
          <w:p w14:paraId="5551B84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G1</w:t>
            </w:r>
          </w:p>
        </w:tc>
        <w:tc>
          <w:tcPr>
            <w:tcW w:w="1815" w:type="dxa"/>
            <w:vMerge w:val="restart"/>
            <w:vAlign w:val="center"/>
          </w:tcPr>
          <w:p w14:paraId="51EFDA0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NH</w:t>
            </w:r>
            <w:r>
              <w:rPr>
                <w:rFonts w:hint="default" w:ascii="Times New Roman" w:hAnsi="Times New Roman" w:cs="Times New Roman"/>
                <w:color w:val="auto"/>
                <w:sz w:val="15"/>
                <w:szCs w:val="15"/>
                <w:highlight w:val="none"/>
                <w:u w:val="none" w:color="auto"/>
              </w:rPr>
              <w:t>3</w:t>
            </w:r>
            <w:r>
              <w:rPr>
                <w:rFonts w:hint="default" w:ascii="Times New Roman" w:hAnsi="Times New Roman" w:cs="Times New Roman"/>
                <w:color w:val="auto"/>
                <w:highlight w:val="none"/>
                <w:u w:val="none" w:color="auto"/>
              </w:rPr>
              <w:t>、H</w:t>
            </w:r>
            <w:r>
              <w:rPr>
                <w:rFonts w:hint="default" w:ascii="Times New Roman" w:hAnsi="Times New Roman" w:cs="Times New Roman"/>
                <w:color w:val="auto"/>
                <w:sz w:val="15"/>
                <w:szCs w:val="15"/>
                <w:highlight w:val="none"/>
                <w:u w:val="none" w:color="auto"/>
              </w:rPr>
              <w:t>2</w:t>
            </w:r>
            <w:r>
              <w:rPr>
                <w:rFonts w:hint="default" w:ascii="Times New Roman" w:hAnsi="Times New Roman" w:cs="Times New Roman"/>
                <w:color w:val="auto"/>
                <w:highlight w:val="none"/>
                <w:u w:val="none" w:color="auto"/>
              </w:rPr>
              <w:t>S</w:t>
            </w:r>
            <w:r>
              <w:rPr>
                <w:rFonts w:hint="default" w:ascii="Times New Roman" w:hAnsi="Times New Roman" w:cs="Times New Roman"/>
                <w:color w:val="auto"/>
                <w:highlight w:val="none"/>
                <w:u w:val="none" w:color="auto"/>
                <w:lang w:eastAsia="zh-CN"/>
              </w:rPr>
              <w:t>、臭气浓度</w:t>
            </w:r>
          </w:p>
        </w:tc>
        <w:tc>
          <w:tcPr>
            <w:tcW w:w="2283" w:type="dxa"/>
            <w:vAlign w:val="center"/>
          </w:tcPr>
          <w:p w14:paraId="5D7419C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eastAsia="zh-CN"/>
              </w:rPr>
              <w:t>厂址监测点</w:t>
            </w:r>
          </w:p>
        </w:tc>
        <w:tc>
          <w:tcPr>
            <w:tcW w:w="3686" w:type="dxa"/>
            <w:vMerge w:val="restart"/>
            <w:vAlign w:val="center"/>
          </w:tcPr>
          <w:p w14:paraId="0F5F4D8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2025年10月18日~10月24日，连续7天。同时记录监测期间地面风向、风速、湿度、气压和天气。</w:t>
            </w:r>
          </w:p>
        </w:tc>
      </w:tr>
      <w:tr w14:paraId="434BD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 w:hRule="atLeast"/>
          <w:jc w:val="center"/>
        </w:trPr>
        <w:tc>
          <w:tcPr>
            <w:tcW w:w="1560" w:type="dxa"/>
            <w:vAlign w:val="center"/>
          </w:tcPr>
          <w:p w14:paraId="5F5C794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G2</w:t>
            </w:r>
          </w:p>
        </w:tc>
        <w:tc>
          <w:tcPr>
            <w:tcW w:w="1815" w:type="dxa"/>
            <w:vMerge w:val="continue"/>
            <w:vAlign w:val="center"/>
          </w:tcPr>
          <w:p w14:paraId="32D60B9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283" w:type="dxa"/>
            <w:vAlign w:val="center"/>
          </w:tcPr>
          <w:p w14:paraId="3E8112D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eastAsia="zh-CN"/>
              </w:rPr>
              <w:t>下风向监测点</w:t>
            </w:r>
          </w:p>
        </w:tc>
        <w:tc>
          <w:tcPr>
            <w:tcW w:w="3686" w:type="dxa"/>
            <w:vMerge w:val="continue"/>
            <w:vAlign w:val="center"/>
          </w:tcPr>
          <w:p w14:paraId="2229E62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r>
    </w:tbl>
    <w:p w14:paraId="704AF63B">
      <w:pPr>
        <w:pStyle w:val="194"/>
        <w:spacing w:line="240" w:lineRule="auto"/>
        <w:ind w:firstLine="480"/>
        <w:rPr>
          <w:rFonts w:hint="default" w:ascii="Times New Roman" w:hAnsi="Times New Roman" w:cs="Times New Roman"/>
          <w:color w:val="FF0000"/>
          <w:highlight w:val="none"/>
          <w:u w:val="none" w:color="auto"/>
        </w:rPr>
      </w:pPr>
    </w:p>
    <w:p w14:paraId="280925F0">
      <w:pPr>
        <w:pStyle w:val="21"/>
        <w:spacing w:line="240" w:lineRule="auto"/>
        <w:ind w:firstLine="482"/>
        <w:jc w:val="center"/>
        <w:rPr>
          <w:rFonts w:hint="default" w:ascii="Times New Roman" w:hAnsi="Times New Roman" w:eastAsia="宋体" w:cs="Times New Roman"/>
          <w:color w:val="auto"/>
          <w:highlight w:val="none"/>
          <w:u w:val="none" w:color="auto"/>
        </w:rPr>
      </w:pPr>
    </w:p>
    <w:p w14:paraId="732AB7C0">
      <w:pPr>
        <w:pStyle w:val="21"/>
        <w:spacing w:line="240" w:lineRule="auto"/>
        <w:ind w:firstLine="482"/>
        <w:jc w:val="center"/>
        <w:rPr>
          <w:rFonts w:hint="default" w:ascii="Times New Roman" w:hAnsi="Times New Roman" w:eastAsia="宋体" w:cs="Times New Roman"/>
          <w:color w:val="auto"/>
          <w:highlight w:val="none"/>
          <w:u w:val="none" w:color="auto"/>
        </w:rPr>
      </w:pPr>
    </w:p>
    <w:p w14:paraId="69147DE7">
      <w:pPr>
        <w:pStyle w:val="21"/>
        <w:spacing w:line="240" w:lineRule="auto"/>
        <w:ind w:firstLine="482"/>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 xml:space="preserve">表 </w:t>
      </w:r>
      <w:r>
        <w:rPr>
          <w:rFonts w:hint="default" w:ascii="Times New Roman" w:hAnsi="Times New Roman" w:eastAsia="宋体" w:cs="Times New Roman"/>
          <w:color w:val="auto"/>
          <w:highlight w:val="none"/>
          <w:u w:val="none" w:color="auto"/>
        </w:rPr>
        <w:fldChar w:fldCharType="begin"/>
      </w:r>
      <w:r>
        <w:rPr>
          <w:rFonts w:hint="default" w:ascii="Times New Roman" w:hAnsi="Times New Roman" w:eastAsia="宋体" w:cs="Times New Roman"/>
          <w:color w:val="auto"/>
          <w:highlight w:val="none"/>
          <w:u w:val="none" w:color="auto"/>
        </w:rPr>
        <w:instrText xml:space="preserve"> STYLEREF 2 \s </w:instrText>
      </w:r>
      <w:r>
        <w:rPr>
          <w:rFonts w:hint="default" w:ascii="Times New Roman" w:hAnsi="Times New Roman" w:eastAsia="宋体"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4</w:t>
      </w:r>
      <w:r>
        <w:rPr>
          <w:rFonts w:hint="default" w:ascii="Times New Roman" w:hAnsi="Times New Roman" w:eastAsia="宋体" w:cs="Times New Roman"/>
          <w:color w:val="auto"/>
          <w:highlight w:val="none"/>
          <w:u w:val="none" w:color="auto"/>
        </w:rPr>
        <w:t>.2</w:t>
      </w:r>
      <w:r>
        <w:rPr>
          <w:rFonts w:hint="default" w:ascii="Times New Roman" w:hAnsi="Times New Roman" w:eastAsia="宋体" w:cs="Times New Roman"/>
          <w:color w:val="auto"/>
          <w:highlight w:val="none"/>
          <w:u w:val="none" w:color="auto"/>
        </w:rPr>
        <w:fldChar w:fldCharType="end"/>
      </w:r>
      <w:r>
        <w:rPr>
          <w:rFonts w:hint="default" w:ascii="Times New Roman" w:hAnsi="Times New Roman" w:eastAsia="宋体" w:cs="Times New Roman"/>
          <w:color w:val="auto"/>
          <w:highlight w:val="none"/>
          <w:u w:val="none" w:color="auto"/>
        </w:rPr>
        <w:noBreakHyphen/>
      </w:r>
      <w:r>
        <w:rPr>
          <w:rFonts w:hint="default" w:ascii="Times New Roman" w:hAnsi="Times New Roman" w:eastAsia="宋体"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 xml:space="preserve">  环境空气质量现状监测结果一栏表</w:t>
      </w:r>
      <w:r>
        <w:rPr>
          <w:rFonts w:hint="default" w:ascii="Times New Roman" w:hAnsi="Times New Roman" w:eastAsia="宋体" w:cs="Times New Roman"/>
          <w:color w:val="auto"/>
          <w:highlight w:val="none"/>
          <w:u w:val="none" w:color="auto"/>
        </w:rPr>
        <w:tab/>
      </w:r>
      <w:r>
        <w:rPr>
          <w:rFonts w:hint="default" w:ascii="Times New Roman" w:hAnsi="Times New Roman" w:eastAsia="宋体" w:cs="Times New Roman"/>
          <w:color w:val="auto"/>
          <w:highlight w:val="none"/>
          <w:u w:val="none" w:color="auto"/>
        </w:rPr>
        <w:t>单位：mg/m</w:t>
      </w:r>
      <w:r>
        <w:rPr>
          <w:rFonts w:hint="default" w:ascii="Times New Roman" w:hAnsi="Times New Roman" w:eastAsia="宋体" w:cs="Times New Roman"/>
          <w:color w:val="auto"/>
          <w:highlight w:val="none"/>
          <w:u w:val="none" w:color="auto"/>
          <w:vertAlign w:val="superscript"/>
        </w:rPr>
        <w:t>3</w:t>
      </w:r>
    </w:p>
    <w:p w14:paraId="228CB28E">
      <w:pPr>
        <w:spacing w:before="9" w:line="10" w:lineRule="exact"/>
        <w:ind w:firstLine="80"/>
        <w:rPr>
          <w:rFonts w:hint="default" w:ascii="Times New Roman" w:hAnsi="Times New Roman" w:cs="Times New Roman"/>
          <w:color w:val="FF0000"/>
          <w:sz w:val="4"/>
          <w:szCs w:val="4"/>
          <w:highlight w:val="none"/>
          <w:u w:val="none" w:color="auto"/>
        </w:rPr>
      </w:pPr>
    </w:p>
    <w:tbl>
      <w:tblPr>
        <w:tblStyle w:val="76"/>
        <w:tblW w:w="92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999"/>
        <w:gridCol w:w="779"/>
        <w:gridCol w:w="891"/>
        <w:gridCol w:w="899"/>
        <w:gridCol w:w="854"/>
        <w:gridCol w:w="812"/>
        <w:gridCol w:w="913"/>
        <w:gridCol w:w="959"/>
      </w:tblGrid>
      <w:tr w14:paraId="22771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1191" w:type="dxa"/>
            <w:vMerge w:val="restart"/>
            <w:tcBorders>
              <w:tl2br w:val="nil"/>
              <w:tr2bl w:val="nil"/>
            </w:tcBorders>
            <w:noWrap w:val="0"/>
            <w:vAlign w:val="center"/>
          </w:tcPr>
          <w:p w14:paraId="290BD37A">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采样日期</w:t>
            </w:r>
          </w:p>
        </w:tc>
        <w:tc>
          <w:tcPr>
            <w:tcW w:w="1999" w:type="dxa"/>
            <w:vMerge w:val="restart"/>
            <w:tcBorders>
              <w:tl2br w:val="nil"/>
              <w:tr2bl w:val="nil"/>
            </w:tcBorders>
            <w:noWrap w:val="0"/>
            <w:vAlign w:val="center"/>
          </w:tcPr>
          <w:p w14:paraId="3088C201">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snapToGrid w:val="0"/>
                <w:color w:val="auto"/>
                <w:sz w:val="21"/>
                <w:szCs w:val="21"/>
                <w:highlight w:val="none"/>
                <w:lang w:val="en-US" w:eastAsia="zh-CN"/>
              </w:rPr>
              <w:t>检测项目</w:t>
            </w:r>
          </w:p>
        </w:tc>
        <w:tc>
          <w:tcPr>
            <w:tcW w:w="779" w:type="dxa"/>
            <w:vMerge w:val="restart"/>
            <w:tcBorders>
              <w:tl2br w:val="nil"/>
              <w:tr2bl w:val="nil"/>
            </w:tcBorders>
            <w:noWrap w:val="0"/>
            <w:vAlign w:val="center"/>
          </w:tcPr>
          <w:p w14:paraId="3A403C42">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采样</w:t>
            </w:r>
          </w:p>
          <w:p w14:paraId="7F2226C8">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color w:val="auto"/>
                <w:sz w:val="21"/>
                <w:szCs w:val="20"/>
                <w:highlight w:val="none"/>
                <w:vertAlign w:val="baseline"/>
                <w:lang w:val="en-US" w:eastAsia="zh-CN"/>
              </w:rPr>
              <w:t>点位</w:t>
            </w:r>
          </w:p>
        </w:tc>
        <w:tc>
          <w:tcPr>
            <w:tcW w:w="3456" w:type="dxa"/>
            <w:gridSpan w:val="4"/>
            <w:tcBorders>
              <w:tl2br w:val="nil"/>
              <w:tr2bl w:val="nil"/>
            </w:tcBorders>
            <w:noWrap w:val="0"/>
            <w:vAlign w:val="center"/>
          </w:tcPr>
          <w:p w14:paraId="62A3A787">
            <w:pPr>
              <w:keepNext w:val="0"/>
              <w:keepLines w:val="0"/>
              <w:widowControl/>
              <w:suppressLineNumbers w:val="0"/>
              <w:autoSpaceDE/>
              <w:autoSpaceDN/>
              <w:spacing w:before="0" w:beforeAutospacing="0" w:after="0" w:afterAutospacing="0" w:line="240" w:lineRule="exact"/>
              <w:ind w:left="-77" w:leftChars="-32" w:right="-34" w:rightChars="-14" w:firstLine="19" w:firstLineChars="9"/>
              <w:jc w:val="center"/>
              <w:textAlignment w:val="baseline"/>
              <w:rPr>
                <w:rFonts w:hint="default" w:ascii="Times New Roman" w:hAnsi="Times New Roman" w:eastAsia="宋体" w:cs="Times New Roman"/>
                <w:b/>
                <w:bCs/>
                <w:snapToGrid w:val="0"/>
                <w:color w:val="auto"/>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检测</w:t>
            </w:r>
            <w:r>
              <w:rPr>
                <w:rFonts w:hint="default" w:ascii="Times New Roman" w:hAnsi="Times New Roman" w:eastAsia="宋体" w:cs="Times New Roman"/>
                <w:b/>
                <w:bCs/>
                <w:color w:val="auto"/>
                <w:sz w:val="21"/>
                <w:szCs w:val="21"/>
                <w:highlight w:val="none"/>
              </w:rPr>
              <w:t>结果</w:t>
            </w:r>
          </w:p>
        </w:tc>
        <w:tc>
          <w:tcPr>
            <w:tcW w:w="913" w:type="dxa"/>
            <w:vMerge w:val="restart"/>
            <w:tcBorders>
              <w:tl2br w:val="nil"/>
              <w:tr2bl w:val="nil"/>
            </w:tcBorders>
            <w:noWrap w:val="0"/>
            <w:vAlign w:val="center"/>
          </w:tcPr>
          <w:p w14:paraId="7B5AFFAD">
            <w:pPr>
              <w:keepNext w:val="0"/>
              <w:keepLines w:val="0"/>
              <w:widowControl/>
              <w:suppressLineNumbers w:val="0"/>
              <w:autoSpaceDE/>
              <w:autoSpaceDN/>
              <w:spacing w:before="0" w:beforeAutospacing="0" w:after="0" w:afterAutospacing="0" w:line="240" w:lineRule="exact"/>
              <w:ind w:left="-77" w:leftChars="-32" w:right="-34" w:rightChars="-14" w:firstLine="19" w:firstLineChars="9"/>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参考</w:t>
            </w:r>
          </w:p>
          <w:p w14:paraId="33277BE1">
            <w:pPr>
              <w:keepNext w:val="0"/>
              <w:keepLines w:val="0"/>
              <w:widowControl/>
              <w:suppressLineNumbers w:val="0"/>
              <w:autoSpaceDE/>
              <w:autoSpaceDN/>
              <w:spacing w:before="0" w:beforeAutospacing="0" w:after="0" w:afterAutospacing="0" w:line="240" w:lineRule="exact"/>
              <w:ind w:left="-77" w:leftChars="-32" w:right="-34" w:rightChars="-14" w:firstLine="19" w:firstLineChars="9"/>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限值</w:t>
            </w:r>
          </w:p>
        </w:tc>
        <w:tc>
          <w:tcPr>
            <w:tcW w:w="959" w:type="dxa"/>
            <w:vMerge w:val="restart"/>
            <w:tcBorders>
              <w:tl2br w:val="nil"/>
              <w:tr2bl w:val="nil"/>
            </w:tcBorders>
            <w:noWrap w:val="0"/>
            <w:vAlign w:val="center"/>
          </w:tcPr>
          <w:p w14:paraId="0BFFDAED">
            <w:pPr>
              <w:keepNext w:val="0"/>
              <w:keepLines w:val="0"/>
              <w:widowControl/>
              <w:suppressLineNumbers w:val="0"/>
              <w:autoSpaceDE/>
              <w:autoSpaceDN/>
              <w:spacing w:before="0" w:beforeAutospacing="0" w:after="0" w:afterAutospacing="0" w:line="240" w:lineRule="exact"/>
              <w:ind w:left="-77" w:leftChars="-32" w:right="-34" w:rightChars="-14" w:firstLine="19" w:firstLineChars="9"/>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达标情况</w:t>
            </w:r>
          </w:p>
        </w:tc>
      </w:tr>
      <w:tr w14:paraId="53850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1191" w:type="dxa"/>
            <w:vMerge w:val="continue"/>
            <w:tcBorders>
              <w:tl2br w:val="nil"/>
              <w:tr2bl w:val="nil"/>
            </w:tcBorders>
            <w:noWrap w:val="0"/>
            <w:vAlign w:val="center"/>
          </w:tcPr>
          <w:p w14:paraId="27F348A3">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eastAsia="zh-CN"/>
              </w:rPr>
            </w:pPr>
          </w:p>
        </w:tc>
        <w:tc>
          <w:tcPr>
            <w:tcW w:w="1999" w:type="dxa"/>
            <w:vMerge w:val="continue"/>
            <w:tcBorders>
              <w:tl2br w:val="nil"/>
              <w:tr2bl w:val="nil"/>
            </w:tcBorders>
            <w:noWrap w:val="0"/>
            <w:vAlign w:val="center"/>
          </w:tcPr>
          <w:p w14:paraId="41667D0C">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snapToGrid w:val="0"/>
                <w:color w:val="auto"/>
                <w:sz w:val="21"/>
                <w:szCs w:val="21"/>
                <w:highlight w:val="none"/>
                <w:lang w:val="en-US" w:eastAsia="zh-CN"/>
              </w:rPr>
            </w:pPr>
          </w:p>
        </w:tc>
        <w:tc>
          <w:tcPr>
            <w:tcW w:w="779" w:type="dxa"/>
            <w:vMerge w:val="continue"/>
            <w:tcBorders>
              <w:tl2br w:val="nil"/>
              <w:tr2bl w:val="nil"/>
            </w:tcBorders>
            <w:noWrap w:val="0"/>
            <w:vAlign w:val="center"/>
          </w:tcPr>
          <w:p w14:paraId="62B7679D">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rPr>
            </w:pPr>
          </w:p>
        </w:tc>
        <w:tc>
          <w:tcPr>
            <w:tcW w:w="891" w:type="dxa"/>
            <w:tcBorders>
              <w:tl2br w:val="nil"/>
              <w:tr2bl w:val="nil"/>
            </w:tcBorders>
            <w:noWrap w:val="0"/>
            <w:vAlign w:val="center"/>
          </w:tcPr>
          <w:p w14:paraId="5B144002">
            <w:pPr>
              <w:keepNext w:val="0"/>
              <w:keepLines w:val="0"/>
              <w:widowControl/>
              <w:suppressLineNumbers w:val="0"/>
              <w:autoSpaceDE/>
              <w:autoSpaceDN/>
              <w:spacing w:before="0" w:beforeAutospacing="0" w:after="0" w:afterAutospacing="0" w:line="240" w:lineRule="exact"/>
              <w:ind w:left="-77" w:leftChars="-32" w:right="-34" w:rightChars="-14" w:firstLine="19" w:firstLineChars="9"/>
              <w:jc w:val="center"/>
              <w:textAlignment w:val="baseline"/>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第一次</w:t>
            </w:r>
          </w:p>
        </w:tc>
        <w:tc>
          <w:tcPr>
            <w:tcW w:w="899" w:type="dxa"/>
            <w:tcBorders>
              <w:tl2br w:val="nil"/>
              <w:tr2bl w:val="nil"/>
            </w:tcBorders>
            <w:noWrap w:val="0"/>
            <w:vAlign w:val="center"/>
          </w:tcPr>
          <w:p w14:paraId="568320EE">
            <w:pPr>
              <w:keepNext w:val="0"/>
              <w:keepLines w:val="0"/>
              <w:widowControl/>
              <w:suppressLineNumbers w:val="0"/>
              <w:autoSpaceDE/>
              <w:autoSpaceDN/>
              <w:spacing w:before="0" w:beforeAutospacing="0" w:after="0" w:afterAutospacing="0" w:line="240" w:lineRule="exact"/>
              <w:ind w:left="-77" w:leftChars="-32" w:right="-34" w:rightChars="-14" w:firstLine="19" w:firstLineChars="9"/>
              <w:jc w:val="center"/>
              <w:textAlignment w:val="baseline"/>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第二次</w:t>
            </w:r>
          </w:p>
        </w:tc>
        <w:tc>
          <w:tcPr>
            <w:tcW w:w="854" w:type="dxa"/>
            <w:tcBorders>
              <w:tl2br w:val="nil"/>
              <w:tr2bl w:val="nil"/>
            </w:tcBorders>
            <w:noWrap w:val="0"/>
            <w:vAlign w:val="center"/>
          </w:tcPr>
          <w:p w14:paraId="5487686B">
            <w:pPr>
              <w:keepNext w:val="0"/>
              <w:keepLines w:val="0"/>
              <w:widowControl/>
              <w:suppressLineNumbers w:val="0"/>
              <w:autoSpaceDE/>
              <w:autoSpaceDN/>
              <w:spacing w:before="0" w:beforeAutospacing="0" w:after="0" w:afterAutospacing="0" w:line="240" w:lineRule="exact"/>
              <w:ind w:left="-77" w:leftChars="-32" w:right="-34" w:rightChars="-14" w:firstLine="19" w:firstLineChars="9"/>
              <w:jc w:val="center"/>
              <w:textAlignment w:val="baseline"/>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第三次</w:t>
            </w:r>
          </w:p>
        </w:tc>
        <w:tc>
          <w:tcPr>
            <w:tcW w:w="812" w:type="dxa"/>
            <w:tcBorders>
              <w:tl2br w:val="nil"/>
              <w:tr2bl w:val="nil"/>
            </w:tcBorders>
            <w:noWrap w:val="0"/>
            <w:vAlign w:val="center"/>
          </w:tcPr>
          <w:p w14:paraId="4EA59126">
            <w:pPr>
              <w:keepNext w:val="0"/>
              <w:keepLines w:val="0"/>
              <w:widowControl/>
              <w:suppressLineNumbers w:val="0"/>
              <w:autoSpaceDE/>
              <w:autoSpaceDN/>
              <w:spacing w:before="0" w:beforeAutospacing="0" w:after="0" w:afterAutospacing="0" w:line="240" w:lineRule="exact"/>
              <w:ind w:left="-77" w:leftChars="-32" w:right="-34" w:rightChars="-14" w:firstLine="19" w:firstLineChars="9"/>
              <w:jc w:val="center"/>
              <w:textAlignment w:val="baseline"/>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第四次</w:t>
            </w:r>
          </w:p>
        </w:tc>
        <w:tc>
          <w:tcPr>
            <w:tcW w:w="913" w:type="dxa"/>
            <w:vMerge w:val="continue"/>
            <w:tcBorders>
              <w:tl2br w:val="nil"/>
              <w:tr2bl w:val="nil"/>
            </w:tcBorders>
            <w:noWrap w:val="0"/>
            <w:vAlign w:val="center"/>
          </w:tcPr>
          <w:p w14:paraId="3C25C8B8">
            <w:pPr>
              <w:keepNext w:val="0"/>
              <w:keepLines w:val="0"/>
              <w:widowControl/>
              <w:suppressLineNumbers w:val="0"/>
              <w:autoSpaceDE/>
              <w:autoSpaceDN/>
              <w:spacing w:before="0" w:beforeAutospacing="0" w:after="0" w:afterAutospacing="0" w:line="240" w:lineRule="exact"/>
              <w:ind w:left="-77" w:leftChars="-32" w:right="-34" w:rightChars="-14" w:firstLine="19" w:firstLineChars="9"/>
              <w:jc w:val="center"/>
              <w:textAlignment w:val="baseline"/>
              <w:rPr>
                <w:rFonts w:hint="default" w:ascii="Times New Roman" w:hAnsi="Times New Roman" w:eastAsia="宋体" w:cs="Times New Roman"/>
                <w:b/>
                <w:bCs/>
                <w:color w:val="auto"/>
                <w:kern w:val="0"/>
                <w:sz w:val="21"/>
                <w:szCs w:val="21"/>
                <w:highlight w:val="none"/>
                <w:lang w:eastAsia="zh-CN"/>
              </w:rPr>
            </w:pPr>
          </w:p>
        </w:tc>
        <w:tc>
          <w:tcPr>
            <w:tcW w:w="959" w:type="dxa"/>
            <w:vMerge w:val="continue"/>
            <w:tcBorders>
              <w:tl2br w:val="nil"/>
              <w:tr2bl w:val="nil"/>
            </w:tcBorders>
            <w:noWrap w:val="0"/>
            <w:vAlign w:val="center"/>
          </w:tcPr>
          <w:p w14:paraId="00D4655D">
            <w:pPr>
              <w:keepNext w:val="0"/>
              <w:keepLines w:val="0"/>
              <w:widowControl/>
              <w:suppressLineNumbers w:val="0"/>
              <w:autoSpaceDE/>
              <w:autoSpaceDN/>
              <w:spacing w:before="0" w:beforeAutospacing="0" w:after="0" w:afterAutospacing="0" w:line="240" w:lineRule="exact"/>
              <w:ind w:left="-77" w:leftChars="-32" w:right="-34" w:rightChars="-14" w:firstLine="19" w:firstLineChars="9"/>
              <w:jc w:val="center"/>
              <w:textAlignment w:val="baseline"/>
              <w:rPr>
                <w:rFonts w:hint="default" w:ascii="Times New Roman" w:hAnsi="Times New Roman" w:eastAsia="宋体" w:cs="Times New Roman"/>
                <w:b/>
                <w:bCs/>
                <w:color w:val="auto"/>
                <w:kern w:val="0"/>
                <w:sz w:val="21"/>
                <w:szCs w:val="21"/>
                <w:highlight w:val="none"/>
                <w:lang w:eastAsia="zh-CN"/>
              </w:rPr>
            </w:pPr>
          </w:p>
        </w:tc>
      </w:tr>
      <w:tr w14:paraId="664EB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1" w:type="dxa"/>
            <w:vMerge w:val="restart"/>
            <w:tcBorders>
              <w:tl2br w:val="nil"/>
              <w:tr2bl w:val="nil"/>
            </w:tcBorders>
            <w:noWrap w:val="0"/>
            <w:vAlign w:val="center"/>
          </w:tcPr>
          <w:p w14:paraId="7A733770">
            <w:pPr>
              <w:keepNext w:val="0"/>
              <w:keepLines w:val="0"/>
              <w:widowControl/>
              <w:suppressLineNumbers w:val="0"/>
              <w:autoSpaceDE/>
              <w:autoSpaceDN/>
              <w:spacing w:before="0" w:beforeAutospacing="0" w:after="0" w:afterAutospacing="0" w:line="312" w:lineRule="atLeas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2025.10.18</w:t>
            </w:r>
          </w:p>
        </w:tc>
        <w:tc>
          <w:tcPr>
            <w:tcW w:w="1999" w:type="dxa"/>
            <w:tcBorders>
              <w:tl2br w:val="nil"/>
              <w:tr2bl w:val="nil"/>
            </w:tcBorders>
            <w:noWrap w:val="0"/>
            <w:vAlign w:val="center"/>
          </w:tcPr>
          <w:p w14:paraId="7F62370C">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restart"/>
            <w:tcBorders>
              <w:tl2br w:val="nil"/>
              <w:tr2bl w:val="nil"/>
            </w:tcBorders>
            <w:noWrap w:val="0"/>
            <w:vAlign w:val="center"/>
          </w:tcPr>
          <w:p w14:paraId="00C59C1E">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p w14:paraId="63C5F526">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厂址G1</w:t>
            </w:r>
          </w:p>
        </w:tc>
        <w:tc>
          <w:tcPr>
            <w:tcW w:w="891" w:type="dxa"/>
            <w:tcBorders>
              <w:tl2br w:val="nil"/>
              <w:tr2bl w:val="nil"/>
            </w:tcBorders>
            <w:noWrap w:val="0"/>
            <w:vAlign w:val="center"/>
          </w:tcPr>
          <w:p w14:paraId="1F7D41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899" w:type="dxa"/>
            <w:tcBorders>
              <w:tl2br w:val="nil"/>
              <w:tr2bl w:val="nil"/>
            </w:tcBorders>
            <w:noWrap w:val="0"/>
            <w:vAlign w:val="center"/>
          </w:tcPr>
          <w:p w14:paraId="73106D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54" w:type="dxa"/>
            <w:tcBorders>
              <w:tl2br w:val="nil"/>
              <w:tr2bl w:val="nil"/>
            </w:tcBorders>
            <w:noWrap w:val="0"/>
            <w:vAlign w:val="center"/>
          </w:tcPr>
          <w:p w14:paraId="5A776ED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812" w:type="dxa"/>
            <w:tcBorders>
              <w:tl2br w:val="nil"/>
              <w:tr2bl w:val="nil"/>
            </w:tcBorders>
            <w:noWrap w:val="0"/>
            <w:vAlign w:val="center"/>
          </w:tcPr>
          <w:p w14:paraId="5B7977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13" w:type="dxa"/>
            <w:tcBorders>
              <w:tl2br w:val="nil"/>
              <w:tr2bl w:val="nil"/>
            </w:tcBorders>
            <w:noWrap w:val="0"/>
            <w:vAlign w:val="center"/>
          </w:tcPr>
          <w:p w14:paraId="1F2565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526842C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1B7D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50B14D14">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6AFA90E6">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4BA32CAF">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69A594B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7CE9A7B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6834850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6D159B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1ADE2B9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69D2FB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54CCA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1F976F43">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2628D3B1">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3C39ACFA">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6B751A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02F02BE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6109204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493F43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3F1A62F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4190031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1517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91" w:type="dxa"/>
            <w:vMerge w:val="restart"/>
            <w:tcBorders>
              <w:tl2br w:val="nil"/>
              <w:tr2bl w:val="nil"/>
            </w:tcBorders>
            <w:noWrap w:val="0"/>
            <w:vAlign w:val="center"/>
          </w:tcPr>
          <w:p w14:paraId="584971DC">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2025.10.19</w:t>
            </w:r>
          </w:p>
        </w:tc>
        <w:tc>
          <w:tcPr>
            <w:tcW w:w="1999" w:type="dxa"/>
            <w:tcBorders>
              <w:tl2br w:val="nil"/>
              <w:tr2bl w:val="nil"/>
            </w:tcBorders>
            <w:noWrap w:val="0"/>
            <w:vAlign w:val="center"/>
          </w:tcPr>
          <w:p w14:paraId="28BF8627">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6A770AC7">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7AB9A4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899" w:type="dxa"/>
            <w:tcBorders>
              <w:tl2br w:val="nil"/>
              <w:tr2bl w:val="nil"/>
            </w:tcBorders>
            <w:noWrap w:val="0"/>
            <w:vAlign w:val="center"/>
          </w:tcPr>
          <w:p w14:paraId="599581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854" w:type="dxa"/>
            <w:tcBorders>
              <w:tl2br w:val="nil"/>
              <w:tr2bl w:val="nil"/>
            </w:tcBorders>
            <w:noWrap w:val="0"/>
            <w:vAlign w:val="center"/>
          </w:tcPr>
          <w:p w14:paraId="10D994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812" w:type="dxa"/>
            <w:tcBorders>
              <w:tl2br w:val="nil"/>
              <w:tr2bl w:val="nil"/>
            </w:tcBorders>
            <w:noWrap w:val="0"/>
            <w:vAlign w:val="center"/>
          </w:tcPr>
          <w:p w14:paraId="4DC750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913" w:type="dxa"/>
            <w:tcBorders>
              <w:tl2br w:val="nil"/>
              <w:tr2bl w:val="nil"/>
            </w:tcBorders>
            <w:noWrap w:val="0"/>
            <w:vAlign w:val="center"/>
          </w:tcPr>
          <w:p w14:paraId="499350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3BBAF9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52897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91" w:type="dxa"/>
            <w:vMerge w:val="continue"/>
            <w:tcBorders>
              <w:tl2br w:val="nil"/>
              <w:tr2bl w:val="nil"/>
            </w:tcBorders>
            <w:noWrap w:val="0"/>
            <w:vAlign w:val="center"/>
          </w:tcPr>
          <w:p w14:paraId="593FBE18">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451245AD">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012651E8">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1F2804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576671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25C03BA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6CFEBF2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6B888F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1E5D462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61D0B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0FBC1E24">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2B1699C5">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13D3EF51">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7A2F66E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04C152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0A03F88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709F38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57A5ED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764515D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B996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1" w:type="dxa"/>
            <w:vMerge w:val="restart"/>
            <w:tcBorders>
              <w:tl2br w:val="nil"/>
              <w:tr2bl w:val="nil"/>
            </w:tcBorders>
            <w:noWrap w:val="0"/>
            <w:vAlign w:val="center"/>
          </w:tcPr>
          <w:p w14:paraId="1755CC8A">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2025.10.20</w:t>
            </w:r>
          </w:p>
        </w:tc>
        <w:tc>
          <w:tcPr>
            <w:tcW w:w="1999" w:type="dxa"/>
            <w:tcBorders>
              <w:tl2br w:val="nil"/>
              <w:tr2bl w:val="nil"/>
            </w:tcBorders>
            <w:noWrap w:val="0"/>
            <w:vAlign w:val="center"/>
          </w:tcPr>
          <w:p w14:paraId="24AAD7DB">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36F3699A">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49F276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99" w:type="dxa"/>
            <w:tcBorders>
              <w:tl2br w:val="nil"/>
              <w:tr2bl w:val="nil"/>
            </w:tcBorders>
            <w:noWrap w:val="0"/>
            <w:vAlign w:val="center"/>
          </w:tcPr>
          <w:p w14:paraId="40DE828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54" w:type="dxa"/>
            <w:tcBorders>
              <w:tl2br w:val="nil"/>
              <w:tr2bl w:val="nil"/>
            </w:tcBorders>
            <w:noWrap w:val="0"/>
            <w:vAlign w:val="center"/>
          </w:tcPr>
          <w:p w14:paraId="2475B9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812" w:type="dxa"/>
            <w:tcBorders>
              <w:tl2br w:val="nil"/>
              <w:tr2bl w:val="nil"/>
            </w:tcBorders>
            <w:noWrap w:val="0"/>
            <w:vAlign w:val="center"/>
          </w:tcPr>
          <w:p w14:paraId="371990A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13" w:type="dxa"/>
            <w:tcBorders>
              <w:tl2br w:val="nil"/>
              <w:tr2bl w:val="nil"/>
            </w:tcBorders>
            <w:noWrap w:val="0"/>
            <w:vAlign w:val="center"/>
          </w:tcPr>
          <w:p w14:paraId="65EA969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46D8AD6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6B629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91" w:type="dxa"/>
            <w:vMerge w:val="continue"/>
            <w:tcBorders>
              <w:tl2br w:val="nil"/>
              <w:tr2bl w:val="nil"/>
            </w:tcBorders>
            <w:noWrap w:val="0"/>
            <w:vAlign w:val="center"/>
          </w:tcPr>
          <w:p w14:paraId="05F9C014">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35108ADA">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2FB608F8">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1F1556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6524BA0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21B9CE1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31838AB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118289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1CE659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17B1A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66894A2A">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2F804A79">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3F411657">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1FF780D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5AFD8E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432761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5C4353D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665BA0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7BA471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67CC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1" w:type="dxa"/>
            <w:vMerge w:val="restart"/>
            <w:tcBorders>
              <w:tl2br w:val="nil"/>
              <w:tr2bl w:val="nil"/>
            </w:tcBorders>
            <w:noWrap w:val="0"/>
            <w:vAlign w:val="center"/>
          </w:tcPr>
          <w:p w14:paraId="5A728E32">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2025.10.21</w:t>
            </w:r>
          </w:p>
        </w:tc>
        <w:tc>
          <w:tcPr>
            <w:tcW w:w="1999" w:type="dxa"/>
            <w:tcBorders>
              <w:tl2br w:val="nil"/>
              <w:tr2bl w:val="nil"/>
            </w:tcBorders>
            <w:noWrap w:val="0"/>
            <w:vAlign w:val="center"/>
          </w:tcPr>
          <w:p w14:paraId="11C53CD5">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52817B46">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27BFE8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99" w:type="dxa"/>
            <w:tcBorders>
              <w:tl2br w:val="nil"/>
              <w:tr2bl w:val="nil"/>
            </w:tcBorders>
            <w:noWrap w:val="0"/>
            <w:vAlign w:val="center"/>
          </w:tcPr>
          <w:p w14:paraId="07B35BF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54" w:type="dxa"/>
            <w:tcBorders>
              <w:tl2br w:val="nil"/>
              <w:tr2bl w:val="nil"/>
            </w:tcBorders>
            <w:noWrap w:val="0"/>
            <w:vAlign w:val="center"/>
          </w:tcPr>
          <w:p w14:paraId="05A620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812" w:type="dxa"/>
            <w:tcBorders>
              <w:tl2br w:val="nil"/>
              <w:tr2bl w:val="nil"/>
            </w:tcBorders>
            <w:noWrap w:val="0"/>
            <w:vAlign w:val="center"/>
          </w:tcPr>
          <w:p w14:paraId="40FC34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913" w:type="dxa"/>
            <w:tcBorders>
              <w:tl2br w:val="nil"/>
              <w:tr2bl w:val="nil"/>
            </w:tcBorders>
            <w:noWrap w:val="0"/>
            <w:vAlign w:val="center"/>
          </w:tcPr>
          <w:p w14:paraId="17C678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0E31144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F634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91" w:type="dxa"/>
            <w:vMerge w:val="continue"/>
            <w:tcBorders>
              <w:tl2br w:val="nil"/>
              <w:tr2bl w:val="nil"/>
            </w:tcBorders>
            <w:noWrap w:val="0"/>
            <w:vAlign w:val="center"/>
          </w:tcPr>
          <w:p w14:paraId="78FB4CDD">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7EE25054">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748B45BE">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3BAB7A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63BBABC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411F6FF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0B3B8C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107B191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0438B8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05656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0D2914E8">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3BF01725">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13780AA0">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565F5C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00A3960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67EF97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115DFF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1DE3A9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4FECD6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68B74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91" w:type="dxa"/>
            <w:vMerge w:val="restart"/>
            <w:tcBorders>
              <w:tl2br w:val="nil"/>
              <w:tr2bl w:val="nil"/>
            </w:tcBorders>
            <w:noWrap w:val="0"/>
            <w:vAlign w:val="center"/>
          </w:tcPr>
          <w:p w14:paraId="2320B6B7">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2025.10.22</w:t>
            </w:r>
          </w:p>
        </w:tc>
        <w:tc>
          <w:tcPr>
            <w:tcW w:w="1999" w:type="dxa"/>
            <w:tcBorders>
              <w:tl2br w:val="nil"/>
              <w:tr2bl w:val="nil"/>
            </w:tcBorders>
            <w:noWrap w:val="0"/>
            <w:vAlign w:val="center"/>
          </w:tcPr>
          <w:p w14:paraId="2FED428D">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4A86FF8B">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0861308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899" w:type="dxa"/>
            <w:tcBorders>
              <w:tl2br w:val="nil"/>
              <w:tr2bl w:val="nil"/>
            </w:tcBorders>
            <w:noWrap w:val="0"/>
            <w:vAlign w:val="center"/>
          </w:tcPr>
          <w:p w14:paraId="566EEE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54" w:type="dxa"/>
            <w:tcBorders>
              <w:tl2br w:val="nil"/>
              <w:tr2bl w:val="nil"/>
            </w:tcBorders>
            <w:noWrap w:val="0"/>
            <w:vAlign w:val="center"/>
          </w:tcPr>
          <w:p w14:paraId="5010CA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12" w:type="dxa"/>
            <w:tcBorders>
              <w:tl2br w:val="nil"/>
              <w:tr2bl w:val="nil"/>
            </w:tcBorders>
            <w:noWrap w:val="0"/>
            <w:vAlign w:val="center"/>
          </w:tcPr>
          <w:p w14:paraId="141F7EE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13" w:type="dxa"/>
            <w:tcBorders>
              <w:tl2br w:val="nil"/>
              <w:tr2bl w:val="nil"/>
            </w:tcBorders>
            <w:noWrap w:val="0"/>
            <w:vAlign w:val="center"/>
          </w:tcPr>
          <w:p w14:paraId="236504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217A01D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5FD62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29C98610">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6B60BE57">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063E8434">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32AA14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350DE4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10DD056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708DAB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65354B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13B423B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0D727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59C5ADFF">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46B5180B">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511B5C7F">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68C12A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27703A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5451D19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5A2CCB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07033C9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1EF4487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3063F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restart"/>
            <w:tcBorders>
              <w:tl2br w:val="nil"/>
              <w:tr2bl w:val="nil"/>
            </w:tcBorders>
            <w:noWrap w:val="0"/>
            <w:vAlign w:val="center"/>
          </w:tcPr>
          <w:p w14:paraId="64E6B1A3">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2025.10.23</w:t>
            </w:r>
          </w:p>
        </w:tc>
        <w:tc>
          <w:tcPr>
            <w:tcW w:w="1999" w:type="dxa"/>
            <w:tcBorders>
              <w:tl2br w:val="nil"/>
              <w:tr2bl w:val="nil"/>
            </w:tcBorders>
            <w:noWrap w:val="0"/>
            <w:vAlign w:val="center"/>
          </w:tcPr>
          <w:p w14:paraId="4AAB1D3D">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6DB84D2D">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243FEE8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899" w:type="dxa"/>
            <w:tcBorders>
              <w:tl2br w:val="nil"/>
              <w:tr2bl w:val="nil"/>
            </w:tcBorders>
            <w:noWrap w:val="0"/>
            <w:vAlign w:val="center"/>
          </w:tcPr>
          <w:p w14:paraId="1CC3ADC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854" w:type="dxa"/>
            <w:tcBorders>
              <w:tl2br w:val="nil"/>
              <w:tr2bl w:val="nil"/>
            </w:tcBorders>
            <w:noWrap w:val="0"/>
            <w:vAlign w:val="center"/>
          </w:tcPr>
          <w:p w14:paraId="1D40DD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12" w:type="dxa"/>
            <w:tcBorders>
              <w:tl2br w:val="nil"/>
              <w:tr2bl w:val="nil"/>
            </w:tcBorders>
            <w:noWrap w:val="0"/>
            <w:vAlign w:val="center"/>
          </w:tcPr>
          <w:p w14:paraId="15B5EB4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913" w:type="dxa"/>
            <w:tcBorders>
              <w:tl2br w:val="nil"/>
              <w:tr2bl w:val="nil"/>
            </w:tcBorders>
            <w:noWrap w:val="0"/>
            <w:vAlign w:val="center"/>
          </w:tcPr>
          <w:p w14:paraId="2389C5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553DD7A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C582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91" w:type="dxa"/>
            <w:vMerge w:val="continue"/>
            <w:tcBorders>
              <w:tl2br w:val="nil"/>
              <w:tr2bl w:val="nil"/>
            </w:tcBorders>
            <w:noWrap w:val="0"/>
            <w:vAlign w:val="center"/>
          </w:tcPr>
          <w:p w14:paraId="5F9D6D86">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1526EED6">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7DC692C7">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549EFC0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6911D50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51AF08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70AB4F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63958C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47FA9D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5FA5A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155D648B">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58BDAE8D">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0B765E07">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5F5A48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758CEC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0313B0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450628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6FDFD3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3FC8CB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3D9F0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1" w:type="dxa"/>
            <w:vMerge w:val="restart"/>
            <w:tcBorders>
              <w:tl2br w:val="nil"/>
              <w:tr2bl w:val="nil"/>
            </w:tcBorders>
            <w:noWrap w:val="0"/>
            <w:vAlign w:val="center"/>
          </w:tcPr>
          <w:p w14:paraId="0A6B1F99">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2025.10.24</w:t>
            </w:r>
          </w:p>
        </w:tc>
        <w:tc>
          <w:tcPr>
            <w:tcW w:w="1999" w:type="dxa"/>
            <w:tcBorders>
              <w:tl2br w:val="nil"/>
              <w:tr2bl w:val="nil"/>
            </w:tcBorders>
            <w:noWrap w:val="0"/>
            <w:vAlign w:val="center"/>
          </w:tcPr>
          <w:p w14:paraId="5F26F024">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58D44F8C">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1D3D6D7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99" w:type="dxa"/>
            <w:tcBorders>
              <w:tl2br w:val="nil"/>
              <w:tr2bl w:val="nil"/>
            </w:tcBorders>
            <w:noWrap w:val="0"/>
            <w:vAlign w:val="center"/>
          </w:tcPr>
          <w:p w14:paraId="3AA25DB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54" w:type="dxa"/>
            <w:tcBorders>
              <w:tl2br w:val="nil"/>
              <w:tr2bl w:val="nil"/>
            </w:tcBorders>
            <w:noWrap w:val="0"/>
            <w:vAlign w:val="center"/>
          </w:tcPr>
          <w:p w14:paraId="4D843A4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812" w:type="dxa"/>
            <w:tcBorders>
              <w:tl2br w:val="nil"/>
              <w:tr2bl w:val="nil"/>
            </w:tcBorders>
            <w:noWrap w:val="0"/>
            <w:vAlign w:val="center"/>
          </w:tcPr>
          <w:p w14:paraId="23B2CC4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913" w:type="dxa"/>
            <w:tcBorders>
              <w:tl2br w:val="nil"/>
              <w:tr2bl w:val="nil"/>
            </w:tcBorders>
            <w:noWrap w:val="0"/>
            <w:vAlign w:val="center"/>
          </w:tcPr>
          <w:p w14:paraId="6C2863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75312B7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0BD72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91" w:type="dxa"/>
            <w:vMerge w:val="continue"/>
            <w:tcBorders>
              <w:tl2br w:val="nil"/>
              <w:tr2bl w:val="nil"/>
            </w:tcBorders>
            <w:noWrap w:val="0"/>
            <w:vAlign w:val="center"/>
          </w:tcPr>
          <w:p w14:paraId="255D6685">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0EC59550">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54DD02E4">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498B95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76E448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6A0853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4183F6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3FDA5A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41144A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BD74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076BA65F">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43AE35D4">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4D9D2921">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5A4F98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26FCD4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34535E5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739D2BD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68859B2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1386AF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4704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91" w:type="dxa"/>
            <w:vMerge w:val="restart"/>
            <w:tcBorders>
              <w:tl2br w:val="nil"/>
              <w:tr2bl w:val="nil"/>
            </w:tcBorders>
            <w:noWrap w:val="0"/>
            <w:vAlign w:val="center"/>
          </w:tcPr>
          <w:p w14:paraId="555E8904">
            <w:pPr>
              <w:keepNext w:val="0"/>
              <w:keepLines w:val="0"/>
              <w:widowControl/>
              <w:suppressLineNumbers w:val="0"/>
              <w:autoSpaceDE/>
              <w:autoSpaceDN/>
              <w:spacing w:before="0" w:beforeAutospacing="0" w:after="0" w:afterAutospacing="0" w:line="312" w:lineRule="atLeas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2025.10.18</w:t>
            </w:r>
          </w:p>
        </w:tc>
        <w:tc>
          <w:tcPr>
            <w:tcW w:w="1999" w:type="dxa"/>
            <w:tcBorders>
              <w:tl2br w:val="nil"/>
              <w:tr2bl w:val="nil"/>
            </w:tcBorders>
            <w:noWrap w:val="0"/>
            <w:vAlign w:val="center"/>
          </w:tcPr>
          <w:p w14:paraId="256E8236">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restart"/>
            <w:tcBorders>
              <w:tl2br w:val="nil"/>
              <w:tr2bl w:val="nil"/>
            </w:tcBorders>
            <w:noWrap w:val="0"/>
            <w:vAlign w:val="center"/>
          </w:tcPr>
          <w:p w14:paraId="0C4607E5">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主导风向下风向G2</w:t>
            </w:r>
          </w:p>
        </w:tc>
        <w:tc>
          <w:tcPr>
            <w:tcW w:w="891" w:type="dxa"/>
            <w:tcBorders>
              <w:tl2br w:val="nil"/>
              <w:tr2bl w:val="nil"/>
            </w:tcBorders>
            <w:noWrap w:val="0"/>
            <w:vAlign w:val="center"/>
          </w:tcPr>
          <w:p w14:paraId="5A864E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99" w:type="dxa"/>
            <w:tcBorders>
              <w:tl2br w:val="nil"/>
              <w:tr2bl w:val="nil"/>
            </w:tcBorders>
            <w:noWrap w:val="0"/>
            <w:vAlign w:val="center"/>
          </w:tcPr>
          <w:p w14:paraId="0C7282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854" w:type="dxa"/>
            <w:tcBorders>
              <w:tl2br w:val="nil"/>
              <w:tr2bl w:val="nil"/>
            </w:tcBorders>
            <w:noWrap w:val="0"/>
            <w:vAlign w:val="center"/>
          </w:tcPr>
          <w:p w14:paraId="6B2726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812" w:type="dxa"/>
            <w:tcBorders>
              <w:tl2br w:val="nil"/>
              <w:tr2bl w:val="nil"/>
            </w:tcBorders>
            <w:noWrap w:val="0"/>
            <w:vAlign w:val="center"/>
          </w:tcPr>
          <w:p w14:paraId="13ACE9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913" w:type="dxa"/>
            <w:tcBorders>
              <w:tl2br w:val="nil"/>
              <w:tr2bl w:val="nil"/>
            </w:tcBorders>
            <w:noWrap w:val="0"/>
            <w:vAlign w:val="center"/>
          </w:tcPr>
          <w:p w14:paraId="09C499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77FF9FC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CCE6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91" w:type="dxa"/>
            <w:vMerge w:val="continue"/>
            <w:tcBorders>
              <w:tl2br w:val="nil"/>
              <w:tr2bl w:val="nil"/>
            </w:tcBorders>
            <w:noWrap w:val="0"/>
            <w:vAlign w:val="center"/>
          </w:tcPr>
          <w:p w14:paraId="0938C203">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659B9930">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156135B2">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2AC0276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278A47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57594B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7337B4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48B659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045F01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A312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285EF988">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38894CD2">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0A688E6F">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2863E5B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5DA17CE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76ACEE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1E26756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3ACC5D6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23EF742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5D47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91" w:type="dxa"/>
            <w:vMerge w:val="restart"/>
            <w:tcBorders>
              <w:tl2br w:val="nil"/>
              <w:tr2bl w:val="nil"/>
            </w:tcBorders>
            <w:noWrap w:val="0"/>
            <w:vAlign w:val="center"/>
          </w:tcPr>
          <w:p w14:paraId="5E7BDCE5">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2025.10.19</w:t>
            </w:r>
          </w:p>
        </w:tc>
        <w:tc>
          <w:tcPr>
            <w:tcW w:w="1999" w:type="dxa"/>
            <w:tcBorders>
              <w:tl2br w:val="nil"/>
              <w:tr2bl w:val="nil"/>
            </w:tcBorders>
            <w:noWrap w:val="0"/>
            <w:vAlign w:val="center"/>
          </w:tcPr>
          <w:p w14:paraId="2ECCB0FB">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49E6018E">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34FAE8D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99" w:type="dxa"/>
            <w:tcBorders>
              <w:tl2br w:val="nil"/>
              <w:tr2bl w:val="nil"/>
            </w:tcBorders>
            <w:noWrap w:val="0"/>
            <w:vAlign w:val="center"/>
          </w:tcPr>
          <w:p w14:paraId="395607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54" w:type="dxa"/>
            <w:tcBorders>
              <w:tl2br w:val="nil"/>
              <w:tr2bl w:val="nil"/>
            </w:tcBorders>
            <w:noWrap w:val="0"/>
            <w:vAlign w:val="center"/>
          </w:tcPr>
          <w:p w14:paraId="1E32340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812" w:type="dxa"/>
            <w:tcBorders>
              <w:tl2br w:val="nil"/>
              <w:tr2bl w:val="nil"/>
            </w:tcBorders>
            <w:noWrap w:val="0"/>
            <w:vAlign w:val="center"/>
          </w:tcPr>
          <w:p w14:paraId="07D92B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913" w:type="dxa"/>
            <w:tcBorders>
              <w:tl2br w:val="nil"/>
              <w:tr2bl w:val="nil"/>
            </w:tcBorders>
            <w:noWrap w:val="0"/>
            <w:vAlign w:val="center"/>
          </w:tcPr>
          <w:p w14:paraId="27D4585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4848DD4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03B4B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91" w:type="dxa"/>
            <w:vMerge w:val="continue"/>
            <w:tcBorders>
              <w:tl2br w:val="nil"/>
              <w:tr2bl w:val="nil"/>
            </w:tcBorders>
            <w:noWrap w:val="0"/>
            <w:vAlign w:val="center"/>
          </w:tcPr>
          <w:p w14:paraId="42961B81">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344D452B">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1046ED7D">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586911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2D4E491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7DD0500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28A8049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0A9F95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6FE921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3CD9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31605AC6">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37EF5473">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083B696E">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562F8BF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34C56BE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0250FFE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4AEFA8B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13E6BD3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78E4B42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D847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191" w:type="dxa"/>
            <w:vMerge w:val="restart"/>
            <w:tcBorders>
              <w:tl2br w:val="nil"/>
              <w:tr2bl w:val="nil"/>
            </w:tcBorders>
            <w:noWrap w:val="0"/>
            <w:vAlign w:val="center"/>
          </w:tcPr>
          <w:p w14:paraId="661C32B1">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2025.10.20</w:t>
            </w:r>
          </w:p>
        </w:tc>
        <w:tc>
          <w:tcPr>
            <w:tcW w:w="1999" w:type="dxa"/>
            <w:tcBorders>
              <w:tl2br w:val="nil"/>
              <w:tr2bl w:val="nil"/>
            </w:tcBorders>
            <w:noWrap w:val="0"/>
            <w:vAlign w:val="center"/>
          </w:tcPr>
          <w:p w14:paraId="2D8F1301">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693239D5">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4DD21B8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99" w:type="dxa"/>
            <w:tcBorders>
              <w:tl2br w:val="nil"/>
              <w:tr2bl w:val="nil"/>
            </w:tcBorders>
            <w:noWrap w:val="0"/>
            <w:vAlign w:val="center"/>
          </w:tcPr>
          <w:p w14:paraId="43184A0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854" w:type="dxa"/>
            <w:tcBorders>
              <w:tl2br w:val="nil"/>
              <w:tr2bl w:val="nil"/>
            </w:tcBorders>
            <w:noWrap w:val="0"/>
            <w:vAlign w:val="center"/>
          </w:tcPr>
          <w:p w14:paraId="347264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812" w:type="dxa"/>
            <w:tcBorders>
              <w:tl2br w:val="nil"/>
              <w:tr2bl w:val="nil"/>
            </w:tcBorders>
            <w:noWrap w:val="0"/>
            <w:vAlign w:val="center"/>
          </w:tcPr>
          <w:p w14:paraId="7DCB55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913" w:type="dxa"/>
            <w:tcBorders>
              <w:tl2br w:val="nil"/>
              <w:tr2bl w:val="nil"/>
            </w:tcBorders>
            <w:noWrap w:val="0"/>
            <w:vAlign w:val="center"/>
          </w:tcPr>
          <w:p w14:paraId="4AF8C35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56E310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3B4A4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191" w:type="dxa"/>
            <w:vMerge w:val="continue"/>
            <w:tcBorders>
              <w:tl2br w:val="nil"/>
              <w:tr2bl w:val="nil"/>
            </w:tcBorders>
            <w:noWrap w:val="0"/>
            <w:vAlign w:val="center"/>
          </w:tcPr>
          <w:p w14:paraId="0169CC11">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184156EE">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01A8BFEC">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24E352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50CE46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3FDEB0F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437182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5917DC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184D03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8139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63EF3E64">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34849DE0">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0AE3F4DA">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1DCC00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736845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3875EAC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68FF871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7C1F77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1F88CC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3A596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restart"/>
            <w:tcBorders>
              <w:tl2br w:val="nil"/>
              <w:tr2bl w:val="nil"/>
            </w:tcBorders>
            <w:noWrap w:val="0"/>
            <w:vAlign w:val="center"/>
          </w:tcPr>
          <w:p w14:paraId="5CB401EE">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2025.10.21</w:t>
            </w:r>
          </w:p>
        </w:tc>
        <w:tc>
          <w:tcPr>
            <w:tcW w:w="1999" w:type="dxa"/>
            <w:tcBorders>
              <w:tl2br w:val="nil"/>
              <w:tr2bl w:val="nil"/>
            </w:tcBorders>
            <w:noWrap w:val="0"/>
            <w:vAlign w:val="center"/>
          </w:tcPr>
          <w:p w14:paraId="26008BD0">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44887B40">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6EB2120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99" w:type="dxa"/>
            <w:tcBorders>
              <w:tl2br w:val="nil"/>
              <w:tr2bl w:val="nil"/>
            </w:tcBorders>
            <w:noWrap w:val="0"/>
            <w:vAlign w:val="center"/>
          </w:tcPr>
          <w:p w14:paraId="3A2BED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54" w:type="dxa"/>
            <w:tcBorders>
              <w:tl2br w:val="nil"/>
              <w:tr2bl w:val="nil"/>
            </w:tcBorders>
            <w:noWrap w:val="0"/>
            <w:vAlign w:val="center"/>
          </w:tcPr>
          <w:p w14:paraId="79D30E4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812" w:type="dxa"/>
            <w:tcBorders>
              <w:tl2br w:val="nil"/>
              <w:tr2bl w:val="nil"/>
            </w:tcBorders>
            <w:noWrap w:val="0"/>
            <w:vAlign w:val="center"/>
          </w:tcPr>
          <w:p w14:paraId="20AF7CD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913" w:type="dxa"/>
            <w:tcBorders>
              <w:tl2br w:val="nil"/>
              <w:tr2bl w:val="nil"/>
            </w:tcBorders>
            <w:noWrap w:val="0"/>
            <w:vAlign w:val="center"/>
          </w:tcPr>
          <w:p w14:paraId="1FFA5F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3F2EE9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1A8F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91" w:type="dxa"/>
            <w:vMerge w:val="continue"/>
            <w:tcBorders>
              <w:tl2br w:val="nil"/>
              <w:tr2bl w:val="nil"/>
            </w:tcBorders>
            <w:noWrap w:val="0"/>
            <w:vAlign w:val="center"/>
          </w:tcPr>
          <w:p w14:paraId="0AA87465">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36D09E27">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13CDACC1">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2734A5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7C99D4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6CEDDC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0049A2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33486B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2AF8F1D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C73F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4315E79E">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04BA0971">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5DCA038B">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41CFF5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5F0710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37FCEDF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4DC7AE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44605F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0F0D69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61785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191" w:type="dxa"/>
            <w:vMerge w:val="restart"/>
            <w:tcBorders>
              <w:tl2br w:val="nil"/>
              <w:tr2bl w:val="nil"/>
            </w:tcBorders>
            <w:noWrap w:val="0"/>
            <w:vAlign w:val="center"/>
          </w:tcPr>
          <w:p w14:paraId="7D886F91">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2025.10.22</w:t>
            </w:r>
          </w:p>
        </w:tc>
        <w:tc>
          <w:tcPr>
            <w:tcW w:w="1999" w:type="dxa"/>
            <w:tcBorders>
              <w:tl2br w:val="nil"/>
              <w:tr2bl w:val="nil"/>
            </w:tcBorders>
            <w:noWrap w:val="0"/>
            <w:vAlign w:val="center"/>
          </w:tcPr>
          <w:p w14:paraId="46B41111">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4E699210">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3D2558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99" w:type="dxa"/>
            <w:tcBorders>
              <w:tl2br w:val="nil"/>
              <w:tr2bl w:val="nil"/>
            </w:tcBorders>
            <w:noWrap w:val="0"/>
            <w:vAlign w:val="center"/>
          </w:tcPr>
          <w:p w14:paraId="276D9E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54" w:type="dxa"/>
            <w:tcBorders>
              <w:tl2br w:val="nil"/>
              <w:tr2bl w:val="nil"/>
            </w:tcBorders>
            <w:noWrap w:val="0"/>
            <w:vAlign w:val="center"/>
          </w:tcPr>
          <w:p w14:paraId="16A0D66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c>
          <w:tcPr>
            <w:tcW w:w="812" w:type="dxa"/>
            <w:tcBorders>
              <w:tl2br w:val="nil"/>
              <w:tr2bl w:val="nil"/>
            </w:tcBorders>
            <w:noWrap w:val="0"/>
            <w:vAlign w:val="center"/>
          </w:tcPr>
          <w:p w14:paraId="7EFFD2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13" w:type="dxa"/>
            <w:tcBorders>
              <w:tl2br w:val="nil"/>
              <w:tr2bl w:val="nil"/>
            </w:tcBorders>
            <w:noWrap w:val="0"/>
            <w:vAlign w:val="center"/>
          </w:tcPr>
          <w:p w14:paraId="00AC78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0BA24DA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6A5FB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91" w:type="dxa"/>
            <w:vMerge w:val="continue"/>
            <w:tcBorders>
              <w:tl2br w:val="nil"/>
              <w:tr2bl w:val="nil"/>
            </w:tcBorders>
            <w:noWrap w:val="0"/>
            <w:vAlign w:val="center"/>
          </w:tcPr>
          <w:p w14:paraId="70B52422">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5F938CB5">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62D1EEA3">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444E8A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4A9D5A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403555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59CD6A1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2EB1732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1592F22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D700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0973DB75">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6AFB2AF1">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2F2801C6">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4C24A6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4B144F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7481CE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0505F4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792433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1F4669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0AB0E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191" w:type="dxa"/>
            <w:vMerge w:val="restart"/>
            <w:tcBorders>
              <w:tl2br w:val="nil"/>
              <w:tr2bl w:val="nil"/>
            </w:tcBorders>
            <w:noWrap w:val="0"/>
            <w:vAlign w:val="center"/>
          </w:tcPr>
          <w:p w14:paraId="4CC13CC1">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2025.10.23</w:t>
            </w:r>
          </w:p>
        </w:tc>
        <w:tc>
          <w:tcPr>
            <w:tcW w:w="1999" w:type="dxa"/>
            <w:tcBorders>
              <w:tl2br w:val="nil"/>
              <w:tr2bl w:val="nil"/>
            </w:tcBorders>
            <w:noWrap w:val="0"/>
            <w:vAlign w:val="center"/>
          </w:tcPr>
          <w:p w14:paraId="5FC0A27A">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59B7546E">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4D98E3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99" w:type="dxa"/>
            <w:tcBorders>
              <w:tl2br w:val="nil"/>
              <w:tr2bl w:val="nil"/>
            </w:tcBorders>
            <w:noWrap w:val="0"/>
            <w:vAlign w:val="center"/>
          </w:tcPr>
          <w:p w14:paraId="2D0AADE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54" w:type="dxa"/>
            <w:tcBorders>
              <w:tl2br w:val="nil"/>
              <w:tr2bl w:val="nil"/>
            </w:tcBorders>
            <w:noWrap w:val="0"/>
            <w:vAlign w:val="center"/>
          </w:tcPr>
          <w:p w14:paraId="105DD8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12" w:type="dxa"/>
            <w:tcBorders>
              <w:tl2br w:val="nil"/>
              <w:tr2bl w:val="nil"/>
            </w:tcBorders>
            <w:noWrap w:val="0"/>
            <w:vAlign w:val="center"/>
          </w:tcPr>
          <w:p w14:paraId="7380FE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913" w:type="dxa"/>
            <w:tcBorders>
              <w:tl2br w:val="nil"/>
              <w:tr2bl w:val="nil"/>
            </w:tcBorders>
            <w:noWrap w:val="0"/>
            <w:vAlign w:val="center"/>
          </w:tcPr>
          <w:p w14:paraId="445ABA5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2AAE5EE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B934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91" w:type="dxa"/>
            <w:vMerge w:val="continue"/>
            <w:tcBorders>
              <w:tl2br w:val="nil"/>
              <w:tr2bl w:val="nil"/>
            </w:tcBorders>
            <w:noWrap w:val="0"/>
            <w:vAlign w:val="center"/>
          </w:tcPr>
          <w:p w14:paraId="77E2ED14">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4D8E94FD">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65984BEE">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73587FA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104006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47C427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1A3EB2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10537B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1CFD3D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1886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91" w:type="dxa"/>
            <w:vMerge w:val="continue"/>
            <w:tcBorders>
              <w:tl2br w:val="nil"/>
              <w:tr2bl w:val="nil"/>
            </w:tcBorders>
            <w:noWrap w:val="0"/>
            <w:vAlign w:val="center"/>
          </w:tcPr>
          <w:p w14:paraId="443FD0CC">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3983683B">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39E3A649">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0BB6E7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097054E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2E0EAB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7E87AD4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573884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28A38B4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FD61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91" w:type="dxa"/>
            <w:vMerge w:val="restart"/>
            <w:tcBorders>
              <w:tl2br w:val="nil"/>
              <w:tr2bl w:val="nil"/>
            </w:tcBorders>
            <w:noWrap w:val="0"/>
            <w:vAlign w:val="center"/>
          </w:tcPr>
          <w:p w14:paraId="5C6D2C77">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2025.10.24</w:t>
            </w:r>
          </w:p>
        </w:tc>
        <w:tc>
          <w:tcPr>
            <w:tcW w:w="1999" w:type="dxa"/>
            <w:tcBorders>
              <w:tl2br w:val="nil"/>
              <w:tr2bl w:val="nil"/>
            </w:tcBorders>
            <w:noWrap w:val="0"/>
            <w:vAlign w:val="center"/>
          </w:tcPr>
          <w:p w14:paraId="18EB266B">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258695DE">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0645CA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899" w:type="dxa"/>
            <w:tcBorders>
              <w:tl2br w:val="nil"/>
              <w:tr2bl w:val="nil"/>
            </w:tcBorders>
            <w:noWrap w:val="0"/>
            <w:vAlign w:val="center"/>
          </w:tcPr>
          <w:p w14:paraId="70D67C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854" w:type="dxa"/>
            <w:tcBorders>
              <w:tl2br w:val="nil"/>
              <w:tr2bl w:val="nil"/>
            </w:tcBorders>
            <w:noWrap w:val="0"/>
            <w:vAlign w:val="center"/>
          </w:tcPr>
          <w:p w14:paraId="462488E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812" w:type="dxa"/>
            <w:tcBorders>
              <w:tl2br w:val="nil"/>
              <w:tr2bl w:val="nil"/>
            </w:tcBorders>
            <w:noWrap w:val="0"/>
            <w:vAlign w:val="center"/>
          </w:tcPr>
          <w:p w14:paraId="5BB7EA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13" w:type="dxa"/>
            <w:tcBorders>
              <w:tl2br w:val="nil"/>
              <w:tr2bl w:val="nil"/>
            </w:tcBorders>
            <w:noWrap w:val="0"/>
            <w:vAlign w:val="center"/>
          </w:tcPr>
          <w:p w14:paraId="1BDF068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0.200</w:t>
            </w:r>
          </w:p>
        </w:tc>
        <w:tc>
          <w:tcPr>
            <w:tcW w:w="959" w:type="dxa"/>
            <w:tcBorders>
              <w:tl2br w:val="nil"/>
              <w:tr2bl w:val="nil"/>
            </w:tcBorders>
            <w:noWrap w:val="0"/>
            <w:vAlign w:val="center"/>
          </w:tcPr>
          <w:p w14:paraId="4ADDAE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652E48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1" w:type="dxa"/>
            <w:vMerge w:val="continue"/>
            <w:tcBorders>
              <w:tl2br w:val="nil"/>
              <w:tr2bl w:val="nil"/>
            </w:tcBorders>
            <w:noWrap w:val="0"/>
            <w:vAlign w:val="center"/>
          </w:tcPr>
          <w:p w14:paraId="131A88DE">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4997DD7C">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硫化氢（</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bidi="ar-SA"/>
              </w:rPr>
              <w:t>）</w:t>
            </w:r>
          </w:p>
        </w:tc>
        <w:tc>
          <w:tcPr>
            <w:tcW w:w="779" w:type="dxa"/>
            <w:vMerge w:val="continue"/>
            <w:tcBorders>
              <w:tl2br w:val="nil"/>
              <w:tr2bl w:val="nil"/>
            </w:tcBorders>
            <w:noWrap w:val="0"/>
            <w:vAlign w:val="center"/>
          </w:tcPr>
          <w:p w14:paraId="5223EB15">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25201F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99" w:type="dxa"/>
            <w:tcBorders>
              <w:tl2br w:val="nil"/>
              <w:tr2bl w:val="nil"/>
            </w:tcBorders>
            <w:noWrap w:val="0"/>
            <w:vAlign w:val="center"/>
          </w:tcPr>
          <w:p w14:paraId="53ECDAC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54" w:type="dxa"/>
            <w:tcBorders>
              <w:tl2br w:val="nil"/>
              <w:tr2bl w:val="nil"/>
            </w:tcBorders>
            <w:noWrap w:val="0"/>
            <w:vAlign w:val="center"/>
          </w:tcPr>
          <w:p w14:paraId="47C1DB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2" w:type="dxa"/>
            <w:tcBorders>
              <w:tl2br w:val="nil"/>
              <w:tr2bl w:val="nil"/>
            </w:tcBorders>
            <w:noWrap w:val="0"/>
            <w:vAlign w:val="center"/>
          </w:tcPr>
          <w:p w14:paraId="530C94D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3" w:type="dxa"/>
            <w:tcBorders>
              <w:tl2br w:val="nil"/>
              <w:tr2bl w:val="nil"/>
            </w:tcBorders>
            <w:noWrap w:val="0"/>
            <w:vAlign w:val="center"/>
          </w:tcPr>
          <w:p w14:paraId="4B09881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0.010</w:t>
            </w:r>
          </w:p>
        </w:tc>
        <w:tc>
          <w:tcPr>
            <w:tcW w:w="959" w:type="dxa"/>
            <w:tcBorders>
              <w:tl2br w:val="nil"/>
              <w:tr2bl w:val="nil"/>
            </w:tcBorders>
            <w:noWrap w:val="0"/>
            <w:vAlign w:val="center"/>
          </w:tcPr>
          <w:p w14:paraId="0190AF9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E0E1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91" w:type="dxa"/>
            <w:vMerge w:val="continue"/>
            <w:tcBorders>
              <w:tl2br w:val="nil"/>
              <w:tr2bl w:val="nil"/>
            </w:tcBorders>
            <w:noWrap w:val="0"/>
            <w:vAlign w:val="center"/>
          </w:tcPr>
          <w:p w14:paraId="26331EB8">
            <w:pPr>
              <w:keepNext w:val="0"/>
              <w:keepLines w:val="0"/>
              <w:widowControl/>
              <w:suppressLineNumbers w:val="0"/>
              <w:autoSpaceDE/>
              <w:autoSpaceDN/>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1999" w:type="dxa"/>
            <w:tcBorders>
              <w:tl2br w:val="nil"/>
              <w:tr2bl w:val="nil"/>
            </w:tcBorders>
            <w:noWrap w:val="0"/>
            <w:vAlign w:val="center"/>
          </w:tcPr>
          <w:p w14:paraId="3EF4ED7F">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*臭气浓度（无量纲）</w:t>
            </w:r>
          </w:p>
        </w:tc>
        <w:tc>
          <w:tcPr>
            <w:tcW w:w="779" w:type="dxa"/>
            <w:vMerge w:val="continue"/>
            <w:tcBorders>
              <w:tl2br w:val="nil"/>
              <w:tr2bl w:val="nil"/>
            </w:tcBorders>
            <w:noWrap w:val="0"/>
            <w:vAlign w:val="center"/>
          </w:tcPr>
          <w:p w14:paraId="7F32156A">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p>
        </w:tc>
        <w:tc>
          <w:tcPr>
            <w:tcW w:w="891" w:type="dxa"/>
            <w:tcBorders>
              <w:tl2br w:val="nil"/>
              <w:tr2bl w:val="nil"/>
            </w:tcBorders>
            <w:noWrap w:val="0"/>
            <w:vAlign w:val="center"/>
          </w:tcPr>
          <w:p w14:paraId="6F7BE4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99" w:type="dxa"/>
            <w:tcBorders>
              <w:tl2br w:val="nil"/>
              <w:tr2bl w:val="nil"/>
            </w:tcBorders>
            <w:noWrap w:val="0"/>
            <w:vAlign w:val="center"/>
          </w:tcPr>
          <w:p w14:paraId="20B16C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54" w:type="dxa"/>
            <w:tcBorders>
              <w:tl2br w:val="nil"/>
              <w:tr2bl w:val="nil"/>
            </w:tcBorders>
            <w:noWrap w:val="0"/>
            <w:vAlign w:val="center"/>
          </w:tcPr>
          <w:p w14:paraId="7C1D9E4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812" w:type="dxa"/>
            <w:tcBorders>
              <w:tl2br w:val="nil"/>
              <w:tr2bl w:val="nil"/>
            </w:tcBorders>
            <w:noWrap w:val="0"/>
            <w:vAlign w:val="center"/>
          </w:tcPr>
          <w:p w14:paraId="0756A9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&lt;10</w:t>
            </w:r>
          </w:p>
        </w:tc>
        <w:tc>
          <w:tcPr>
            <w:tcW w:w="913" w:type="dxa"/>
            <w:tcBorders>
              <w:tl2br w:val="nil"/>
              <w:tr2bl w:val="nil"/>
            </w:tcBorders>
            <w:noWrap w:val="0"/>
            <w:vAlign w:val="center"/>
          </w:tcPr>
          <w:p w14:paraId="2ACA53A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59" w:type="dxa"/>
            <w:tcBorders>
              <w:tl2br w:val="nil"/>
              <w:tr2bl w:val="nil"/>
            </w:tcBorders>
            <w:noWrap w:val="0"/>
            <w:vAlign w:val="center"/>
          </w:tcPr>
          <w:p w14:paraId="420307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14:paraId="5CB4E8E1">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由上表可知，</w:t>
      </w:r>
      <w:bookmarkStart w:id="96" w:name="_Hlk33550058"/>
      <w:r>
        <w:rPr>
          <w:rFonts w:hint="default" w:ascii="Times New Roman" w:hAnsi="Times New Roman" w:cs="Times New Roman"/>
          <w:color w:val="000000" w:themeColor="text1"/>
          <w:highlight w:val="none"/>
          <w:u w:val="none" w:color="auto"/>
          <w14:textFill>
            <w14:solidFill>
              <w14:schemeClr w14:val="tx1"/>
            </w14:solidFill>
          </w14:textFill>
        </w:rPr>
        <w:t>污水处理厂拟建地</w:t>
      </w:r>
      <w:r>
        <w:rPr>
          <w:rFonts w:hint="default" w:ascii="Times New Roman" w:hAnsi="Times New Roman" w:cs="Times New Roman"/>
          <w:color w:val="000000" w:themeColor="text1"/>
          <w:highlight w:val="none"/>
          <w:u w:val="none" w:color="auto"/>
          <w:lang w:eastAsia="zh-CN"/>
          <w14:textFill>
            <w14:solidFill>
              <w14:schemeClr w14:val="tx1"/>
            </w14:solidFill>
          </w14:textFill>
        </w:rPr>
        <w:t>周围</w:t>
      </w:r>
      <w:r>
        <w:rPr>
          <w:rFonts w:hint="default" w:ascii="Times New Roman" w:hAnsi="Times New Roman" w:cs="Times New Roman"/>
          <w:color w:val="000000" w:themeColor="text1"/>
          <w:highlight w:val="none"/>
          <w:u w:val="none" w:color="auto"/>
          <w14:textFill>
            <w14:solidFill>
              <w14:schemeClr w14:val="tx1"/>
            </w14:solidFill>
          </w14:textFill>
        </w:rPr>
        <w:t>硫化氢和氨满足《环境影响评价导则大气环境》（HJ2.2-2018）导则中D.1其他污染物空气质量浓度参考限值。</w:t>
      </w:r>
      <w:bookmarkEnd w:id="96"/>
      <w:r>
        <w:rPr>
          <w:rFonts w:hint="default" w:ascii="Times New Roman" w:hAnsi="Times New Roman" w:cs="Times New Roman"/>
          <w:color w:val="000000" w:themeColor="text1"/>
          <w:highlight w:val="none"/>
          <w:u w:val="none" w:color="auto"/>
          <w14:textFill>
            <w14:solidFill>
              <w14:schemeClr w14:val="tx1"/>
            </w14:solidFill>
          </w14:textFill>
        </w:rPr>
        <w:t>说明项目拟建地环境空气质量较好。</w:t>
      </w:r>
    </w:p>
    <w:p w14:paraId="44267B17">
      <w:pPr>
        <w:pStyle w:val="4"/>
        <w:numPr>
          <w:ilvl w:val="1"/>
          <w:numId w:val="0"/>
        </w:numPr>
        <w:ind w:leftChars="0"/>
        <w:outlineLvl w:val="2"/>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pPr>
      <w:bookmarkStart w:id="97" w:name="_Toc3468"/>
      <w:r>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t>4.2.3 地表水环境质量现状调查与评价</w:t>
      </w:r>
      <w:bookmarkEnd w:id="97"/>
    </w:p>
    <w:p w14:paraId="3DCB9B92">
      <w:pPr>
        <w:pStyle w:val="335"/>
        <w:keepNext w:val="0"/>
        <w:keepLines w:val="0"/>
        <w:pageBreakBefore w:val="0"/>
        <w:widowControl/>
        <w:kinsoku/>
        <w:wordWrap/>
        <w:overflowPunct/>
        <w:topLinePunct w:val="0"/>
        <w:autoSpaceDE/>
        <w:autoSpaceDN/>
        <w:bidi w:val="0"/>
        <w:adjustRightInd/>
        <w:snapToGrid/>
        <w:spacing w:before="0" w:beforeLines="0"/>
        <w:ind w:firstLine="480" w:firstLineChars="200"/>
        <w:jc w:val="left"/>
        <w:textAlignment w:val="auto"/>
        <w:rPr>
          <w:rFonts w:hint="default" w:ascii="Times New Roman" w:hAnsi="Times New Roman" w:eastAsia="宋体" w:cs="Times New Roman"/>
          <w:b w:val="0"/>
          <w:bCs/>
          <w:color w:val="000000" w:themeColor="text1"/>
          <w:szCs w:val="24"/>
          <w:highlight w:val="none"/>
          <w:u w:val="wave" w:color="auto"/>
          <w:lang w:val="en-US" w:eastAsia="zh-CN"/>
          <w14:textFill>
            <w14:solidFill>
              <w14:schemeClr w14:val="tx1"/>
            </w14:solidFill>
          </w14:textFill>
        </w:rPr>
      </w:pPr>
      <w:r>
        <w:rPr>
          <w:rFonts w:hint="eastAsia" w:ascii="Times New Roman" w:hAnsi="Times New Roman" w:eastAsia="宋体" w:cs="Times New Roman"/>
          <w:b w:val="0"/>
          <w:bCs/>
          <w:color w:val="000000" w:themeColor="text1"/>
          <w:szCs w:val="24"/>
          <w:highlight w:val="none"/>
          <w:u w:val="wave" w:color="auto"/>
          <w:lang w:val="en-US" w:eastAsia="zh-CN"/>
          <w14:textFill>
            <w14:solidFill>
              <w14:schemeClr w14:val="tx1"/>
            </w14:solidFill>
          </w14:textFill>
        </w:rPr>
        <w:t>（1）现状监测数据</w:t>
      </w:r>
    </w:p>
    <w:p w14:paraId="0A057348">
      <w:pPr>
        <w:pStyle w:val="335"/>
        <w:keepNext w:val="0"/>
        <w:keepLines w:val="0"/>
        <w:pageBreakBefore w:val="0"/>
        <w:widowControl/>
        <w:kinsoku/>
        <w:wordWrap/>
        <w:overflowPunct/>
        <w:topLinePunct w:val="0"/>
        <w:autoSpaceDE/>
        <w:autoSpaceDN/>
        <w:bidi w:val="0"/>
        <w:adjustRightInd/>
        <w:snapToGrid/>
        <w:spacing w:before="0" w:beforeLines="0"/>
        <w:ind w:firstLine="480" w:firstLineChars="200"/>
        <w:jc w:val="left"/>
        <w:textAlignment w:val="auto"/>
        <w:rPr>
          <w:rFonts w:hint="default" w:ascii="Times New Roman" w:hAnsi="Times New Roman" w:eastAsia="宋体" w:cs="Times New Roman"/>
          <w:b/>
          <w:bCs/>
          <w:color w:val="000000" w:themeColor="text1"/>
          <w:kern w:val="2"/>
          <w:sz w:val="24"/>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Cs w:val="24"/>
          <w:highlight w:val="none"/>
          <w:u w:val="wave" w:color="auto"/>
          <w:lang w:val="en-US" w:eastAsia="zh-CN"/>
          <w14:textFill>
            <w14:solidFill>
              <w14:schemeClr w14:val="tx1"/>
            </w14:solidFill>
          </w14:textFill>
        </w:rPr>
        <w:t>项目尾水排放口位于机排二十渠，并经机排二十渠汇入老三运河。</w:t>
      </w:r>
      <w:r>
        <w:rPr>
          <w:rFonts w:hint="default" w:ascii="Times New Roman" w:hAnsi="Times New Roman" w:eastAsia="宋体" w:cs="Times New Roman"/>
          <w:b w:val="0"/>
          <w:bCs/>
          <w:color w:val="000000" w:themeColor="text1"/>
          <w:szCs w:val="24"/>
          <w:highlight w:val="none"/>
          <w:u w:val="wave" w:color="auto"/>
          <w14:textFill>
            <w14:solidFill>
              <w14:schemeClr w14:val="tx1"/>
            </w14:solidFill>
          </w14:textFill>
        </w:rPr>
        <w:t>为了解项目区域地表水环境质量现状，本次评价委托</w:t>
      </w:r>
      <w:r>
        <w:rPr>
          <w:rFonts w:hint="default" w:ascii="Times New Roman" w:hAnsi="Times New Roman" w:eastAsia="宋体" w:cs="Times New Roman"/>
          <w:b w:val="0"/>
          <w:bCs/>
          <w:color w:val="000000" w:themeColor="text1"/>
          <w:szCs w:val="24"/>
          <w:highlight w:val="none"/>
          <w:u w:val="wave" w:color="auto"/>
          <w:lang w:eastAsia="zh-CN"/>
          <w14:textFill>
            <w14:solidFill>
              <w14:schemeClr w14:val="tx1"/>
            </w14:solidFill>
          </w14:textFill>
        </w:rPr>
        <w:t>湖南瑞鉴检测有限公司</w:t>
      </w:r>
      <w:r>
        <w:rPr>
          <w:rFonts w:hint="default" w:ascii="Times New Roman" w:hAnsi="Times New Roman" w:eastAsia="宋体" w:cs="Times New Roman"/>
          <w:b w:val="0"/>
          <w:bCs/>
          <w:color w:val="000000" w:themeColor="text1"/>
          <w:szCs w:val="24"/>
          <w:highlight w:val="none"/>
          <w:u w:val="wave" w:color="auto"/>
          <w:lang w:val="en-US" w:eastAsia="zh-CN"/>
          <w14:textFill>
            <w14:solidFill>
              <w14:schemeClr w14:val="tx1"/>
            </w14:solidFill>
          </w14:textFill>
        </w:rPr>
        <w:t>于2025年10月18日-2025年10月20日</w:t>
      </w:r>
      <w:r>
        <w:rPr>
          <w:rFonts w:hint="default" w:ascii="Times New Roman" w:hAnsi="Times New Roman" w:eastAsia="宋体" w:cs="Times New Roman"/>
          <w:b w:val="0"/>
          <w:bCs/>
          <w:color w:val="000000" w:themeColor="text1"/>
          <w:szCs w:val="24"/>
          <w:highlight w:val="none"/>
          <w:u w:val="wave" w:color="auto"/>
          <w:lang w:eastAsia="zh-CN"/>
          <w14:textFill>
            <w14:solidFill>
              <w14:schemeClr w14:val="tx1"/>
            </w14:solidFill>
          </w14:textFill>
        </w:rPr>
        <w:t>对</w:t>
      </w:r>
      <w:r>
        <w:rPr>
          <w:rFonts w:hint="default" w:ascii="Times New Roman" w:hAnsi="Times New Roman" w:eastAsia="宋体" w:cs="Times New Roman"/>
          <w:b w:val="0"/>
          <w:bCs/>
          <w:color w:val="000000" w:themeColor="text1"/>
          <w:szCs w:val="24"/>
          <w:highlight w:val="none"/>
          <w:u w:val="wave" w:color="auto"/>
          <w:lang w:val="en-US" w:eastAsia="zh-CN"/>
          <w14:textFill>
            <w14:solidFill>
              <w14:schemeClr w14:val="tx1"/>
            </w14:solidFill>
          </w14:textFill>
        </w:rPr>
        <w:t>项目尾水排入水体机排二十渠及老三运河</w:t>
      </w:r>
      <w:r>
        <w:rPr>
          <w:rFonts w:hint="default" w:ascii="Times New Roman" w:hAnsi="Times New Roman" w:eastAsia="宋体" w:cs="Times New Roman"/>
          <w:b w:val="0"/>
          <w:bCs/>
          <w:color w:val="000000" w:themeColor="text1"/>
          <w:szCs w:val="24"/>
          <w:highlight w:val="none"/>
          <w:u w:val="wave" w:color="auto"/>
          <w:lang w:eastAsia="zh-CN"/>
          <w14:textFill>
            <w14:solidFill>
              <w14:schemeClr w14:val="tx1"/>
            </w14:solidFill>
          </w14:textFill>
        </w:rPr>
        <w:t>进行了现状监测</w:t>
      </w:r>
      <w:r>
        <w:rPr>
          <w:rFonts w:hint="default" w:ascii="Times New Roman" w:hAnsi="Times New Roman" w:eastAsia="宋体" w:cs="Times New Roman"/>
          <w:b w:val="0"/>
          <w:bCs/>
          <w:color w:val="000000" w:themeColor="text1"/>
          <w:szCs w:val="24"/>
          <w:highlight w:val="none"/>
          <w:u w:val="wave" w:color="auto"/>
          <w14:textFill>
            <w14:solidFill>
              <w14:schemeClr w14:val="tx1"/>
            </w14:solidFill>
          </w14:textFill>
        </w:rPr>
        <w:t>，监测结果</w:t>
      </w:r>
      <w:r>
        <w:rPr>
          <w:rFonts w:hint="default" w:ascii="Times New Roman" w:hAnsi="Times New Roman" w:eastAsia="宋体" w:cs="Times New Roman"/>
          <w:b w:val="0"/>
          <w:bCs/>
          <w:color w:val="000000" w:themeColor="text1"/>
          <w:szCs w:val="24"/>
          <w:highlight w:val="none"/>
          <w:u w:val="wave" w:color="auto"/>
          <w:lang w:eastAsia="zh-CN"/>
          <w14:textFill>
            <w14:solidFill>
              <w14:schemeClr w14:val="tx1"/>
            </w14:solidFill>
          </w14:textFill>
        </w:rPr>
        <w:t>见</w:t>
      </w:r>
      <w:r>
        <w:rPr>
          <w:rFonts w:hint="default" w:ascii="Times New Roman" w:hAnsi="Times New Roman" w:eastAsia="宋体" w:cs="Times New Roman"/>
          <w:b w:val="0"/>
          <w:bCs/>
          <w:color w:val="000000" w:themeColor="text1"/>
          <w:szCs w:val="24"/>
          <w:highlight w:val="none"/>
          <w:u w:val="wave" w:color="auto"/>
          <w14:textFill>
            <w14:solidFill>
              <w14:schemeClr w14:val="tx1"/>
            </w14:solidFill>
          </w14:textFill>
        </w:rPr>
        <w:t>表</w:t>
      </w:r>
      <w:r>
        <w:rPr>
          <w:rFonts w:hint="default" w:ascii="Times New Roman" w:hAnsi="Times New Roman" w:eastAsia="宋体" w:cs="Times New Roman"/>
          <w:b w:val="0"/>
          <w:bCs/>
          <w:color w:val="000000" w:themeColor="text1"/>
          <w:szCs w:val="24"/>
          <w:highlight w:val="none"/>
          <w:u w:val="wave" w:color="auto"/>
          <w:lang w:val="en-US" w:eastAsia="zh-CN"/>
          <w14:textFill>
            <w14:solidFill>
              <w14:schemeClr w14:val="tx1"/>
            </w14:solidFill>
          </w14:textFill>
        </w:rPr>
        <w:t>4.2-3。</w:t>
      </w:r>
    </w:p>
    <w:p w14:paraId="60743D6B">
      <w:pPr>
        <w:rPr>
          <w:rFonts w:hint="default" w:ascii="Times New Roman" w:hAnsi="Times New Roman" w:cs="Times New Roman"/>
          <w:color w:val="0000FF"/>
          <w:highlight w:val="none"/>
          <w:u w:val="wave" w:color="auto"/>
        </w:rPr>
      </w:pPr>
      <w:r>
        <w:rPr>
          <w:rFonts w:hint="default" w:ascii="Times New Roman" w:hAnsi="Times New Roman" w:cs="Times New Roman"/>
          <w:color w:val="0000FF"/>
          <w:highlight w:val="none"/>
          <w:u w:val="wave" w:color="auto"/>
        </w:rPr>
        <w:br w:type="page"/>
      </w:r>
    </w:p>
    <w:p w14:paraId="79A63B0A">
      <w:pPr>
        <w:pStyle w:val="194"/>
        <w:spacing w:line="240" w:lineRule="auto"/>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表</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3 地表水环境质量监测情况一览表</w:t>
      </w:r>
    </w:p>
    <w:tbl>
      <w:tblPr>
        <w:tblStyle w:val="76"/>
        <w:tblW w:w="89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382"/>
        <w:gridCol w:w="4573"/>
        <w:gridCol w:w="1223"/>
      </w:tblGrid>
      <w:tr w14:paraId="3FA7A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tblHeader/>
          <w:jc w:val="center"/>
        </w:trPr>
        <w:tc>
          <w:tcPr>
            <w:tcW w:w="780" w:type="dxa"/>
            <w:tcBorders>
              <w:tl2br w:val="nil"/>
              <w:tr2bl w:val="nil"/>
            </w:tcBorders>
            <w:noWrap w:val="0"/>
            <w:vAlign w:val="center"/>
          </w:tcPr>
          <w:p w14:paraId="798E81C0">
            <w:pPr>
              <w:keepNext w:val="0"/>
              <w:keepLines w:val="0"/>
              <w:suppressLineNumbers w:val="0"/>
              <w:autoSpaceDE/>
              <w:autoSpaceDN/>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color w:val="000000" w:themeColor="text1"/>
                <w:sz w:val="21"/>
                <w:szCs w:val="21"/>
                <w:highlight w:val="none"/>
                <w:u w:val="wave" w:color="auto"/>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14:textFill>
                  <w14:solidFill>
                    <w14:schemeClr w14:val="tx1"/>
                  </w14:solidFill>
                </w14:textFill>
              </w:rPr>
              <w:t>类别</w:t>
            </w:r>
          </w:p>
        </w:tc>
        <w:tc>
          <w:tcPr>
            <w:tcW w:w="2382" w:type="dxa"/>
            <w:tcBorders>
              <w:tl2br w:val="nil"/>
              <w:tr2bl w:val="nil"/>
            </w:tcBorders>
            <w:noWrap w:val="0"/>
            <w:vAlign w:val="center"/>
          </w:tcPr>
          <w:p w14:paraId="3F13894E">
            <w:pPr>
              <w:keepNext w:val="0"/>
              <w:keepLines w:val="0"/>
              <w:suppressLineNumbers w:val="0"/>
              <w:autoSpaceDE/>
              <w:autoSpaceDN/>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t>点位名称</w:t>
            </w:r>
          </w:p>
        </w:tc>
        <w:tc>
          <w:tcPr>
            <w:tcW w:w="4573" w:type="dxa"/>
            <w:tcBorders>
              <w:tl2br w:val="nil"/>
              <w:tr2bl w:val="nil"/>
            </w:tcBorders>
            <w:noWrap w:val="0"/>
            <w:vAlign w:val="center"/>
          </w:tcPr>
          <w:p w14:paraId="56B8B4EF">
            <w:pPr>
              <w:keepNext w:val="0"/>
              <w:keepLines w:val="0"/>
              <w:suppressLineNumbers w:val="0"/>
              <w:autoSpaceDE/>
              <w:autoSpaceDN/>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t>检测项目</w:t>
            </w:r>
          </w:p>
        </w:tc>
        <w:tc>
          <w:tcPr>
            <w:tcW w:w="1223" w:type="dxa"/>
            <w:tcBorders>
              <w:tl2br w:val="nil"/>
              <w:tr2bl w:val="nil"/>
            </w:tcBorders>
            <w:noWrap w:val="0"/>
            <w:vAlign w:val="center"/>
          </w:tcPr>
          <w:p w14:paraId="01105C3E">
            <w:pPr>
              <w:keepNext w:val="0"/>
              <w:keepLines w:val="0"/>
              <w:suppressLineNumbers w:val="0"/>
              <w:autoSpaceDE/>
              <w:autoSpaceDN/>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wave" w:color="auto"/>
                <w:lang w:val="en-US" w:eastAsia="zh-CN"/>
                <w14:textFill>
                  <w14:solidFill>
                    <w14:schemeClr w14:val="tx1"/>
                  </w14:solidFill>
                </w14:textFill>
              </w:rPr>
              <w:t>监测时间、频次</w:t>
            </w:r>
          </w:p>
        </w:tc>
      </w:tr>
      <w:tr w14:paraId="708BB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5" w:hRule="atLeast"/>
          <w:jc w:val="center"/>
        </w:trPr>
        <w:tc>
          <w:tcPr>
            <w:tcW w:w="780" w:type="dxa"/>
            <w:tcBorders>
              <w:tl2br w:val="nil"/>
              <w:tr2bl w:val="nil"/>
            </w:tcBorders>
            <w:noWrap w:val="0"/>
            <w:vAlign w:val="center"/>
          </w:tcPr>
          <w:p w14:paraId="371CF491">
            <w:pPr>
              <w:keepNext w:val="0"/>
              <w:keepLines w:val="0"/>
              <w:suppressLineNumbers w:val="0"/>
              <w:autoSpaceDE/>
              <w:autoSpaceDN/>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地表水</w:t>
            </w:r>
          </w:p>
        </w:tc>
        <w:tc>
          <w:tcPr>
            <w:tcW w:w="2382" w:type="dxa"/>
            <w:tcBorders>
              <w:tl2br w:val="nil"/>
              <w:tr2bl w:val="nil"/>
            </w:tcBorders>
            <w:noWrap w:val="0"/>
            <w:vAlign w:val="center"/>
          </w:tcPr>
          <w:p w14:paraId="7BBA52C4">
            <w:pPr>
              <w:keepNext w:val="0"/>
              <w:keepLines w:val="0"/>
              <w:widowControl w:val="0"/>
              <w:suppressLineNumbers w:val="0"/>
              <w:adjustRightInd w:val="0"/>
              <w:spacing w:before="0" w:beforeAutospacing="0" w:after="0" w:afterAutospacing="0" w:line="312" w:lineRule="atLeast"/>
              <w:ind w:left="0" w:leftChars="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W1：污水排口上游 200m（机排二十渠）、W2：污水排口下游 300m（机排二十渠）W3：机排二十渠与</w:t>
            </w:r>
            <w:r>
              <w:rPr>
                <w:rFonts w:hint="default" w:ascii="Times New Roman" w:hAnsi="Times New Roman" w:cs="Times New Roman"/>
                <w:color w:val="000000" w:themeColor="text1"/>
                <w:sz w:val="21"/>
                <w:szCs w:val="21"/>
                <w:highlight w:val="none"/>
                <w:u w:val="wave" w:color="auto"/>
                <w:lang w:val="en-US" w:eastAsia="zh-CN" w:bidi="ar-SA"/>
                <w14:textFill>
                  <w14:solidFill>
                    <w14:schemeClr w14:val="tx1"/>
                  </w14:solidFill>
                </w14:textFill>
              </w:rPr>
              <w:t>老三运河</w:t>
            </w: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交汇处上游 200m、W4：机排二十渠与</w:t>
            </w:r>
            <w:r>
              <w:rPr>
                <w:rFonts w:hint="default" w:ascii="Times New Roman" w:hAnsi="Times New Roman" w:cs="Times New Roman"/>
                <w:color w:val="000000" w:themeColor="text1"/>
                <w:sz w:val="21"/>
                <w:szCs w:val="21"/>
                <w:highlight w:val="none"/>
                <w:u w:val="wave" w:color="auto"/>
                <w:lang w:val="en-US" w:eastAsia="zh-CN" w:bidi="ar-SA"/>
                <w14:textFill>
                  <w14:solidFill>
                    <w14:schemeClr w14:val="tx1"/>
                  </w14:solidFill>
                </w14:textFill>
              </w:rPr>
              <w:t>老三运河</w:t>
            </w: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交汇处下游 500m</w:t>
            </w:r>
          </w:p>
        </w:tc>
        <w:tc>
          <w:tcPr>
            <w:tcW w:w="4573" w:type="dxa"/>
            <w:tcBorders>
              <w:tl2br w:val="nil"/>
              <w:tr2bl w:val="nil"/>
            </w:tcBorders>
            <w:noWrap w:val="0"/>
            <w:vAlign w:val="center"/>
          </w:tcPr>
          <w:p w14:paraId="6DD42C9D">
            <w:pPr>
              <w:keepNext w:val="0"/>
              <w:keepLines w:val="0"/>
              <w:widowControl w:val="0"/>
              <w:suppressLineNumbers w:val="0"/>
              <w:adjustRightInd w:val="0"/>
              <w:spacing w:before="0" w:beforeAutospacing="0" w:after="0" w:afterAutospacing="0" w:line="312" w:lineRule="atLeast"/>
              <w:ind w:left="0" w:leftChars="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pH、流量、水温、化学需氧量、五日生化需氧量、氨氮、总磷、总氮、悬浮物、石油类、高锰酸盐指数、溶解氧、铜、锌、氟化物、砷、硒、汞、镉、六价铬、铅、氰化物、挥发酚、硫化物、阴离子表面活性剂、粪大肠菌群</w:t>
            </w:r>
          </w:p>
        </w:tc>
        <w:tc>
          <w:tcPr>
            <w:tcW w:w="1223" w:type="dxa"/>
            <w:tcBorders>
              <w:tl2br w:val="nil"/>
              <w:tr2bl w:val="nil"/>
            </w:tcBorders>
            <w:noWrap w:val="0"/>
            <w:vAlign w:val="center"/>
          </w:tcPr>
          <w:p w14:paraId="37DD5874">
            <w:pPr>
              <w:keepNext w:val="0"/>
              <w:keepLines w:val="0"/>
              <w:suppressLineNumbers w:val="0"/>
              <w:autoSpaceDE/>
              <w:autoSpaceDN/>
              <w:adjustRightIn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3天</w:t>
            </w:r>
          </w:p>
          <w:p w14:paraId="7F5E9E2F">
            <w:pPr>
              <w:keepNext w:val="0"/>
              <w:keepLines w:val="0"/>
              <w:suppressLineNumbers w:val="0"/>
              <w:autoSpaceDE/>
              <w:autoSpaceDN/>
              <w:adjustRightIn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1天1次</w:t>
            </w:r>
          </w:p>
        </w:tc>
      </w:tr>
    </w:tbl>
    <w:p w14:paraId="555D2FAA">
      <w:pPr>
        <w:pStyle w:val="194"/>
        <w:spacing w:line="240" w:lineRule="auto"/>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p w14:paraId="72BDA624">
      <w:pPr>
        <w:pStyle w:val="194"/>
        <w:spacing w:line="240" w:lineRule="auto"/>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表</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4 </w:t>
      </w:r>
      <w:r>
        <w:rPr>
          <w:rFonts w:hint="default" w:ascii="Times New Roman" w:hAnsi="Times New Roman" w:cs="Times New Roman"/>
          <w:color w:val="000000" w:themeColor="text1"/>
          <w:highlight w:val="none"/>
          <w:u w:val="wave" w:color="auto"/>
          <w14:textFill>
            <w14:solidFill>
              <w14:schemeClr w14:val="tx1"/>
            </w14:solidFill>
          </w14:textFill>
        </w:rPr>
        <w:t>水环境质量监测结果</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一览表</w:t>
      </w:r>
    </w:p>
    <w:tbl>
      <w:tblPr>
        <w:tblStyle w:val="77"/>
        <w:tblW w:w="103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649"/>
        <w:gridCol w:w="1091"/>
        <w:gridCol w:w="1365"/>
        <w:gridCol w:w="1073"/>
        <w:gridCol w:w="1275"/>
        <w:gridCol w:w="1357"/>
        <w:gridCol w:w="1044"/>
        <w:gridCol w:w="690"/>
      </w:tblGrid>
      <w:tr w14:paraId="05941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798" w:type="dxa"/>
            <w:vMerge w:val="restart"/>
            <w:tcBorders>
              <w:tl2br w:val="nil"/>
              <w:tr2bl w:val="nil"/>
            </w:tcBorders>
            <w:noWrap w:val="0"/>
            <w:vAlign w:val="center"/>
          </w:tcPr>
          <w:p w14:paraId="1254C1DF">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snapToGrid w:val="0"/>
                <w:color w:val="000000" w:themeColor="text1"/>
                <w:sz w:val="21"/>
                <w:szCs w:val="21"/>
                <w:highlight w:val="none"/>
                <w:u w:val="wave" w:color="auto"/>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u w:val="wave" w:color="auto"/>
                <w:lang w:eastAsia="zh-CN"/>
                <w14:textFill>
                  <w14:solidFill>
                    <w14:schemeClr w14:val="tx1"/>
                  </w14:solidFill>
                </w14:textFill>
              </w:rPr>
              <w:t>采样日期</w:t>
            </w:r>
          </w:p>
        </w:tc>
        <w:tc>
          <w:tcPr>
            <w:tcW w:w="1649" w:type="dxa"/>
            <w:vMerge w:val="restart"/>
            <w:tcBorders>
              <w:tl2br w:val="nil"/>
              <w:tr2bl w:val="nil"/>
            </w:tcBorders>
            <w:noWrap w:val="0"/>
            <w:vAlign w:val="center"/>
          </w:tcPr>
          <w:p w14:paraId="3FF405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snapToGrid w:val="0"/>
                <w:color w:val="000000" w:themeColor="text1"/>
                <w:sz w:val="21"/>
                <w:szCs w:val="21"/>
                <w:highlight w:val="none"/>
                <w:u w:val="wave" w:color="auto"/>
                <w:lang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u w:val="wave" w:color="auto"/>
                <w:lang w:eastAsia="zh-CN"/>
                <w14:textFill>
                  <w14:solidFill>
                    <w14:schemeClr w14:val="tx1"/>
                  </w14:solidFill>
                </w14:textFill>
              </w:rPr>
              <w:t>检测项目</w:t>
            </w:r>
          </w:p>
        </w:tc>
        <w:tc>
          <w:tcPr>
            <w:tcW w:w="7205" w:type="dxa"/>
            <w:gridSpan w:val="6"/>
            <w:tcBorders>
              <w:tl2br w:val="nil"/>
              <w:tr2bl w:val="nil"/>
            </w:tcBorders>
            <w:noWrap w:val="0"/>
            <w:vAlign w:val="center"/>
          </w:tcPr>
          <w:p w14:paraId="733B68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snapToGrid w:val="0"/>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u w:val="wave" w:color="auto"/>
                <w:lang w:val="en-US" w:eastAsia="zh-CN"/>
                <w14:textFill>
                  <w14:solidFill>
                    <w14:schemeClr w14:val="tx1"/>
                  </w14:solidFill>
                </w14:textFill>
              </w:rPr>
              <w:t>采样点位及检测结果</w:t>
            </w:r>
          </w:p>
        </w:tc>
        <w:tc>
          <w:tcPr>
            <w:tcW w:w="690" w:type="dxa"/>
            <w:vMerge w:val="restart"/>
            <w:tcBorders>
              <w:tl2br w:val="nil"/>
              <w:tr2bl w:val="nil"/>
            </w:tcBorders>
            <w:noWrap w:val="0"/>
            <w:vAlign w:val="center"/>
          </w:tcPr>
          <w:p w14:paraId="43F0B9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u w:val="wave" w:color="auto"/>
                <w:lang w:val="en-US" w:eastAsia="zh-CN"/>
                <w14:textFill>
                  <w14:solidFill>
                    <w14:schemeClr w14:val="tx1"/>
                  </w14:solidFill>
                </w14:textFill>
              </w:rPr>
              <w:t>达标</w:t>
            </w:r>
          </w:p>
          <w:p w14:paraId="4128F5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baseline"/>
              <w:rPr>
                <w:rFonts w:hint="default" w:ascii="Times New Roman" w:hAnsi="Times New Roman" w:eastAsia="宋体" w:cs="Times New Roman"/>
                <w:b/>
                <w:bCs/>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u w:val="wave" w:color="auto"/>
                <w:lang w:val="en-US" w:eastAsia="zh-CN"/>
                <w14:textFill>
                  <w14:solidFill>
                    <w14:schemeClr w14:val="tx1"/>
                  </w14:solidFill>
                </w14:textFill>
              </w:rPr>
              <w:t>情况</w:t>
            </w:r>
          </w:p>
        </w:tc>
      </w:tr>
      <w:tr w14:paraId="6ABA1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8" w:type="dxa"/>
            <w:vMerge w:val="continue"/>
            <w:tcBorders>
              <w:tl2br w:val="nil"/>
              <w:tr2bl w:val="nil"/>
            </w:tcBorders>
            <w:noWrap w:val="0"/>
            <w:vAlign w:val="center"/>
          </w:tcPr>
          <w:p w14:paraId="577BE007">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color w:val="000000" w:themeColor="text1"/>
                <w:kern w:val="0"/>
                <w:sz w:val="21"/>
                <w:szCs w:val="21"/>
                <w:highlight w:val="none"/>
                <w:u w:val="wave" w:color="auto"/>
                <w:lang w:eastAsia="zh-CN"/>
                <w14:textFill>
                  <w14:solidFill>
                    <w14:schemeClr w14:val="tx1"/>
                  </w14:solidFill>
                </w14:textFill>
              </w:rPr>
            </w:pPr>
          </w:p>
        </w:tc>
        <w:tc>
          <w:tcPr>
            <w:tcW w:w="1649" w:type="dxa"/>
            <w:vMerge w:val="continue"/>
            <w:tcBorders>
              <w:tl2br w:val="nil"/>
              <w:tr2bl w:val="nil"/>
            </w:tcBorders>
            <w:noWrap w:val="0"/>
            <w:vAlign w:val="center"/>
          </w:tcPr>
          <w:p w14:paraId="7CD9F0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snapToGrid w:val="0"/>
                <w:color w:val="000000" w:themeColor="text1"/>
                <w:sz w:val="21"/>
                <w:szCs w:val="21"/>
                <w:highlight w:val="none"/>
                <w:u w:val="wave" w:color="auto"/>
                <w:lang w:eastAsia="zh-CN"/>
                <w14:textFill>
                  <w14:solidFill>
                    <w14:schemeClr w14:val="tx1"/>
                  </w14:solidFill>
                </w14:textFill>
              </w:rPr>
            </w:pPr>
          </w:p>
        </w:tc>
        <w:tc>
          <w:tcPr>
            <w:tcW w:w="1091" w:type="dxa"/>
            <w:tcBorders>
              <w:tl2br w:val="nil"/>
              <w:tr2bl w:val="nil"/>
            </w:tcBorders>
            <w:noWrap w:val="0"/>
            <w:vAlign w:val="center"/>
          </w:tcPr>
          <w:p w14:paraId="1368965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center"/>
              <w:textAlignment w:val="baseline"/>
              <w:rPr>
                <w:rFonts w:hint="default" w:ascii="Times New Roman" w:hAnsi="Times New Roman" w:eastAsia="宋体" w:cs="Times New Roman"/>
                <w:b/>
                <w:bCs/>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W1：污水排口上游 200m（机排二十渠）</w:t>
            </w:r>
          </w:p>
        </w:tc>
        <w:tc>
          <w:tcPr>
            <w:tcW w:w="1365" w:type="dxa"/>
            <w:tcBorders>
              <w:tl2br w:val="nil"/>
              <w:tr2bl w:val="nil"/>
            </w:tcBorders>
            <w:noWrap w:val="0"/>
            <w:vAlign w:val="center"/>
          </w:tcPr>
          <w:p w14:paraId="22571D6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center"/>
              <w:textAlignment w:val="baseline"/>
              <w:rPr>
                <w:rFonts w:hint="default" w:ascii="Times New Roman" w:hAnsi="Times New Roman" w:eastAsia="宋体" w:cs="Times New Roman"/>
                <w:b/>
                <w:bCs/>
                <w:color w:val="000000" w:themeColor="text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W2：污水排口下游 300m（机排二十渠）</w:t>
            </w:r>
          </w:p>
        </w:tc>
        <w:tc>
          <w:tcPr>
            <w:tcW w:w="1073" w:type="dxa"/>
            <w:tcBorders>
              <w:tl2br w:val="nil"/>
              <w:tr2bl w:val="nil"/>
            </w:tcBorders>
            <w:noWrap w:val="0"/>
            <w:vAlign w:val="center"/>
          </w:tcPr>
          <w:p w14:paraId="5C905E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u w:val="wave" w:color="auto"/>
                <w:lang w:val="en-US" w:eastAsia="zh-CN"/>
                <w14:textFill>
                  <w14:solidFill>
                    <w14:schemeClr w14:val="tx1"/>
                  </w14:solidFill>
                </w14:textFill>
              </w:rPr>
              <w:t>参考</w:t>
            </w:r>
          </w:p>
          <w:p w14:paraId="7815439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u w:val="wave" w:color="auto"/>
                <w:lang w:val="en-US" w:eastAsia="zh-CN"/>
                <w14:textFill>
                  <w14:solidFill>
                    <w14:schemeClr w14:val="tx1"/>
                  </w14:solidFill>
                </w14:textFill>
              </w:rPr>
              <w:t>限值</w:t>
            </w:r>
          </w:p>
        </w:tc>
        <w:tc>
          <w:tcPr>
            <w:tcW w:w="1275" w:type="dxa"/>
            <w:tcBorders>
              <w:tl2br w:val="nil"/>
              <w:tr2bl w:val="nil"/>
            </w:tcBorders>
            <w:noWrap w:val="0"/>
            <w:vAlign w:val="center"/>
          </w:tcPr>
          <w:p w14:paraId="0D327C6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center"/>
              <w:textAlignment w:val="baseline"/>
              <w:rPr>
                <w:rFonts w:hint="default" w:ascii="Times New Roman" w:hAnsi="Times New Roman" w:eastAsia="宋体" w:cs="Times New Roman"/>
                <w:b/>
                <w:bCs/>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W3：机排二十渠与</w:t>
            </w:r>
            <w:r>
              <w:rPr>
                <w:rFonts w:hint="default" w:ascii="Times New Roman" w:hAnsi="Times New Roman" w:cs="Times New Roman"/>
                <w:color w:val="000000" w:themeColor="text1"/>
                <w:sz w:val="21"/>
                <w:szCs w:val="21"/>
                <w:highlight w:val="none"/>
                <w:u w:val="wave" w:color="auto"/>
                <w:lang w:val="en-US" w:eastAsia="zh-CN" w:bidi="ar-SA"/>
                <w14:textFill>
                  <w14:solidFill>
                    <w14:schemeClr w14:val="tx1"/>
                  </w14:solidFill>
                </w14:textFill>
              </w:rPr>
              <w:t>老三运河</w:t>
            </w: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交汇处上游 200m</w:t>
            </w:r>
          </w:p>
        </w:tc>
        <w:tc>
          <w:tcPr>
            <w:tcW w:w="1357" w:type="dxa"/>
            <w:tcBorders>
              <w:tl2br w:val="nil"/>
              <w:tr2bl w:val="nil"/>
            </w:tcBorders>
            <w:noWrap w:val="0"/>
            <w:vAlign w:val="center"/>
          </w:tcPr>
          <w:p w14:paraId="0CB921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W4：机排二十渠与</w:t>
            </w:r>
            <w:r>
              <w:rPr>
                <w:rFonts w:hint="default" w:ascii="Times New Roman" w:hAnsi="Times New Roman" w:cs="Times New Roman"/>
                <w:color w:val="000000" w:themeColor="text1"/>
                <w:sz w:val="21"/>
                <w:szCs w:val="21"/>
                <w:highlight w:val="none"/>
                <w:u w:val="wave" w:color="auto"/>
                <w:lang w:val="en-US" w:eastAsia="zh-CN" w:bidi="ar-SA"/>
                <w14:textFill>
                  <w14:solidFill>
                    <w14:schemeClr w14:val="tx1"/>
                  </w14:solidFill>
                </w14:textFill>
              </w:rPr>
              <w:t>老三运河</w:t>
            </w: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交汇处下游 500m</w:t>
            </w:r>
          </w:p>
        </w:tc>
        <w:tc>
          <w:tcPr>
            <w:tcW w:w="1044" w:type="dxa"/>
            <w:tcBorders>
              <w:tl2br w:val="nil"/>
              <w:tr2bl w:val="nil"/>
            </w:tcBorders>
            <w:noWrap w:val="0"/>
            <w:vAlign w:val="center"/>
          </w:tcPr>
          <w:p w14:paraId="5336A2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
                <w:bCs/>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u w:val="wave" w:color="auto"/>
                <w:lang w:val="en-US" w:eastAsia="zh-CN"/>
                <w14:textFill>
                  <w14:solidFill>
                    <w14:schemeClr w14:val="tx1"/>
                  </w14:solidFill>
                </w14:textFill>
              </w:rPr>
              <w:t>参考</w:t>
            </w:r>
          </w:p>
          <w:p w14:paraId="41850B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baseline"/>
              <w:rPr>
                <w:rFonts w:hint="default" w:ascii="Times New Roman" w:hAnsi="Times New Roman" w:eastAsia="宋体" w:cs="Times New Roman"/>
                <w:b/>
                <w:bCs/>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u w:val="wave" w:color="auto"/>
                <w:lang w:val="en-US" w:eastAsia="zh-CN"/>
                <w14:textFill>
                  <w14:solidFill>
                    <w14:schemeClr w14:val="tx1"/>
                  </w14:solidFill>
                </w14:textFill>
              </w:rPr>
              <w:t>限值</w:t>
            </w:r>
          </w:p>
        </w:tc>
        <w:tc>
          <w:tcPr>
            <w:tcW w:w="690" w:type="dxa"/>
            <w:vMerge w:val="continue"/>
            <w:tcBorders>
              <w:tl2br w:val="nil"/>
              <w:tr2bl w:val="nil"/>
            </w:tcBorders>
            <w:noWrap w:val="0"/>
            <w:vAlign w:val="center"/>
          </w:tcPr>
          <w:p w14:paraId="40FF0A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baseline"/>
              <w:rPr>
                <w:rFonts w:hint="default" w:ascii="Times New Roman" w:hAnsi="Times New Roman" w:eastAsia="宋体" w:cs="Times New Roman"/>
                <w:b/>
                <w:bCs/>
                <w:snapToGrid w:val="0"/>
                <w:color w:val="000000" w:themeColor="text1"/>
                <w:spacing w:val="-11"/>
                <w:kern w:val="2"/>
                <w:sz w:val="21"/>
                <w:szCs w:val="21"/>
                <w:highlight w:val="none"/>
                <w:u w:val="wave" w:color="auto"/>
                <w:lang w:val="en-US" w:eastAsia="zh-CN" w:bidi="ar-SA"/>
                <w14:textFill>
                  <w14:solidFill>
                    <w14:schemeClr w14:val="tx1"/>
                  </w14:solidFill>
                </w14:textFill>
              </w:rPr>
            </w:pPr>
          </w:p>
        </w:tc>
      </w:tr>
      <w:tr w14:paraId="5AE40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restart"/>
            <w:tcBorders>
              <w:tl2br w:val="nil"/>
              <w:tr2bl w:val="nil"/>
            </w:tcBorders>
            <w:noWrap w:val="0"/>
            <w:vAlign w:val="center"/>
          </w:tcPr>
          <w:p w14:paraId="70642E79">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2025.10.18</w:t>
            </w:r>
          </w:p>
        </w:tc>
        <w:tc>
          <w:tcPr>
            <w:tcW w:w="1649" w:type="dxa"/>
            <w:tcBorders>
              <w:tl2br w:val="nil"/>
              <w:tr2bl w:val="nil"/>
            </w:tcBorders>
            <w:noWrap w:val="0"/>
            <w:vAlign w:val="center"/>
          </w:tcPr>
          <w:p w14:paraId="2FE46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pH值（无量纲）</w:t>
            </w:r>
          </w:p>
        </w:tc>
        <w:tc>
          <w:tcPr>
            <w:tcW w:w="1091" w:type="dxa"/>
            <w:tcBorders>
              <w:tl2br w:val="nil"/>
              <w:tr2bl w:val="nil"/>
            </w:tcBorders>
            <w:noWrap w:val="0"/>
            <w:vAlign w:val="center"/>
          </w:tcPr>
          <w:p w14:paraId="067E089E">
            <w:pPr>
              <w:keepNext w:val="0"/>
              <w:keepLines w:val="0"/>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7.3</w:t>
            </w:r>
          </w:p>
        </w:tc>
        <w:tc>
          <w:tcPr>
            <w:tcW w:w="1365" w:type="dxa"/>
            <w:tcBorders>
              <w:tl2br w:val="nil"/>
              <w:tr2bl w:val="nil"/>
            </w:tcBorders>
            <w:noWrap w:val="0"/>
            <w:vAlign w:val="center"/>
          </w:tcPr>
          <w:p w14:paraId="047FCFC9">
            <w:pPr>
              <w:keepNext w:val="0"/>
              <w:keepLines w:val="0"/>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7.2</w:t>
            </w:r>
          </w:p>
        </w:tc>
        <w:tc>
          <w:tcPr>
            <w:tcW w:w="1073" w:type="dxa"/>
            <w:tcBorders>
              <w:tl2br w:val="nil"/>
              <w:tr2bl w:val="nil"/>
            </w:tcBorders>
            <w:noWrap w:val="0"/>
            <w:vAlign w:val="center"/>
          </w:tcPr>
          <w:p w14:paraId="688CB19C">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6~9</w:t>
            </w:r>
          </w:p>
        </w:tc>
        <w:tc>
          <w:tcPr>
            <w:tcW w:w="1275" w:type="dxa"/>
            <w:tcBorders>
              <w:tl2br w:val="nil"/>
              <w:tr2bl w:val="nil"/>
            </w:tcBorders>
            <w:noWrap w:val="0"/>
            <w:vAlign w:val="center"/>
          </w:tcPr>
          <w:p w14:paraId="17095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7.0</w:t>
            </w:r>
          </w:p>
        </w:tc>
        <w:tc>
          <w:tcPr>
            <w:tcW w:w="1357" w:type="dxa"/>
            <w:tcBorders>
              <w:tl2br w:val="nil"/>
              <w:tr2bl w:val="nil"/>
            </w:tcBorders>
            <w:noWrap w:val="0"/>
            <w:vAlign w:val="center"/>
          </w:tcPr>
          <w:p w14:paraId="560C9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7.3</w:t>
            </w:r>
          </w:p>
        </w:tc>
        <w:tc>
          <w:tcPr>
            <w:tcW w:w="1044" w:type="dxa"/>
            <w:tcBorders>
              <w:tl2br w:val="nil"/>
              <w:tr2bl w:val="nil"/>
            </w:tcBorders>
            <w:noWrap w:val="0"/>
            <w:vAlign w:val="center"/>
          </w:tcPr>
          <w:p w14:paraId="2FF4D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t>6~9</w:t>
            </w:r>
          </w:p>
        </w:tc>
        <w:tc>
          <w:tcPr>
            <w:tcW w:w="690" w:type="dxa"/>
            <w:tcBorders>
              <w:tl2br w:val="nil"/>
              <w:tr2bl w:val="nil"/>
            </w:tcBorders>
            <w:noWrap w:val="0"/>
            <w:vAlign w:val="center"/>
          </w:tcPr>
          <w:p w14:paraId="368C51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D2C1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continue"/>
            <w:tcBorders>
              <w:tl2br w:val="nil"/>
              <w:tr2bl w:val="nil"/>
            </w:tcBorders>
            <w:noWrap w:val="0"/>
            <w:vAlign w:val="center"/>
          </w:tcPr>
          <w:p w14:paraId="4B3A54CA">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059DB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水温（℃）</w:t>
            </w:r>
          </w:p>
        </w:tc>
        <w:tc>
          <w:tcPr>
            <w:tcW w:w="1091" w:type="dxa"/>
            <w:tcBorders>
              <w:tl2br w:val="nil"/>
              <w:tr2bl w:val="nil"/>
            </w:tcBorders>
            <w:noWrap w:val="0"/>
            <w:vAlign w:val="center"/>
          </w:tcPr>
          <w:p w14:paraId="75B63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23.8</w:t>
            </w:r>
          </w:p>
        </w:tc>
        <w:tc>
          <w:tcPr>
            <w:tcW w:w="1365" w:type="dxa"/>
            <w:tcBorders>
              <w:tl2br w:val="nil"/>
              <w:tr2bl w:val="nil"/>
            </w:tcBorders>
            <w:noWrap w:val="0"/>
            <w:vAlign w:val="center"/>
          </w:tcPr>
          <w:p w14:paraId="47EA3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24.2</w:t>
            </w:r>
          </w:p>
        </w:tc>
        <w:tc>
          <w:tcPr>
            <w:tcW w:w="1073" w:type="dxa"/>
            <w:tcBorders>
              <w:tl2br w:val="nil"/>
              <w:tr2bl w:val="nil"/>
            </w:tcBorders>
            <w:noWrap w:val="0"/>
            <w:vAlign w:val="center"/>
          </w:tcPr>
          <w:p w14:paraId="2219DB93">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w:t>
            </w:r>
          </w:p>
        </w:tc>
        <w:tc>
          <w:tcPr>
            <w:tcW w:w="1275" w:type="dxa"/>
            <w:tcBorders>
              <w:tl2br w:val="nil"/>
              <w:tr2bl w:val="nil"/>
            </w:tcBorders>
            <w:noWrap w:val="0"/>
            <w:vAlign w:val="center"/>
          </w:tcPr>
          <w:p w14:paraId="51CCB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23.8</w:t>
            </w:r>
          </w:p>
        </w:tc>
        <w:tc>
          <w:tcPr>
            <w:tcW w:w="1357" w:type="dxa"/>
            <w:tcBorders>
              <w:tl2br w:val="nil"/>
              <w:tr2bl w:val="nil"/>
            </w:tcBorders>
            <w:noWrap w:val="0"/>
            <w:vAlign w:val="center"/>
          </w:tcPr>
          <w:p w14:paraId="51162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24.1</w:t>
            </w:r>
          </w:p>
        </w:tc>
        <w:tc>
          <w:tcPr>
            <w:tcW w:w="1044" w:type="dxa"/>
            <w:tcBorders>
              <w:tl2br w:val="nil"/>
              <w:tr2bl w:val="nil"/>
            </w:tcBorders>
            <w:noWrap w:val="0"/>
            <w:vAlign w:val="center"/>
          </w:tcPr>
          <w:p w14:paraId="0DD2F6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t>/</w:t>
            </w:r>
          </w:p>
        </w:tc>
        <w:tc>
          <w:tcPr>
            <w:tcW w:w="690" w:type="dxa"/>
            <w:tcBorders>
              <w:tl2br w:val="nil"/>
              <w:tr2bl w:val="nil"/>
            </w:tcBorders>
            <w:noWrap w:val="0"/>
            <w:vAlign w:val="center"/>
          </w:tcPr>
          <w:p w14:paraId="192848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0AAF3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798" w:type="dxa"/>
            <w:vMerge w:val="continue"/>
            <w:tcBorders>
              <w:tl2br w:val="nil"/>
              <w:tr2bl w:val="nil"/>
            </w:tcBorders>
            <w:noWrap w:val="0"/>
            <w:vAlign w:val="center"/>
          </w:tcPr>
          <w:p w14:paraId="30BA6140">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16830D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 xml:space="preserve"> 化学需氧量</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6307FF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13</w:t>
            </w:r>
          </w:p>
        </w:tc>
        <w:tc>
          <w:tcPr>
            <w:tcW w:w="1365" w:type="dxa"/>
            <w:tcBorders>
              <w:tl2br w:val="nil"/>
              <w:tr2bl w:val="nil"/>
            </w:tcBorders>
            <w:noWrap w:val="0"/>
            <w:vAlign w:val="center"/>
          </w:tcPr>
          <w:p w14:paraId="5D185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16</w:t>
            </w:r>
          </w:p>
        </w:tc>
        <w:tc>
          <w:tcPr>
            <w:tcW w:w="1073" w:type="dxa"/>
            <w:tcBorders>
              <w:tl2br w:val="nil"/>
              <w:tr2bl w:val="nil"/>
            </w:tcBorders>
            <w:noWrap w:val="0"/>
            <w:vAlign w:val="center"/>
          </w:tcPr>
          <w:p w14:paraId="71E8E6E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30</w:t>
            </w:r>
          </w:p>
        </w:tc>
        <w:tc>
          <w:tcPr>
            <w:tcW w:w="1275" w:type="dxa"/>
            <w:tcBorders>
              <w:tl2br w:val="nil"/>
              <w:tr2bl w:val="nil"/>
            </w:tcBorders>
            <w:noWrap w:val="0"/>
            <w:vAlign w:val="center"/>
          </w:tcPr>
          <w:p w14:paraId="3EDF123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13</w:t>
            </w:r>
          </w:p>
        </w:tc>
        <w:tc>
          <w:tcPr>
            <w:tcW w:w="1357" w:type="dxa"/>
            <w:tcBorders>
              <w:tl2br w:val="nil"/>
              <w:tr2bl w:val="nil"/>
            </w:tcBorders>
            <w:noWrap w:val="0"/>
            <w:vAlign w:val="center"/>
          </w:tcPr>
          <w:p w14:paraId="02E2643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17</w:t>
            </w:r>
          </w:p>
        </w:tc>
        <w:tc>
          <w:tcPr>
            <w:tcW w:w="1044" w:type="dxa"/>
            <w:tcBorders>
              <w:tl2br w:val="nil"/>
              <w:tr2bl w:val="nil"/>
            </w:tcBorders>
            <w:noWrap w:val="0"/>
            <w:vAlign w:val="center"/>
          </w:tcPr>
          <w:p w14:paraId="5B2BB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≤20</w:t>
            </w:r>
          </w:p>
        </w:tc>
        <w:tc>
          <w:tcPr>
            <w:tcW w:w="690" w:type="dxa"/>
            <w:tcBorders>
              <w:tl2br w:val="nil"/>
              <w:tr2bl w:val="nil"/>
            </w:tcBorders>
            <w:noWrap w:val="0"/>
            <w:vAlign w:val="center"/>
          </w:tcPr>
          <w:p w14:paraId="47A7E5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26201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exact"/>
          <w:jc w:val="center"/>
        </w:trPr>
        <w:tc>
          <w:tcPr>
            <w:tcW w:w="798" w:type="dxa"/>
            <w:vMerge w:val="continue"/>
            <w:tcBorders>
              <w:tl2br w:val="nil"/>
              <w:tr2bl w:val="nil"/>
            </w:tcBorders>
            <w:noWrap w:val="0"/>
            <w:vAlign w:val="center"/>
          </w:tcPr>
          <w:p w14:paraId="6B82F5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1F63C0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五日生化需氧量</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258EE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3.1</w:t>
            </w:r>
          </w:p>
        </w:tc>
        <w:tc>
          <w:tcPr>
            <w:tcW w:w="1365" w:type="dxa"/>
            <w:tcBorders>
              <w:tl2br w:val="nil"/>
              <w:tr2bl w:val="nil"/>
            </w:tcBorders>
            <w:noWrap w:val="0"/>
            <w:vAlign w:val="center"/>
          </w:tcPr>
          <w:p w14:paraId="670539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3.6</w:t>
            </w:r>
          </w:p>
        </w:tc>
        <w:tc>
          <w:tcPr>
            <w:tcW w:w="1073" w:type="dxa"/>
            <w:tcBorders>
              <w:tl2br w:val="nil"/>
              <w:tr2bl w:val="nil"/>
            </w:tcBorders>
            <w:noWrap w:val="0"/>
            <w:vAlign w:val="center"/>
          </w:tcPr>
          <w:p w14:paraId="60259473">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w:t>
            </w:r>
          </w:p>
        </w:tc>
        <w:tc>
          <w:tcPr>
            <w:tcW w:w="1275" w:type="dxa"/>
            <w:tcBorders>
              <w:tl2br w:val="nil"/>
              <w:tr2bl w:val="nil"/>
            </w:tcBorders>
            <w:noWrap w:val="0"/>
            <w:vAlign w:val="center"/>
          </w:tcPr>
          <w:p w14:paraId="6B4ADD1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3.2</w:t>
            </w:r>
          </w:p>
        </w:tc>
        <w:tc>
          <w:tcPr>
            <w:tcW w:w="1357" w:type="dxa"/>
            <w:tcBorders>
              <w:tl2br w:val="nil"/>
              <w:tr2bl w:val="nil"/>
            </w:tcBorders>
            <w:noWrap w:val="0"/>
            <w:vAlign w:val="center"/>
          </w:tcPr>
          <w:p w14:paraId="3B3C8F4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3.5</w:t>
            </w:r>
          </w:p>
        </w:tc>
        <w:tc>
          <w:tcPr>
            <w:tcW w:w="1044" w:type="dxa"/>
            <w:tcBorders>
              <w:tl2br w:val="nil"/>
              <w:tr2bl w:val="nil"/>
            </w:tcBorders>
            <w:noWrap w:val="0"/>
            <w:vAlign w:val="center"/>
          </w:tcPr>
          <w:p w14:paraId="1F8B2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≤4</w:t>
            </w:r>
          </w:p>
        </w:tc>
        <w:tc>
          <w:tcPr>
            <w:tcW w:w="690" w:type="dxa"/>
            <w:tcBorders>
              <w:tl2br w:val="nil"/>
              <w:tr2bl w:val="nil"/>
            </w:tcBorders>
            <w:noWrap w:val="0"/>
            <w:vAlign w:val="center"/>
          </w:tcPr>
          <w:p w14:paraId="646C5F0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58516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exact"/>
          <w:jc w:val="center"/>
        </w:trPr>
        <w:tc>
          <w:tcPr>
            <w:tcW w:w="798" w:type="dxa"/>
            <w:vMerge w:val="continue"/>
            <w:tcBorders>
              <w:tl2br w:val="nil"/>
              <w:tr2bl w:val="nil"/>
            </w:tcBorders>
            <w:noWrap w:val="0"/>
            <w:vAlign w:val="center"/>
          </w:tcPr>
          <w:p w14:paraId="5BE3F9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5967F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氨氮</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26C0E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0.238</w:t>
            </w:r>
          </w:p>
        </w:tc>
        <w:tc>
          <w:tcPr>
            <w:tcW w:w="1365" w:type="dxa"/>
            <w:tcBorders>
              <w:tl2br w:val="nil"/>
              <w:tr2bl w:val="nil"/>
            </w:tcBorders>
            <w:noWrap w:val="0"/>
            <w:vAlign w:val="center"/>
          </w:tcPr>
          <w:p w14:paraId="254F59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0.446</w:t>
            </w:r>
          </w:p>
        </w:tc>
        <w:tc>
          <w:tcPr>
            <w:tcW w:w="1073" w:type="dxa"/>
            <w:tcBorders>
              <w:tl2br w:val="nil"/>
              <w:tr2bl w:val="nil"/>
            </w:tcBorders>
            <w:noWrap w:val="0"/>
            <w:vAlign w:val="center"/>
          </w:tcPr>
          <w:p w14:paraId="5DCBA5C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5</w:t>
            </w:r>
          </w:p>
        </w:tc>
        <w:tc>
          <w:tcPr>
            <w:tcW w:w="1275" w:type="dxa"/>
            <w:tcBorders>
              <w:tl2br w:val="nil"/>
              <w:tr2bl w:val="nil"/>
            </w:tcBorders>
            <w:noWrap w:val="0"/>
            <w:vAlign w:val="center"/>
          </w:tcPr>
          <w:p w14:paraId="09142B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0.423</w:t>
            </w:r>
          </w:p>
        </w:tc>
        <w:tc>
          <w:tcPr>
            <w:tcW w:w="1357" w:type="dxa"/>
            <w:tcBorders>
              <w:tl2br w:val="nil"/>
              <w:tr2bl w:val="nil"/>
            </w:tcBorders>
            <w:noWrap w:val="0"/>
            <w:vAlign w:val="center"/>
          </w:tcPr>
          <w:p w14:paraId="362CF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0.611</w:t>
            </w:r>
          </w:p>
        </w:tc>
        <w:tc>
          <w:tcPr>
            <w:tcW w:w="1044" w:type="dxa"/>
            <w:tcBorders>
              <w:tl2br w:val="nil"/>
              <w:tr2bl w:val="nil"/>
            </w:tcBorders>
            <w:noWrap w:val="0"/>
            <w:vAlign w:val="center"/>
          </w:tcPr>
          <w:p w14:paraId="1800D9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5A64F4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5BFA9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798" w:type="dxa"/>
            <w:vMerge w:val="continue"/>
            <w:tcBorders>
              <w:tl2br w:val="nil"/>
              <w:tr2bl w:val="nil"/>
            </w:tcBorders>
            <w:noWrap w:val="0"/>
            <w:vAlign w:val="center"/>
          </w:tcPr>
          <w:p w14:paraId="344482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31586F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总磷</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5331390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0.03</w:t>
            </w:r>
          </w:p>
        </w:tc>
        <w:tc>
          <w:tcPr>
            <w:tcW w:w="1365" w:type="dxa"/>
            <w:tcBorders>
              <w:tl2br w:val="nil"/>
              <w:tr2bl w:val="nil"/>
            </w:tcBorders>
            <w:noWrap w:val="0"/>
            <w:vAlign w:val="center"/>
          </w:tcPr>
          <w:p w14:paraId="01255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0.06</w:t>
            </w:r>
          </w:p>
        </w:tc>
        <w:tc>
          <w:tcPr>
            <w:tcW w:w="1073" w:type="dxa"/>
            <w:tcBorders>
              <w:tl2br w:val="nil"/>
              <w:tr2bl w:val="nil"/>
            </w:tcBorders>
            <w:noWrap w:val="0"/>
            <w:vAlign w:val="center"/>
          </w:tcPr>
          <w:p w14:paraId="6836C63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w:t>
            </w:r>
          </w:p>
        </w:tc>
        <w:tc>
          <w:tcPr>
            <w:tcW w:w="1275" w:type="dxa"/>
            <w:tcBorders>
              <w:tl2br w:val="nil"/>
              <w:tr2bl w:val="nil"/>
            </w:tcBorders>
            <w:noWrap w:val="0"/>
            <w:vAlign w:val="center"/>
          </w:tcPr>
          <w:p w14:paraId="09B4F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0.06</w:t>
            </w:r>
          </w:p>
        </w:tc>
        <w:tc>
          <w:tcPr>
            <w:tcW w:w="1357" w:type="dxa"/>
            <w:tcBorders>
              <w:tl2br w:val="nil"/>
              <w:tr2bl w:val="nil"/>
            </w:tcBorders>
            <w:noWrap w:val="0"/>
            <w:vAlign w:val="center"/>
          </w:tcPr>
          <w:p w14:paraId="32C762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0.09</w:t>
            </w:r>
          </w:p>
        </w:tc>
        <w:tc>
          <w:tcPr>
            <w:tcW w:w="1044" w:type="dxa"/>
            <w:tcBorders>
              <w:tl2br w:val="nil"/>
              <w:tr2bl w:val="nil"/>
            </w:tcBorders>
            <w:noWrap w:val="0"/>
            <w:vAlign w:val="center"/>
          </w:tcPr>
          <w:p w14:paraId="2222E3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3ED9A5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6AC7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exact"/>
          <w:jc w:val="center"/>
        </w:trPr>
        <w:tc>
          <w:tcPr>
            <w:tcW w:w="798" w:type="dxa"/>
            <w:vMerge w:val="continue"/>
            <w:tcBorders>
              <w:tl2br w:val="nil"/>
              <w:tr2bl w:val="nil"/>
            </w:tcBorders>
            <w:noWrap w:val="0"/>
            <w:vAlign w:val="center"/>
          </w:tcPr>
          <w:p w14:paraId="7043AE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03200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总氮</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02999D4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0.52</w:t>
            </w:r>
          </w:p>
        </w:tc>
        <w:tc>
          <w:tcPr>
            <w:tcW w:w="1365" w:type="dxa"/>
            <w:tcBorders>
              <w:tl2br w:val="nil"/>
              <w:tr2bl w:val="nil"/>
            </w:tcBorders>
            <w:noWrap w:val="0"/>
            <w:vAlign w:val="center"/>
          </w:tcPr>
          <w:p w14:paraId="6AC74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0.71</w:t>
            </w:r>
          </w:p>
        </w:tc>
        <w:tc>
          <w:tcPr>
            <w:tcW w:w="1073" w:type="dxa"/>
            <w:tcBorders>
              <w:tl2br w:val="nil"/>
              <w:tr2bl w:val="nil"/>
            </w:tcBorders>
            <w:noWrap w:val="0"/>
            <w:vAlign w:val="center"/>
          </w:tcPr>
          <w:p w14:paraId="07995EDC">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5</w:t>
            </w:r>
          </w:p>
        </w:tc>
        <w:tc>
          <w:tcPr>
            <w:tcW w:w="1275" w:type="dxa"/>
            <w:tcBorders>
              <w:tl2br w:val="nil"/>
              <w:tr2bl w:val="nil"/>
            </w:tcBorders>
            <w:noWrap w:val="0"/>
            <w:vAlign w:val="center"/>
          </w:tcPr>
          <w:p w14:paraId="6989F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0.65</w:t>
            </w:r>
          </w:p>
        </w:tc>
        <w:tc>
          <w:tcPr>
            <w:tcW w:w="1357" w:type="dxa"/>
            <w:tcBorders>
              <w:tl2br w:val="nil"/>
              <w:tr2bl w:val="nil"/>
            </w:tcBorders>
            <w:noWrap w:val="0"/>
            <w:vAlign w:val="center"/>
          </w:tcPr>
          <w:p w14:paraId="3BEE8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0.75</w:t>
            </w:r>
          </w:p>
        </w:tc>
        <w:tc>
          <w:tcPr>
            <w:tcW w:w="1044" w:type="dxa"/>
            <w:tcBorders>
              <w:tl2br w:val="nil"/>
              <w:tr2bl w:val="nil"/>
            </w:tcBorders>
            <w:noWrap w:val="0"/>
            <w:vAlign w:val="center"/>
          </w:tcPr>
          <w:p w14:paraId="29B917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270873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29272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798" w:type="dxa"/>
            <w:vMerge w:val="continue"/>
            <w:tcBorders>
              <w:tl2br w:val="nil"/>
              <w:tr2bl w:val="nil"/>
            </w:tcBorders>
            <w:noWrap w:val="0"/>
            <w:vAlign w:val="center"/>
          </w:tcPr>
          <w:p w14:paraId="50FBA703">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31EC7E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悬浮物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53F48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10</w:t>
            </w:r>
          </w:p>
        </w:tc>
        <w:tc>
          <w:tcPr>
            <w:tcW w:w="1365" w:type="dxa"/>
            <w:tcBorders>
              <w:tl2br w:val="nil"/>
              <w:tr2bl w:val="nil"/>
            </w:tcBorders>
            <w:noWrap w:val="0"/>
            <w:vAlign w:val="center"/>
          </w:tcPr>
          <w:p w14:paraId="680CC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16</w:t>
            </w:r>
          </w:p>
        </w:tc>
        <w:tc>
          <w:tcPr>
            <w:tcW w:w="1073" w:type="dxa"/>
            <w:tcBorders>
              <w:tl2br w:val="nil"/>
              <w:tr2bl w:val="nil"/>
            </w:tcBorders>
            <w:noWrap w:val="0"/>
            <w:vAlign w:val="center"/>
          </w:tcPr>
          <w:p w14:paraId="29C1B09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p>
        </w:tc>
        <w:tc>
          <w:tcPr>
            <w:tcW w:w="1275" w:type="dxa"/>
            <w:tcBorders>
              <w:tl2br w:val="nil"/>
              <w:tr2bl w:val="nil"/>
            </w:tcBorders>
            <w:noWrap w:val="0"/>
            <w:vAlign w:val="center"/>
          </w:tcPr>
          <w:p w14:paraId="246032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16</w:t>
            </w:r>
          </w:p>
        </w:tc>
        <w:tc>
          <w:tcPr>
            <w:tcW w:w="1357" w:type="dxa"/>
            <w:tcBorders>
              <w:tl2br w:val="nil"/>
              <w:tr2bl w:val="nil"/>
            </w:tcBorders>
            <w:noWrap w:val="0"/>
            <w:vAlign w:val="center"/>
          </w:tcPr>
          <w:p w14:paraId="5FDA2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18</w:t>
            </w:r>
          </w:p>
        </w:tc>
        <w:tc>
          <w:tcPr>
            <w:tcW w:w="1044" w:type="dxa"/>
            <w:tcBorders>
              <w:tl2br w:val="nil"/>
              <w:tr2bl w:val="nil"/>
            </w:tcBorders>
            <w:noWrap w:val="0"/>
            <w:vAlign w:val="center"/>
          </w:tcPr>
          <w:p w14:paraId="41EA5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p>
        </w:tc>
        <w:tc>
          <w:tcPr>
            <w:tcW w:w="690" w:type="dxa"/>
            <w:tcBorders>
              <w:tl2br w:val="nil"/>
              <w:tr2bl w:val="nil"/>
            </w:tcBorders>
            <w:noWrap w:val="0"/>
            <w:vAlign w:val="center"/>
          </w:tcPr>
          <w:p w14:paraId="684A2E2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360E5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798" w:type="dxa"/>
            <w:vMerge w:val="continue"/>
            <w:tcBorders>
              <w:tl2br w:val="nil"/>
              <w:tr2bl w:val="nil"/>
            </w:tcBorders>
            <w:noWrap w:val="0"/>
            <w:vAlign w:val="center"/>
          </w:tcPr>
          <w:p w14:paraId="324B87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597BA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石油类</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29660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65" w:type="dxa"/>
            <w:tcBorders>
              <w:tl2br w:val="nil"/>
              <w:tr2bl w:val="nil"/>
            </w:tcBorders>
            <w:noWrap w:val="0"/>
            <w:vAlign w:val="center"/>
          </w:tcPr>
          <w:p w14:paraId="442C0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73" w:type="dxa"/>
            <w:tcBorders>
              <w:tl2br w:val="nil"/>
              <w:tr2bl w:val="nil"/>
            </w:tcBorders>
            <w:noWrap w:val="0"/>
            <w:vAlign w:val="center"/>
          </w:tcPr>
          <w:p w14:paraId="541DCA1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w:t>
            </w:r>
          </w:p>
        </w:tc>
        <w:tc>
          <w:tcPr>
            <w:tcW w:w="1275" w:type="dxa"/>
            <w:tcBorders>
              <w:tl2br w:val="nil"/>
              <w:tr2bl w:val="nil"/>
            </w:tcBorders>
            <w:noWrap w:val="0"/>
            <w:vAlign w:val="center"/>
          </w:tcPr>
          <w:p w14:paraId="5E5B28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57" w:type="dxa"/>
            <w:tcBorders>
              <w:tl2br w:val="nil"/>
              <w:tr2bl w:val="nil"/>
            </w:tcBorders>
            <w:noWrap w:val="0"/>
            <w:vAlign w:val="center"/>
          </w:tcPr>
          <w:p w14:paraId="14923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44" w:type="dxa"/>
            <w:tcBorders>
              <w:tl2br w:val="nil"/>
              <w:tr2bl w:val="nil"/>
            </w:tcBorders>
            <w:noWrap w:val="0"/>
            <w:vAlign w:val="center"/>
          </w:tcPr>
          <w:p w14:paraId="724BF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1F8891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1F6B6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6" w:hRule="exact"/>
          <w:jc w:val="center"/>
        </w:trPr>
        <w:tc>
          <w:tcPr>
            <w:tcW w:w="798" w:type="dxa"/>
            <w:vMerge w:val="continue"/>
            <w:tcBorders>
              <w:tl2br w:val="nil"/>
              <w:tr2bl w:val="nil"/>
            </w:tcBorders>
            <w:noWrap w:val="0"/>
            <w:vAlign w:val="center"/>
          </w:tcPr>
          <w:p w14:paraId="2C2960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052DF18C">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高锰酸盐指数</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1E47F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2.5</w:t>
            </w:r>
          </w:p>
        </w:tc>
        <w:tc>
          <w:tcPr>
            <w:tcW w:w="1365" w:type="dxa"/>
            <w:tcBorders>
              <w:tl2br w:val="nil"/>
              <w:tr2bl w:val="nil"/>
            </w:tcBorders>
            <w:noWrap w:val="0"/>
            <w:vAlign w:val="center"/>
          </w:tcPr>
          <w:p w14:paraId="58946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3.7</w:t>
            </w:r>
          </w:p>
        </w:tc>
        <w:tc>
          <w:tcPr>
            <w:tcW w:w="1073" w:type="dxa"/>
            <w:tcBorders>
              <w:tl2br w:val="nil"/>
              <w:tr2bl w:val="nil"/>
            </w:tcBorders>
            <w:noWrap w:val="0"/>
            <w:vAlign w:val="center"/>
          </w:tcPr>
          <w:p w14:paraId="2A461C5E">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1275" w:type="dxa"/>
            <w:tcBorders>
              <w:tl2br w:val="nil"/>
              <w:tr2bl w:val="nil"/>
            </w:tcBorders>
            <w:noWrap w:val="0"/>
            <w:vAlign w:val="center"/>
          </w:tcPr>
          <w:p w14:paraId="01007D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3.5</w:t>
            </w:r>
          </w:p>
        </w:tc>
        <w:tc>
          <w:tcPr>
            <w:tcW w:w="1357" w:type="dxa"/>
            <w:tcBorders>
              <w:tl2br w:val="nil"/>
              <w:tr2bl w:val="nil"/>
            </w:tcBorders>
            <w:noWrap w:val="0"/>
            <w:vAlign w:val="center"/>
          </w:tcPr>
          <w:p w14:paraId="402CF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3.9</w:t>
            </w:r>
          </w:p>
        </w:tc>
        <w:tc>
          <w:tcPr>
            <w:tcW w:w="1044" w:type="dxa"/>
            <w:tcBorders>
              <w:tl2br w:val="nil"/>
              <w:tr2bl w:val="nil"/>
            </w:tcBorders>
            <w:noWrap w:val="0"/>
            <w:vAlign w:val="center"/>
          </w:tcPr>
          <w:p w14:paraId="0B938D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≤6</w:t>
            </w:r>
          </w:p>
        </w:tc>
        <w:tc>
          <w:tcPr>
            <w:tcW w:w="690" w:type="dxa"/>
            <w:tcBorders>
              <w:tl2br w:val="nil"/>
              <w:tr2bl w:val="nil"/>
            </w:tcBorders>
            <w:noWrap w:val="0"/>
            <w:vAlign w:val="center"/>
          </w:tcPr>
          <w:p w14:paraId="0D080F3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1DEE5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798" w:type="dxa"/>
            <w:vMerge w:val="continue"/>
            <w:tcBorders>
              <w:tl2br w:val="nil"/>
              <w:tr2bl w:val="nil"/>
            </w:tcBorders>
            <w:noWrap w:val="0"/>
            <w:vAlign w:val="center"/>
          </w:tcPr>
          <w:p w14:paraId="041645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3DF530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溶解氧</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9870A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7.56</w:t>
            </w:r>
          </w:p>
        </w:tc>
        <w:tc>
          <w:tcPr>
            <w:tcW w:w="1365" w:type="dxa"/>
            <w:tcBorders>
              <w:tl2br w:val="nil"/>
              <w:tr2bl w:val="nil"/>
            </w:tcBorders>
            <w:noWrap w:val="0"/>
            <w:vAlign w:val="center"/>
          </w:tcPr>
          <w:p w14:paraId="3B519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7.19</w:t>
            </w:r>
          </w:p>
        </w:tc>
        <w:tc>
          <w:tcPr>
            <w:tcW w:w="1073" w:type="dxa"/>
            <w:tcBorders>
              <w:tl2br w:val="nil"/>
              <w:tr2bl w:val="nil"/>
            </w:tcBorders>
            <w:noWrap w:val="0"/>
            <w:vAlign w:val="center"/>
          </w:tcPr>
          <w:p w14:paraId="397A7112">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w:t>
            </w:r>
          </w:p>
        </w:tc>
        <w:tc>
          <w:tcPr>
            <w:tcW w:w="1275" w:type="dxa"/>
            <w:tcBorders>
              <w:tl2br w:val="nil"/>
              <w:tr2bl w:val="nil"/>
            </w:tcBorders>
            <w:noWrap w:val="0"/>
            <w:vAlign w:val="center"/>
          </w:tcPr>
          <w:p w14:paraId="7C8ACF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7.68</w:t>
            </w:r>
          </w:p>
        </w:tc>
        <w:tc>
          <w:tcPr>
            <w:tcW w:w="1357" w:type="dxa"/>
            <w:tcBorders>
              <w:tl2br w:val="nil"/>
              <w:tr2bl w:val="nil"/>
            </w:tcBorders>
            <w:noWrap w:val="0"/>
            <w:vAlign w:val="center"/>
          </w:tcPr>
          <w:p w14:paraId="2235B6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7.34</w:t>
            </w:r>
          </w:p>
        </w:tc>
        <w:tc>
          <w:tcPr>
            <w:tcW w:w="1044" w:type="dxa"/>
            <w:tcBorders>
              <w:tl2br w:val="nil"/>
              <w:tr2bl w:val="nil"/>
            </w:tcBorders>
            <w:noWrap w:val="0"/>
            <w:vAlign w:val="center"/>
          </w:tcPr>
          <w:p w14:paraId="3AD6E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≥5</w:t>
            </w:r>
          </w:p>
        </w:tc>
        <w:tc>
          <w:tcPr>
            <w:tcW w:w="690" w:type="dxa"/>
            <w:tcBorders>
              <w:tl2br w:val="nil"/>
              <w:tr2bl w:val="nil"/>
            </w:tcBorders>
            <w:noWrap w:val="0"/>
            <w:vAlign w:val="center"/>
          </w:tcPr>
          <w:p w14:paraId="1304E6B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561E4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exact"/>
          <w:jc w:val="center"/>
        </w:trPr>
        <w:tc>
          <w:tcPr>
            <w:tcW w:w="798" w:type="dxa"/>
            <w:vMerge w:val="continue"/>
            <w:tcBorders>
              <w:tl2br w:val="nil"/>
              <w:tr2bl w:val="nil"/>
            </w:tcBorders>
            <w:noWrap w:val="0"/>
            <w:vAlign w:val="center"/>
          </w:tcPr>
          <w:p w14:paraId="262D9E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10071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铜</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0B6BB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365" w:type="dxa"/>
            <w:tcBorders>
              <w:tl2br w:val="nil"/>
              <w:tr2bl w:val="nil"/>
            </w:tcBorders>
            <w:noWrap w:val="0"/>
            <w:vAlign w:val="center"/>
          </w:tcPr>
          <w:p w14:paraId="55E5C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073" w:type="dxa"/>
            <w:tcBorders>
              <w:tl2br w:val="nil"/>
              <w:tr2bl w:val="nil"/>
            </w:tcBorders>
            <w:noWrap w:val="0"/>
            <w:vAlign w:val="center"/>
          </w:tcPr>
          <w:p w14:paraId="2CA11E2A">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1275" w:type="dxa"/>
            <w:tcBorders>
              <w:tl2br w:val="nil"/>
              <w:tr2bl w:val="nil"/>
            </w:tcBorders>
            <w:noWrap w:val="0"/>
            <w:vAlign w:val="center"/>
          </w:tcPr>
          <w:p w14:paraId="5C25B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357" w:type="dxa"/>
            <w:tcBorders>
              <w:tl2br w:val="nil"/>
              <w:tr2bl w:val="nil"/>
            </w:tcBorders>
            <w:noWrap w:val="0"/>
            <w:vAlign w:val="center"/>
          </w:tcPr>
          <w:p w14:paraId="75F03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044" w:type="dxa"/>
            <w:tcBorders>
              <w:tl2br w:val="nil"/>
              <w:tr2bl w:val="nil"/>
            </w:tcBorders>
            <w:noWrap w:val="0"/>
            <w:vAlign w:val="center"/>
          </w:tcPr>
          <w:p w14:paraId="3E9E0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76F36AB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9FDB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continue"/>
            <w:tcBorders>
              <w:tl2br w:val="nil"/>
              <w:tr2bl w:val="nil"/>
            </w:tcBorders>
            <w:noWrap w:val="0"/>
            <w:vAlign w:val="center"/>
          </w:tcPr>
          <w:p w14:paraId="713144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2D325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锌</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1E464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65" w:type="dxa"/>
            <w:tcBorders>
              <w:tl2br w:val="nil"/>
              <w:tr2bl w:val="nil"/>
            </w:tcBorders>
            <w:noWrap w:val="0"/>
            <w:vAlign w:val="center"/>
          </w:tcPr>
          <w:p w14:paraId="5EBD0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73" w:type="dxa"/>
            <w:tcBorders>
              <w:tl2br w:val="nil"/>
              <w:tr2bl w:val="nil"/>
            </w:tcBorders>
            <w:noWrap w:val="0"/>
            <w:vAlign w:val="center"/>
          </w:tcPr>
          <w:p w14:paraId="3E59E09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w:t>
            </w:r>
          </w:p>
        </w:tc>
        <w:tc>
          <w:tcPr>
            <w:tcW w:w="1275" w:type="dxa"/>
            <w:tcBorders>
              <w:tl2br w:val="nil"/>
              <w:tr2bl w:val="nil"/>
            </w:tcBorders>
            <w:noWrap w:val="0"/>
            <w:vAlign w:val="center"/>
          </w:tcPr>
          <w:p w14:paraId="26703C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57" w:type="dxa"/>
            <w:tcBorders>
              <w:tl2br w:val="nil"/>
              <w:tr2bl w:val="nil"/>
            </w:tcBorders>
            <w:noWrap w:val="0"/>
            <w:vAlign w:val="center"/>
          </w:tcPr>
          <w:p w14:paraId="52E345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44" w:type="dxa"/>
            <w:tcBorders>
              <w:tl2br w:val="nil"/>
              <w:tr2bl w:val="nil"/>
            </w:tcBorders>
            <w:noWrap w:val="0"/>
            <w:vAlign w:val="center"/>
          </w:tcPr>
          <w:p w14:paraId="04B95A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6E3BC50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3A0B2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continue"/>
            <w:tcBorders>
              <w:tl2br w:val="nil"/>
              <w:tr2bl w:val="nil"/>
            </w:tcBorders>
            <w:noWrap w:val="0"/>
            <w:vAlign w:val="center"/>
          </w:tcPr>
          <w:p w14:paraId="66EF9A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14D0D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氟化物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07C0C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0.19</w:t>
            </w:r>
          </w:p>
        </w:tc>
        <w:tc>
          <w:tcPr>
            <w:tcW w:w="1365" w:type="dxa"/>
            <w:tcBorders>
              <w:tl2br w:val="nil"/>
              <w:tr2bl w:val="nil"/>
            </w:tcBorders>
            <w:noWrap w:val="0"/>
            <w:vAlign w:val="center"/>
          </w:tcPr>
          <w:p w14:paraId="01E2C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0.31</w:t>
            </w:r>
          </w:p>
        </w:tc>
        <w:tc>
          <w:tcPr>
            <w:tcW w:w="1073" w:type="dxa"/>
            <w:tcBorders>
              <w:tl2br w:val="nil"/>
              <w:tr2bl w:val="nil"/>
            </w:tcBorders>
            <w:noWrap w:val="0"/>
            <w:vAlign w:val="center"/>
          </w:tcPr>
          <w:p w14:paraId="2F2D79DC">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1.5</w:t>
            </w:r>
          </w:p>
        </w:tc>
        <w:tc>
          <w:tcPr>
            <w:tcW w:w="1275" w:type="dxa"/>
            <w:tcBorders>
              <w:tl2br w:val="nil"/>
              <w:tr2bl w:val="nil"/>
            </w:tcBorders>
            <w:noWrap w:val="0"/>
            <w:vAlign w:val="center"/>
          </w:tcPr>
          <w:p w14:paraId="58C5B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0.17</w:t>
            </w:r>
          </w:p>
        </w:tc>
        <w:tc>
          <w:tcPr>
            <w:tcW w:w="1357" w:type="dxa"/>
            <w:tcBorders>
              <w:tl2br w:val="nil"/>
              <w:tr2bl w:val="nil"/>
            </w:tcBorders>
            <w:noWrap w:val="0"/>
            <w:vAlign w:val="center"/>
          </w:tcPr>
          <w:p w14:paraId="390A0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0.33</w:t>
            </w:r>
          </w:p>
        </w:tc>
        <w:tc>
          <w:tcPr>
            <w:tcW w:w="1044" w:type="dxa"/>
            <w:tcBorders>
              <w:tl2br w:val="nil"/>
              <w:tr2bl w:val="nil"/>
            </w:tcBorders>
            <w:noWrap w:val="0"/>
            <w:vAlign w:val="center"/>
          </w:tcPr>
          <w:p w14:paraId="7FCD3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0AE4EE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CDC3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continue"/>
            <w:tcBorders>
              <w:tl2br w:val="nil"/>
              <w:tr2bl w:val="nil"/>
            </w:tcBorders>
            <w:noWrap w:val="0"/>
            <w:vAlign w:val="center"/>
          </w:tcPr>
          <w:p w14:paraId="4F1CD5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0C8802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砷</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4B09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0.00390</w:t>
            </w:r>
          </w:p>
        </w:tc>
        <w:tc>
          <w:tcPr>
            <w:tcW w:w="1365" w:type="dxa"/>
            <w:tcBorders>
              <w:tl2br w:val="nil"/>
              <w:tr2bl w:val="nil"/>
            </w:tcBorders>
            <w:noWrap w:val="0"/>
            <w:vAlign w:val="center"/>
          </w:tcPr>
          <w:p w14:paraId="7B7B5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0.00465</w:t>
            </w:r>
          </w:p>
        </w:tc>
        <w:tc>
          <w:tcPr>
            <w:tcW w:w="1073" w:type="dxa"/>
            <w:tcBorders>
              <w:tl2br w:val="nil"/>
              <w:tr2bl w:val="nil"/>
            </w:tcBorders>
            <w:noWrap w:val="0"/>
            <w:vAlign w:val="center"/>
          </w:tcPr>
          <w:p w14:paraId="0F5CBC3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w:t>
            </w:r>
          </w:p>
        </w:tc>
        <w:tc>
          <w:tcPr>
            <w:tcW w:w="1275" w:type="dxa"/>
            <w:tcBorders>
              <w:tl2br w:val="nil"/>
              <w:tr2bl w:val="nil"/>
            </w:tcBorders>
            <w:noWrap w:val="0"/>
            <w:vAlign w:val="center"/>
          </w:tcPr>
          <w:p w14:paraId="1729AF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0.00377</w:t>
            </w:r>
          </w:p>
        </w:tc>
        <w:tc>
          <w:tcPr>
            <w:tcW w:w="1357" w:type="dxa"/>
            <w:tcBorders>
              <w:tl2br w:val="nil"/>
              <w:tr2bl w:val="nil"/>
            </w:tcBorders>
            <w:noWrap w:val="0"/>
            <w:vAlign w:val="center"/>
          </w:tcPr>
          <w:p w14:paraId="61A90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0.00632</w:t>
            </w:r>
          </w:p>
        </w:tc>
        <w:tc>
          <w:tcPr>
            <w:tcW w:w="1044" w:type="dxa"/>
            <w:tcBorders>
              <w:tl2br w:val="nil"/>
              <w:tr2bl w:val="nil"/>
            </w:tcBorders>
            <w:noWrap w:val="0"/>
            <w:vAlign w:val="center"/>
          </w:tcPr>
          <w:p w14:paraId="72A63D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34F5BC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3E84C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continue"/>
            <w:tcBorders>
              <w:tl2br w:val="nil"/>
              <w:tr2bl w:val="nil"/>
            </w:tcBorders>
            <w:noWrap w:val="0"/>
            <w:vAlign w:val="center"/>
          </w:tcPr>
          <w:p w14:paraId="38C0E1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15683128">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硒</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26D38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365" w:type="dxa"/>
            <w:tcBorders>
              <w:tl2br w:val="nil"/>
              <w:tr2bl w:val="nil"/>
            </w:tcBorders>
            <w:noWrap w:val="0"/>
            <w:vAlign w:val="center"/>
          </w:tcPr>
          <w:p w14:paraId="46AB1C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073" w:type="dxa"/>
            <w:tcBorders>
              <w:tl2br w:val="nil"/>
              <w:tr2bl w:val="nil"/>
            </w:tcBorders>
            <w:noWrap w:val="0"/>
            <w:vAlign w:val="center"/>
          </w:tcPr>
          <w:p w14:paraId="5BBE3D3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p>
        </w:tc>
        <w:tc>
          <w:tcPr>
            <w:tcW w:w="1275" w:type="dxa"/>
            <w:tcBorders>
              <w:tl2br w:val="nil"/>
              <w:tr2bl w:val="nil"/>
            </w:tcBorders>
            <w:noWrap w:val="0"/>
            <w:vAlign w:val="center"/>
          </w:tcPr>
          <w:p w14:paraId="247DC6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357" w:type="dxa"/>
            <w:tcBorders>
              <w:tl2br w:val="nil"/>
              <w:tr2bl w:val="nil"/>
            </w:tcBorders>
            <w:noWrap w:val="0"/>
            <w:vAlign w:val="center"/>
          </w:tcPr>
          <w:p w14:paraId="71147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044" w:type="dxa"/>
            <w:tcBorders>
              <w:tl2br w:val="nil"/>
              <w:tr2bl w:val="nil"/>
            </w:tcBorders>
            <w:noWrap w:val="0"/>
            <w:vAlign w:val="center"/>
          </w:tcPr>
          <w:p w14:paraId="028BE5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≤0.01</w:t>
            </w:r>
          </w:p>
        </w:tc>
        <w:tc>
          <w:tcPr>
            <w:tcW w:w="690" w:type="dxa"/>
            <w:tcBorders>
              <w:tl2br w:val="nil"/>
              <w:tr2bl w:val="nil"/>
            </w:tcBorders>
            <w:noWrap w:val="0"/>
            <w:vAlign w:val="center"/>
          </w:tcPr>
          <w:p w14:paraId="0A0FF26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44911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continue"/>
            <w:tcBorders>
              <w:tl2br w:val="nil"/>
              <w:tr2bl w:val="nil"/>
            </w:tcBorders>
            <w:noWrap w:val="0"/>
            <w:vAlign w:val="center"/>
          </w:tcPr>
          <w:p w14:paraId="48180C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2A683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汞</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61C13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365" w:type="dxa"/>
            <w:tcBorders>
              <w:tl2br w:val="nil"/>
              <w:tr2bl w:val="nil"/>
            </w:tcBorders>
            <w:noWrap w:val="0"/>
            <w:vAlign w:val="center"/>
          </w:tcPr>
          <w:p w14:paraId="481485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073" w:type="dxa"/>
            <w:tcBorders>
              <w:tl2br w:val="nil"/>
              <w:tr2bl w:val="nil"/>
            </w:tcBorders>
            <w:noWrap w:val="0"/>
            <w:vAlign w:val="center"/>
          </w:tcPr>
          <w:p w14:paraId="7271806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0.001</w:t>
            </w:r>
          </w:p>
        </w:tc>
        <w:tc>
          <w:tcPr>
            <w:tcW w:w="1275" w:type="dxa"/>
            <w:tcBorders>
              <w:tl2br w:val="nil"/>
              <w:tr2bl w:val="nil"/>
            </w:tcBorders>
            <w:noWrap w:val="0"/>
            <w:vAlign w:val="center"/>
          </w:tcPr>
          <w:p w14:paraId="07BF01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357" w:type="dxa"/>
            <w:tcBorders>
              <w:tl2br w:val="nil"/>
              <w:tr2bl w:val="nil"/>
            </w:tcBorders>
            <w:noWrap w:val="0"/>
            <w:vAlign w:val="center"/>
          </w:tcPr>
          <w:p w14:paraId="6058B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044" w:type="dxa"/>
            <w:tcBorders>
              <w:tl2br w:val="nil"/>
              <w:tr2bl w:val="nil"/>
            </w:tcBorders>
            <w:noWrap w:val="0"/>
            <w:vAlign w:val="center"/>
          </w:tcPr>
          <w:p w14:paraId="05074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≤0.0001</w:t>
            </w:r>
          </w:p>
        </w:tc>
        <w:tc>
          <w:tcPr>
            <w:tcW w:w="690" w:type="dxa"/>
            <w:tcBorders>
              <w:tl2br w:val="nil"/>
              <w:tr2bl w:val="nil"/>
            </w:tcBorders>
            <w:noWrap w:val="0"/>
            <w:vAlign w:val="center"/>
          </w:tcPr>
          <w:p w14:paraId="6986C6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2FB42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continue"/>
            <w:tcBorders>
              <w:tl2br w:val="nil"/>
              <w:tr2bl w:val="nil"/>
            </w:tcBorders>
            <w:noWrap w:val="0"/>
            <w:vAlign w:val="center"/>
          </w:tcPr>
          <w:p w14:paraId="59A7A3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300E1BC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镉</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13942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365" w:type="dxa"/>
            <w:tcBorders>
              <w:tl2br w:val="nil"/>
              <w:tr2bl w:val="nil"/>
            </w:tcBorders>
            <w:noWrap w:val="0"/>
            <w:vAlign w:val="center"/>
          </w:tcPr>
          <w:p w14:paraId="57CC1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073" w:type="dxa"/>
            <w:tcBorders>
              <w:tl2br w:val="nil"/>
              <w:tr2bl w:val="nil"/>
            </w:tcBorders>
            <w:noWrap w:val="0"/>
            <w:vAlign w:val="center"/>
          </w:tcPr>
          <w:p w14:paraId="49A03A1C">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0.01</w:t>
            </w:r>
          </w:p>
        </w:tc>
        <w:tc>
          <w:tcPr>
            <w:tcW w:w="1275" w:type="dxa"/>
            <w:tcBorders>
              <w:tl2br w:val="nil"/>
              <w:tr2bl w:val="nil"/>
            </w:tcBorders>
            <w:noWrap w:val="0"/>
            <w:vAlign w:val="center"/>
          </w:tcPr>
          <w:p w14:paraId="3F5F3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357" w:type="dxa"/>
            <w:tcBorders>
              <w:tl2br w:val="nil"/>
              <w:tr2bl w:val="nil"/>
            </w:tcBorders>
            <w:noWrap w:val="0"/>
            <w:vAlign w:val="center"/>
          </w:tcPr>
          <w:p w14:paraId="5B730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044" w:type="dxa"/>
            <w:tcBorders>
              <w:tl2br w:val="nil"/>
              <w:tr2bl w:val="nil"/>
            </w:tcBorders>
            <w:noWrap w:val="0"/>
            <w:vAlign w:val="center"/>
          </w:tcPr>
          <w:p w14:paraId="57761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≤0.005</w:t>
            </w:r>
          </w:p>
        </w:tc>
        <w:tc>
          <w:tcPr>
            <w:tcW w:w="690" w:type="dxa"/>
            <w:tcBorders>
              <w:tl2br w:val="nil"/>
              <w:tr2bl w:val="nil"/>
            </w:tcBorders>
            <w:noWrap w:val="0"/>
            <w:vAlign w:val="center"/>
          </w:tcPr>
          <w:p w14:paraId="79FAD0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354AB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798" w:type="dxa"/>
            <w:vMerge w:val="continue"/>
            <w:tcBorders>
              <w:tl2br w:val="nil"/>
              <w:tr2bl w:val="nil"/>
            </w:tcBorders>
            <w:noWrap w:val="0"/>
            <w:vAlign w:val="center"/>
          </w:tcPr>
          <w:p w14:paraId="16480F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1BDFCE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铬（六价）</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B4B7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65" w:type="dxa"/>
            <w:tcBorders>
              <w:tl2br w:val="nil"/>
              <w:tr2bl w:val="nil"/>
            </w:tcBorders>
            <w:noWrap w:val="0"/>
            <w:vAlign w:val="center"/>
          </w:tcPr>
          <w:p w14:paraId="65AB94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73" w:type="dxa"/>
            <w:tcBorders>
              <w:tl2br w:val="nil"/>
              <w:tr2bl w:val="nil"/>
            </w:tcBorders>
            <w:noWrap w:val="0"/>
            <w:vAlign w:val="center"/>
          </w:tcPr>
          <w:p w14:paraId="618422F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0.1</w:t>
            </w:r>
          </w:p>
        </w:tc>
        <w:tc>
          <w:tcPr>
            <w:tcW w:w="1275" w:type="dxa"/>
            <w:tcBorders>
              <w:tl2br w:val="nil"/>
              <w:tr2bl w:val="nil"/>
            </w:tcBorders>
            <w:noWrap w:val="0"/>
            <w:vAlign w:val="center"/>
          </w:tcPr>
          <w:p w14:paraId="4AA3B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57" w:type="dxa"/>
            <w:tcBorders>
              <w:tl2br w:val="nil"/>
              <w:tr2bl w:val="nil"/>
            </w:tcBorders>
            <w:noWrap w:val="0"/>
            <w:vAlign w:val="center"/>
          </w:tcPr>
          <w:p w14:paraId="4364EB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44" w:type="dxa"/>
            <w:tcBorders>
              <w:tl2br w:val="nil"/>
              <w:tr2bl w:val="nil"/>
            </w:tcBorders>
            <w:noWrap w:val="0"/>
            <w:vAlign w:val="center"/>
          </w:tcPr>
          <w:p w14:paraId="213C7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5848D3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2D693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continue"/>
            <w:tcBorders>
              <w:tl2br w:val="nil"/>
              <w:tr2bl w:val="nil"/>
            </w:tcBorders>
            <w:noWrap w:val="0"/>
            <w:vAlign w:val="center"/>
          </w:tcPr>
          <w:p w14:paraId="698A9F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76F51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 xml:space="preserve"> 铅</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3D4B3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365" w:type="dxa"/>
            <w:tcBorders>
              <w:tl2br w:val="nil"/>
              <w:tr2bl w:val="nil"/>
            </w:tcBorders>
            <w:noWrap w:val="0"/>
            <w:vAlign w:val="center"/>
          </w:tcPr>
          <w:p w14:paraId="13C3DC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073" w:type="dxa"/>
            <w:tcBorders>
              <w:tl2br w:val="nil"/>
              <w:tr2bl w:val="nil"/>
            </w:tcBorders>
            <w:noWrap w:val="0"/>
            <w:vAlign w:val="center"/>
          </w:tcPr>
          <w:p w14:paraId="4614520C">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05</w:t>
            </w:r>
          </w:p>
        </w:tc>
        <w:tc>
          <w:tcPr>
            <w:tcW w:w="1275" w:type="dxa"/>
            <w:tcBorders>
              <w:tl2br w:val="nil"/>
              <w:tr2bl w:val="nil"/>
            </w:tcBorders>
            <w:noWrap w:val="0"/>
            <w:vAlign w:val="center"/>
          </w:tcPr>
          <w:p w14:paraId="573B5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357" w:type="dxa"/>
            <w:tcBorders>
              <w:tl2br w:val="nil"/>
              <w:tr2bl w:val="nil"/>
            </w:tcBorders>
            <w:noWrap w:val="0"/>
            <w:vAlign w:val="center"/>
          </w:tcPr>
          <w:p w14:paraId="266AF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044" w:type="dxa"/>
            <w:tcBorders>
              <w:tl2br w:val="nil"/>
              <w:tr2bl w:val="nil"/>
            </w:tcBorders>
            <w:noWrap w:val="0"/>
            <w:vAlign w:val="center"/>
          </w:tcPr>
          <w:p w14:paraId="6EB3D9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6C39A8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618B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continue"/>
            <w:tcBorders>
              <w:tl2br w:val="nil"/>
              <w:tr2bl w:val="nil"/>
            </w:tcBorders>
            <w:noWrap w:val="0"/>
            <w:vAlign w:val="center"/>
          </w:tcPr>
          <w:p w14:paraId="60873F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14939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氰化物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5AAEF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365" w:type="dxa"/>
            <w:tcBorders>
              <w:tl2br w:val="nil"/>
              <w:tr2bl w:val="nil"/>
            </w:tcBorders>
            <w:noWrap w:val="0"/>
            <w:vAlign w:val="center"/>
          </w:tcPr>
          <w:p w14:paraId="3CA05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073" w:type="dxa"/>
            <w:tcBorders>
              <w:tl2br w:val="nil"/>
              <w:tr2bl w:val="nil"/>
            </w:tcBorders>
            <w:noWrap w:val="0"/>
            <w:vAlign w:val="center"/>
          </w:tcPr>
          <w:p w14:paraId="7C897722">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2</w:t>
            </w:r>
          </w:p>
        </w:tc>
        <w:tc>
          <w:tcPr>
            <w:tcW w:w="1275" w:type="dxa"/>
            <w:tcBorders>
              <w:tl2br w:val="nil"/>
              <w:tr2bl w:val="nil"/>
            </w:tcBorders>
            <w:noWrap w:val="0"/>
            <w:vAlign w:val="center"/>
          </w:tcPr>
          <w:p w14:paraId="1BA27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357" w:type="dxa"/>
            <w:tcBorders>
              <w:tl2br w:val="nil"/>
              <w:tr2bl w:val="nil"/>
            </w:tcBorders>
            <w:noWrap w:val="0"/>
            <w:vAlign w:val="center"/>
          </w:tcPr>
          <w:p w14:paraId="293B9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044" w:type="dxa"/>
            <w:tcBorders>
              <w:tl2br w:val="nil"/>
              <w:tr2bl w:val="nil"/>
            </w:tcBorders>
            <w:noWrap w:val="0"/>
            <w:vAlign w:val="center"/>
          </w:tcPr>
          <w:p w14:paraId="2B306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04D4C8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30F2D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continue"/>
            <w:tcBorders>
              <w:tl2br w:val="nil"/>
              <w:tr2bl w:val="nil"/>
            </w:tcBorders>
            <w:noWrap w:val="0"/>
            <w:vAlign w:val="center"/>
          </w:tcPr>
          <w:p w14:paraId="043579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69AFCE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挥发酚</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2E5A46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365" w:type="dxa"/>
            <w:tcBorders>
              <w:tl2br w:val="nil"/>
              <w:tr2bl w:val="nil"/>
            </w:tcBorders>
            <w:noWrap w:val="0"/>
            <w:vAlign w:val="center"/>
          </w:tcPr>
          <w:p w14:paraId="434C75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073" w:type="dxa"/>
            <w:tcBorders>
              <w:tl2br w:val="nil"/>
              <w:tr2bl w:val="nil"/>
            </w:tcBorders>
            <w:noWrap w:val="0"/>
            <w:vAlign w:val="center"/>
          </w:tcPr>
          <w:p w14:paraId="5F30B759">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0.01</w:t>
            </w:r>
          </w:p>
        </w:tc>
        <w:tc>
          <w:tcPr>
            <w:tcW w:w="1275" w:type="dxa"/>
            <w:tcBorders>
              <w:tl2br w:val="nil"/>
              <w:tr2bl w:val="nil"/>
            </w:tcBorders>
            <w:noWrap w:val="0"/>
            <w:vAlign w:val="center"/>
          </w:tcPr>
          <w:p w14:paraId="4D062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357" w:type="dxa"/>
            <w:tcBorders>
              <w:tl2br w:val="nil"/>
              <w:tr2bl w:val="nil"/>
            </w:tcBorders>
            <w:noWrap w:val="0"/>
            <w:vAlign w:val="center"/>
          </w:tcPr>
          <w:p w14:paraId="7BBC34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044" w:type="dxa"/>
            <w:tcBorders>
              <w:tl2br w:val="nil"/>
              <w:tr2bl w:val="nil"/>
            </w:tcBorders>
            <w:noWrap w:val="0"/>
            <w:vAlign w:val="center"/>
          </w:tcPr>
          <w:p w14:paraId="3987C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≤0.005</w:t>
            </w:r>
          </w:p>
        </w:tc>
        <w:tc>
          <w:tcPr>
            <w:tcW w:w="690" w:type="dxa"/>
            <w:tcBorders>
              <w:tl2br w:val="nil"/>
              <w:tr2bl w:val="nil"/>
            </w:tcBorders>
            <w:noWrap w:val="0"/>
            <w:vAlign w:val="center"/>
          </w:tcPr>
          <w:p w14:paraId="6E1087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246E2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98" w:type="dxa"/>
            <w:vMerge w:val="continue"/>
            <w:tcBorders>
              <w:tl2br w:val="nil"/>
              <w:tr2bl w:val="nil"/>
            </w:tcBorders>
            <w:noWrap w:val="0"/>
            <w:vAlign w:val="center"/>
          </w:tcPr>
          <w:p w14:paraId="681B18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75E946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硫化物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65C7F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65" w:type="dxa"/>
            <w:tcBorders>
              <w:tl2br w:val="nil"/>
              <w:tr2bl w:val="nil"/>
            </w:tcBorders>
            <w:noWrap w:val="0"/>
            <w:vAlign w:val="center"/>
          </w:tcPr>
          <w:p w14:paraId="258060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73" w:type="dxa"/>
            <w:tcBorders>
              <w:tl2br w:val="nil"/>
              <w:tr2bl w:val="nil"/>
            </w:tcBorders>
            <w:noWrap w:val="0"/>
            <w:vAlign w:val="center"/>
          </w:tcPr>
          <w:p w14:paraId="0FA88033">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p>
        </w:tc>
        <w:tc>
          <w:tcPr>
            <w:tcW w:w="1275" w:type="dxa"/>
            <w:tcBorders>
              <w:tl2br w:val="nil"/>
              <w:tr2bl w:val="nil"/>
            </w:tcBorders>
            <w:noWrap w:val="0"/>
            <w:vAlign w:val="center"/>
          </w:tcPr>
          <w:p w14:paraId="6BB6AB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57" w:type="dxa"/>
            <w:tcBorders>
              <w:tl2br w:val="nil"/>
              <w:tr2bl w:val="nil"/>
            </w:tcBorders>
            <w:noWrap w:val="0"/>
            <w:vAlign w:val="center"/>
          </w:tcPr>
          <w:p w14:paraId="103238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44" w:type="dxa"/>
            <w:tcBorders>
              <w:tl2br w:val="nil"/>
              <w:tr2bl w:val="nil"/>
            </w:tcBorders>
            <w:noWrap w:val="0"/>
            <w:vAlign w:val="center"/>
          </w:tcPr>
          <w:p w14:paraId="2D42B9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458054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46132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1" w:hRule="exact"/>
          <w:jc w:val="center"/>
        </w:trPr>
        <w:tc>
          <w:tcPr>
            <w:tcW w:w="798" w:type="dxa"/>
            <w:vMerge w:val="continue"/>
            <w:tcBorders>
              <w:tl2br w:val="nil"/>
              <w:tr2bl w:val="nil"/>
            </w:tcBorders>
            <w:noWrap w:val="0"/>
            <w:vAlign w:val="center"/>
          </w:tcPr>
          <w:p w14:paraId="720C6B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2B9CF9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阴离子表面活性剂</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09259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365" w:type="dxa"/>
            <w:tcBorders>
              <w:tl2br w:val="nil"/>
              <w:tr2bl w:val="nil"/>
            </w:tcBorders>
            <w:noWrap w:val="0"/>
            <w:vAlign w:val="center"/>
          </w:tcPr>
          <w:p w14:paraId="3A9AC1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073" w:type="dxa"/>
            <w:tcBorders>
              <w:tl2br w:val="nil"/>
              <w:tr2bl w:val="nil"/>
            </w:tcBorders>
            <w:noWrap w:val="0"/>
            <w:vAlign w:val="center"/>
          </w:tcPr>
          <w:p w14:paraId="7DF510F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0.3</w:t>
            </w:r>
          </w:p>
        </w:tc>
        <w:tc>
          <w:tcPr>
            <w:tcW w:w="1275" w:type="dxa"/>
            <w:tcBorders>
              <w:tl2br w:val="nil"/>
              <w:tr2bl w:val="nil"/>
            </w:tcBorders>
            <w:noWrap w:val="0"/>
            <w:vAlign w:val="center"/>
          </w:tcPr>
          <w:p w14:paraId="1F2557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357" w:type="dxa"/>
            <w:tcBorders>
              <w:tl2br w:val="nil"/>
              <w:tr2bl w:val="nil"/>
            </w:tcBorders>
            <w:noWrap w:val="0"/>
            <w:vAlign w:val="center"/>
          </w:tcPr>
          <w:p w14:paraId="707FB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044" w:type="dxa"/>
            <w:tcBorders>
              <w:tl2br w:val="nil"/>
              <w:tr2bl w:val="nil"/>
            </w:tcBorders>
            <w:noWrap w:val="0"/>
            <w:vAlign w:val="center"/>
          </w:tcPr>
          <w:p w14:paraId="3B1DF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19C489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203D3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9" w:hRule="exact"/>
          <w:jc w:val="center"/>
        </w:trPr>
        <w:tc>
          <w:tcPr>
            <w:tcW w:w="798" w:type="dxa"/>
            <w:vMerge w:val="continue"/>
            <w:tcBorders>
              <w:tl2br w:val="nil"/>
              <w:tr2bl w:val="nil"/>
            </w:tcBorders>
            <w:noWrap w:val="0"/>
            <w:vAlign w:val="center"/>
          </w:tcPr>
          <w:p w14:paraId="2D2956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58AC6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粪大肠菌群</w:t>
            </w:r>
            <w:r>
              <w:rPr>
                <w:rFonts w:hint="default" w:ascii="Times New Roman" w:hAnsi="Times New Roman" w:eastAsia="宋体" w:cs="Times New Roman"/>
                <w:color w:val="000000" w:themeColor="text1"/>
                <w:sz w:val="21"/>
                <w:szCs w:val="21"/>
                <w:highlight w:val="none"/>
                <w:u w:val="wav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MPN/L</w:t>
            </w:r>
            <w:r>
              <w:rPr>
                <w:rFonts w:hint="default" w:ascii="Times New Roman" w:hAnsi="Times New Roman" w:eastAsia="宋体" w:cs="Times New Roman"/>
                <w:color w:val="000000" w:themeColor="text1"/>
                <w:sz w:val="21"/>
                <w:szCs w:val="21"/>
                <w:highlight w:val="none"/>
                <w:u w:val="wave" w:color="auto"/>
                <w:lang w:eastAsia="zh-CN"/>
                <w14:textFill>
                  <w14:solidFill>
                    <w14:schemeClr w14:val="tx1"/>
                  </w14:solidFill>
                </w14:textFill>
              </w:rPr>
              <w:t>）</w:t>
            </w:r>
          </w:p>
        </w:tc>
        <w:tc>
          <w:tcPr>
            <w:tcW w:w="1091" w:type="dxa"/>
            <w:tcBorders>
              <w:tl2br w:val="nil"/>
              <w:tr2bl w:val="nil"/>
            </w:tcBorders>
            <w:noWrap w:val="0"/>
            <w:vAlign w:val="center"/>
          </w:tcPr>
          <w:p w14:paraId="07F83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2.3×10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365" w:type="dxa"/>
            <w:tcBorders>
              <w:tl2br w:val="nil"/>
              <w:tr2bl w:val="nil"/>
            </w:tcBorders>
            <w:noWrap w:val="0"/>
            <w:vAlign w:val="center"/>
          </w:tcPr>
          <w:p w14:paraId="1C4C2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3.2×10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073" w:type="dxa"/>
            <w:tcBorders>
              <w:tl2br w:val="nil"/>
              <w:tr2bl w:val="nil"/>
            </w:tcBorders>
            <w:noWrap w:val="0"/>
            <w:vAlign w:val="center"/>
          </w:tcPr>
          <w:p w14:paraId="100F38D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0000</w:t>
            </w:r>
          </w:p>
        </w:tc>
        <w:tc>
          <w:tcPr>
            <w:tcW w:w="1275" w:type="dxa"/>
            <w:tcBorders>
              <w:tl2br w:val="nil"/>
              <w:tr2bl w:val="nil"/>
            </w:tcBorders>
            <w:noWrap w:val="0"/>
            <w:vAlign w:val="center"/>
          </w:tcPr>
          <w:p w14:paraId="1A9BB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3.1×10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357" w:type="dxa"/>
            <w:tcBorders>
              <w:tl2br w:val="nil"/>
              <w:tr2bl w:val="nil"/>
            </w:tcBorders>
            <w:noWrap w:val="0"/>
            <w:vAlign w:val="center"/>
          </w:tcPr>
          <w:p w14:paraId="77B796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3.8×10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044" w:type="dxa"/>
            <w:tcBorders>
              <w:tl2br w:val="nil"/>
              <w:tr2bl w:val="nil"/>
            </w:tcBorders>
            <w:noWrap w:val="0"/>
            <w:vAlign w:val="center"/>
          </w:tcPr>
          <w:p w14:paraId="29AB09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t>10000</w:t>
            </w:r>
          </w:p>
        </w:tc>
        <w:tc>
          <w:tcPr>
            <w:tcW w:w="690" w:type="dxa"/>
            <w:tcBorders>
              <w:tl2br w:val="nil"/>
              <w:tr2bl w:val="nil"/>
            </w:tcBorders>
            <w:noWrap w:val="0"/>
            <w:vAlign w:val="center"/>
          </w:tcPr>
          <w:p w14:paraId="32B3960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78DB0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restart"/>
            <w:tcBorders>
              <w:tl2br w:val="nil"/>
              <w:tr2bl w:val="nil"/>
            </w:tcBorders>
            <w:noWrap w:val="0"/>
            <w:vAlign w:val="center"/>
          </w:tcPr>
          <w:p w14:paraId="5BA0091C">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2025.10.19</w:t>
            </w:r>
          </w:p>
        </w:tc>
        <w:tc>
          <w:tcPr>
            <w:tcW w:w="1649" w:type="dxa"/>
            <w:tcBorders>
              <w:tl2br w:val="nil"/>
              <w:tr2bl w:val="nil"/>
            </w:tcBorders>
            <w:noWrap w:val="0"/>
            <w:vAlign w:val="center"/>
          </w:tcPr>
          <w:p w14:paraId="02132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pH值（无量纲）</w:t>
            </w:r>
          </w:p>
        </w:tc>
        <w:tc>
          <w:tcPr>
            <w:tcW w:w="1091" w:type="dxa"/>
            <w:tcBorders>
              <w:tl2br w:val="nil"/>
              <w:tr2bl w:val="nil"/>
            </w:tcBorders>
            <w:noWrap w:val="0"/>
            <w:vAlign w:val="center"/>
          </w:tcPr>
          <w:p w14:paraId="492944C5">
            <w:pPr>
              <w:keepNext w:val="0"/>
              <w:keepLines w:val="0"/>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7.0</w:t>
            </w:r>
          </w:p>
        </w:tc>
        <w:tc>
          <w:tcPr>
            <w:tcW w:w="1365" w:type="dxa"/>
            <w:tcBorders>
              <w:tl2br w:val="nil"/>
              <w:tr2bl w:val="nil"/>
            </w:tcBorders>
            <w:noWrap w:val="0"/>
            <w:vAlign w:val="center"/>
          </w:tcPr>
          <w:p w14:paraId="47A07AFB">
            <w:pPr>
              <w:keepNext w:val="0"/>
              <w:keepLines w:val="0"/>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val="0"/>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7.2</w:t>
            </w:r>
          </w:p>
        </w:tc>
        <w:tc>
          <w:tcPr>
            <w:tcW w:w="1073" w:type="dxa"/>
            <w:tcBorders>
              <w:tl2br w:val="nil"/>
              <w:tr2bl w:val="nil"/>
            </w:tcBorders>
            <w:noWrap w:val="0"/>
            <w:vAlign w:val="center"/>
          </w:tcPr>
          <w:p w14:paraId="2C72521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6~9</w:t>
            </w:r>
          </w:p>
        </w:tc>
        <w:tc>
          <w:tcPr>
            <w:tcW w:w="1275" w:type="dxa"/>
            <w:tcBorders>
              <w:tl2br w:val="nil"/>
              <w:tr2bl w:val="nil"/>
            </w:tcBorders>
            <w:noWrap w:val="0"/>
            <w:vAlign w:val="center"/>
          </w:tcPr>
          <w:p w14:paraId="136E3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7.2</w:t>
            </w:r>
          </w:p>
        </w:tc>
        <w:tc>
          <w:tcPr>
            <w:tcW w:w="1357" w:type="dxa"/>
            <w:tcBorders>
              <w:tl2br w:val="nil"/>
              <w:tr2bl w:val="nil"/>
            </w:tcBorders>
            <w:noWrap w:val="0"/>
            <w:vAlign w:val="center"/>
          </w:tcPr>
          <w:p w14:paraId="11631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7.4</w:t>
            </w:r>
          </w:p>
        </w:tc>
        <w:tc>
          <w:tcPr>
            <w:tcW w:w="1044" w:type="dxa"/>
            <w:tcBorders>
              <w:tl2br w:val="nil"/>
              <w:tr2bl w:val="nil"/>
            </w:tcBorders>
            <w:noWrap w:val="0"/>
            <w:vAlign w:val="center"/>
          </w:tcPr>
          <w:p w14:paraId="6A00B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t>6~9</w:t>
            </w:r>
          </w:p>
        </w:tc>
        <w:tc>
          <w:tcPr>
            <w:tcW w:w="690" w:type="dxa"/>
            <w:tcBorders>
              <w:tl2br w:val="nil"/>
              <w:tr2bl w:val="nil"/>
            </w:tcBorders>
            <w:noWrap w:val="0"/>
            <w:vAlign w:val="center"/>
          </w:tcPr>
          <w:p w14:paraId="1C768DC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3413A7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11489E02">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499AA9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水温（℃）</w:t>
            </w:r>
          </w:p>
        </w:tc>
        <w:tc>
          <w:tcPr>
            <w:tcW w:w="1091" w:type="dxa"/>
            <w:tcBorders>
              <w:tl2br w:val="nil"/>
              <w:tr2bl w:val="nil"/>
            </w:tcBorders>
            <w:noWrap w:val="0"/>
            <w:vAlign w:val="center"/>
          </w:tcPr>
          <w:p w14:paraId="55761E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24.5</w:t>
            </w:r>
          </w:p>
        </w:tc>
        <w:tc>
          <w:tcPr>
            <w:tcW w:w="1365" w:type="dxa"/>
            <w:tcBorders>
              <w:tl2br w:val="nil"/>
              <w:tr2bl w:val="nil"/>
            </w:tcBorders>
            <w:noWrap w:val="0"/>
            <w:vAlign w:val="center"/>
          </w:tcPr>
          <w:p w14:paraId="3E19C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24.0</w:t>
            </w:r>
          </w:p>
        </w:tc>
        <w:tc>
          <w:tcPr>
            <w:tcW w:w="1073" w:type="dxa"/>
            <w:tcBorders>
              <w:tl2br w:val="nil"/>
              <w:tr2bl w:val="nil"/>
            </w:tcBorders>
            <w:noWrap w:val="0"/>
            <w:vAlign w:val="center"/>
          </w:tcPr>
          <w:p w14:paraId="04C6245A">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w:t>
            </w:r>
          </w:p>
        </w:tc>
        <w:tc>
          <w:tcPr>
            <w:tcW w:w="1275" w:type="dxa"/>
            <w:tcBorders>
              <w:tl2br w:val="nil"/>
              <w:tr2bl w:val="nil"/>
            </w:tcBorders>
            <w:noWrap w:val="0"/>
            <w:vAlign w:val="center"/>
          </w:tcPr>
          <w:p w14:paraId="38E063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23.5</w:t>
            </w:r>
          </w:p>
        </w:tc>
        <w:tc>
          <w:tcPr>
            <w:tcW w:w="1357" w:type="dxa"/>
            <w:tcBorders>
              <w:tl2br w:val="nil"/>
              <w:tr2bl w:val="nil"/>
            </w:tcBorders>
            <w:noWrap w:val="0"/>
            <w:vAlign w:val="center"/>
          </w:tcPr>
          <w:p w14:paraId="684AE8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26.7</w:t>
            </w:r>
          </w:p>
        </w:tc>
        <w:tc>
          <w:tcPr>
            <w:tcW w:w="1044" w:type="dxa"/>
            <w:tcBorders>
              <w:tl2br w:val="nil"/>
              <w:tr2bl w:val="nil"/>
            </w:tcBorders>
            <w:noWrap w:val="0"/>
            <w:vAlign w:val="center"/>
          </w:tcPr>
          <w:p w14:paraId="00D38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t>/</w:t>
            </w:r>
          </w:p>
        </w:tc>
        <w:tc>
          <w:tcPr>
            <w:tcW w:w="690" w:type="dxa"/>
            <w:tcBorders>
              <w:tl2br w:val="nil"/>
              <w:tr2bl w:val="nil"/>
            </w:tcBorders>
            <w:noWrap w:val="0"/>
            <w:vAlign w:val="center"/>
          </w:tcPr>
          <w:p w14:paraId="5E49B20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4EBD0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exact"/>
          <w:jc w:val="center"/>
        </w:trPr>
        <w:tc>
          <w:tcPr>
            <w:tcW w:w="798" w:type="dxa"/>
            <w:vMerge w:val="continue"/>
            <w:tcBorders>
              <w:tl2br w:val="nil"/>
              <w:tr2bl w:val="nil"/>
            </w:tcBorders>
            <w:noWrap w:val="0"/>
            <w:vAlign w:val="center"/>
          </w:tcPr>
          <w:p w14:paraId="7B28190E">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276EA2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 xml:space="preserve"> 化学需氧量</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35C2A2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12</w:t>
            </w:r>
          </w:p>
        </w:tc>
        <w:tc>
          <w:tcPr>
            <w:tcW w:w="1365" w:type="dxa"/>
            <w:tcBorders>
              <w:tl2br w:val="nil"/>
              <w:tr2bl w:val="nil"/>
            </w:tcBorders>
            <w:noWrap w:val="0"/>
            <w:vAlign w:val="center"/>
          </w:tcPr>
          <w:p w14:paraId="62472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14</w:t>
            </w:r>
          </w:p>
        </w:tc>
        <w:tc>
          <w:tcPr>
            <w:tcW w:w="1073" w:type="dxa"/>
            <w:tcBorders>
              <w:tl2br w:val="nil"/>
              <w:tr2bl w:val="nil"/>
            </w:tcBorders>
            <w:noWrap w:val="0"/>
            <w:vAlign w:val="center"/>
          </w:tcPr>
          <w:p w14:paraId="0A17D522">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30</w:t>
            </w:r>
          </w:p>
        </w:tc>
        <w:tc>
          <w:tcPr>
            <w:tcW w:w="1275" w:type="dxa"/>
            <w:tcBorders>
              <w:tl2br w:val="nil"/>
              <w:tr2bl w:val="nil"/>
            </w:tcBorders>
            <w:noWrap w:val="0"/>
            <w:vAlign w:val="center"/>
          </w:tcPr>
          <w:p w14:paraId="78C105E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13</w:t>
            </w:r>
          </w:p>
        </w:tc>
        <w:tc>
          <w:tcPr>
            <w:tcW w:w="1357" w:type="dxa"/>
            <w:tcBorders>
              <w:tl2br w:val="nil"/>
              <w:tr2bl w:val="nil"/>
            </w:tcBorders>
            <w:noWrap w:val="0"/>
            <w:vAlign w:val="center"/>
          </w:tcPr>
          <w:p w14:paraId="0F62FF8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16</w:t>
            </w:r>
          </w:p>
        </w:tc>
        <w:tc>
          <w:tcPr>
            <w:tcW w:w="1044" w:type="dxa"/>
            <w:tcBorders>
              <w:tl2br w:val="nil"/>
              <w:tr2bl w:val="nil"/>
            </w:tcBorders>
            <w:noWrap w:val="0"/>
            <w:vAlign w:val="center"/>
          </w:tcPr>
          <w:p w14:paraId="4EEBDF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≤20</w:t>
            </w:r>
          </w:p>
        </w:tc>
        <w:tc>
          <w:tcPr>
            <w:tcW w:w="690" w:type="dxa"/>
            <w:tcBorders>
              <w:tl2br w:val="nil"/>
              <w:tr2bl w:val="nil"/>
            </w:tcBorders>
            <w:noWrap w:val="0"/>
            <w:vAlign w:val="center"/>
          </w:tcPr>
          <w:p w14:paraId="735B30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56BD5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798" w:type="dxa"/>
            <w:vMerge w:val="continue"/>
            <w:tcBorders>
              <w:tl2br w:val="nil"/>
              <w:tr2bl w:val="nil"/>
            </w:tcBorders>
            <w:noWrap w:val="0"/>
            <w:vAlign w:val="center"/>
          </w:tcPr>
          <w:p w14:paraId="4E7F88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6B69E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五日生化需氧量</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0A84D3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3.2</w:t>
            </w:r>
          </w:p>
        </w:tc>
        <w:tc>
          <w:tcPr>
            <w:tcW w:w="1365" w:type="dxa"/>
            <w:tcBorders>
              <w:tl2br w:val="nil"/>
              <w:tr2bl w:val="nil"/>
            </w:tcBorders>
            <w:noWrap w:val="0"/>
            <w:vAlign w:val="center"/>
          </w:tcPr>
          <w:p w14:paraId="7030B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3.5</w:t>
            </w:r>
          </w:p>
        </w:tc>
        <w:tc>
          <w:tcPr>
            <w:tcW w:w="1073" w:type="dxa"/>
            <w:tcBorders>
              <w:tl2br w:val="nil"/>
              <w:tr2bl w:val="nil"/>
            </w:tcBorders>
            <w:noWrap w:val="0"/>
            <w:vAlign w:val="center"/>
          </w:tcPr>
          <w:p w14:paraId="497AF782">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w:t>
            </w:r>
          </w:p>
        </w:tc>
        <w:tc>
          <w:tcPr>
            <w:tcW w:w="1275" w:type="dxa"/>
            <w:tcBorders>
              <w:tl2br w:val="nil"/>
              <w:tr2bl w:val="nil"/>
            </w:tcBorders>
            <w:noWrap w:val="0"/>
            <w:vAlign w:val="center"/>
          </w:tcPr>
          <w:p w14:paraId="3EFB768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3.4</w:t>
            </w:r>
          </w:p>
        </w:tc>
        <w:tc>
          <w:tcPr>
            <w:tcW w:w="1357" w:type="dxa"/>
            <w:tcBorders>
              <w:tl2br w:val="nil"/>
              <w:tr2bl w:val="nil"/>
            </w:tcBorders>
            <w:noWrap w:val="0"/>
            <w:vAlign w:val="center"/>
          </w:tcPr>
          <w:p w14:paraId="5B9EF36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3.6</w:t>
            </w:r>
          </w:p>
        </w:tc>
        <w:tc>
          <w:tcPr>
            <w:tcW w:w="1044" w:type="dxa"/>
            <w:tcBorders>
              <w:tl2br w:val="nil"/>
              <w:tr2bl w:val="nil"/>
            </w:tcBorders>
            <w:noWrap w:val="0"/>
            <w:vAlign w:val="center"/>
          </w:tcPr>
          <w:p w14:paraId="4C3EB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≤4</w:t>
            </w:r>
          </w:p>
        </w:tc>
        <w:tc>
          <w:tcPr>
            <w:tcW w:w="690" w:type="dxa"/>
            <w:tcBorders>
              <w:tl2br w:val="nil"/>
              <w:tr2bl w:val="nil"/>
            </w:tcBorders>
            <w:noWrap w:val="0"/>
            <w:vAlign w:val="center"/>
          </w:tcPr>
          <w:p w14:paraId="1A49D3A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4139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273C12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317B1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氨氮</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FF122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0.245</w:t>
            </w:r>
          </w:p>
        </w:tc>
        <w:tc>
          <w:tcPr>
            <w:tcW w:w="1365" w:type="dxa"/>
            <w:tcBorders>
              <w:tl2br w:val="nil"/>
              <w:tr2bl w:val="nil"/>
            </w:tcBorders>
            <w:noWrap w:val="0"/>
            <w:vAlign w:val="center"/>
          </w:tcPr>
          <w:p w14:paraId="2242B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0.453</w:t>
            </w:r>
          </w:p>
        </w:tc>
        <w:tc>
          <w:tcPr>
            <w:tcW w:w="1073" w:type="dxa"/>
            <w:tcBorders>
              <w:tl2br w:val="nil"/>
              <w:tr2bl w:val="nil"/>
            </w:tcBorders>
            <w:noWrap w:val="0"/>
            <w:vAlign w:val="center"/>
          </w:tcPr>
          <w:p w14:paraId="416F99CB">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5</w:t>
            </w:r>
          </w:p>
        </w:tc>
        <w:tc>
          <w:tcPr>
            <w:tcW w:w="1275" w:type="dxa"/>
            <w:tcBorders>
              <w:tl2br w:val="nil"/>
              <w:tr2bl w:val="nil"/>
            </w:tcBorders>
            <w:noWrap w:val="0"/>
            <w:vAlign w:val="center"/>
          </w:tcPr>
          <w:p w14:paraId="29587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0.454</w:t>
            </w:r>
          </w:p>
        </w:tc>
        <w:tc>
          <w:tcPr>
            <w:tcW w:w="1357" w:type="dxa"/>
            <w:tcBorders>
              <w:tl2br w:val="nil"/>
              <w:tr2bl w:val="nil"/>
            </w:tcBorders>
            <w:noWrap w:val="0"/>
            <w:vAlign w:val="center"/>
          </w:tcPr>
          <w:p w14:paraId="23405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0.623</w:t>
            </w:r>
          </w:p>
        </w:tc>
        <w:tc>
          <w:tcPr>
            <w:tcW w:w="1044" w:type="dxa"/>
            <w:tcBorders>
              <w:tl2br w:val="nil"/>
              <w:tr2bl w:val="nil"/>
            </w:tcBorders>
            <w:noWrap w:val="0"/>
            <w:vAlign w:val="center"/>
          </w:tcPr>
          <w:p w14:paraId="545D2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18612C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16ACE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009CF0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4786F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总磷</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68DC48C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w:t>
            </w:r>
          </w:p>
        </w:tc>
        <w:tc>
          <w:tcPr>
            <w:tcW w:w="1365" w:type="dxa"/>
            <w:tcBorders>
              <w:tl2br w:val="nil"/>
              <w:tr2bl w:val="nil"/>
            </w:tcBorders>
            <w:noWrap w:val="0"/>
            <w:vAlign w:val="center"/>
          </w:tcPr>
          <w:p w14:paraId="47ED2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0.06</w:t>
            </w:r>
          </w:p>
        </w:tc>
        <w:tc>
          <w:tcPr>
            <w:tcW w:w="1073" w:type="dxa"/>
            <w:tcBorders>
              <w:tl2br w:val="nil"/>
              <w:tr2bl w:val="nil"/>
            </w:tcBorders>
            <w:noWrap w:val="0"/>
            <w:vAlign w:val="center"/>
          </w:tcPr>
          <w:p w14:paraId="6C38DAB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w:t>
            </w:r>
          </w:p>
        </w:tc>
        <w:tc>
          <w:tcPr>
            <w:tcW w:w="1275" w:type="dxa"/>
            <w:tcBorders>
              <w:tl2br w:val="nil"/>
              <w:tr2bl w:val="nil"/>
            </w:tcBorders>
            <w:noWrap w:val="0"/>
            <w:vAlign w:val="center"/>
          </w:tcPr>
          <w:p w14:paraId="5D3B8D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w:t>
            </w:r>
          </w:p>
        </w:tc>
        <w:tc>
          <w:tcPr>
            <w:tcW w:w="1357" w:type="dxa"/>
            <w:tcBorders>
              <w:tl2br w:val="nil"/>
              <w:tr2bl w:val="nil"/>
            </w:tcBorders>
            <w:noWrap w:val="0"/>
            <w:vAlign w:val="center"/>
          </w:tcPr>
          <w:p w14:paraId="45484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0.06</w:t>
            </w:r>
          </w:p>
        </w:tc>
        <w:tc>
          <w:tcPr>
            <w:tcW w:w="1044" w:type="dxa"/>
            <w:tcBorders>
              <w:tl2br w:val="nil"/>
              <w:tr2bl w:val="nil"/>
            </w:tcBorders>
            <w:noWrap w:val="0"/>
            <w:vAlign w:val="center"/>
          </w:tcPr>
          <w:p w14:paraId="3C831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2BCD9A6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7D76D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394A3C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29F45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总氮</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407FE84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0.54</w:t>
            </w:r>
          </w:p>
        </w:tc>
        <w:tc>
          <w:tcPr>
            <w:tcW w:w="1365" w:type="dxa"/>
            <w:tcBorders>
              <w:tl2br w:val="nil"/>
              <w:tr2bl w:val="nil"/>
            </w:tcBorders>
            <w:noWrap w:val="0"/>
            <w:vAlign w:val="center"/>
          </w:tcPr>
          <w:p w14:paraId="32C0C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0.75</w:t>
            </w:r>
          </w:p>
        </w:tc>
        <w:tc>
          <w:tcPr>
            <w:tcW w:w="1073" w:type="dxa"/>
            <w:tcBorders>
              <w:tl2br w:val="nil"/>
              <w:tr2bl w:val="nil"/>
            </w:tcBorders>
            <w:noWrap w:val="0"/>
            <w:vAlign w:val="center"/>
          </w:tcPr>
          <w:p w14:paraId="05DD956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5</w:t>
            </w:r>
          </w:p>
        </w:tc>
        <w:tc>
          <w:tcPr>
            <w:tcW w:w="1275" w:type="dxa"/>
            <w:tcBorders>
              <w:tl2br w:val="nil"/>
              <w:tr2bl w:val="nil"/>
            </w:tcBorders>
            <w:noWrap w:val="0"/>
            <w:vAlign w:val="center"/>
          </w:tcPr>
          <w:p w14:paraId="0B8E3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0.68</w:t>
            </w:r>
          </w:p>
        </w:tc>
        <w:tc>
          <w:tcPr>
            <w:tcW w:w="1357" w:type="dxa"/>
            <w:tcBorders>
              <w:tl2br w:val="nil"/>
              <w:tr2bl w:val="nil"/>
            </w:tcBorders>
            <w:noWrap w:val="0"/>
            <w:vAlign w:val="center"/>
          </w:tcPr>
          <w:p w14:paraId="55DD2B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0.77</w:t>
            </w:r>
          </w:p>
        </w:tc>
        <w:tc>
          <w:tcPr>
            <w:tcW w:w="1044" w:type="dxa"/>
            <w:tcBorders>
              <w:tl2br w:val="nil"/>
              <w:tr2bl w:val="nil"/>
            </w:tcBorders>
            <w:noWrap w:val="0"/>
            <w:vAlign w:val="center"/>
          </w:tcPr>
          <w:p w14:paraId="44326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57E167F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7D070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444015F8">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25A19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悬浮物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636B9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12</w:t>
            </w:r>
          </w:p>
        </w:tc>
        <w:tc>
          <w:tcPr>
            <w:tcW w:w="1365" w:type="dxa"/>
            <w:tcBorders>
              <w:tl2br w:val="nil"/>
              <w:tr2bl w:val="nil"/>
            </w:tcBorders>
            <w:noWrap w:val="0"/>
            <w:vAlign w:val="center"/>
          </w:tcPr>
          <w:p w14:paraId="57DFD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17</w:t>
            </w:r>
          </w:p>
        </w:tc>
        <w:tc>
          <w:tcPr>
            <w:tcW w:w="1073" w:type="dxa"/>
            <w:tcBorders>
              <w:tl2br w:val="nil"/>
              <w:tr2bl w:val="nil"/>
            </w:tcBorders>
            <w:noWrap w:val="0"/>
            <w:vAlign w:val="center"/>
          </w:tcPr>
          <w:p w14:paraId="4FC8E4E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p>
        </w:tc>
        <w:tc>
          <w:tcPr>
            <w:tcW w:w="1275" w:type="dxa"/>
            <w:tcBorders>
              <w:tl2br w:val="nil"/>
              <w:tr2bl w:val="nil"/>
            </w:tcBorders>
            <w:noWrap w:val="0"/>
            <w:vAlign w:val="center"/>
          </w:tcPr>
          <w:p w14:paraId="0B1A4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15</w:t>
            </w:r>
          </w:p>
        </w:tc>
        <w:tc>
          <w:tcPr>
            <w:tcW w:w="1357" w:type="dxa"/>
            <w:tcBorders>
              <w:tl2br w:val="nil"/>
              <w:tr2bl w:val="nil"/>
            </w:tcBorders>
            <w:noWrap w:val="0"/>
            <w:vAlign w:val="center"/>
          </w:tcPr>
          <w:p w14:paraId="79813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 xml:space="preserve"> 18</w:t>
            </w:r>
          </w:p>
        </w:tc>
        <w:tc>
          <w:tcPr>
            <w:tcW w:w="1044" w:type="dxa"/>
            <w:tcBorders>
              <w:tl2br w:val="nil"/>
              <w:tr2bl w:val="nil"/>
            </w:tcBorders>
            <w:noWrap w:val="0"/>
            <w:vAlign w:val="center"/>
          </w:tcPr>
          <w:p w14:paraId="6D4E4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p>
        </w:tc>
        <w:tc>
          <w:tcPr>
            <w:tcW w:w="690" w:type="dxa"/>
            <w:tcBorders>
              <w:tl2br w:val="nil"/>
              <w:tr2bl w:val="nil"/>
            </w:tcBorders>
            <w:noWrap w:val="0"/>
            <w:vAlign w:val="center"/>
          </w:tcPr>
          <w:p w14:paraId="0DF8F3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26896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5F899B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050AF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石油类</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11854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65" w:type="dxa"/>
            <w:tcBorders>
              <w:tl2br w:val="nil"/>
              <w:tr2bl w:val="nil"/>
            </w:tcBorders>
            <w:noWrap w:val="0"/>
            <w:vAlign w:val="center"/>
          </w:tcPr>
          <w:p w14:paraId="565FD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73" w:type="dxa"/>
            <w:tcBorders>
              <w:tl2br w:val="nil"/>
              <w:tr2bl w:val="nil"/>
            </w:tcBorders>
            <w:noWrap w:val="0"/>
            <w:vAlign w:val="center"/>
          </w:tcPr>
          <w:p w14:paraId="302BA81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w:t>
            </w:r>
          </w:p>
        </w:tc>
        <w:tc>
          <w:tcPr>
            <w:tcW w:w="1275" w:type="dxa"/>
            <w:tcBorders>
              <w:tl2br w:val="nil"/>
              <w:tr2bl w:val="nil"/>
            </w:tcBorders>
            <w:noWrap w:val="0"/>
            <w:vAlign w:val="center"/>
          </w:tcPr>
          <w:p w14:paraId="73712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57" w:type="dxa"/>
            <w:tcBorders>
              <w:tl2br w:val="nil"/>
              <w:tr2bl w:val="nil"/>
            </w:tcBorders>
            <w:noWrap w:val="0"/>
            <w:vAlign w:val="center"/>
          </w:tcPr>
          <w:p w14:paraId="2D848F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44" w:type="dxa"/>
            <w:tcBorders>
              <w:tl2br w:val="nil"/>
              <w:tr2bl w:val="nil"/>
            </w:tcBorders>
            <w:noWrap w:val="0"/>
            <w:vAlign w:val="center"/>
          </w:tcPr>
          <w:p w14:paraId="709EB3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68B33C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57872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798" w:type="dxa"/>
            <w:vMerge w:val="continue"/>
            <w:tcBorders>
              <w:tl2br w:val="nil"/>
              <w:tr2bl w:val="nil"/>
            </w:tcBorders>
            <w:noWrap w:val="0"/>
            <w:vAlign w:val="center"/>
          </w:tcPr>
          <w:p w14:paraId="335089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652B159E">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高锰酸盐指数</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62EA9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2.3</w:t>
            </w:r>
          </w:p>
        </w:tc>
        <w:tc>
          <w:tcPr>
            <w:tcW w:w="1365" w:type="dxa"/>
            <w:tcBorders>
              <w:tl2br w:val="nil"/>
              <w:tr2bl w:val="nil"/>
            </w:tcBorders>
            <w:noWrap w:val="0"/>
            <w:vAlign w:val="center"/>
          </w:tcPr>
          <w:p w14:paraId="7A551D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3.9</w:t>
            </w:r>
          </w:p>
        </w:tc>
        <w:tc>
          <w:tcPr>
            <w:tcW w:w="1073" w:type="dxa"/>
            <w:tcBorders>
              <w:tl2br w:val="nil"/>
              <w:tr2bl w:val="nil"/>
            </w:tcBorders>
            <w:noWrap w:val="0"/>
            <w:vAlign w:val="center"/>
          </w:tcPr>
          <w:p w14:paraId="16AC1D1C">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1275" w:type="dxa"/>
            <w:tcBorders>
              <w:tl2br w:val="nil"/>
              <w:tr2bl w:val="nil"/>
            </w:tcBorders>
            <w:noWrap w:val="0"/>
            <w:vAlign w:val="center"/>
          </w:tcPr>
          <w:p w14:paraId="5FF293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3.7</w:t>
            </w:r>
          </w:p>
        </w:tc>
        <w:tc>
          <w:tcPr>
            <w:tcW w:w="1357" w:type="dxa"/>
            <w:tcBorders>
              <w:tl2br w:val="nil"/>
              <w:tr2bl w:val="nil"/>
            </w:tcBorders>
            <w:noWrap w:val="0"/>
            <w:vAlign w:val="center"/>
          </w:tcPr>
          <w:p w14:paraId="0A0A0B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4.1</w:t>
            </w:r>
          </w:p>
        </w:tc>
        <w:tc>
          <w:tcPr>
            <w:tcW w:w="1044" w:type="dxa"/>
            <w:tcBorders>
              <w:tl2br w:val="nil"/>
              <w:tr2bl w:val="nil"/>
            </w:tcBorders>
            <w:noWrap w:val="0"/>
            <w:vAlign w:val="center"/>
          </w:tcPr>
          <w:p w14:paraId="7E1810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≤6</w:t>
            </w:r>
          </w:p>
        </w:tc>
        <w:tc>
          <w:tcPr>
            <w:tcW w:w="690" w:type="dxa"/>
            <w:tcBorders>
              <w:tl2br w:val="nil"/>
              <w:tr2bl w:val="nil"/>
            </w:tcBorders>
            <w:noWrap w:val="0"/>
            <w:vAlign w:val="center"/>
          </w:tcPr>
          <w:p w14:paraId="7722D39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154D8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0F8116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0A904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溶解氧</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084D9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7.32</w:t>
            </w:r>
          </w:p>
        </w:tc>
        <w:tc>
          <w:tcPr>
            <w:tcW w:w="1365" w:type="dxa"/>
            <w:tcBorders>
              <w:tl2br w:val="nil"/>
              <w:tr2bl w:val="nil"/>
            </w:tcBorders>
            <w:noWrap w:val="0"/>
            <w:vAlign w:val="center"/>
          </w:tcPr>
          <w:p w14:paraId="0D8B0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7.15</w:t>
            </w:r>
          </w:p>
        </w:tc>
        <w:tc>
          <w:tcPr>
            <w:tcW w:w="1073" w:type="dxa"/>
            <w:tcBorders>
              <w:tl2br w:val="nil"/>
              <w:tr2bl w:val="nil"/>
            </w:tcBorders>
            <w:noWrap w:val="0"/>
            <w:vAlign w:val="center"/>
          </w:tcPr>
          <w:p w14:paraId="4E0A73D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w:t>
            </w:r>
          </w:p>
        </w:tc>
        <w:tc>
          <w:tcPr>
            <w:tcW w:w="1275" w:type="dxa"/>
            <w:tcBorders>
              <w:tl2br w:val="nil"/>
              <w:tr2bl w:val="nil"/>
            </w:tcBorders>
            <w:noWrap w:val="0"/>
            <w:vAlign w:val="center"/>
          </w:tcPr>
          <w:p w14:paraId="34889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7.35</w:t>
            </w:r>
          </w:p>
        </w:tc>
        <w:tc>
          <w:tcPr>
            <w:tcW w:w="1357" w:type="dxa"/>
            <w:tcBorders>
              <w:tl2br w:val="nil"/>
              <w:tr2bl w:val="nil"/>
            </w:tcBorders>
            <w:noWrap w:val="0"/>
            <w:vAlign w:val="center"/>
          </w:tcPr>
          <w:p w14:paraId="403BE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7.04</w:t>
            </w:r>
          </w:p>
        </w:tc>
        <w:tc>
          <w:tcPr>
            <w:tcW w:w="1044" w:type="dxa"/>
            <w:tcBorders>
              <w:tl2br w:val="nil"/>
              <w:tr2bl w:val="nil"/>
            </w:tcBorders>
            <w:noWrap w:val="0"/>
            <w:vAlign w:val="center"/>
          </w:tcPr>
          <w:p w14:paraId="48018C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≥5</w:t>
            </w:r>
          </w:p>
        </w:tc>
        <w:tc>
          <w:tcPr>
            <w:tcW w:w="690" w:type="dxa"/>
            <w:tcBorders>
              <w:tl2br w:val="nil"/>
              <w:tr2bl w:val="nil"/>
            </w:tcBorders>
            <w:noWrap w:val="0"/>
            <w:vAlign w:val="center"/>
          </w:tcPr>
          <w:p w14:paraId="036F2C0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43504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7C340B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31685F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铜</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58B4E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365" w:type="dxa"/>
            <w:tcBorders>
              <w:tl2br w:val="nil"/>
              <w:tr2bl w:val="nil"/>
            </w:tcBorders>
            <w:noWrap w:val="0"/>
            <w:vAlign w:val="center"/>
          </w:tcPr>
          <w:p w14:paraId="1C3FC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073" w:type="dxa"/>
            <w:tcBorders>
              <w:tl2br w:val="nil"/>
              <w:tr2bl w:val="nil"/>
            </w:tcBorders>
            <w:noWrap w:val="0"/>
            <w:vAlign w:val="center"/>
          </w:tcPr>
          <w:p w14:paraId="730BF81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1275" w:type="dxa"/>
            <w:tcBorders>
              <w:tl2br w:val="nil"/>
              <w:tr2bl w:val="nil"/>
            </w:tcBorders>
            <w:noWrap w:val="0"/>
            <w:vAlign w:val="center"/>
          </w:tcPr>
          <w:p w14:paraId="5E5F7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357" w:type="dxa"/>
            <w:tcBorders>
              <w:tl2br w:val="nil"/>
              <w:tr2bl w:val="nil"/>
            </w:tcBorders>
            <w:noWrap w:val="0"/>
            <w:vAlign w:val="center"/>
          </w:tcPr>
          <w:p w14:paraId="7BA08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044" w:type="dxa"/>
            <w:tcBorders>
              <w:tl2br w:val="nil"/>
              <w:tr2bl w:val="nil"/>
            </w:tcBorders>
            <w:noWrap w:val="0"/>
            <w:vAlign w:val="center"/>
          </w:tcPr>
          <w:p w14:paraId="60C83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2DA51A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961C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576B71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375D8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锌</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491AA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65" w:type="dxa"/>
            <w:tcBorders>
              <w:tl2br w:val="nil"/>
              <w:tr2bl w:val="nil"/>
            </w:tcBorders>
            <w:noWrap w:val="0"/>
            <w:vAlign w:val="center"/>
          </w:tcPr>
          <w:p w14:paraId="2E382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73" w:type="dxa"/>
            <w:tcBorders>
              <w:tl2br w:val="nil"/>
              <w:tr2bl w:val="nil"/>
            </w:tcBorders>
            <w:noWrap w:val="0"/>
            <w:vAlign w:val="center"/>
          </w:tcPr>
          <w:p w14:paraId="1708BED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w:t>
            </w:r>
          </w:p>
        </w:tc>
        <w:tc>
          <w:tcPr>
            <w:tcW w:w="1275" w:type="dxa"/>
            <w:tcBorders>
              <w:tl2br w:val="nil"/>
              <w:tr2bl w:val="nil"/>
            </w:tcBorders>
            <w:noWrap w:val="0"/>
            <w:vAlign w:val="center"/>
          </w:tcPr>
          <w:p w14:paraId="0EC8E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57" w:type="dxa"/>
            <w:tcBorders>
              <w:tl2br w:val="nil"/>
              <w:tr2bl w:val="nil"/>
            </w:tcBorders>
            <w:noWrap w:val="0"/>
            <w:vAlign w:val="center"/>
          </w:tcPr>
          <w:p w14:paraId="5BB2C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44" w:type="dxa"/>
            <w:tcBorders>
              <w:tl2br w:val="nil"/>
              <w:tr2bl w:val="nil"/>
            </w:tcBorders>
            <w:noWrap w:val="0"/>
            <w:vAlign w:val="center"/>
          </w:tcPr>
          <w:p w14:paraId="1DD4FA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29F4307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ACD3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737B45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77204B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氟化物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2877A0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0.17</w:t>
            </w:r>
          </w:p>
        </w:tc>
        <w:tc>
          <w:tcPr>
            <w:tcW w:w="1365" w:type="dxa"/>
            <w:tcBorders>
              <w:tl2br w:val="nil"/>
              <w:tr2bl w:val="nil"/>
            </w:tcBorders>
            <w:noWrap w:val="0"/>
            <w:vAlign w:val="center"/>
          </w:tcPr>
          <w:p w14:paraId="6BDF6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0.28</w:t>
            </w:r>
          </w:p>
        </w:tc>
        <w:tc>
          <w:tcPr>
            <w:tcW w:w="1073" w:type="dxa"/>
            <w:tcBorders>
              <w:tl2br w:val="nil"/>
              <w:tr2bl w:val="nil"/>
            </w:tcBorders>
            <w:noWrap w:val="0"/>
            <w:vAlign w:val="center"/>
          </w:tcPr>
          <w:p w14:paraId="091AEC5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1.5</w:t>
            </w:r>
          </w:p>
        </w:tc>
        <w:tc>
          <w:tcPr>
            <w:tcW w:w="1275" w:type="dxa"/>
            <w:tcBorders>
              <w:tl2br w:val="nil"/>
              <w:tr2bl w:val="nil"/>
            </w:tcBorders>
            <w:noWrap w:val="0"/>
            <w:vAlign w:val="center"/>
          </w:tcPr>
          <w:p w14:paraId="74828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0.18</w:t>
            </w:r>
          </w:p>
        </w:tc>
        <w:tc>
          <w:tcPr>
            <w:tcW w:w="1357" w:type="dxa"/>
            <w:tcBorders>
              <w:tl2br w:val="nil"/>
              <w:tr2bl w:val="nil"/>
            </w:tcBorders>
            <w:noWrap w:val="0"/>
            <w:vAlign w:val="center"/>
          </w:tcPr>
          <w:p w14:paraId="68F81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0.33</w:t>
            </w:r>
          </w:p>
        </w:tc>
        <w:tc>
          <w:tcPr>
            <w:tcW w:w="1044" w:type="dxa"/>
            <w:tcBorders>
              <w:tl2br w:val="nil"/>
              <w:tr2bl w:val="nil"/>
            </w:tcBorders>
            <w:noWrap w:val="0"/>
            <w:vAlign w:val="center"/>
          </w:tcPr>
          <w:p w14:paraId="1FFA03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007440D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44685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6F3BB3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49E87A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砷</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6AE6F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w:t>
            </w:r>
            <w:r>
              <w:rPr>
                <w:rFonts w:hint="eastAsia" w:cs="Times New Roman"/>
                <w:color w:val="000000" w:themeColor="text1"/>
                <w:sz w:val="21"/>
                <w:szCs w:val="21"/>
                <w:highlight w:val="none"/>
                <w:u w:val="wave" w:color="auto"/>
                <w:lang w:val="en-US" w:eastAsia="zh-CN" w:bidi="ar-SA"/>
                <w14:textFill>
                  <w14:solidFill>
                    <w14:schemeClr w14:val="tx1"/>
                  </w14:solidFill>
                </w14:textFill>
              </w:rPr>
              <w:t>012L</w:t>
            </w:r>
          </w:p>
        </w:tc>
        <w:tc>
          <w:tcPr>
            <w:tcW w:w="1365" w:type="dxa"/>
            <w:tcBorders>
              <w:tl2br w:val="nil"/>
              <w:tr2bl w:val="nil"/>
            </w:tcBorders>
            <w:noWrap w:val="0"/>
            <w:vAlign w:val="center"/>
          </w:tcPr>
          <w:p w14:paraId="11DD0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w:t>
            </w:r>
            <w:r>
              <w:rPr>
                <w:rFonts w:hint="eastAsia" w:cs="Times New Roman"/>
                <w:color w:val="000000" w:themeColor="text1"/>
                <w:sz w:val="21"/>
                <w:szCs w:val="21"/>
                <w:highlight w:val="none"/>
                <w:u w:val="wave" w:color="auto"/>
                <w:lang w:val="en-US" w:eastAsia="zh-CN" w:bidi="ar-SA"/>
                <w14:textFill>
                  <w14:solidFill>
                    <w14:schemeClr w14:val="tx1"/>
                  </w14:solidFill>
                </w14:textFill>
              </w:rPr>
              <w:t>012L</w:t>
            </w:r>
          </w:p>
        </w:tc>
        <w:tc>
          <w:tcPr>
            <w:tcW w:w="1073" w:type="dxa"/>
            <w:tcBorders>
              <w:tl2br w:val="nil"/>
              <w:tr2bl w:val="nil"/>
            </w:tcBorders>
            <w:noWrap w:val="0"/>
            <w:vAlign w:val="center"/>
          </w:tcPr>
          <w:p w14:paraId="5C27AA7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w:t>
            </w:r>
          </w:p>
        </w:tc>
        <w:tc>
          <w:tcPr>
            <w:tcW w:w="1275" w:type="dxa"/>
            <w:tcBorders>
              <w:tl2br w:val="nil"/>
              <w:tr2bl w:val="nil"/>
            </w:tcBorders>
            <w:noWrap w:val="0"/>
            <w:vAlign w:val="center"/>
          </w:tcPr>
          <w:p w14:paraId="08F5CF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w:t>
            </w:r>
            <w:r>
              <w:rPr>
                <w:rFonts w:hint="eastAsia" w:cs="Times New Roman"/>
                <w:color w:val="000000" w:themeColor="text1"/>
                <w:sz w:val="21"/>
                <w:szCs w:val="21"/>
                <w:highlight w:val="none"/>
                <w:u w:val="wave" w:color="auto"/>
                <w:lang w:val="en-US" w:eastAsia="zh-CN" w:bidi="ar-SA"/>
                <w14:textFill>
                  <w14:solidFill>
                    <w14:schemeClr w14:val="tx1"/>
                  </w14:solidFill>
                </w14:textFill>
              </w:rPr>
              <w:t>012L</w:t>
            </w:r>
          </w:p>
        </w:tc>
        <w:tc>
          <w:tcPr>
            <w:tcW w:w="1357" w:type="dxa"/>
            <w:tcBorders>
              <w:tl2br w:val="nil"/>
              <w:tr2bl w:val="nil"/>
            </w:tcBorders>
            <w:noWrap w:val="0"/>
            <w:vAlign w:val="center"/>
          </w:tcPr>
          <w:p w14:paraId="1E324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w:t>
            </w:r>
            <w:r>
              <w:rPr>
                <w:rFonts w:hint="eastAsia" w:cs="Times New Roman"/>
                <w:color w:val="000000" w:themeColor="text1"/>
                <w:sz w:val="21"/>
                <w:szCs w:val="21"/>
                <w:highlight w:val="none"/>
                <w:u w:val="wave" w:color="auto"/>
                <w:lang w:val="en-US" w:eastAsia="zh-CN" w:bidi="ar-SA"/>
                <w14:textFill>
                  <w14:solidFill>
                    <w14:schemeClr w14:val="tx1"/>
                  </w14:solidFill>
                </w14:textFill>
              </w:rPr>
              <w:t>012L</w:t>
            </w:r>
          </w:p>
        </w:tc>
        <w:tc>
          <w:tcPr>
            <w:tcW w:w="1044" w:type="dxa"/>
            <w:tcBorders>
              <w:tl2br w:val="nil"/>
              <w:tr2bl w:val="nil"/>
            </w:tcBorders>
            <w:noWrap w:val="0"/>
            <w:vAlign w:val="center"/>
          </w:tcPr>
          <w:p w14:paraId="00C670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59CE0EB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3961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7D95B5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54E3843F">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硒</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438812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365" w:type="dxa"/>
            <w:tcBorders>
              <w:tl2br w:val="nil"/>
              <w:tr2bl w:val="nil"/>
            </w:tcBorders>
            <w:noWrap w:val="0"/>
            <w:vAlign w:val="center"/>
          </w:tcPr>
          <w:p w14:paraId="551301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073" w:type="dxa"/>
            <w:tcBorders>
              <w:tl2br w:val="nil"/>
              <w:tr2bl w:val="nil"/>
            </w:tcBorders>
            <w:noWrap w:val="0"/>
            <w:vAlign w:val="center"/>
          </w:tcPr>
          <w:p w14:paraId="3519A03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p>
        </w:tc>
        <w:tc>
          <w:tcPr>
            <w:tcW w:w="1275" w:type="dxa"/>
            <w:tcBorders>
              <w:tl2br w:val="nil"/>
              <w:tr2bl w:val="nil"/>
            </w:tcBorders>
            <w:noWrap w:val="0"/>
            <w:vAlign w:val="center"/>
          </w:tcPr>
          <w:p w14:paraId="2305A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357" w:type="dxa"/>
            <w:tcBorders>
              <w:tl2br w:val="nil"/>
              <w:tr2bl w:val="nil"/>
            </w:tcBorders>
            <w:noWrap w:val="0"/>
            <w:vAlign w:val="center"/>
          </w:tcPr>
          <w:p w14:paraId="69EE21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044" w:type="dxa"/>
            <w:tcBorders>
              <w:tl2br w:val="nil"/>
              <w:tr2bl w:val="nil"/>
            </w:tcBorders>
            <w:noWrap w:val="0"/>
            <w:vAlign w:val="center"/>
          </w:tcPr>
          <w:p w14:paraId="32080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≤0.01</w:t>
            </w:r>
          </w:p>
        </w:tc>
        <w:tc>
          <w:tcPr>
            <w:tcW w:w="690" w:type="dxa"/>
            <w:tcBorders>
              <w:tl2br w:val="nil"/>
              <w:tr2bl w:val="nil"/>
            </w:tcBorders>
            <w:noWrap w:val="0"/>
            <w:vAlign w:val="center"/>
          </w:tcPr>
          <w:p w14:paraId="6728A6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2C7F1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6B2C9E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4BB5D7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汞</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3957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365" w:type="dxa"/>
            <w:tcBorders>
              <w:tl2br w:val="nil"/>
              <w:tr2bl w:val="nil"/>
            </w:tcBorders>
            <w:noWrap w:val="0"/>
            <w:vAlign w:val="center"/>
          </w:tcPr>
          <w:p w14:paraId="7CC2C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073" w:type="dxa"/>
            <w:tcBorders>
              <w:tl2br w:val="nil"/>
              <w:tr2bl w:val="nil"/>
            </w:tcBorders>
            <w:noWrap w:val="0"/>
            <w:vAlign w:val="center"/>
          </w:tcPr>
          <w:p w14:paraId="03D6B2A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0.001</w:t>
            </w:r>
          </w:p>
        </w:tc>
        <w:tc>
          <w:tcPr>
            <w:tcW w:w="1275" w:type="dxa"/>
            <w:tcBorders>
              <w:tl2br w:val="nil"/>
              <w:tr2bl w:val="nil"/>
            </w:tcBorders>
            <w:noWrap w:val="0"/>
            <w:vAlign w:val="center"/>
          </w:tcPr>
          <w:p w14:paraId="6E6433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357" w:type="dxa"/>
            <w:tcBorders>
              <w:tl2br w:val="nil"/>
              <w:tr2bl w:val="nil"/>
            </w:tcBorders>
            <w:noWrap w:val="0"/>
            <w:vAlign w:val="center"/>
          </w:tcPr>
          <w:p w14:paraId="14F25A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044" w:type="dxa"/>
            <w:tcBorders>
              <w:tl2br w:val="nil"/>
              <w:tr2bl w:val="nil"/>
            </w:tcBorders>
            <w:noWrap w:val="0"/>
            <w:vAlign w:val="center"/>
          </w:tcPr>
          <w:p w14:paraId="4E72F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≤0.0001</w:t>
            </w:r>
          </w:p>
        </w:tc>
        <w:tc>
          <w:tcPr>
            <w:tcW w:w="690" w:type="dxa"/>
            <w:tcBorders>
              <w:tl2br w:val="nil"/>
              <w:tr2bl w:val="nil"/>
            </w:tcBorders>
            <w:noWrap w:val="0"/>
            <w:vAlign w:val="center"/>
          </w:tcPr>
          <w:p w14:paraId="72F5A1A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A84C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104FD3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6877780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镉</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6D3EF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365" w:type="dxa"/>
            <w:tcBorders>
              <w:tl2br w:val="nil"/>
              <w:tr2bl w:val="nil"/>
            </w:tcBorders>
            <w:noWrap w:val="0"/>
            <w:vAlign w:val="center"/>
          </w:tcPr>
          <w:p w14:paraId="543A0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073" w:type="dxa"/>
            <w:tcBorders>
              <w:tl2br w:val="nil"/>
              <w:tr2bl w:val="nil"/>
            </w:tcBorders>
            <w:noWrap w:val="0"/>
            <w:vAlign w:val="center"/>
          </w:tcPr>
          <w:p w14:paraId="0B17F6A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0.01</w:t>
            </w:r>
          </w:p>
        </w:tc>
        <w:tc>
          <w:tcPr>
            <w:tcW w:w="1275" w:type="dxa"/>
            <w:tcBorders>
              <w:tl2br w:val="nil"/>
              <w:tr2bl w:val="nil"/>
            </w:tcBorders>
            <w:noWrap w:val="0"/>
            <w:vAlign w:val="center"/>
          </w:tcPr>
          <w:p w14:paraId="59C92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357" w:type="dxa"/>
            <w:tcBorders>
              <w:tl2br w:val="nil"/>
              <w:tr2bl w:val="nil"/>
            </w:tcBorders>
            <w:noWrap w:val="0"/>
            <w:vAlign w:val="center"/>
          </w:tcPr>
          <w:p w14:paraId="20060B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044" w:type="dxa"/>
            <w:tcBorders>
              <w:tl2br w:val="nil"/>
              <w:tr2bl w:val="nil"/>
            </w:tcBorders>
            <w:noWrap w:val="0"/>
            <w:vAlign w:val="center"/>
          </w:tcPr>
          <w:p w14:paraId="075523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≤0.005</w:t>
            </w:r>
          </w:p>
        </w:tc>
        <w:tc>
          <w:tcPr>
            <w:tcW w:w="690" w:type="dxa"/>
            <w:tcBorders>
              <w:tl2br w:val="nil"/>
              <w:tr2bl w:val="nil"/>
            </w:tcBorders>
            <w:noWrap w:val="0"/>
            <w:vAlign w:val="center"/>
          </w:tcPr>
          <w:p w14:paraId="3EEF64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05C57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exact"/>
          <w:jc w:val="center"/>
        </w:trPr>
        <w:tc>
          <w:tcPr>
            <w:tcW w:w="798" w:type="dxa"/>
            <w:vMerge w:val="continue"/>
            <w:tcBorders>
              <w:tl2br w:val="nil"/>
              <w:tr2bl w:val="nil"/>
            </w:tcBorders>
            <w:noWrap w:val="0"/>
            <w:vAlign w:val="center"/>
          </w:tcPr>
          <w:p w14:paraId="0370FC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5CBDB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铬（六价）</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AC19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65" w:type="dxa"/>
            <w:tcBorders>
              <w:tl2br w:val="nil"/>
              <w:tr2bl w:val="nil"/>
            </w:tcBorders>
            <w:noWrap w:val="0"/>
            <w:vAlign w:val="center"/>
          </w:tcPr>
          <w:p w14:paraId="26DCB7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73" w:type="dxa"/>
            <w:tcBorders>
              <w:tl2br w:val="nil"/>
              <w:tr2bl w:val="nil"/>
            </w:tcBorders>
            <w:noWrap w:val="0"/>
            <w:vAlign w:val="center"/>
          </w:tcPr>
          <w:p w14:paraId="74DAA0D3">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0.1</w:t>
            </w:r>
          </w:p>
        </w:tc>
        <w:tc>
          <w:tcPr>
            <w:tcW w:w="1275" w:type="dxa"/>
            <w:tcBorders>
              <w:tl2br w:val="nil"/>
              <w:tr2bl w:val="nil"/>
            </w:tcBorders>
            <w:noWrap w:val="0"/>
            <w:vAlign w:val="center"/>
          </w:tcPr>
          <w:p w14:paraId="27CAC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57" w:type="dxa"/>
            <w:tcBorders>
              <w:tl2br w:val="nil"/>
              <w:tr2bl w:val="nil"/>
            </w:tcBorders>
            <w:noWrap w:val="0"/>
            <w:vAlign w:val="center"/>
          </w:tcPr>
          <w:p w14:paraId="0BF10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44" w:type="dxa"/>
            <w:tcBorders>
              <w:tl2br w:val="nil"/>
              <w:tr2bl w:val="nil"/>
            </w:tcBorders>
            <w:noWrap w:val="0"/>
            <w:vAlign w:val="center"/>
          </w:tcPr>
          <w:p w14:paraId="3F41AB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0081CD0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159AC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402005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2042D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 xml:space="preserve"> 铅</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3729A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365" w:type="dxa"/>
            <w:tcBorders>
              <w:tl2br w:val="nil"/>
              <w:tr2bl w:val="nil"/>
            </w:tcBorders>
            <w:noWrap w:val="0"/>
            <w:vAlign w:val="center"/>
          </w:tcPr>
          <w:p w14:paraId="4067F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073" w:type="dxa"/>
            <w:tcBorders>
              <w:tl2br w:val="nil"/>
              <w:tr2bl w:val="nil"/>
            </w:tcBorders>
            <w:noWrap w:val="0"/>
            <w:vAlign w:val="center"/>
          </w:tcPr>
          <w:p w14:paraId="201E327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05</w:t>
            </w:r>
          </w:p>
        </w:tc>
        <w:tc>
          <w:tcPr>
            <w:tcW w:w="1275" w:type="dxa"/>
            <w:tcBorders>
              <w:tl2br w:val="nil"/>
              <w:tr2bl w:val="nil"/>
            </w:tcBorders>
            <w:noWrap w:val="0"/>
            <w:vAlign w:val="center"/>
          </w:tcPr>
          <w:p w14:paraId="4676AD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357" w:type="dxa"/>
            <w:tcBorders>
              <w:tl2br w:val="nil"/>
              <w:tr2bl w:val="nil"/>
            </w:tcBorders>
            <w:noWrap w:val="0"/>
            <w:vAlign w:val="center"/>
          </w:tcPr>
          <w:p w14:paraId="713D6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044" w:type="dxa"/>
            <w:tcBorders>
              <w:tl2br w:val="nil"/>
              <w:tr2bl w:val="nil"/>
            </w:tcBorders>
            <w:noWrap w:val="0"/>
            <w:vAlign w:val="center"/>
          </w:tcPr>
          <w:p w14:paraId="4E6D2F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431683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16285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176B52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34D72B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氰化物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411D6B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365" w:type="dxa"/>
            <w:tcBorders>
              <w:tl2br w:val="nil"/>
              <w:tr2bl w:val="nil"/>
            </w:tcBorders>
            <w:noWrap w:val="0"/>
            <w:vAlign w:val="center"/>
          </w:tcPr>
          <w:p w14:paraId="63AA2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073" w:type="dxa"/>
            <w:tcBorders>
              <w:tl2br w:val="nil"/>
              <w:tr2bl w:val="nil"/>
            </w:tcBorders>
            <w:noWrap w:val="0"/>
            <w:vAlign w:val="center"/>
          </w:tcPr>
          <w:p w14:paraId="69900C59">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2</w:t>
            </w:r>
          </w:p>
        </w:tc>
        <w:tc>
          <w:tcPr>
            <w:tcW w:w="1275" w:type="dxa"/>
            <w:tcBorders>
              <w:tl2br w:val="nil"/>
              <w:tr2bl w:val="nil"/>
            </w:tcBorders>
            <w:noWrap w:val="0"/>
            <w:vAlign w:val="center"/>
          </w:tcPr>
          <w:p w14:paraId="2783F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357" w:type="dxa"/>
            <w:tcBorders>
              <w:tl2br w:val="nil"/>
              <w:tr2bl w:val="nil"/>
            </w:tcBorders>
            <w:noWrap w:val="0"/>
            <w:vAlign w:val="center"/>
          </w:tcPr>
          <w:p w14:paraId="773F3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044" w:type="dxa"/>
            <w:tcBorders>
              <w:tl2br w:val="nil"/>
              <w:tr2bl w:val="nil"/>
            </w:tcBorders>
            <w:noWrap w:val="0"/>
            <w:vAlign w:val="center"/>
          </w:tcPr>
          <w:p w14:paraId="5C8B5D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07A106B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71958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46AC71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249C5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挥发酚</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65FB3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365" w:type="dxa"/>
            <w:tcBorders>
              <w:tl2br w:val="nil"/>
              <w:tr2bl w:val="nil"/>
            </w:tcBorders>
            <w:noWrap w:val="0"/>
            <w:vAlign w:val="center"/>
          </w:tcPr>
          <w:p w14:paraId="160CD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073" w:type="dxa"/>
            <w:tcBorders>
              <w:tl2br w:val="nil"/>
              <w:tr2bl w:val="nil"/>
            </w:tcBorders>
            <w:noWrap w:val="0"/>
            <w:vAlign w:val="center"/>
          </w:tcPr>
          <w:p w14:paraId="433AB090">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0.01</w:t>
            </w:r>
          </w:p>
        </w:tc>
        <w:tc>
          <w:tcPr>
            <w:tcW w:w="1275" w:type="dxa"/>
            <w:tcBorders>
              <w:tl2br w:val="nil"/>
              <w:tr2bl w:val="nil"/>
            </w:tcBorders>
            <w:noWrap w:val="0"/>
            <w:vAlign w:val="center"/>
          </w:tcPr>
          <w:p w14:paraId="33F05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357" w:type="dxa"/>
            <w:tcBorders>
              <w:tl2br w:val="nil"/>
              <w:tr2bl w:val="nil"/>
            </w:tcBorders>
            <w:noWrap w:val="0"/>
            <w:vAlign w:val="center"/>
          </w:tcPr>
          <w:p w14:paraId="29E2E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044" w:type="dxa"/>
            <w:tcBorders>
              <w:tl2br w:val="nil"/>
              <w:tr2bl w:val="nil"/>
            </w:tcBorders>
            <w:noWrap w:val="0"/>
            <w:vAlign w:val="center"/>
          </w:tcPr>
          <w:p w14:paraId="7C04EC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≤0.005</w:t>
            </w:r>
          </w:p>
        </w:tc>
        <w:tc>
          <w:tcPr>
            <w:tcW w:w="690" w:type="dxa"/>
            <w:tcBorders>
              <w:tl2br w:val="nil"/>
              <w:tr2bl w:val="nil"/>
            </w:tcBorders>
            <w:noWrap w:val="0"/>
            <w:vAlign w:val="center"/>
          </w:tcPr>
          <w:p w14:paraId="12993B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7868F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6194DB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7E4CBA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硫化物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15789C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65" w:type="dxa"/>
            <w:tcBorders>
              <w:tl2br w:val="nil"/>
              <w:tr2bl w:val="nil"/>
            </w:tcBorders>
            <w:noWrap w:val="0"/>
            <w:vAlign w:val="center"/>
          </w:tcPr>
          <w:p w14:paraId="3B660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73" w:type="dxa"/>
            <w:tcBorders>
              <w:tl2br w:val="nil"/>
              <w:tr2bl w:val="nil"/>
            </w:tcBorders>
            <w:noWrap w:val="0"/>
            <w:vAlign w:val="center"/>
          </w:tcPr>
          <w:p w14:paraId="6F5929A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p>
        </w:tc>
        <w:tc>
          <w:tcPr>
            <w:tcW w:w="1275" w:type="dxa"/>
            <w:tcBorders>
              <w:tl2br w:val="nil"/>
              <w:tr2bl w:val="nil"/>
            </w:tcBorders>
            <w:noWrap w:val="0"/>
            <w:vAlign w:val="center"/>
          </w:tcPr>
          <w:p w14:paraId="0F7DC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57" w:type="dxa"/>
            <w:tcBorders>
              <w:tl2br w:val="nil"/>
              <w:tr2bl w:val="nil"/>
            </w:tcBorders>
            <w:noWrap w:val="0"/>
            <w:vAlign w:val="center"/>
          </w:tcPr>
          <w:p w14:paraId="119720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44" w:type="dxa"/>
            <w:tcBorders>
              <w:tl2br w:val="nil"/>
              <w:tr2bl w:val="nil"/>
            </w:tcBorders>
            <w:noWrap w:val="0"/>
            <w:vAlign w:val="center"/>
          </w:tcPr>
          <w:p w14:paraId="05775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3E6A39F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D341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798" w:type="dxa"/>
            <w:vMerge w:val="continue"/>
            <w:tcBorders>
              <w:tl2br w:val="nil"/>
              <w:tr2bl w:val="nil"/>
            </w:tcBorders>
            <w:noWrap w:val="0"/>
            <w:vAlign w:val="center"/>
          </w:tcPr>
          <w:p w14:paraId="50B056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55A57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阴离子表面活性剂</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500A7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365" w:type="dxa"/>
            <w:tcBorders>
              <w:tl2br w:val="nil"/>
              <w:tr2bl w:val="nil"/>
            </w:tcBorders>
            <w:noWrap w:val="0"/>
            <w:vAlign w:val="center"/>
          </w:tcPr>
          <w:p w14:paraId="7D8891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073" w:type="dxa"/>
            <w:tcBorders>
              <w:tl2br w:val="nil"/>
              <w:tr2bl w:val="nil"/>
            </w:tcBorders>
            <w:noWrap w:val="0"/>
            <w:vAlign w:val="center"/>
          </w:tcPr>
          <w:p w14:paraId="2D873874">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0.3</w:t>
            </w:r>
          </w:p>
        </w:tc>
        <w:tc>
          <w:tcPr>
            <w:tcW w:w="1275" w:type="dxa"/>
            <w:tcBorders>
              <w:tl2br w:val="nil"/>
              <w:tr2bl w:val="nil"/>
            </w:tcBorders>
            <w:noWrap w:val="0"/>
            <w:vAlign w:val="center"/>
          </w:tcPr>
          <w:p w14:paraId="72B27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357" w:type="dxa"/>
            <w:tcBorders>
              <w:tl2br w:val="nil"/>
              <w:tr2bl w:val="nil"/>
            </w:tcBorders>
            <w:noWrap w:val="0"/>
            <w:vAlign w:val="center"/>
          </w:tcPr>
          <w:p w14:paraId="4F6BDE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044" w:type="dxa"/>
            <w:tcBorders>
              <w:tl2br w:val="nil"/>
              <w:tr2bl w:val="nil"/>
            </w:tcBorders>
            <w:noWrap w:val="0"/>
            <w:vAlign w:val="center"/>
          </w:tcPr>
          <w:p w14:paraId="0EA309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789E45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206FD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exact"/>
          <w:jc w:val="center"/>
        </w:trPr>
        <w:tc>
          <w:tcPr>
            <w:tcW w:w="798" w:type="dxa"/>
            <w:vMerge w:val="continue"/>
            <w:tcBorders>
              <w:tl2br w:val="nil"/>
              <w:tr2bl w:val="nil"/>
            </w:tcBorders>
            <w:noWrap w:val="0"/>
            <w:vAlign w:val="center"/>
          </w:tcPr>
          <w:p w14:paraId="6FCB25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7E793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粪大肠菌群</w:t>
            </w:r>
            <w:r>
              <w:rPr>
                <w:rFonts w:hint="default" w:ascii="Times New Roman" w:hAnsi="Times New Roman" w:eastAsia="宋体" w:cs="Times New Roman"/>
                <w:color w:val="000000" w:themeColor="text1"/>
                <w:sz w:val="21"/>
                <w:szCs w:val="21"/>
                <w:highlight w:val="none"/>
                <w:u w:val="wav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MPN/L</w:t>
            </w:r>
            <w:r>
              <w:rPr>
                <w:rFonts w:hint="default" w:ascii="Times New Roman" w:hAnsi="Times New Roman" w:eastAsia="宋体" w:cs="Times New Roman"/>
                <w:color w:val="000000" w:themeColor="text1"/>
                <w:sz w:val="21"/>
                <w:szCs w:val="21"/>
                <w:highlight w:val="none"/>
                <w:u w:val="wave" w:color="auto"/>
                <w:lang w:eastAsia="zh-CN"/>
                <w14:textFill>
                  <w14:solidFill>
                    <w14:schemeClr w14:val="tx1"/>
                  </w14:solidFill>
                </w14:textFill>
              </w:rPr>
              <w:t>）</w:t>
            </w:r>
          </w:p>
        </w:tc>
        <w:tc>
          <w:tcPr>
            <w:tcW w:w="1091" w:type="dxa"/>
            <w:tcBorders>
              <w:tl2br w:val="nil"/>
              <w:tr2bl w:val="nil"/>
            </w:tcBorders>
            <w:noWrap w:val="0"/>
            <w:vAlign w:val="center"/>
          </w:tcPr>
          <w:p w14:paraId="746AD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2.6×10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365" w:type="dxa"/>
            <w:tcBorders>
              <w:tl2br w:val="nil"/>
              <w:tr2bl w:val="nil"/>
            </w:tcBorders>
            <w:noWrap w:val="0"/>
            <w:vAlign w:val="center"/>
          </w:tcPr>
          <w:p w14:paraId="14E876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3.6×10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073" w:type="dxa"/>
            <w:tcBorders>
              <w:tl2br w:val="nil"/>
              <w:tr2bl w:val="nil"/>
            </w:tcBorders>
            <w:noWrap w:val="0"/>
            <w:vAlign w:val="center"/>
          </w:tcPr>
          <w:p w14:paraId="1208105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0000</w:t>
            </w:r>
          </w:p>
        </w:tc>
        <w:tc>
          <w:tcPr>
            <w:tcW w:w="1275" w:type="dxa"/>
            <w:tcBorders>
              <w:tl2br w:val="nil"/>
              <w:tr2bl w:val="nil"/>
            </w:tcBorders>
            <w:noWrap w:val="0"/>
            <w:vAlign w:val="center"/>
          </w:tcPr>
          <w:p w14:paraId="1F4575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2.9×10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357" w:type="dxa"/>
            <w:tcBorders>
              <w:tl2br w:val="nil"/>
              <w:tr2bl w:val="nil"/>
            </w:tcBorders>
            <w:noWrap w:val="0"/>
            <w:vAlign w:val="center"/>
          </w:tcPr>
          <w:p w14:paraId="29CCB3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4.0×10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044" w:type="dxa"/>
            <w:tcBorders>
              <w:tl2br w:val="nil"/>
              <w:tr2bl w:val="nil"/>
            </w:tcBorders>
            <w:noWrap w:val="0"/>
            <w:vAlign w:val="center"/>
          </w:tcPr>
          <w:p w14:paraId="02F4E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t>10000</w:t>
            </w:r>
          </w:p>
        </w:tc>
        <w:tc>
          <w:tcPr>
            <w:tcW w:w="690" w:type="dxa"/>
            <w:tcBorders>
              <w:tl2br w:val="nil"/>
              <w:tr2bl w:val="nil"/>
            </w:tcBorders>
            <w:noWrap w:val="0"/>
            <w:vAlign w:val="center"/>
          </w:tcPr>
          <w:p w14:paraId="1F55932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4AF7C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restart"/>
            <w:tcBorders>
              <w:tl2br w:val="nil"/>
              <w:tr2bl w:val="nil"/>
            </w:tcBorders>
            <w:noWrap w:val="0"/>
            <w:vAlign w:val="center"/>
          </w:tcPr>
          <w:p w14:paraId="0CB7AC84">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2025.10.20</w:t>
            </w:r>
          </w:p>
        </w:tc>
        <w:tc>
          <w:tcPr>
            <w:tcW w:w="1649" w:type="dxa"/>
            <w:tcBorders>
              <w:tl2br w:val="nil"/>
              <w:tr2bl w:val="nil"/>
            </w:tcBorders>
            <w:noWrap w:val="0"/>
            <w:vAlign w:val="center"/>
          </w:tcPr>
          <w:p w14:paraId="326CA1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pH值（无量纲）</w:t>
            </w:r>
          </w:p>
        </w:tc>
        <w:tc>
          <w:tcPr>
            <w:tcW w:w="1091" w:type="dxa"/>
            <w:tcBorders>
              <w:tl2br w:val="nil"/>
              <w:tr2bl w:val="nil"/>
            </w:tcBorders>
            <w:noWrap w:val="0"/>
            <w:vAlign w:val="center"/>
          </w:tcPr>
          <w:p w14:paraId="5F412BA2">
            <w:pPr>
              <w:keepNext w:val="0"/>
              <w:keepLines w:val="0"/>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6.9</w:t>
            </w:r>
          </w:p>
        </w:tc>
        <w:tc>
          <w:tcPr>
            <w:tcW w:w="1365" w:type="dxa"/>
            <w:tcBorders>
              <w:tl2br w:val="nil"/>
              <w:tr2bl w:val="nil"/>
            </w:tcBorders>
            <w:noWrap w:val="0"/>
            <w:vAlign w:val="center"/>
          </w:tcPr>
          <w:p w14:paraId="0EE3D1DF">
            <w:pPr>
              <w:keepNext w:val="0"/>
              <w:keepLines w:val="0"/>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7.3</w:t>
            </w:r>
          </w:p>
        </w:tc>
        <w:tc>
          <w:tcPr>
            <w:tcW w:w="1073" w:type="dxa"/>
            <w:tcBorders>
              <w:tl2br w:val="nil"/>
              <w:tr2bl w:val="nil"/>
            </w:tcBorders>
            <w:noWrap w:val="0"/>
            <w:vAlign w:val="center"/>
          </w:tcPr>
          <w:p w14:paraId="67AD472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6~9</w:t>
            </w:r>
          </w:p>
        </w:tc>
        <w:tc>
          <w:tcPr>
            <w:tcW w:w="1275" w:type="dxa"/>
            <w:tcBorders>
              <w:tl2br w:val="nil"/>
              <w:tr2bl w:val="nil"/>
            </w:tcBorders>
            <w:noWrap w:val="0"/>
            <w:vAlign w:val="center"/>
          </w:tcPr>
          <w:p w14:paraId="74820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7.0</w:t>
            </w:r>
          </w:p>
        </w:tc>
        <w:tc>
          <w:tcPr>
            <w:tcW w:w="1357" w:type="dxa"/>
            <w:tcBorders>
              <w:tl2br w:val="nil"/>
              <w:tr2bl w:val="nil"/>
            </w:tcBorders>
            <w:noWrap w:val="0"/>
            <w:vAlign w:val="center"/>
          </w:tcPr>
          <w:p w14:paraId="0FAD3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7.5</w:t>
            </w:r>
          </w:p>
        </w:tc>
        <w:tc>
          <w:tcPr>
            <w:tcW w:w="1044" w:type="dxa"/>
            <w:tcBorders>
              <w:tl2br w:val="nil"/>
              <w:tr2bl w:val="nil"/>
            </w:tcBorders>
            <w:noWrap w:val="0"/>
            <w:vAlign w:val="center"/>
          </w:tcPr>
          <w:p w14:paraId="6FB562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t>6~9</w:t>
            </w:r>
          </w:p>
        </w:tc>
        <w:tc>
          <w:tcPr>
            <w:tcW w:w="690" w:type="dxa"/>
            <w:tcBorders>
              <w:tl2br w:val="nil"/>
              <w:tr2bl w:val="nil"/>
            </w:tcBorders>
            <w:noWrap w:val="0"/>
            <w:vAlign w:val="center"/>
          </w:tcPr>
          <w:p w14:paraId="6D7C2F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3BAD8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629E2BB8">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2EDD0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水温（℃）</w:t>
            </w:r>
          </w:p>
        </w:tc>
        <w:tc>
          <w:tcPr>
            <w:tcW w:w="1091" w:type="dxa"/>
            <w:tcBorders>
              <w:tl2br w:val="nil"/>
              <w:tr2bl w:val="nil"/>
            </w:tcBorders>
            <w:noWrap w:val="0"/>
            <w:vAlign w:val="center"/>
          </w:tcPr>
          <w:p w14:paraId="4A2187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23.5</w:t>
            </w:r>
          </w:p>
        </w:tc>
        <w:tc>
          <w:tcPr>
            <w:tcW w:w="1365" w:type="dxa"/>
            <w:tcBorders>
              <w:tl2br w:val="nil"/>
              <w:tr2bl w:val="nil"/>
            </w:tcBorders>
            <w:noWrap w:val="0"/>
            <w:vAlign w:val="center"/>
          </w:tcPr>
          <w:p w14:paraId="490531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25.0</w:t>
            </w:r>
          </w:p>
        </w:tc>
        <w:tc>
          <w:tcPr>
            <w:tcW w:w="1073" w:type="dxa"/>
            <w:tcBorders>
              <w:tl2br w:val="nil"/>
              <w:tr2bl w:val="nil"/>
            </w:tcBorders>
            <w:noWrap w:val="0"/>
            <w:vAlign w:val="center"/>
          </w:tcPr>
          <w:p w14:paraId="7491FE6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w:t>
            </w:r>
          </w:p>
        </w:tc>
        <w:tc>
          <w:tcPr>
            <w:tcW w:w="1275" w:type="dxa"/>
            <w:tcBorders>
              <w:tl2br w:val="nil"/>
              <w:tr2bl w:val="nil"/>
            </w:tcBorders>
            <w:noWrap w:val="0"/>
            <w:vAlign w:val="center"/>
          </w:tcPr>
          <w:p w14:paraId="1096B1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24.6</w:t>
            </w:r>
          </w:p>
        </w:tc>
        <w:tc>
          <w:tcPr>
            <w:tcW w:w="1357" w:type="dxa"/>
            <w:tcBorders>
              <w:tl2br w:val="nil"/>
              <w:tr2bl w:val="nil"/>
            </w:tcBorders>
            <w:noWrap w:val="0"/>
            <w:vAlign w:val="center"/>
          </w:tcPr>
          <w:p w14:paraId="017E2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26.0</w:t>
            </w:r>
          </w:p>
        </w:tc>
        <w:tc>
          <w:tcPr>
            <w:tcW w:w="1044" w:type="dxa"/>
            <w:tcBorders>
              <w:tl2br w:val="nil"/>
              <w:tr2bl w:val="nil"/>
            </w:tcBorders>
            <w:noWrap w:val="0"/>
            <w:vAlign w:val="center"/>
          </w:tcPr>
          <w:p w14:paraId="3B269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t>/</w:t>
            </w:r>
          </w:p>
        </w:tc>
        <w:tc>
          <w:tcPr>
            <w:tcW w:w="690" w:type="dxa"/>
            <w:tcBorders>
              <w:tl2br w:val="nil"/>
              <w:tr2bl w:val="nil"/>
            </w:tcBorders>
            <w:noWrap w:val="0"/>
            <w:vAlign w:val="center"/>
          </w:tcPr>
          <w:p w14:paraId="7FD3CA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4C057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98" w:type="dxa"/>
            <w:vMerge w:val="continue"/>
            <w:tcBorders>
              <w:tl2br w:val="nil"/>
              <w:tr2bl w:val="nil"/>
            </w:tcBorders>
            <w:noWrap w:val="0"/>
            <w:vAlign w:val="center"/>
          </w:tcPr>
          <w:p w14:paraId="6139D50F">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01065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 xml:space="preserve"> 化学需氧量</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5F23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10</w:t>
            </w:r>
          </w:p>
        </w:tc>
        <w:tc>
          <w:tcPr>
            <w:tcW w:w="1365" w:type="dxa"/>
            <w:tcBorders>
              <w:tl2br w:val="nil"/>
              <w:tr2bl w:val="nil"/>
            </w:tcBorders>
            <w:noWrap w:val="0"/>
            <w:vAlign w:val="center"/>
          </w:tcPr>
          <w:p w14:paraId="07DC2B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16</w:t>
            </w:r>
          </w:p>
        </w:tc>
        <w:tc>
          <w:tcPr>
            <w:tcW w:w="1073" w:type="dxa"/>
            <w:tcBorders>
              <w:tl2br w:val="nil"/>
              <w:tr2bl w:val="nil"/>
            </w:tcBorders>
            <w:noWrap w:val="0"/>
            <w:vAlign w:val="center"/>
          </w:tcPr>
          <w:p w14:paraId="462EC9D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30</w:t>
            </w:r>
          </w:p>
        </w:tc>
        <w:tc>
          <w:tcPr>
            <w:tcW w:w="1275" w:type="dxa"/>
            <w:tcBorders>
              <w:tl2br w:val="nil"/>
              <w:tr2bl w:val="nil"/>
            </w:tcBorders>
            <w:noWrap w:val="0"/>
            <w:vAlign w:val="center"/>
          </w:tcPr>
          <w:p w14:paraId="3FAEE3D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12</w:t>
            </w:r>
          </w:p>
        </w:tc>
        <w:tc>
          <w:tcPr>
            <w:tcW w:w="1357" w:type="dxa"/>
            <w:tcBorders>
              <w:tl2br w:val="nil"/>
              <w:tr2bl w:val="nil"/>
            </w:tcBorders>
            <w:noWrap w:val="0"/>
            <w:vAlign w:val="center"/>
          </w:tcPr>
          <w:p w14:paraId="7BF1118D">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17</w:t>
            </w:r>
          </w:p>
        </w:tc>
        <w:tc>
          <w:tcPr>
            <w:tcW w:w="1044" w:type="dxa"/>
            <w:tcBorders>
              <w:tl2br w:val="nil"/>
              <w:tr2bl w:val="nil"/>
            </w:tcBorders>
            <w:noWrap w:val="0"/>
            <w:vAlign w:val="center"/>
          </w:tcPr>
          <w:p w14:paraId="20F0EC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≤20</w:t>
            </w:r>
          </w:p>
        </w:tc>
        <w:tc>
          <w:tcPr>
            <w:tcW w:w="690" w:type="dxa"/>
            <w:tcBorders>
              <w:tl2br w:val="nil"/>
              <w:tr2bl w:val="nil"/>
            </w:tcBorders>
            <w:noWrap w:val="0"/>
            <w:vAlign w:val="center"/>
          </w:tcPr>
          <w:p w14:paraId="512706E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77C1C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798" w:type="dxa"/>
            <w:vMerge w:val="continue"/>
            <w:tcBorders>
              <w:tl2br w:val="nil"/>
              <w:tr2bl w:val="nil"/>
            </w:tcBorders>
            <w:noWrap w:val="0"/>
            <w:vAlign w:val="center"/>
          </w:tcPr>
          <w:p w14:paraId="09E4E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67A61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五日生化需氧量</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540B84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3.0</w:t>
            </w:r>
          </w:p>
        </w:tc>
        <w:tc>
          <w:tcPr>
            <w:tcW w:w="1365" w:type="dxa"/>
            <w:tcBorders>
              <w:tl2br w:val="nil"/>
              <w:tr2bl w:val="nil"/>
            </w:tcBorders>
            <w:noWrap w:val="0"/>
            <w:vAlign w:val="center"/>
          </w:tcPr>
          <w:p w14:paraId="119F9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3.2</w:t>
            </w:r>
          </w:p>
        </w:tc>
        <w:tc>
          <w:tcPr>
            <w:tcW w:w="1073" w:type="dxa"/>
            <w:tcBorders>
              <w:tl2br w:val="nil"/>
              <w:tr2bl w:val="nil"/>
            </w:tcBorders>
            <w:noWrap w:val="0"/>
            <w:vAlign w:val="center"/>
          </w:tcPr>
          <w:p w14:paraId="0D0799D8">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w:t>
            </w:r>
          </w:p>
        </w:tc>
        <w:tc>
          <w:tcPr>
            <w:tcW w:w="1275" w:type="dxa"/>
            <w:tcBorders>
              <w:tl2br w:val="nil"/>
              <w:tr2bl w:val="nil"/>
            </w:tcBorders>
            <w:noWrap w:val="0"/>
            <w:vAlign w:val="center"/>
          </w:tcPr>
          <w:p w14:paraId="716694F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3.3</w:t>
            </w:r>
          </w:p>
        </w:tc>
        <w:tc>
          <w:tcPr>
            <w:tcW w:w="1357" w:type="dxa"/>
            <w:tcBorders>
              <w:tl2br w:val="nil"/>
              <w:tr2bl w:val="nil"/>
            </w:tcBorders>
            <w:noWrap w:val="0"/>
            <w:vAlign w:val="center"/>
          </w:tcPr>
          <w:p w14:paraId="144A2D6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3.7</w:t>
            </w:r>
          </w:p>
        </w:tc>
        <w:tc>
          <w:tcPr>
            <w:tcW w:w="1044" w:type="dxa"/>
            <w:tcBorders>
              <w:tl2br w:val="nil"/>
              <w:tr2bl w:val="nil"/>
            </w:tcBorders>
            <w:noWrap w:val="0"/>
            <w:vAlign w:val="center"/>
          </w:tcPr>
          <w:p w14:paraId="2CA9C5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≤4</w:t>
            </w:r>
          </w:p>
        </w:tc>
        <w:tc>
          <w:tcPr>
            <w:tcW w:w="690" w:type="dxa"/>
            <w:tcBorders>
              <w:tl2br w:val="nil"/>
              <w:tr2bl w:val="nil"/>
            </w:tcBorders>
            <w:noWrap w:val="0"/>
            <w:vAlign w:val="center"/>
          </w:tcPr>
          <w:p w14:paraId="054D58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0C296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798" w:type="dxa"/>
            <w:vMerge w:val="continue"/>
            <w:tcBorders>
              <w:tl2br w:val="nil"/>
              <w:tr2bl w:val="nil"/>
            </w:tcBorders>
            <w:noWrap w:val="0"/>
            <w:vAlign w:val="center"/>
          </w:tcPr>
          <w:p w14:paraId="01D2FD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34F13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氨氮</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F6681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0.253</w:t>
            </w:r>
          </w:p>
        </w:tc>
        <w:tc>
          <w:tcPr>
            <w:tcW w:w="1365" w:type="dxa"/>
            <w:tcBorders>
              <w:tl2br w:val="nil"/>
              <w:tr2bl w:val="nil"/>
            </w:tcBorders>
            <w:noWrap w:val="0"/>
            <w:vAlign w:val="center"/>
          </w:tcPr>
          <w:p w14:paraId="1A3EF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0.445</w:t>
            </w:r>
          </w:p>
        </w:tc>
        <w:tc>
          <w:tcPr>
            <w:tcW w:w="1073" w:type="dxa"/>
            <w:tcBorders>
              <w:tl2br w:val="nil"/>
              <w:tr2bl w:val="nil"/>
            </w:tcBorders>
            <w:noWrap w:val="0"/>
            <w:vAlign w:val="center"/>
          </w:tcPr>
          <w:p w14:paraId="4F2BFA80">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5</w:t>
            </w:r>
          </w:p>
        </w:tc>
        <w:tc>
          <w:tcPr>
            <w:tcW w:w="1275" w:type="dxa"/>
            <w:tcBorders>
              <w:tl2br w:val="nil"/>
              <w:tr2bl w:val="nil"/>
            </w:tcBorders>
            <w:noWrap w:val="0"/>
            <w:vAlign w:val="center"/>
          </w:tcPr>
          <w:p w14:paraId="373E7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0.443</w:t>
            </w:r>
          </w:p>
        </w:tc>
        <w:tc>
          <w:tcPr>
            <w:tcW w:w="1357" w:type="dxa"/>
            <w:tcBorders>
              <w:tl2br w:val="nil"/>
              <w:tr2bl w:val="nil"/>
            </w:tcBorders>
            <w:noWrap w:val="0"/>
            <w:vAlign w:val="center"/>
          </w:tcPr>
          <w:p w14:paraId="78AD5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0.645</w:t>
            </w:r>
          </w:p>
        </w:tc>
        <w:tc>
          <w:tcPr>
            <w:tcW w:w="1044" w:type="dxa"/>
            <w:tcBorders>
              <w:tl2br w:val="nil"/>
              <w:tr2bl w:val="nil"/>
            </w:tcBorders>
            <w:noWrap w:val="0"/>
            <w:vAlign w:val="center"/>
          </w:tcPr>
          <w:p w14:paraId="5B0B6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2B5306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13204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798" w:type="dxa"/>
            <w:vMerge w:val="continue"/>
            <w:tcBorders>
              <w:tl2br w:val="nil"/>
              <w:tr2bl w:val="nil"/>
            </w:tcBorders>
            <w:noWrap w:val="0"/>
            <w:vAlign w:val="center"/>
          </w:tcPr>
          <w:p w14:paraId="5CD533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19A6CA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总磷</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8EAC7D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0.04</w:t>
            </w:r>
          </w:p>
        </w:tc>
        <w:tc>
          <w:tcPr>
            <w:tcW w:w="1365" w:type="dxa"/>
            <w:tcBorders>
              <w:tl2br w:val="nil"/>
              <w:tr2bl w:val="nil"/>
            </w:tcBorders>
            <w:noWrap w:val="0"/>
            <w:vAlign w:val="center"/>
          </w:tcPr>
          <w:p w14:paraId="31685B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w:t>
            </w:r>
          </w:p>
        </w:tc>
        <w:tc>
          <w:tcPr>
            <w:tcW w:w="1073" w:type="dxa"/>
            <w:tcBorders>
              <w:tl2br w:val="nil"/>
              <w:tr2bl w:val="nil"/>
            </w:tcBorders>
            <w:noWrap w:val="0"/>
            <w:vAlign w:val="center"/>
          </w:tcPr>
          <w:p w14:paraId="5622FEF8">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w:t>
            </w:r>
          </w:p>
        </w:tc>
        <w:tc>
          <w:tcPr>
            <w:tcW w:w="1275" w:type="dxa"/>
            <w:tcBorders>
              <w:tl2br w:val="nil"/>
              <w:tr2bl w:val="nil"/>
            </w:tcBorders>
            <w:noWrap w:val="0"/>
            <w:vAlign w:val="center"/>
          </w:tcPr>
          <w:p w14:paraId="1351B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0.04</w:t>
            </w:r>
          </w:p>
        </w:tc>
        <w:tc>
          <w:tcPr>
            <w:tcW w:w="1357" w:type="dxa"/>
            <w:tcBorders>
              <w:tl2br w:val="nil"/>
              <w:tr2bl w:val="nil"/>
            </w:tcBorders>
            <w:noWrap w:val="0"/>
            <w:vAlign w:val="center"/>
          </w:tcPr>
          <w:p w14:paraId="71094D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000000" w:themeColor="text1"/>
                <w:spacing w:val="-1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0.06</w:t>
            </w:r>
          </w:p>
        </w:tc>
        <w:tc>
          <w:tcPr>
            <w:tcW w:w="1044" w:type="dxa"/>
            <w:tcBorders>
              <w:tl2br w:val="nil"/>
              <w:tr2bl w:val="nil"/>
            </w:tcBorders>
            <w:noWrap w:val="0"/>
            <w:vAlign w:val="center"/>
          </w:tcPr>
          <w:p w14:paraId="180C8C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248361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16227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2B1431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531285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总氮</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D39D85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0.50</w:t>
            </w:r>
          </w:p>
        </w:tc>
        <w:tc>
          <w:tcPr>
            <w:tcW w:w="1365" w:type="dxa"/>
            <w:tcBorders>
              <w:tl2br w:val="nil"/>
              <w:tr2bl w:val="nil"/>
            </w:tcBorders>
            <w:noWrap w:val="0"/>
            <w:vAlign w:val="center"/>
          </w:tcPr>
          <w:p w14:paraId="28A3B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0.79</w:t>
            </w:r>
          </w:p>
        </w:tc>
        <w:tc>
          <w:tcPr>
            <w:tcW w:w="1073" w:type="dxa"/>
            <w:tcBorders>
              <w:tl2br w:val="nil"/>
              <w:tr2bl w:val="nil"/>
            </w:tcBorders>
            <w:noWrap w:val="0"/>
            <w:vAlign w:val="center"/>
          </w:tcPr>
          <w:p w14:paraId="138E13A9">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5</w:t>
            </w:r>
          </w:p>
        </w:tc>
        <w:tc>
          <w:tcPr>
            <w:tcW w:w="1275" w:type="dxa"/>
            <w:tcBorders>
              <w:tl2br w:val="nil"/>
              <w:tr2bl w:val="nil"/>
            </w:tcBorders>
            <w:noWrap w:val="0"/>
            <w:vAlign w:val="center"/>
          </w:tcPr>
          <w:p w14:paraId="74C44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0.64</w:t>
            </w:r>
          </w:p>
        </w:tc>
        <w:tc>
          <w:tcPr>
            <w:tcW w:w="1357" w:type="dxa"/>
            <w:tcBorders>
              <w:tl2br w:val="nil"/>
              <w:tr2bl w:val="nil"/>
            </w:tcBorders>
            <w:noWrap w:val="0"/>
            <w:vAlign w:val="center"/>
          </w:tcPr>
          <w:p w14:paraId="05CF3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0.78</w:t>
            </w:r>
          </w:p>
        </w:tc>
        <w:tc>
          <w:tcPr>
            <w:tcW w:w="1044" w:type="dxa"/>
            <w:tcBorders>
              <w:tl2br w:val="nil"/>
              <w:tr2bl w:val="nil"/>
            </w:tcBorders>
            <w:noWrap w:val="0"/>
            <w:vAlign w:val="center"/>
          </w:tcPr>
          <w:p w14:paraId="36F5F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194E38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2AC48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47BE547E">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1F53F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悬浮物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F0A2C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14</w:t>
            </w:r>
          </w:p>
        </w:tc>
        <w:tc>
          <w:tcPr>
            <w:tcW w:w="1365" w:type="dxa"/>
            <w:tcBorders>
              <w:tl2br w:val="nil"/>
              <w:tr2bl w:val="nil"/>
            </w:tcBorders>
            <w:noWrap w:val="0"/>
            <w:vAlign w:val="center"/>
          </w:tcPr>
          <w:p w14:paraId="5B002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16</w:t>
            </w:r>
          </w:p>
        </w:tc>
        <w:tc>
          <w:tcPr>
            <w:tcW w:w="1073" w:type="dxa"/>
            <w:tcBorders>
              <w:tl2br w:val="nil"/>
              <w:tr2bl w:val="nil"/>
            </w:tcBorders>
            <w:noWrap w:val="0"/>
            <w:vAlign w:val="center"/>
          </w:tcPr>
          <w:p w14:paraId="0123087E">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p>
        </w:tc>
        <w:tc>
          <w:tcPr>
            <w:tcW w:w="1275" w:type="dxa"/>
            <w:tcBorders>
              <w:tl2br w:val="nil"/>
              <w:tr2bl w:val="nil"/>
            </w:tcBorders>
            <w:noWrap w:val="0"/>
            <w:vAlign w:val="center"/>
          </w:tcPr>
          <w:p w14:paraId="7BBB4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15</w:t>
            </w:r>
          </w:p>
        </w:tc>
        <w:tc>
          <w:tcPr>
            <w:tcW w:w="1357" w:type="dxa"/>
            <w:tcBorders>
              <w:tl2br w:val="nil"/>
              <w:tr2bl w:val="nil"/>
            </w:tcBorders>
            <w:noWrap w:val="0"/>
            <w:vAlign w:val="center"/>
          </w:tcPr>
          <w:p w14:paraId="7BF472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 xml:space="preserve"> 16</w:t>
            </w:r>
          </w:p>
        </w:tc>
        <w:tc>
          <w:tcPr>
            <w:tcW w:w="1044" w:type="dxa"/>
            <w:tcBorders>
              <w:tl2br w:val="nil"/>
              <w:tr2bl w:val="nil"/>
            </w:tcBorders>
            <w:noWrap w:val="0"/>
            <w:vAlign w:val="center"/>
          </w:tcPr>
          <w:p w14:paraId="6DDD7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p>
        </w:tc>
        <w:tc>
          <w:tcPr>
            <w:tcW w:w="690" w:type="dxa"/>
            <w:tcBorders>
              <w:tl2br w:val="nil"/>
              <w:tr2bl w:val="nil"/>
            </w:tcBorders>
            <w:noWrap w:val="0"/>
            <w:vAlign w:val="center"/>
          </w:tcPr>
          <w:p w14:paraId="1EFC33B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3F7AC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52EF3B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37979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石油类</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19EA5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65" w:type="dxa"/>
            <w:tcBorders>
              <w:tl2br w:val="nil"/>
              <w:tr2bl w:val="nil"/>
            </w:tcBorders>
            <w:noWrap w:val="0"/>
            <w:vAlign w:val="center"/>
          </w:tcPr>
          <w:p w14:paraId="05570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73" w:type="dxa"/>
            <w:tcBorders>
              <w:tl2br w:val="nil"/>
              <w:tr2bl w:val="nil"/>
            </w:tcBorders>
            <w:noWrap w:val="0"/>
            <w:vAlign w:val="center"/>
          </w:tcPr>
          <w:p w14:paraId="2AD457C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w:t>
            </w:r>
          </w:p>
        </w:tc>
        <w:tc>
          <w:tcPr>
            <w:tcW w:w="1275" w:type="dxa"/>
            <w:tcBorders>
              <w:tl2br w:val="nil"/>
              <w:tr2bl w:val="nil"/>
            </w:tcBorders>
            <w:noWrap w:val="0"/>
            <w:vAlign w:val="center"/>
          </w:tcPr>
          <w:p w14:paraId="237C22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57" w:type="dxa"/>
            <w:tcBorders>
              <w:tl2br w:val="nil"/>
              <w:tr2bl w:val="nil"/>
            </w:tcBorders>
            <w:noWrap w:val="0"/>
            <w:vAlign w:val="center"/>
          </w:tcPr>
          <w:p w14:paraId="50A8D4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44" w:type="dxa"/>
            <w:tcBorders>
              <w:tl2br w:val="nil"/>
              <w:tr2bl w:val="nil"/>
            </w:tcBorders>
            <w:noWrap w:val="0"/>
            <w:vAlign w:val="center"/>
          </w:tcPr>
          <w:p w14:paraId="13330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70803C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40BA3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98" w:type="dxa"/>
            <w:vMerge w:val="continue"/>
            <w:tcBorders>
              <w:tl2br w:val="nil"/>
              <w:tr2bl w:val="nil"/>
            </w:tcBorders>
            <w:noWrap w:val="0"/>
            <w:vAlign w:val="center"/>
          </w:tcPr>
          <w:p w14:paraId="3DBA8D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74E6CF5C">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高锰酸盐指数</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511C0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2.5</w:t>
            </w:r>
          </w:p>
        </w:tc>
        <w:tc>
          <w:tcPr>
            <w:tcW w:w="1365" w:type="dxa"/>
            <w:tcBorders>
              <w:tl2br w:val="nil"/>
              <w:tr2bl w:val="nil"/>
            </w:tcBorders>
            <w:noWrap w:val="0"/>
            <w:vAlign w:val="center"/>
          </w:tcPr>
          <w:p w14:paraId="3D660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3.6</w:t>
            </w:r>
          </w:p>
        </w:tc>
        <w:tc>
          <w:tcPr>
            <w:tcW w:w="1073" w:type="dxa"/>
            <w:tcBorders>
              <w:tl2br w:val="nil"/>
              <w:tr2bl w:val="nil"/>
            </w:tcBorders>
            <w:noWrap w:val="0"/>
            <w:vAlign w:val="center"/>
          </w:tcPr>
          <w:p w14:paraId="2959566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1275" w:type="dxa"/>
            <w:tcBorders>
              <w:tl2br w:val="nil"/>
              <w:tr2bl w:val="nil"/>
            </w:tcBorders>
            <w:noWrap w:val="0"/>
            <w:vAlign w:val="center"/>
          </w:tcPr>
          <w:p w14:paraId="0F7BA4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3.8</w:t>
            </w:r>
          </w:p>
        </w:tc>
        <w:tc>
          <w:tcPr>
            <w:tcW w:w="1357" w:type="dxa"/>
            <w:tcBorders>
              <w:tl2br w:val="nil"/>
              <w:tr2bl w:val="nil"/>
            </w:tcBorders>
            <w:noWrap w:val="0"/>
            <w:vAlign w:val="center"/>
          </w:tcPr>
          <w:p w14:paraId="1756C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3.9</w:t>
            </w:r>
          </w:p>
        </w:tc>
        <w:tc>
          <w:tcPr>
            <w:tcW w:w="1044" w:type="dxa"/>
            <w:tcBorders>
              <w:tl2br w:val="nil"/>
              <w:tr2bl w:val="nil"/>
            </w:tcBorders>
            <w:noWrap w:val="0"/>
            <w:vAlign w:val="center"/>
          </w:tcPr>
          <w:p w14:paraId="3CAFDB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≤6</w:t>
            </w:r>
          </w:p>
        </w:tc>
        <w:tc>
          <w:tcPr>
            <w:tcW w:w="690" w:type="dxa"/>
            <w:tcBorders>
              <w:tl2br w:val="nil"/>
              <w:tr2bl w:val="nil"/>
            </w:tcBorders>
            <w:noWrap w:val="0"/>
            <w:vAlign w:val="center"/>
          </w:tcPr>
          <w:p w14:paraId="318D96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0D27B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798" w:type="dxa"/>
            <w:vMerge w:val="continue"/>
            <w:tcBorders>
              <w:tl2br w:val="nil"/>
              <w:tr2bl w:val="nil"/>
            </w:tcBorders>
            <w:noWrap w:val="0"/>
            <w:vAlign w:val="center"/>
          </w:tcPr>
          <w:p w14:paraId="5CB463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1BA65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溶解氧</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42B45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7.31</w:t>
            </w:r>
          </w:p>
        </w:tc>
        <w:tc>
          <w:tcPr>
            <w:tcW w:w="1365" w:type="dxa"/>
            <w:tcBorders>
              <w:tl2br w:val="nil"/>
              <w:tr2bl w:val="nil"/>
            </w:tcBorders>
            <w:noWrap w:val="0"/>
            <w:vAlign w:val="center"/>
          </w:tcPr>
          <w:p w14:paraId="686360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7.12</w:t>
            </w:r>
          </w:p>
        </w:tc>
        <w:tc>
          <w:tcPr>
            <w:tcW w:w="1073" w:type="dxa"/>
            <w:tcBorders>
              <w:tl2br w:val="nil"/>
              <w:tr2bl w:val="nil"/>
            </w:tcBorders>
            <w:noWrap w:val="0"/>
            <w:vAlign w:val="center"/>
          </w:tcPr>
          <w:p w14:paraId="2455ED38">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3</w:t>
            </w:r>
          </w:p>
        </w:tc>
        <w:tc>
          <w:tcPr>
            <w:tcW w:w="1275" w:type="dxa"/>
            <w:tcBorders>
              <w:tl2br w:val="nil"/>
              <w:tr2bl w:val="nil"/>
            </w:tcBorders>
            <w:noWrap w:val="0"/>
            <w:vAlign w:val="center"/>
          </w:tcPr>
          <w:p w14:paraId="40723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7.37</w:t>
            </w:r>
          </w:p>
        </w:tc>
        <w:tc>
          <w:tcPr>
            <w:tcW w:w="1357" w:type="dxa"/>
            <w:tcBorders>
              <w:tl2br w:val="nil"/>
              <w:tr2bl w:val="nil"/>
            </w:tcBorders>
            <w:noWrap w:val="0"/>
            <w:vAlign w:val="center"/>
          </w:tcPr>
          <w:p w14:paraId="6C795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7.15</w:t>
            </w:r>
          </w:p>
        </w:tc>
        <w:tc>
          <w:tcPr>
            <w:tcW w:w="1044" w:type="dxa"/>
            <w:tcBorders>
              <w:tl2br w:val="nil"/>
              <w:tr2bl w:val="nil"/>
            </w:tcBorders>
            <w:noWrap w:val="0"/>
            <w:vAlign w:val="center"/>
          </w:tcPr>
          <w:p w14:paraId="7F11E6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≥5</w:t>
            </w:r>
          </w:p>
        </w:tc>
        <w:tc>
          <w:tcPr>
            <w:tcW w:w="690" w:type="dxa"/>
            <w:tcBorders>
              <w:tl2br w:val="nil"/>
              <w:tr2bl w:val="nil"/>
            </w:tcBorders>
            <w:noWrap w:val="0"/>
            <w:vAlign w:val="center"/>
          </w:tcPr>
          <w:p w14:paraId="2764A07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14DE4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798" w:type="dxa"/>
            <w:vMerge w:val="continue"/>
            <w:tcBorders>
              <w:tl2br w:val="nil"/>
              <w:tr2bl w:val="nil"/>
            </w:tcBorders>
            <w:noWrap w:val="0"/>
            <w:vAlign w:val="center"/>
          </w:tcPr>
          <w:p w14:paraId="59F63E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4E6236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铜</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5CF7E2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365" w:type="dxa"/>
            <w:tcBorders>
              <w:tl2br w:val="nil"/>
              <w:tr2bl w:val="nil"/>
            </w:tcBorders>
            <w:noWrap w:val="0"/>
            <w:vAlign w:val="center"/>
          </w:tcPr>
          <w:p w14:paraId="21B47C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073" w:type="dxa"/>
            <w:tcBorders>
              <w:tl2br w:val="nil"/>
              <w:tr2bl w:val="nil"/>
            </w:tcBorders>
            <w:noWrap w:val="0"/>
            <w:vAlign w:val="center"/>
          </w:tcPr>
          <w:p w14:paraId="4FE9FDB8">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1275" w:type="dxa"/>
            <w:tcBorders>
              <w:tl2br w:val="nil"/>
              <w:tr2bl w:val="nil"/>
            </w:tcBorders>
            <w:noWrap w:val="0"/>
            <w:vAlign w:val="center"/>
          </w:tcPr>
          <w:p w14:paraId="43B885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357" w:type="dxa"/>
            <w:tcBorders>
              <w:tl2br w:val="nil"/>
              <w:tr2bl w:val="nil"/>
            </w:tcBorders>
            <w:noWrap w:val="0"/>
            <w:vAlign w:val="center"/>
          </w:tcPr>
          <w:p w14:paraId="36C330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0.006L</w:t>
            </w:r>
          </w:p>
        </w:tc>
        <w:tc>
          <w:tcPr>
            <w:tcW w:w="1044" w:type="dxa"/>
            <w:tcBorders>
              <w:tl2br w:val="nil"/>
              <w:tr2bl w:val="nil"/>
            </w:tcBorders>
            <w:noWrap w:val="0"/>
            <w:vAlign w:val="center"/>
          </w:tcPr>
          <w:p w14:paraId="66FA95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650405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1354B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exact"/>
          <w:jc w:val="center"/>
        </w:trPr>
        <w:tc>
          <w:tcPr>
            <w:tcW w:w="798" w:type="dxa"/>
            <w:vMerge w:val="continue"/>
            <w:tcBorders>
              <w:tl2br w:val="nil"/>
              <w:tr2bl w:val="nil"/>
            </w:tcBorders>
            <w:noWrap w:val="0"/>
            <w:vAlign w:val="center"/>
          </w:tcPr>
          <w:p w14:paraId="056B63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6171A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锌</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65DEB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65" w:type="dxa"/>
            <w:tcBorders>
              <w:tl2br w:val="nil"/>
              <w:tr2bl w:val="nil"/>
            </w:tcBorders>
            <w:noWrap w:val="0"/>
            <w:vAlign w:val="center"/>
          </w:tcPr>
          <w:p w14:paraId="50A59F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73" w:type="dxa"/>
            <w:tcBorders>
              <w:tl2br w:val="nil"/>
              <w:tr2bl w:val="nil"/>
            </w:tcBorders>
            <w:noWrap w:val="0"/>
            <w:vAlign w:val="center"/>
          </w:tcPr>
          <w:p w14:paraId="60CB245A">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w:t>
            </w:r>
          </w:p>
        </w:tc>
        <w:tc>
          <w:tcPr>
            <w:tcW w:w="1275" w:type="dxa"/>
            <w:tcBorders>
              <w:tl2br w:val="nil"/>
              <w:tr2bl w:val="nil"/>
            </w:tcBorders>
            <w:noWrap w:val="0"/>
            <w:vAlign w:val="center"/>
          </w:tcPr>
          <w:p w14:paraId="50CE8F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57" w:type="dxa"/>
            <w:tcBorders>
              <w:tl2br w:val="nil"/>
              <w:tr2bl w:val="nil"/>
            </w:tcBorders>
            <w:noWrap w:val="0"/>
            <w:vAlign w:val="center"/>
          </w:tcPr>
          <w:p w14:paraId="6CAA8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44" w:type="dxa"/>
            <w:tcBorders>
              <w:tl2br w:val="nil"/>
              <w:tr2bl w:val="nil"/>
            </w:tcBorders>
            <w:noWrap w:val="0"/>
            <w:vAlign w:val="center"/>
          </w:tcPr>
          <w:p w14:paraId="15779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5374B8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2E3DE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7ADE07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4A126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氟化物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50A73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0.15</w:t>
            </w:r>
          </w:p>
        </w:tc>
        <w:tc>
          <w:tcPr>
            <w:tcW w:w="1365" w:type="dxa"/>
            <w:tcBorders>
              <w:tl2br w:val="nil"/>
              <w:tr2bl w:val="nil"/>
            </w:tcBorders>
            <w:noWrap w:val="0"/>
            <w:vAlign w:val="center"/>
          </w:tcPr>
          <w:p w14:paraId="0A1E9D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0.35</w:t>
            </w:r>
          </w:p>
        </w:tc>
        <w:tc>
          <w:tcPr>
            <w:tcW w:w="1073" w:type="dxa"/>
            <w:tcBorders>
              <w:tl2br w:val="nil"/>
              <w:tr2bl w:val="nil"/>
            </w:tcBorders>
            <w:noWrap w:val="0"/>
            <w:vAlign w:val="center"/>
          </w:tcPr>
          <w:p w14:paraId="68D9675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1.5</w:t>
            </w:r>
          </w:p>
        </w:tc>
        <w:tc>
          <w:tcPr>
            <w:tcW w:w="1275" w:type="dxa"/>
            <w:tcBorders>
              <w:tl2br w:val="nil"/>
              <w:tr2bl w:val="nil"/>
            </w:tcBorders>
            <w:noWrap w:val="0"/>
            <w:vAlign w:val="center"/>
          </w:tcPr>
          <w:p w14:paraId="7D3AA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0.20</w:t>
            </w:r>
          </w:p>
        </w:tc>
        <w:tc>
          <w:tcPr>
            <w:tcW w:w="1357" w:type="dxa"/>
            <w:tcBorders>
              <w:tl2br w:val="nil"/>
              <w:tr2bl w:val="nil"/>
            </w:tcBorders>
            <w:noWrap w:val="0"/>
            <w:vAlign w:val="center"/>
          </w:tcPr>
          <w:p w14:paraId="07AFA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0.37</w:t>
            </w:r>
          </w:p>
        </w:tc>
        <w:tc>
          <w:tcPr>
            <w:tcW w:w="1044" w:type="dxa"/>
            <w:tcBorders>
              <w:tl2br w:val="nil"/>
              <w:tr2bl w:val="nil"/>
            </w:tcBorders>
            <w:noWrap w:val="0"/>
            <w:vAlign w:val="center"/>
          </w:tcPr>
          <w:p w14:paraId="654764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≤1.0</w:t>
            </w:r>
          </w:p>
        </w:tc>
        <w:tc>
          <w:tcPr>
            <w:tcW w:w="690" w:type="dxa"/>
            <w:tcBorders>
              <w:tl2br w:val="nil"/>
              <w:tr2bl w:val="nil"/>
            </w:tcBorders>
            <w:noWrap w:val="0"/>
            <w:vAlign w:val="center"/>
          </w:tcPr>
          <w:p w14:paraId="679FBA4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343F4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4355AB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4236A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砷</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67E1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0.00382</w:t>
            </w:r>
          </w:p>
        </w:tc>
        <w:tc>
          <w:tcPr>
            <w:tcW w:w="1365" w:type="dxa"/>
            <w:tcBorders>
              <w:tl2br w:val="nil"/>
              <w:tr2bl w:val="nil"/>
            </w:tcBorders>
            <w:noWrap w:val="0"/>
            <w:vAlign w:val="center"/>
          </w:tcPr>
          <w:p w14:paraId="4C387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0.00506</w:t>
            </w:r>
          </w:p>
        </w:tc>
        <w:tc>
          <w:tcPr>
            <w:tcW w:w="1073" w:type="dxa"/>
            <w:tcBorders>
              <w:tl2br w:val="nil"/>
              <w:tr2bl w:val="nil"/>
            </w:tcBorders>
            <w:noWrap w:val="0"/>
            <w:vAlign w:val="center"/>
          </w:tcPr>
          <w:p w14:paraId="2B963C7E">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1</w:t>
            </w:r>
          </w:p>
        </w:tc>
        <w:tc>
          <w:tcPr>
            <w:tcW w:w="1275" w:type="dxa"/>
            <w:tcBorders>
              <w:tl2br w:val="nil"/>
              <w:tr2bl w:val="nil"/>
            </w:tcBorders>
            <w:noWrap w:val="0"/>
            <w:vAlign w:val="center"/>
          </w:tcPr>
          <w:p w14:paraId="0EE64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0.00654</w:t>
            </w:r>
          </w:p>
        </w:tc>
        <w:tc>
          <w:tcPr>
            <w:tcW w:w="1357" w:type="dxa"/>
            <w:tcBorders>
              <w:tl2br w:val="nil"/>
              <w:tr2bl w:val="nil"/>
            </w:tcBorders>
            <w:noWrap w:val="0"/>
            <w:vAlign w:val="center"/>
          </w:tcPr>
          <w:p w14:paraId="21231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0.00356</w:t>
            </w:r>
          </w:p>
        </w:tc>
        <w:tc>
          <w:tcPr>
            <w:tcW w:w="1044" w:type="dxa"/>
            <w:tcBorders>
              <w:tl2br w:val="nil"/>
              <w:tr2bl w:val="nil"/>
            </w:tcBorders>
            <w:noWrap w:val="0"/>
            <w:vAlign w:val="center"/>
          </w:tcPr>
          <w:p w14:paraId="6674FC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20FDCC0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317CE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30E9CA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56B27863">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0"/>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硒</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7EA487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365" w:type="dxa"/>
            <w:tcBorders>
              <w:tl2br w:val="nil"/>
              <w:tr2bl w:val="nil"/>
            </w:tcBorders>
            <w:noWrap w:val="0"/>
            <w:vAlign w:val="center"/>
          </w:tcPr>
          <w:p w14:paraId="45580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073" w:type="dxa"/>
            <w:tcBorders>
              <w:tl2br w:val="nil"/>
              <w:tr2bl w:val="nil"/>
            </w:tcBorders>
            <w:noWrap w:val="0"/>
            <w:vAlign w:val="center"/>
          </w:tcPr>
          <w:p w14:paraId="0DFB2928">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p>
        </w:tc>
        <w:tc>
          <w:tcPr>
            <w:tcW w:w="1275" w:type="dxa"/>
            <w:tcBorders>
              <w:tl2br w:val="nil"/>
              <w:tr2bl w:val="nil"/>
            </w:tcBorders>
            <w:noWrap w:val="0"/>
            <w:vAlign w:val="center"/>
          </w:tcPr>
          <w:p w14:paraId="5AF1D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357" w:type="dxa"/>
            <w:tcBorders>
              <w:tl2br w:val="nil"/>
              <w:tr2bl w:val="nil"/>
            </w:tcBorders>
            <w:noWrap w:val="0"/>
            <w:vAlign w:val="center"/>
          </w:tcPr>
          <w:p w14:paraId="273D0F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0.00041L</w:t>
            </w:r>
          </w:p>
        </w:tc>
        <w:tc>
          <w:tcPr>
            <w:tcW w:w="1044" w:type="dxa"/>
            <w:tcBorders>
              <w:tl2br w:val="nil"/>
              <w:tr2bl w:val="nil"/>
            </w:tcBorders>
            <w:noWrap w:val="0"/>
            <w:vAlign w:val="center"/>
          </w:tcPr>
          <w:p w14:paraId="6BA475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≤0.01</w:t>
            </w:r>
          </w:p>
        </w:tc>
        <w:tc>
          <w:tcPr>
            <w:tcW w:w="690" w:type="dxa"/>
            <w:tcBorders>
              <w:tl2br w:val="nil"/>
              <w:tr2bl w:val="nil"/>
            </w:tcBorders>
            <w:noWrap w:val="0"/>
            <w:vAlign w:val="center"/>
          </w:tcPr>
          <w:p w14:paraId="717F16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505F7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00D033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05EFBA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汞</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66D34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365" w:type="dxa"/>
            <w:tcBorders>
              <w:tl2br w:val="nil"/>
              <w:tr2bl w:val="nil"/>
            </w:tcBorders>
            <w:noWrap w:val="0"/>
            <w:vAlign w:val="center"/>
          </w:tcPr>
          <w:p w14:paraId="37D50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073" w:type="dxa"/>
            <w:tcBorders>
              <w:tl2br w:val="nil"/>
              <w:tr2bl w:val="nil"/>
            </w:tcBorders>
            <w:noWrap w:val="0"/>
            <w:vAlign w:val="center"/>
          </w:tcPr>
          <w:p w14:paraId="4FCED7E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0.001</w:t>
            </w:r>
          </w:p>
        </w:tc>
        <w:tc>
          <w:tcPr>
            <w:tcW w:w="1275" w:type="dxa"/>
            <w:tcBorders>
              <w:tl2br w:val="nil"/>
              <w:tr2bl w:val="nil"/>
            </w:tcBorders>
            <w:noWrap w:val="0"/>
            <w:vAlign w:val="center"/>
          </w:tcPr>
          <w:p w14:paraId="5B2FD0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357" w:type="dxa"/>
            <w:tcBorders>
              <w:tl2br w:val="nil"/>
              <w:tr2bl w:val="nil"/>
            </w:tcBorders>
            <w:noWrap w:val="0"/>
            <w:vAlign w:val="center"/>
          </w:tcPr>
          <w:p w14:paraId="15A769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0.00004L</w:t>
            </w:r>
          </w:p>
        </w:tc>
        <w:tc>
          <w:tcPr>
            <w:tcW w:w="1044" w:type="dxa"/>
            <w:tcBorders>
              <w:tl2br w:val="nil"/>
              <w:tr2bl w:val="nil"/>
            </w:tcBorders>
            <w:noWrap w:val="0"/>
            <w:vAlign w:val="center"/>
          </w:tcPr>
          <w:p w14:paraId="6485B9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≤0.0001</w:t>
            </w:r>
          </w:p>
        </w:tc>
        <w:tc>
          <w:tcPr>
            <w:tcW w:w="690" w:type="dxa"/>
            <w:tcBorders>
              <w:tl2br w:val="nil"/>
              <w:tr2bl w:val="nil"/>
            </w:tcBorders>
            <w:noWrap w:val="0"/>
            <w:vAlign w:val="center"/>
          </w:tcPr>
          <w:p w14:paraId="0B8B67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5BFBF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5A9BA7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50F3C99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镉</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4765B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365" w:type="dxa"/>
            <w:tcBorders>
              <w:tl2br w:val="nil"/>
              <w:tr2bl w:val="nil"/>
            </w:tcBorders>
            <w:noWrap w:val="0"/>
            <w:vAlign w:val="center"/>
          </w:tcPr>
          <w:p w14:paraId="710B08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073" w:type="dxa"/>
            <w:tcBorders>
              <w:tl2br w:val="nil"/>
              <w:tr2bl w:val="nil"/>
            </w:tcBorders>
            <w:noWrap w:val="0"/>
            <w:vAlign w:val="center"/>
          </w:tcPr>
          <w:p w14:paraId="79E6F4F8">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0.01</w:t>
            </w:r>
          </w:p>
        </w:tc>
        <w:tc>
          <w:tcPr>
            <w:tcW w:w="1275" w:type="dxa"/>
            <w:tcBorders>
              <w:tl2br w:val="nil"/>
              <w:tr2bl w:val="nil"/>
            </w:tcBorders>
            <w:noWrap w:val="0"/>
            <w:vAlign w:val="center"/>
          </w:tcPr>
          <w:p w14:paraId="2CBE78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357" w:type="dxa"/>
            <w:tcBorders>
              <w:tl2br w:val="nil"/>
              <w:tr2bl w:val="nil"/>
            </w:tcBorders>
            <w:noWrap w:val="0"/>
            <w:vAlign w:val="center"/>
          </w:tcPr>
          <w:p w14:paraId="1413C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0.00005L</w:t>
            </w:r>
          </w:p>
        </w:tc>
        <w:tc>
          <w:tcPr>
            <w:tcW w:w="1044" w:type="dxa"/>
            <w:tcBorders>
              <w:tl2br w:val="nil"/>
              <w:tr2bl w:val="nil"/>
            </w:tcBorders>
            <w:noWrap w:val="0"/>
            <w:vAlign w:val="center"/>
          </w:tcPr>
          <w:p w14:paraId="0FD3E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≤0.005</w:t>
            </w:r>
          </w:p>
        </w:tc>
        <w:tc>
          <w:tcPr>
            <w:tcW w:w="690" w:type="dxa"/>
            <w:tcBorders>
              <w:tl2br w:val="nil"/>
              <w:tr2bl w:val="nil"/>
            </w:tcBorders>
            <w:noWrap w:val="0"/>
            <w:vAlign w:val="center"/>
          </w:tcPr>
          <w:p w14:paraId="668856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59242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798" w:type="dxa"/>
            <w:vMerge w:val="continue"/>
            <w:tcBorders>
              <w:tl2br w:val="nil"/>
              <w:tr2bl w:val="nil"/>
            </w:tcBorders>
            <w:noWrap w:val="0"/>
            <w:vAlign w:val="center"/>
          </w:tcPr>
          <w:p w14:paraId="777BF5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690909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铬（六价）</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1CBD2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65" w:type="dxa"/>
            <w:tcBorders>
              <w:tl2br w:val="nil"/>
              <w:tr2bl w:val="nil"/>
            </w:tcBorders>
            <w:noWrap w:val="0"/>
            <w:vAlign w:val="center"/>
          </w:tcPr>
          <w:p w14:paraId="5893C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73" w:type="dxa"/>
            <w:tcBorders>
              <w:tl2br w:val="nil"/>
              <w:tr2bl w:val="nil"/>
            </w:tcBorders>
            <w:noWrap w:val="0"/>
            <w:vAlign w:val="center"/>
          </w:tcPr>
          <w:p w14:paraId="027F92E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0.1</w:t>
            </w:r>
          </w:p>
        </w:tc>
        <w:tc>
          <w:tcPr>
            <w:tcW w:w="1275" w:type="dxa"/>
            <w:tcBorders>
              <w:tl2br w:val="nil"/>
              <w:tr2bl w:val="nil"/>
            </w:tcBorders>
            <w:noWrap w:val="0"/>
            <w:vAlign w:val="center"/>
          </w:tcPr>
          <w:p w14:paraId="1433D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357" w:type="dxa"/>
            <w:tcBorders>
              <w:tl2br w:val="nil"/>
              <w:tr2bl w:val="nil"/>
            </w:tcBorders>
            <w:noWrap w:val="0"/>
            <w:vAlign w:val="center"/>
          </w:tcPr>
          <w:p w14:paraId="5500B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0.004L</w:t>
            </w:r>
          </w:p>
        </w:tc>
        <w:tc>
          <w:tcPr>
            <w:tcW w:w="1044" w:type="dxa"/>
            <w:tcBorders>
              <w:tl2br w:val="nil"/>
              <w:tr2bl w:val="nil"/>
            </w:tcBorders>
            <w:noWrap w:val="0"/>
            <w:vAlign w:val="center"/>
          </w:tcPr>
          <w:p w14:paraId="648E5A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38703A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52C50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384717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10C553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 xml:space="preserve"> 铅</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5442E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365" w:type="dxa"/>
            <w:tcBorders>
              <w:tl2br w:val="nil"/>
              <w:tr2bl w:val="nil"/>
            </w:tcBorders>
            <w:noWrap w:val="0"/>
            <w:vAlign w:val="center"/>
          </w:tcPr>
          <w:p w14:paraId="7C7D6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073" w:type="dxa"/>
            <w:tcBorders>
              <w:tl2br w:val="nil"/>
              <w:tr2bl w:val="nil"/>
            </w:tcBorders>
            <w:noWrap w:val="0"/>
            <w:vAlign w:val="center"/>
          </w:tcPr>
          <w:p w14:paraId="0E6B89F3">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05</w:t>
            </w:r>
          </w:p>
        </w:tc>
        <w:tc>
          <w:tcPr>
            <w:tcW w:w="1275" w:type="dxa"/>
            <w:tcBorders>
              <w:tl2br w:val="nil"/>
              <w:tr2bl w:val="nil"/>
            </w:tcBorders>
            <w:noWrap w:val="0"/>
            <w:vAlign w:val="center"/>
          </w:tcPr>
          <w:p w14:paraId="58D54E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357" w:type="dxa"/>
            <w:tcBorders>
              <w:tl2br w:val="nil"/>
              <w:tr2bl w:val="nil"/>
            </w:tcBorders>
            <w:noWrap w:val="0"/>
            <w:vAlign w:val="center"/>
          </w:tcPr>
          <w:p w14:paraId="1201C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u w:val="wave" w:color="auto"/>
                <w:lang w:val="en-US" w:eastAsia="zh-CN"/>
                <w14:textFill>
                  <w14:solidFill>
                    <w14:schemeClr w14:val="tx1"/>
                  </w14:solidFill>
                </w14:textFill>
              </w:rPr>
              <w:t>0.00009L</w:t>
            </w:r>
          </w:p>
        </w:tc>
        <w:tc>
          <w:tcPr>
            <w:tcW w:w="1044" w:type="dxa"/>
            <w:tcBorders>
              <w:tl2br w:val="nil"/>
              <w:tr2bl w:val="nil"/>
            </w:tcBorders>
            <w:noWrap w:val="0"/>
            <w:vAlign w:val="center"/>
          </w:tcPr>
          <w:p w14:paraId="0DD440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≤0.05</w:t>
            </w:r>
          </w:p>
        </w:tc>
        <w:tc>
          <w:tcPr>
            <w:tcW w:w="690" w:type="dxa"/>
            <w:tcBorders>
              <w:tl2br w:val="nil"/>
              <w:tr2bl w:val="nil"/>
            </w:tcBorders>
            <w:noWrap w:val="0"/>
            <w:vAlign w:val="center"/>
          </w:tcPr>
          <w:p w14:paraId="54FB75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632F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07CE95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6F5CE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氰化物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37C6B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365" w:type="dxa"/>
            <w:tcBorders>
              <w:tl2br w:val="nil"/>
              <w:tr2bl w:val="nil"/>
            </w:tcBorders>
            <w:noWrap w:val="0"/>
            <w:vAlign w:val="center"/>
          </w:tcPr>
          <w:p w14:paraId="673A0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073" w:type="dxa"/>
            <w:tcBorders>
              <w:tl2br w:val="nil"/>
              <w:tr2bl w:val="nil"/>
            </w:tcBorders>
            <w:noWrap w:val="0"/>
            <w:vAlign w:val="center"/>
          </w:tcPr>
          <w:p w14:paraId="65449AF0">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2</w:t>
            </w:r>
          </w:p>
        </w:tc>
        <w:tc>
          <w:tcPr>
            <w:tcW w:w="1275" w:type="dxa"/>
            <w:tcBorders>
              <w:tl2br w:val="nil"/>
              <w:tr2bl w:val="nil"/>
            </w:tcBorders>
            <w:noWrap w:val="0"/>
            <w:vAlign w:val="center"/>
          </w:tcPr>
          <w:p w14:paraId="388A1F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357" w:type="dxa"/>
            <w:tcBorders>
              <w:tl2br w:val="nil"/>
              <w:tr2bl w:val="nil"/>
            </w:tcBorders>
            <w:noWrap w:val="0"/>
            <w:vAlign w:val="center"/>
          </w:tcPr>
          <w:p w14:paraId="39E75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0.004L</w:t>
            </w:r>
          </w:p>
        </w:tc>
        <w:tc>
          <w:tcPr>
            <w:tcW w:w="1044" w:type="dxa"/>
            <w:tcBorders>
              <w:tl2br w:val="nil"/>
              <w:tr2bl w:val="nil"/>
            </w:tcBorders>
            <w:noWrap w:val="0"/>
            <w:vAlign w:val="center"/>
          </w:tcPr>
          <w:p w14:paraId="0C6FB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4BD1F5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12F02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42B7B1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7068C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挥发酚</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19F66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365" w:type="dxa"/>
            <w:tcBorders>
              <w:tl2br w:val="nil"/>
              <w:tr2bl w:val="nil"/>
            </w:tcBorders>
            <w:noWrap w:val="0"/>
            <w:vAlign w:val="center"/>
          </w:tcPr>
          <w:p w14:paraId="00EF1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073" w:type="dxa"/>
            <w:tcBorders>
              <w:tl2br w:val="nil"/>
              <w:tr2bl w:val="nil"/>
            </w:tcBorders>
            <w:noWrap w:val="0"/>
            <w:vAlign w:val="center"/>
          </w:tcPr>
          <w:p w14:paraId="3A109B8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0.01</w:t>
            </w:r>
          </w:p>
        </w:tc>
        <w:tc>
          <w:tcPr>
            <w:tcW w:w="1275" w:type="dxa"/>
            <w:tcBorders>
              <w:tl2br w:val="nil"/>
              <w:tr2bl w:val="nil"/>
            </w:tcBorders>
            <w:noWrap w:val="0"/>
            <w:vAlign w:val="center"/>
          </w:tcPr>
          <w:p w14:paraId="7CA37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357" w:type="dxa"/>
            <w:tcBorders>
              <w:tl2br w:val="nil"/>
              <w:tr2bl w:val="nil"/>
            </w:tcBorders>
            <w:noWrap w:val="0"/>
            <w:vAlign w:val="center"/>
          </w:tcPr>
          <w:p w14:paraId="35510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0.0003L</w:t>
            </w:r>
          </w:p>
        </w:tc>
        <w:tc>
          <w:tcPr>
            <w:tcW w:w="1044" w:type="dxa"/>
            <w:tcBorders>
              <w:tl2br w:val="nil"/>
              <w:tr2bl w:val="nil"/>
            </w:tcBorders>
            <w:noWrap w:val="0"/>
            <w:vAlign w:val="center"/>
          </w:tcPr>
          <w:p w14:paraId="11B9A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≤0.005</w:t>
            </w:r>
          </w:p>
        </w:tc>
        <w:tc>
          <w:tcPr>
            <w:tcW w:w="690" w:type="dxa"/>
            <w:tcBorders>
              <w:tl2br w:val="nil"/>
              <w:tr2bl w:val="nil"/>
            </w:tcBorders>
            <w:noWrap w:val="0"/>
            <w:vAlign w:val="center"/>
          </w:tcPr>
          <w:p w14:paraId="2C6C13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4B963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98" w:type="dxa"/>
            <w:vMerge w:val="continue"/>
            <w:tcBorders>
              <w:tl2br w:val="nil"/>
              <w:tr2bl w:val="nil"/>
            </w:tcBorders>
            <w:noWrap w:val="0"/>
            <w:vAlign w:val="center"/>
          </w:tcPr>
          <w:p w14:paraId="2332BB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4BEB9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硫化物</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0CDEAA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65" w:type="dxa"/>
            <w:tcBorders>
              <w:tl2br w:val="nil"/>
              <w:tr2bl w:val="nil"/>
            </w:tcBorders>
            <w:noWrap w:val="0"/>
            <w:vAlign w:val="center"/>
          </w:tcPr>
          <w:p w14:paraId="74C9D2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73" w:type="dxa"/>
            <w:tcBorders>
              <w:tl2br w:val="nil"/>
              <w:tr2bl w:val="nil"/>
            </w:tcBorders>
            <w:noWrap w:val="0"/>
            <w:vAlign w:val="center"/>
          </w:tcPr>
          <w:p w14:paraId="4EA563D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p>
        </w:tc>
        <w:tc>
          <w:tcPr>
            <w:tcW w:w="1275" w:type="dxa"/>
            <w:tcBorders>
              <w:tl2br w:val="nil"/>
              <w:tr2bl w:val="nil"/>
            </w:tcBorders>
            <w:noWrap w:val="0"/>
            <w:vAlign w:val="center"/>
          </w:tcPr>
          <w:p w14:paraId="31058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357" w:type="dxa"/>
            <w:tcBorders>
              <w:tl2br w:val="nil"/>
              <w:tr2bl w:val="nil"/>
            </w:tcBorders>
            <w:noWrap w:val="0"/>
            <w:vAlign w:val="center"/>
          </w:tcPr>
          <w:p w14:paraId="204C74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0.01L</w:t>
            </w:r>
          </w:p>
        </w:tc>
        <w:tc>
          <w:tcPr>
            <w:tcW w:w="1044" w:type="dxa"/>
            <w:tcBorders>
              <w:tl2br w:val="nil"/>
              <w:tr2bl w:val="nil"/>
            </w:tcBorders>
            <w:noWrap w:val="0"/>
            <w:vAlign w:val="center"/>
          </w:tcPr>
          <w:p w14:paraId="7D57E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064837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045F4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798" w:type="dxa"/>
            <w:vMerge w:val="continue"/>
            <w:tcBorders>
              <w:tl2br w:val="nil"/>
              <w:tr2bl w:val="nil"/>
            </w:tcBorders>
            <w:noWrap w:val="0"/>
            <w:vAlign w:val="center"/>
          </w:tcPr>
          <w:p w14:paraId="5C1C88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5CBCE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阴离子表面活性剂</w:t>
            </w:r>
            <w:r>
              <w:rPr>
                <w:rFonts w:hint="default" w:ascii="Times New Roman" w:hAnsi="Times New Roman" w:eastAsia="宋体" w:cs="Times New Roman"/>
                <w:b w:val="0"/>
                <w:bCs w:val="0"/>
                <w:color w:val="000000" w:themeColor="text1"/>
                <w:sz w:val="21"/>
                <w:szCs w:val="21"/>
                <w:highlight w:val="none"/>
                <w:u w:val="wave" w:color="auto"/>
                <w:lang w:val="en-US" w:eastAsia="zh-CN"/>
                <w14:textFill>
                  <w14:solidFill>
                    <w14:schemeClr w14:val="tx1"/>
                  </w14:solidFill>
                </w14:textFill>
              </w:rPr>
              <w:t>（mg/L）</w:t>
            </w:r>
          </w:p>
        </w:tc>
        <w:tc>
          <w:tcPr>
            <w:tcW w:w="1091" w:type="dxa"/>
            <w:tcBorders>
              <w:tl2br w:val="nil"/>
              <w:tr2bl w:val="nil"/>
            </w:tcBorders>
            <w:noWrap w:val="0"/>
            <w:vAlign w:val="center"/>
          </w:tcPr>
          <w:p w14:paraId="04F6B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365" w:type="dxa"/>
            <w:tcBorders>
              <w:tl2br w:val="nil"/>
              <w:tr2bl w:val="nil"/>
            </w:tcBorders>
            <w:noWrap w:val="0"/>
            <w:vAlign w:val="center"/>
          </w:tcPr>
          <w:p w14:paraId="28980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073" w:type="dxa"/>
            <w:tcBorders>
              <w:tl2br w:val="nil"/>
              <w:tr2bl w:val="nil"/>
            </w:tcBorders>
            <w:noWrap w:val="0"/>
            <w:vAlign w:val="center"/>
          </w:tcPr>
          <w:p w14:paraId="7AFCB3E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0.3</w:t>
            </w:r>
          </w:p>
        </w:tc>
        <w:tc>
          <w:tcPr>
            <w:tcW w:w="1275" w:type="dxa"/>
            <w:tcBorders>
              <w:tl2br w:val="nil"/>
              <w:tr2bl w:val="nil"/>
            </w:tcBorders>
            <w:noWrap w:val="0"/>
            <w:vAlign w:val="center"/>
          </w:tcPr>
          <w:p w14:paraId="5403D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357" w:type="dxa"/>
            <w:tcBorders>
              <w:tl2br w:val="nil"/>
              <w:tr2bl w:val="nil"/>
            </w:tcBorders>
            <w:noWrap w:val="0"/>
            <w:vAlign w:val="center"/>
          </w:tcPr>
          <w:p w14:paraId="48402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0.05L</w:t>
            </w:r>
          </w:p>
        </w:tc>
        <w:tc>
          <w:tcPr>
            <w:tcW w:w="1044" w:type="dxa"/>
            <w:tcBorders>
              <w:tl2br w:val="nil"/>
              <w:tr2bl w:val="nil"/>
            </w:tcBorders>
            <w:noWrap w:val="0"/>
            <w:vAlign w:val="center"/>
          </w:tcPr>
          <w:p w14:paraId="7CCDB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t>0.2</w:t>
            </w:r>
          </w:p>
        </w:tc>
        <w:tc>
          <w:tcPr>
            <w:tcW w:w="690" w:type="dxa"/>
            <w:tcBorders>
              <w:tl2br w:val="nil"/>
              <w:tr2bl w:val="nil"/>
            </w:tcBorders>
            <w:noWrap w:val="0"/>
            <w:vAlign w:val="center"/>
          </w:tcPr>
          <w:p w14:paraId="644F56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036D8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798" w:type="dxa"/>
            <w:vMerge w:val="continue"/>
            <w:tcBorders>
              <w:tl2br w:val="nil"/>
              <w:tr2bl w:val="nil"/>
            </w:tcBorders>
            <w:noWrap w:val="0"/>
            <w:vAlign w:val="center"/>
          </w:tcPr>
          <w:p w14:paraId="3AD30D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p>
        </w:tc>
        <w:tc>
          <w:tcPr>
            <w:tcW w:w="1649" w:type="dxa"/>
            <w:tcBorders>
              <w:tl2br w:val="nil"/>
              <w:tr2bl w:val="nil"/>
            </w:tcBorders>
            <w:noWrap w:val="0"/>
            <w:vAlign w:val="center"/>
          </w:tcPr>
          <w:p w14:paraId="04A4D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粪大肠菌群</w:t>
            </w:r>
            <w:r>
              <w:rPr>
                <w:rFonts w:hint="default" w:ascii="Times New Roman" w:hAnsi="Times New Roman" w:eastAsia="宋体" w:cs="Times New Roman"/>
                <w:color w:val="000000" w:themeColor="text1"/>
                <w:sz w:val="21"/>
                <w:szCs w:val="21"/>
                <w:highlight w:val="none"/>
                <w:u w:val="wav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MPN/L</w:t>
            </w:r>
            <w:r>
              <w:rPr>
                <w:rFonts w:hint="default" w:ascii="Times New Roman" w:hAnsi="Times New Roman" w:eastAsia="宋体" w:cs="Times New Roman"/>
                <w:color w:val="000000" w:themeColor="text1"/>
                <w:sz w:val="21"/>
                <w:szCs w:val="21"/>
                <w:highlight w:val="none"/>
                <w:u w:val="wave" w:color="auto"/>
                <w:lang w:eastAsia="zh-CN"/>
                <w14:textFill>
                  <w14:solidFill>
                    <w14:schemeClr w14:val="tx1"/>
                  </w14:solidFill>
                </w14:textFill>
              </w:rPr>
              <w:t>）</w:t>
            </w:r>
          </w:p>
        </w:tc>
        <w:tc>
          <w:tcPr>
            <w:tcW w:w="1091" w:type="dxa"/>
            <w:tcBorders>
              <w:tl2br w:val="nil"/>
              <w:tr2bl w:val="nil"/>
            </w:tcBorders>
            <w:noWrap w:val="0"/>
            <w:vAlign w:val="center"/>
          </w:tcPr>
          <w:p w14:paraId="56754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2.5×10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365" w:type="dxa"/>
            <w:tcBorders>
              <w:tl2br w:val="nil"/>
              <w:tr2bl w:val="nil"/>
            </w:tcBorders>
            <w:noWrap w:val="0"/>
            <w:vAlign w:val="center"/>
          </w:tcPr>
          <w:p w14:paraId="0DAAC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3.4×10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073" w:type="dxa"/>
            <w:tcBorders>
              <w:tl2br w:val="nil"/>
              <w:tr2bl w:val="nil"/>
            </w:tcBorders>
            <w:noWrap w:val="0"/>
            <w:vAlign w:val="center"/>
          </w:tcPr>
          <w:p w14:paraId="2EFA8F63">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0000</w:t>
            </w:r>
          </w:p>
        </w:tc>
        <w:tc>
          <w:tcPr>
            <w:tcW w:w="1275" w:type="dxa"/>
            <w:tcBorders>
              <w:tl2br w:val="nil"/>
              <w:tr2bl w:val="nil"/>
            </w:tcBorders>
            <w:noWrap w:val="0"/>
            <w:vAlign w:val="center"/>
          </w:tcPr>
          <w:p w14:paraId="240F9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2.8×10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357" w:type="dxa"/>
            <w:tcBorders>
              <w:tl2br w:val="nil"/>
              <w:tr2bl w:val="nil"/>
            </w:tcBorders>
            <w:noWrap w:val="0"/>
            <w:vAlign w:val="center"/>
          </w:tcPr>
          <w:p w14:paraId="6720A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3.7×10</w:t>
            </w:r>
            <w:r>
              <w:rPr>
                <w:rFonts w:hint="default" w:ascii="Times New Roman" w:hAnsi="Times New Roman" w:eastAsia="宋体" w:cs="Times New Roman"/>
                <w:color w:val="000000" w:themeColor="text1"/>
                <w:sz w:val="21"/>
                <w:szCs w:val="21"/>
                <w:highlight w:val="none"/>
                <w:u w:val="wave" w:color="auto"/>
                <w:vertAlign w:val="superscript"/>
                <w:lang w:val="en-US" w:eastAsia="zh-CN" w:bidi="ar-SA"/>
                <w14:textFill>
                  <w14:solidFill>
                    <w14:schemeClr w14:val="tx1"/>
                  </w14:solidFill>
                </w14:textFill>
              </w:rPr>
              <w:t>2</w:t>
            </w:r>
          </w:p>
        </w:tc>
        <w:tc>
          <w:tcPr>
            <w:tcW w:w="1044" w:type="dxa"/>
            <w:tcBorders>
              <w:tl2br w:val="nil"/>
              <w:tr2bl w:val="nil"/>
            </w:tcBorders>
            <w:noWrap w:val="0"/>
            <w:vAlign w:val="center"/>
          </w:tcPr>
          <w:p w14:paraId="62DB4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t>10000</w:t>
            </w:r>
          </w:p>
        </w:tc>
        <w:tc>
          <w:tcPr>
            <w:tcW w:w="690" w:type="dxa"/>
            <w:tcBorders>
              <w:tl2br w:val="nil"/>
              <w:tr2bl w:val="nil"/>
            </w:tcBorders>
            <w:noWrap w:val="0"/>
            <w:vAlign w:val="center"/>
          </w:tcPr>
          <w:p w14:paraId="0F1840B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color w:val="000000" w:themeColor="text1"/>
                <w:kern w:val="0"/>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t>达标</w:t>
            </w:r>
          </w:p>
        </w:tc>
      </w:tr>
      <w:tr w14:paraId="6ABA4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10342" w:type="dxa"/>
            <w:gridSpan w:val="9"/>
            <w:tcBorders>
              <w:tl2br w:val="nil"/>
              <w:tr2bl w:val="nil"/>
            </w:tcBorders>
            <w:noWrap w:val="0"/>
            <w:vAlign w:val="center"/>
          </w:tcPr>
          <w:p w14:paraId="3837871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left"/>
              <w:textAlignment w:val="baseline"/>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注：W1、W2参考《地表水环境质量标准》（GB3838-2002）中</w:t>
            </w:r>
            <w:r>
              <w:rPr>
                <w:rFonts w:hint="default" w:ascii="Times New Roman" w:hAnsi="Times New Roman" w:eastAsia="宋体" w:cs="Times New Roman"/>
                <w:color w:val="000000" w:themeColor="text1"/>
                <w:kern w:val="0"/>
                <w:sz w:val="21"/>
                <w:szCs w:val="21"/>
                <w:highlight w:val="none"/>
                <w:u w:val="wave" w:color="auto"/>
                <w:lang w:val="en-US" w:eastAsia="zh-CN" w:bidi="ar"/>
                <w14:textFill>
                  <w14:solidFill>
                    <w14:schemeClr w14:val="tx1"/>
                  </w14:solidFill>
                </w14:textFill>
              </w:rPr>
              <w:t>Ⅳ</w:t>
            </w: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类标准</w:t>
            </w:r>
          </w:p>
          <w:p w14:paraId="1799C0A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left"/>
              <w:textAlignment w:val="baseline"/>
              <w:rPr>
                <w:rFonts w:hint="default" w:ascii="Times New Roman" w:hAnsi="Times New Roman" w:eastAsia="宋体" w:cs="Times New Roman"/>
                <w:color w:val="000000" w:themeColor="text1"/>
                <w:sz w:val="21"/>
                <w:szCs w:val="2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W3、W4参考《地表水环境质量标准》（GB3838-2002）中</w:t>
            </w:r>
            <w:r>
              <w:rPr>
                <w:rFonts w:hint="default" w:ascii="Times New Roman" w:hAnsi="Times New Roman" w:eastAsia="宋体" w:cs="Times New Roman"/>
                <w:color w:val="000000" w:themeColor="text1"/>
                <w:kern w:val="0"/>
                <w:sz w:val="21"/>
                <w:szCs w:val="21"/>
                <w:highlight w:val="none"/>
                <w:u w:val="wave" w:color="auto"/>
                <w:lang w:val="en-US" w:eastAsia="zh-CN" w:bidi="ar"/>
                <w14:textFill>
                  <w14:solidFill>
                    <w14:schemeClr w14:val="tx1"/>
                  </w14:solidFill>
                </w14:textFill>
              </w:rPr>
              <w:t>Ⅲ</w:t>
            </w:r>
            <w:r>
              <w:rPr>
                <w:rFonts w:hint="default" w:ascii="Times New Roman" w:hAnsi="Times New Roman" w:eastAsia="宋体" w:cs="Times New Roman"/>
                <w:color w:val="000000" w:themeColor="text1"/>
                <w:sz w:val="21"/>
                <w:szCs w:val="21"/>
                <w:highlight w:val="none"/>
                <w:u w:val="wave" w:color="auto"/>
                <w:lang w:val="en-US" w:eastAsia="zh-CN" w:bidi="ar-SA"/>
                <w14:textFill>
                  <w14:solidFill>
                    <w14:schemeClr w14:val="tx1"/>
                  </w14:solidFill>
                </w14:textFill>
              </w:rPr>
              <w:t>类标准</w:t>
            </w:r>
          </w:p>
        </w:tc>
      </w:tr>
    </w:tbl>
    <w:p w14:paraId="7149EE22">
      <w:pPr>
        <w:pStyle w:val="189"/>
        <w:ind w:left="0" w:leftChars="0" w:firstLine="480" w:firstLineChars="20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监测及统计结果表明，</w:t>
      </w:r>
      <w:r>
        <w:rPr>
          <w:rFonts w:hint="default" w:ascii="Times New Roman" w:hAnsi="Times New Roman" w:eastAsia="宋体" w:cs="Times New Roman"/>
          <w:color w:val="000000" w:themeColor="text1"/>
          <w:sz w:val="24"/>
          <w:szCs w:val="24"/>
          <w:highlight w:val="none"/>
          <w:u w:val="wave" w:color="auto"/>
          <w:lang w:val="en-US" w:eastAsia="zh-CN" w:bidi="ar-SA"/>
          <w14:textFill>
            <w14:solidFill>
              <w14:schemeClr w14:val="tx1"/>
            </w14:solidFill>
          </w14:textFill>
        </w:rPr>
        <w:t>机排二十渠各监测点位现状监测因子均能达到《地表水环境质量标准》（GB3838-2002）中</w:t>
      </w:r>
      <w:r>
        <w:rPr>
          <w:rFonts w:hint="eastAsia" w:ascii="Times New Roman" w:hAnsi="Times New Roman" w:eastAsia="宋体" w:cs="Times New Roman"/>
          <w:color w:val="000000" w:themeColor="text1"/>
          <w:sz w:val="24"/>
          <w:szCs w:val="24"/>
          <w:highlight w:val="none"/>
          <w:u w:val="wave" w:color="auto"/>
          <w:lang w:val="en-US" w:eastAsia="zh-CN" w:bidi="ar-SA"/>
          <w14:textFill>
            <w14:solidFill>
              <w14:schemeClr w14:val="tx1"/>
            </w14:solidFill>
          </w14:textFill>
        </w:rPr>
        <w:t>Ⅳ</w:t>
      </w:r>
      <w:r>
        <w:rPr>
          <w:rFonts w:hint="default" w:ascii="Times New Roman" w:hAnsi="Times New Roman" w:eastAsia="宋体" w:cs="Times New Roman"/>
          <w:color w:val="000000" w:themeColor="text1"/>
          <w:sz w:val="24"/>
          <w:szCs w:val="24"/>
          <w:highlight w:val="none"/>
          <w:u w:val="wave" w:color="auto"/>
          <w:lang w:val="en-US" w:eastAsia="zh-CN" w:bidi="ar-SA"/>
          <w14:textFill>
            <w14:solidFill>
              <w14:schemeClr w14:val="tx1"/>
            </w14:solidFill>
          </w14:textFill>
        </w:rPr>
        <w:t>类标准的要求，</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老三运河各</w:t>
      </w:r>
      <w:r>
        <w:rPr>
          <w:rFonts w:hint="default" w:ascii="Times New Roman" w:hAnsi="Times New Roman" w:cs="Times New Roman"/>
          <w:color w:val="000000" w:themeColor="text1"/>
          <w:highlight w:val="none"/>
          <w:u w:val="wave" w:color="auto"/>
          <w14:textFill>
            <w14:solidFill>
              <w14:schemeClr w14:val="tx1"/>
            </w14:solidFill>
          </w14:textFill>
        </w:rPr>
        <w:t>监测</w:t>
      </w:r>
      <w:r>
        <w:rPr>
          <w:rFonts w:hint="default" w:ascii="Times New Roman" w:hAnsi="Times New Roman" w:cs="Times New Roman"/>
          <w:color w:val="000000" w:themeColor="text1"/>
          <w:highlight w:val="none"/>
          <w:u w:val="wave" w:color="auto"/>
          <w:lang w:eastAsia="zh-CN"/>
          <w14:textFill>
            <w14:solidFill>
              <w14:schemeClr w14:val="tx1"/>
            </w14:solidFill>
          </w14:textFill>
        </w:rPr>
        <w:t>点位</w:t>
      </w:r>
      <w:r>
        <w:rPr>
          <w:rFonts w:hint="default" w:ascii="Times New Roman" w:hAnsi="Times New Roman" w:cs="Times New Roman"/>
          <w:color w:val="000000" w:themeColor="text1"/>
          <w:highlight w:val="none"/>
          <w:u w:val="wave" w:color="auto"/>
          <w14:textFill>
            <w14:solidFill>
              <w14:schemeClr w14:val="tx1"/>
            </w14:solidFill>
          </w14:textFill>
        </w:rPr>
        <w:t>现状监测因子均能达到《地表水环境质量标准》（GB3838-2002）中</w:t>
      </w:r>
      <w:r>
        <w:rPr>
          <w:rFonts w:hint="default" w:ascii="Times New Roman" w:hAnsi="Times New Roman" w:eastAsia="宋体" w:cs="Times New Roman"/>
          <w:color w:val="000000" w:themeColor="text1"/>
          <w:kern w:val="0"/>
          <w:sz w:val="21"/>
          <w:szCs w:val="21"/>
          <w:highlight w:val="none"/>
          <w:u w:val="wave" w:color="auto"/>
          <w:lang w:val="en-US" w:eastAsia="zh-CN" w:bidi="ar"/>
          <w14:textFill>
            <w14:solidFill>
              <w14:schemeClr w14:val="tx1"/>
            </w14:solidFill>
          </w14:textFill>
        </w:rPr>
        <w:t>Ⅲ</w:t>
      </w:r>
      <w:r>
        <w:rPr>
          <w:rFonts w:hint="default" w:ascii="Times New Roman" w:hAnsi="Times New Roman" w:cs="Times New Roman"/>
          <w:color w:val="000000" w:themeColor="text1"/>
          <w:highlight w:val="none"/>
          <w:u w:val="wave" w:color="auto"/>
          <w14:textFill>
            <w14:solidFill>
              <w14:schemeClr w14:val="tx1"/>
            </w14:solidFill>
          </w14:textFill>
        </w:rPr>
        <w:t>类标准的要求</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项目区域水环境质量良好</w:t>
      </w:r>
      <w:r>
        <w:rPr>
          <w:rFonts w:hint="default" w:ascii="Times New Roman" w:hAnsi="Times New Roman" w:cs="Times New Roman"/>
          <w:color w:val="000000" w:themeColor="text1"/>
          <w:highlight w:val="none"/>
          <w:u w:val="wave" w:color="auto"/>
          <w14:textFill>
            <w14:solidFill>
              <w14:schemeClr w14:val="tx1"/>
            </w14:solidFill>
          </w14:textFill>
        </w:rPr>
        <w:t>。</w:t>
      </w:r>
    </w:p>
    <w:p w14:paraId="415A7234">
      <w:pPr>
        <w:pStyle w:val="189"/>
        <w:numPr>
          <w:ilvl w:val="0"/>
          <w:numId w:val="16"/>
        </w:numPr>
        <w:ind w:left="0" w:leftChars="0" w:firstLine="480" w:firstLineChars="200"/>
        <w:rPr>
          <w:rFonts w:hint="eastAsia" w:cs="Times New Roman"/>
          <w:color w:val="FF0000"/>
          <w:highlight w:val="none"/>
          <w:u w:val="wave" w:color="auto"/>
          <w:lang w:val="en-US" w:eastAsia="zh-CN"/>
        </w:rPr>
      </w:pPr>
      <w:r>
        <w:rPr>
          <w:rFonts w:hint="eastAsia" w:cs="Times New Roman"/>
          <w:color w:val="FF0000"/>
          <w:highlight w:val="none"/>
          <w:u w:val="wave" w:color="auto"/>
          <w:lang w:val="en-US" w:eastAsia="zh-CN"/>
        </w:rPr>
        <w:t>历史监测数据</w:t>
      </w:r>
    </w:p>
    <w:p w14:paraId="0EB54233">
      <w:pPr>
        <w:pStyle w:val="189"/>
        <w:numPr>
          <w:ilvl w:val="0"/>
          <w:numId w:val="0"/>
        </w:numPr>
        <w:ind w:firstLine="480" w:firstLineChars="200"/>
        <w:rPr>
          <w:rFonts w:hint="default" w:cs="Times New Roman"/>
          <w:color w:val="FF0000"/>
          <w:highlight w:val="none"/>
          <w:u w:val="wave" w:color="auto"/>
          <w:lang w:val="en-US" w:eastAsia="zh-CN"/>
        </w:rPr>
      </w:pPr>
      <w:r>
        <w:rPr>
          <w:rFonts w:hint="default" w:cs="Times New Roman"/>
          <w:color w:val="FF0000"/>
          <w:highlight w:val="none"/>
          <w:u w:val="wave" w:color="auto"/>
          <w:lang w:val="en-US" w:eastAsia="zh-CN"/>
        </w:rPr>
        <w:t>为了解正常情况下，机排二十渠和老三河水质本底浓度，本次</w:t>
      </w:r>
      <w:r>
        <w:rPr>
          <w:rFonts w:hint="eastAsia" w:cs="Times New Roman"/>
          <w:color w:val="FF0000"/>
          <w:highlight w:val="none"/>
          <w:u w:val="wave" w:color="auto"/>
          <w:lang w:val="en-US" w:eastAsia="zh-CN"/>
        </w:rPr>
        <w:t>评价收集了</w:t>
      </w:r>
      <w:r>
        <w:rPr>
          <w:rFonts w:hint="default" w:cs="Times New Roman"/>
          <w:color w:val="FF0000"/>
          <w:highlight w:val="none"/>
          <w:u w:val="wave" w:color="auto"/>
          <w:lang w:val="en-US" w:eastAsia="zh-CN"/>
        </w:rPr>
        <w:t>《湖南大通湖洞庭食品工业园废水处理工程入河排污口设置论证报告》中</w:t>
      </w:r>
      <w:r>
        <w:rPr>
          <w:rFonts w:hint="eastAsia" w:cs="Times New Roman"/>
          <w:color w:val="FF0000"/>
          <w:highlight w:val="none"/>
          <w:u w:val="wave" w:color="auto"/>
          <w:lang w:val="en-US" w:eastAsia="zh-CN"/>
        </w:rPr>
        <w:t>于2022年4月19-21日及《大通湖中心城区生活污水处理厂入河排污口设置论证报告》中于2023年4月16-18日对</w:t>
      </w:r>
      <w:r>
        <w:rPr>
          <w:rFonts w:hint="default" w:cs="Times New Roman"/>
          <w:color w:val="FF0000"/>
          <w:highlight w:val="none"/>
          <w:u w:val="wave" w:color="auto"/>
          <w:lang w:val="en-US" w:eastAsia="zh-CN"/>
        </w:rPr>
        <w:t>老三</w:t>
      </w:r>
      <w:r>
        <w:rPr>
          <w:rFonts w:hint="eastAsia" w:cs="Times New Roman"/>
          <w:color w:val="FF0000"/>
          <w:highlight w:val="none"/>
          <w:u w:val="wave" w:color="auto"/>
          <w:lang w:val="en-US" w:eastAsia="zh-CN"/>
        </w:rPr>
        <w:t>运</w:t>
      </w:r>
      <w:r>
        <w:rPr>
          <w:rFonts w:hint="default" w:cs="Times New Roman"/>
          <w:color w:val="FF0000"/>
          <w:highlight w:val="none"/>
          <w:u w:val="wave" w:color="auto"/>
          <w:lang w:val="en-US" w:eastAsia="zh-CN"/>
        </w:rPr>
        <w:t>河和机排二十渠的历史监测数据。</w:t>
      </w:r>
    </w:p>
    <w:p w14:paraId="78017CE6">
      <w:pPr>
        <w:pStyle w:val="194"/>
        <w:spacing w:line="240" w:lineRule="auto"/>
        <w:rPr>
          <w:rFonts w:hint="default" w:ascii="Times New Roman" w:hAnsi="Times New Roman" w:cs="Times New Roman"/>
          <w:color w:val="FF0000"/>
          <w:highlight w:val="none"/>
          <w:u w:val="wave" w:color="auto"/>
          <w:lang w:val="en-US" w:eastAsia="zh-CN"/>
        </w:rPr>
      </w:pPr>
      <w:r>
        <w:rPr>
          <w:rFonts w:hint="default" w:ascii="Times New Roman" w:hAnsi="Times New Roman" w:cs="Times New Roman"/>
          <w:color w:val="FF0000"/>
          <w:highlight w:val="none"/>
          <w:u w:val="wave" w:color="auto"/>
        </w:rPr>
        <w:t>表</w:t>
      </w:r>
      <w:r>
        <w:rPr>
          <w:rFonts w:hint="default" w:ascii="Times New Roman" w:hAnsi="Times New Roman" w:cs="Times New Roman"/>
          <w:color w:val="FF0000"/>
          <w:highlight w:val="none"/>
          <w:u w:val="wave" w:color="auto"/>
          <w:lang w:val="en-US" w:eastAsia="zh-CN"/>
        </w:rPr>
        <w:t>4</w:t>
      </w: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2</w:t>
      </w:r>
      <w:r>
        <w:rPr>
          <w:rFonts w:hint="default" w:ascii="Times New Roman" w:hAnsi="Times New Roman" w:cs="Times New Roman"/>
          <w:color w:val="FF0000"/>
          <w:highlight w:val="none"/>
          <w:u w:val="wave" w:color="auto"/>
        </w:rPr>
        <w:t>-</w:t>
      </w:r>
      <w:r>
        <w:rPr>
          <w:rFonts w:hint="eastAsia" w:cs="Times New Roman"/>
          <w:color w:val="FF0000"/>
          <w:highlight w:val="none"/>
          <w:u w:val="wave" w:color="auto"/>
          <w:lang w:val="en-US" w:eastAsia="zh-CN"/>
        </w:rPr>
        <w:t xml:space="preserve">5 </w:t>
      </w:r>
      <w:r>
        <w:rPr>
          <w:rFonts w:hint="default" w:ascii="Times New Roman" w:hAnsi="Times New Roman" w:cs="Times New Roman"/>
          <w:color w:val="FF0000"/>
          <w:highlight w:val="none"/>
          <w:u w:val="wave" w:color="auto"/>
          <w:lang w:val="en-US" w:eastAsia="zh-CN"/>
        </w:rPr>
        <w:t xml:space="preserve"> </w:t>
      </w:r>
      <w:r>
        <w:rPr>
          <w:rFonts w:hint="eastAsia" w:cs="Times New Roman"/>
          <w:color w:val="FF0000"/>
          <w:highlight w:val="none"/>
          <w:u w:val="wave" w:color="auto"/>
          <w:lang w:val="en-US" w:eastAsia="zh-CN"/>
        </w:rPr>
        <w:t>2022年</w:t>
      </w:r>
      <w:r>
        <w:rPr>
          <w:rFonts w:hint="default" w:ascii="Times New Roman" w:hAnsi="Times New Roman" w:cs="Times New Roman"/>
          <w:color w:val="FF0000"/>
          <w:highlight w:val="none"/>
          <w:u w:val="wave" w:color="auto"/>
        </w:rPr>
        <w:t>水环境质量监测结果</w:t>
      </w:r>
      <w:r>
        <w:rPr>
          <w:rFonts w:hint="default" w:ascii="Times New Roman" w:hAnsi="Times New Roman" w:cs="Times New Roman"/>
          <w:color w:val="FF0000"/>
          <w:highlight w:val="none"/>
          <w:u w:val="wave" w:color="auto"/>
          <w:lang w:val="en-US" w:eastAsia="zh-CN"/>
        </w:rPr>
        <w:t>一览表</w:t>
      </w:r>
    </w:p>
    <w:tbl>
      <w:tblPr>
        <w:tblStyle w:val="7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305"/>
        <w:gridCol w:w="1147"/>
        <w:gridCol w:w="1005"/>
        <w:gridCol w:w="1155"/>
        <w:gridCol w:w="900"/>
        <w:gridCol w:w="1260"/>
        <w:gridCol w:w="1185"/>
      </w:tblGrid>
      <w:tr w14:paraId="70C5E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restart"/>
            <w:tcBorders>
              <w:tl2br w:val="nil"/>
              <w:tr2bl w:val="nil"/>
            </w:tcBorders>
          </w:tcPr>
          <w:p w14:paraId="655330A9">
            <w:pPr>
              <w:pStyle w:val="189"/>
              <w:keepNext w:val="0"/>
              <w:keepLines w:val="0"/>
              <w:numPr>
                <w:ilvl w:val="0"/>
                <w:numId w:val="0"/>
              </w:numPr>
              <w:suppressLineNumbers w:val="0"/>
              <w:spacing w:before="0" w:beforeAutospacing="0" w:after="0" w:afterAutospacing="0"/>
              <w:ind w:left="0" w:right="0"/>
              <w:jc w:val="center"/>
              <w:rPr>
                <w:rFonts w:hint="eastAsia" w:cs="Times New Roman"/>
                <w:color w:val="FF0000"/>
                <w:highlight w:val="none"/>
                <w:u w:val="wave" w:color="auto"/>
                <w:vertAlign w:val="baseline"/>
                <w:lang w:val="en-US" w:eastAsia="zh-CN"/>
              </w:rPr>
            </w:pPr>
          </w:p>
          <w:p w14:paraId="0446CF25">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监测点位</w:t>
            </w:r>
          </w:p>
        </w:tc>
        <w:tc>
          <w:tcPr>
            <w:tcW w:w="1305" w:type="dxa"/>
            <w:vMerge w:val="restart"/>
            <w:tcBorders>
              <w:tl2br w:val="nil"/>
              <w:tr2bl w:val="nil"/>
            </w:tcBorders>
          </w:tcPr>
          <w:p w14:paraId="124B6DEE">
            <w:pPr>
              <w:pStyle w:val="189"/>
              <w:keepNext w:val="0"/>
              <w:keepLines w:val="0"/>
              <w:numPr>
                <w:ilvl w:val="0"/>
                <w:numId w:val="0"/>
              </w:numPr>
              <w:suppressLineNumbers w:val="0"/>
              <w:spacing w:before="0" w:beforeAutospacing="0" w:after="0" w:afterAutospacing="0"/>
              <w:ind w:left="0" w:right="0"/>
              <w:jc w:val="center"/>
              <w:rPr>
                <w:rFonts w:hint="eastAsia" w:cs="Times New Roman"/>
                <w:color w:val="FF0000"/>
                <w:highlight w:val="none"/>
                <w:u w:val="wave" w:color="auto"/>
                <w:vertAlign w:val="baseline"/>
                <w:lang w:val="en-US" w:eastAsia="zh-CN"/>
              </w:rPr>
            </w:pPr>
          </w:p>
          <w:p w14:paraId="13CD254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检测项目</w:t>
            </w:r>
          </w:p>
        </w:tc>
        <w:tc>
          <w:tcPr>
            <w:tcW w:w="3307" w:type="dxa"/>
            <w:gridSpan w:val="3"/>
            <w:tcBorders>
              <w:tl2br w:val="nil"/>
              <w:tr2bl w:val="nil"/>
            </w:tcBorders>
          </w:tcPr>
          <w:p w14:paraId="3728E8EC">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监测日期及检测结果</w:t>
            </w:r>
          </w:p>
        </w:tc>
        <w:tc>
          <w:tcPr>
            <w:tcW w:w="900" w:type="dxa"/>
            <w:vMerge w:val="restart"/>
            <w:tcBorders>
              <w:tl2br w:val="nil"/>
              <w:tr2bl w:val="nil"/>
            </w:tcBorders>
          </w:tcPr>
          <w:p w14:paraId="57BAD48E">
            <w:pPr>
              <w:pStyle w:val="189"/>
              <w:keepNext w:val="0"/>
              <w:keepLines w:val="0"/>
              <w:numPr>
                <w:ilvl w:val="0"/>
                <w:numId w:val="0"/>
              </w:numPr>
              <w:suppressLineNumbers w:val="0"/>
              <w:spacing w:before="0" w:beforeAutospacing="0" w:after="0" w:afterAutospacing="0"/>
              <w:ind w:left="0" w:right="0"/>
              <w:jc w:val="center"/>
              <w:rPr>
                <w:rFonts w:hint="eastAsia" w:cs="Times New Roman"/>
                <w:color w:val="FF0000"/>
                <w:highlight w:val="none"/>
                <w:u w:val="wave" w:color="auto"/>
                <w:vertAlign w:val="baseline"/>
                <w:lang w:val="en-US" w:eastAsia="zh-CN"/>
              </w:rPr>
            </w:pPr>
          </w:p>
          <w:p w14:paraId="5AC7C52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单位</w:t>
            </w:r>
          </w:p>
        </w:tc>
        <w:tc>
          <w:tcPr>
            <w:tcW w:w="1260" w:type="dxa"/>
            <w:vMerge w:val="restart"/>
            <w:tcBorders>
              <w:tl2br w:val="nil"/>
              <w:tr2bl w:val="nil"/>
            </w:tcBorders>
          </w:tcPr>
          <w:p w14:paraId="6EB3F5C3">
            <w:pPr>
              <w:pStyle w:val="189"/>
              <w:keepNext w:val="0"/>
              <w:keepLines w:val="0"/>
              <w:numPr>
                <w:ilvl w:val="0"/>
                <w:numId w:val="0"/>
              </w:numPr>
              <w:suppressLineNumbers w:val="0"/>
              <w:spacing w:before="0" w:beforeAutospacing="0" w:after="0" w:afterAutospacing="0"/>
              <w:ind w:left="0" w:right="0"/>
              <w:jc w:val="both"/>
              <w:rPr>
                <w:rFonts w:hint="eastAsia" w:cs="Times New Roman"/>
                <w:color w:val="FF0000"/>
                <w:highlight w:val="none"/>
                <w:u w:val="wave" w:color="auto"/>
                <w:vertAlign w:val="baseline"/>
                <w:lang w:val="en-US" w:eastAsia="zh-CN"/>
              </w:rPr>
            </w:pPr>
          </w:p>
          <w:p w14:paraId="31865A58">
            <w:pPr>
              <w:pStyle w:val="189"/>
              <w:keepNext w:val="0"/>
              <w:keepLines w:val="0"/>
              <w:numPr>
                <w:ilvl w:val="0"/>
                <w:numId w:val="0"/>
              </w:numPr>
              <w:suppressLineNumbers w:val="0"/>
              <w:spacing w:before="0" w:beforeAutospacing="0" w:after="0" w:afterAutospacing="0"/>
              <w:ind w:left="0" w:right="0"/>
              <w:jc w:val="both"/>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标准限值</w:t>
            </w:r>
          </w:p>
        </w:tc>
        <w:tc>
          <w:tcPr>
            <w:tcW w:w="1185" w:type="dxa"/>
            <w:vMerge w:val="restart"/>
            <w:tcBorders>
              <w:tl2br w:val="nil"/>
              <w:tr2bl w:val="nil"/>
            </w:tcBorders>
          </w:tcPr>
          <w:p w14:paraId="56251C8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最大超标倍数</w:t>
            </w:r>
          </w:p>
        </w:tc>
      </w:tr>
      <w:tr w14:paraId="1622B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5A748F74">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vMerge w:val="continue"/>
            <w:tcBorders>
              <w:tl2br w:val="nil"/>
              <w:tr2bl w:val="nil"/>
            </w:tcBorders>
          </w:tcPr>
          <w:p w14:paraId="37BE2880">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147" w:type="dxa"/>
            <w:tcBorders>
              <w:tl2br w:val="nil"/>
              <w:tr2bl w:val="nil"/>
            </w:tcBorders>
          </w:tcPr>
          <w:p w14:paraId="1C348FE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center"/>
              <w:textAlignment w:val="baseline"/>
              <w:rPr>
                <w:rFonts w:hint="default" w:ascii="Times New Roman" w:hAnsi="Times New Roman" w:eastAsia="宋体" w:cs="Times New Roman"/>
                <w:color w:val="FF0000"/>
                <w:sz w:val="21"/>
                <w:szCs w:val="21"/>
                <w:highlight w:val="none"/>
                <w:u w:val="wave" w:color="auto"/>
                <w:lang w:val="en-US" w:eastAsia="zh-CN" w:bidi="ar-SA"/>
              </w:rPr>
            </w:pPr>
            <w:r>
              <w:rPr>
                <w:rFonts w:hint="eastAsia" w:ascii="Times New Roman" w:hAnsi="Times New Roman" w:eastAsia="宋体" w:cs="Times New Roman"/>
                <w:color w:val="FF0000"/>
                <w:sz w:val="21"/>
                <w:szCs w:val="21"/>
                <w:highlight w:val="none"/>
                <w:u w:val="wave" w:color="auto"/>
                <w:lang w:val="en-US" w:eastAsia="zh-CN" w:bidi="ar-SA"/>
              </w:rPr>
              <w:t>2022年4月19日</w:t>
            </w:r>
          </w:p>
        </w:tc>
        <w:tc>
          <w:tcPr>
            <w:tcW w:w="1005" w:type="dxa"/>
            <w:tcBorders>
              <w:tl2br w:val="nil"/>
              <w:tr2bl w:val="nil"/>
            </w:tcBorders>
          </w:tcPr>
          <w:p w14:paraId="02A730D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center"/>
              <w:textAlignment w:val="baseline"/>
              <w:rPr>
                <w:rFonts w:hint="default" w:ascii="Times New Roman" w:hAnsi="Times New Roman" w:eastAsia="宋体" w:cs="Times New Roman"/>
                <w:color w:val="FF0000"/>
                <w:sz w:val="21"/>
                <w:szCs w:val="21"/>
                <w:highlight w:val="none"/>
                <w:u w:val="wave" w:color="auto"/>
                <w:lang w:val="en-US" w:eastAsia="zh-CN" w:bidi="ar-SA"/>
              </w:rPr>
            </w:pPr>
            <w:r>
              <w:rPr>
                <w:rFonts w:hint="eastAsia" w:ascii="Times New Roman" w:hAnsi="Times New Roman" w:eastAsia="宋体" w:cs="Times New Roman"/>
                <w:color w:val="FF0000"/>
                <w:sz w:val="21"/>
                <w:szCs w:val="21"/>
                <w:highlight w:val="none"/>
                <w:u w:val="wave" w:color="auto"/>
                <w:lang w:val="en-US" w:eastAsia="zh-CN" w:bidi="ar-SA"/>
              </w:rPr>
              <w:t>2022年4月20日</w:t>
            </w:r>
          </w:p>
        </w:tc>
        <w:tc>
          <w:tcPr>
            <w:tcW w:w="1155" w:type="dxa"/>
            <w:tcBorders>
              <w:tl2br w:val="nil"/>
              <w:tr2bl w:val="nil"/>
            </w:tcBorders>
          </w:tcPr>
          <w:p w14:paraId="4E6084C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center"/>
              <w:textAlignment w:val="baseline"/>
              <w:rPr>
                <w:rFonts w:hint="default" w:ascii="Times New Roman" w:hAnsi="Times New Roman" w:eastAsia="宋体" w:cs="Times New Roman"/>
                <w:color w:val="FF0000"/>
                <w:sz w:val="21"/>
                <w:szCs w:val="21"/>
                <w:highlight w:val="none"/>
                <w:u w:val="wave" w:color="auto"/>
                <w:lang w:val="en-US" w:eastAsia="zh-CN" w:bidi="ar-SA"/>
              </w:rPr>
            </w:pPr>
            <w:r>
              <w:rPr>
                <w:rFonts w:hint="eastAsia" w:ascii="Times New Roman" w:hAnsi="Times New Roman" w:eastAsia="宋体" w:cs="Times New Roman"/>
                <w:color w:val="FF0000"/>
                <w:sz w:val="21"/>
                <w:szCs w:val="21"/>
                <w:highlight w:val="none"/>
                <w:u w:val="wave" w:color="auto"/>
                <w:lang w:val="en-US" w:eastAsia="zh-CN" w:bidi="ar-SA"/>
              </w:rPr>
              <w:t>2022年4月21日</w:t>
            </w:r>
          </w:p>
        </w:tc>
        <w:tc>
          <w:tcPr>
            <w:tcW w:w="900" w:type="dxa"/>
            <w:vMerge w:val="continue"/>
            <w:tcBorders>
              <w:tl2br w:val="nil"/>
              <w:tr2bl w:val="nil"/>
            </w:tcBorders>
          </w:tcPr>
          <w:p w14:paraId="4E04345F">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260" w:type="dxa"/>
            <w:vMerge w:val="continue"/>
            <w:tcBorders>
              <w:tl2br w:val="nil"/>
              <w:tr2bl w:val="nil"/>
            </w:tcBorders>
          </w:tcPr>
          <w:p w14:paraId="134C700C">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185" w:type="dxa"/>
            <w:vMerge w:val="continue"/>
            <w:tcBorders>
              <w:tl2br w:val="nil"/>
              <w:tr2bl w:val="nil"/>
            </w:tcBorders>
          </w:tcPr>
          <w:p w14:paraId="54AFEDB0">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r>
      <w:tr w14:paraId="46F9E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restart"/>
            <w:tcBorders>
              <w:tl2br w:val="nil"/>
              <w:tr2bl w:val="nil"/>
            </w:tcBorders>
          </w:tcPr>
          <w:p w14:paraId="4156435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W1污水排放口上游200m（机排二十渠）</w:t>
            </w:r>
          </w:p>
        </w:tc>
        <w:tc>
          <w:tcPr>
            <w:tcW w:w="1305" w:type="dxa"/>
            <w:tcBorders>
              <w:tl2br w:val="nil"/>
              <w:tr2bl w:val="nil"/>
            </w:tcBorders>
          </w:tcPr>
          <w:p w14:paraId="764D6739">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pH值</w:t>
            </w:r>
          </w:p>
        </w:tc>
        <w:tc>
          <w:tcPr>
            <w:tcW w:w="1147" w:type="dxa"/>
            <w:tcBorders>
              <w:tl2br w:val="nil"/>
              <w:tr2bl w:val="nil"/>
            </w:tcBorders>
            <w:vAlign w:val="center"/>
          </w:tcPr>
          <w:p w14:paraId="086A55F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7.6</w:t>
            </w:r>
          </w:p>
        </w:tc>
        <w:tc>
          <w:tcPr>
            <w:tcW w:w="1005" w:type="dxa"/>
            <w:tcBorders>
              <w:tl2br w:val="nil"/>
              <w:tr2bl w:val="nil"/>
            </w:tcBorders>
            <w:vAlign w:val="center"/>
          </w:tcPr>
          <w:p w14:paraId="545E41F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7.7</w:t>
            </w:r>
          </w:p>
        </w:tc>
        <w:tc>
          <w:tcPr>
            <w:tcW w:w="1155" w:type="dxa"/>
            <w:tcBorders>
              <w:tl2br w:val="nil"/>
              <w:tr2bl w:val="nil"/>
            </w:tcBorders>
            <w:vAlign w:val="center"/>
          </w:tcPr>
          <w:p w14:paraId="2D98746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7.8</w:t>
            </w:r>
          </w:p>
        </w:tc>
        <w:tc>
          <w:tcPr>
            <w:tcW w:w="900" w:type="dxa"/>
            <w:tcBorders>
              <w:tl2br w:val="nil"/>
              <w:tr2bl w:val="nil"/>
            </w:tcBorders>
            <w:vAlign w:val="center"/>
          </w:tcPr>
          <w:p w14:paraId="0D84123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无量纲</w:t>
            </w:r>
          </w:p>
        </w:tc>
        <w:tc>
          <w:tcPr>
            <w:tcW w:w="1260" w:type="dxa"/>
            <w:tcBorders>
              <w:tl2br w:val="nil"/>
              <w:tr2bl w:val="nil"/>
            </w:tcBorders>
            <w:vAlign w:val="top"/>
          </w:tcPr>
          <w:p w14:paraId="50ECC4C3">
            <w:pPr>
              <w:keepNext w:val="0"/>
              <w:keepLines w:val="0"/>
              <w:widowControl/>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6~9</w:t>
            </w:r>
          </w:p>
        </w:tc>
        <w:tc>
          <w:tcPr>
            <w:tcW w:w="1185" w:type="dxa"/>
            <w:tcBorders>
              <w:tl2br w:val="nil"/>
              <w:tr2bl w:val="nil"/>
            </w:tcBorders>
            <w:vAlign w:val="top"/>
          </w:tcPr>
          <w:p w14:paraId="5E8736F3">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4FD16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1BF38B0A">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1A3AC7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化学需氧量</w:t>
            </w:r>
          </w:p>
        </w:tc>
        <w:tc>
          <w:tcPr>
            <w:tcW w:w="1147" w:type="dxa"/>
            <w:tcBorders>
              <w:tl2br w:val="nil"/>
              <w:tr2bl w:val="nil"/>
            </w:tcBorders>
            <w:vAlign w:val="center"/>
          </w:tcPr>
          <w:p w14:paraId="47EF2511">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12</w:t>
            </w:r>
          </w:p>
        </w:tc>
        <w:tc>
          <w:tcPr>
            <w:tcW w:w="1005" w:type="dxa"/>
            <w:tcBorders>
              <w:tl2br w:val="nil"/>
              <w:tr2bl w:val="nil"/>
            </w:tcBorders>
            <w:vAlign w:val="center"/>
          </w:tcPr>
          <w:p w14:paraId="6F0D3C8D">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6</w:t>
            </w:r>
          </w:p>
        </w:tc>
        <w:tc>
          <w:tcPr>
            <w:tcW w:w="1155" w:type="dxa"/>
            <w:tcBorders>
              <w:tl2br w:val="nil"/>
              <w:tr2bl w:val="nil"/>
            </w:tcBorders>
            <w:vAlign w:val="center"/>
          </w:tcPr>
          <w:p w14:paraId="74CADA1D">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10</w:t>
            </w:r>
          </w:p>
        </w:tc>
        <w:tc>
          <w:tcPr>
            <w:tcW w:w="900" w:type="dxa"/>
            <w:tcBorders>
              <w:tl2br w:val="nil"/>
              <w:tr2bl w:val="nil"/>
            </w:tcBorders>
            <w:vAlign w:val="center"/>
          </w:tcPr>
          <w:p w14:paraId="486EC487">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top"/>
          </w:tcPr>
          <w:p w14:paraId="273B987D">
            <w:pPr>
              <w:keepNext w:val="0"/>
              <w:keepLines w:val="0"/>
              <w:widowControl/>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eastAsia" w:ascii="Times New Roman" w:hAnsi="Times New Roman" w:cs="Times New Roman"/>
                <w:color w:val="FF0000"/>
                <w:highlight w:val="none"/>
                <w:u w:val="wave" w:color="auto"/>
                <w:lang w:val="en-US" w:eastAsia="zh-CN"/>
              </w:rPr>
              <w:t>30</w:t>
            </w:r>
          </w:p>
        </w:tc>
        <w:tc>
          <w:tcPr>
            <w:tcW w:w="1185" w:type="dxa"/>
            <w:tcBorders>
              <w:tl2br w:val="nil"/>
              <w:tr2bl w:val="nil"/>
            </w:tcBorders>
            <w:vAlign w:val="top"/>
          </w:tcPr>
          <w:p w14:paraId="25BCD55F">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03916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1A07002E">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7C99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五日生化需氧量</w:t>
            </w:r>
          </w:p>
        </w:tc>
        <w:tc>
          <w:tcPr>
            <w:tcW w:w="1147" w:type="dxa"/>
            <w:tcBorders>
              <w:tl2br w:val="nil"/>
              <w:tr2bl w:val="nil"/>
            </w:tcBorders>
            <w:vAlign w:val="center"/>
          </w:tcPr>
          <w:p w14:paraId="38324ED6">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4.3</w:t>
            </w:r>
          </w:p>
        </w:tc>
        <w:tc>
          <w:tcPr>
            <w:tcW w:w="1005" w:type="dxa"/>
            <w:tcBorders>
              <w:tl2br w:val="nil"/>
              <w:tr2bl w:val="nil"/>
            </w:tcBorders>
            <w:vAlign w:val="center"/>
          </w:tcPr>
          <w:p w14:paraId="54530CB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4.1</w:t>
            </w:r>
          </w:p>
        </w:tc>
        <w:tc>
          <w:tcPr>
            <w:tcW w:w="1155" w:type="dxa"/>
            <w:tcBorders>
              <w:tl2br w:val="nil"/>
              <w:tr2bl w:val="nil"/>
            </w:tcBorders>
            <w:vAlign w:val="center"/>
          </w:tcPr>
          <w:p w14:paraId="539DF18A">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4.5</w:t>
            </w:r>
          </w:p>
        </w:tc>
        <w:tc>
          <w:tcPr>
            <w:tcW w:w="900" w:type="dxa"/>
            <w:tcBorders>
              <w:tl2br w:val="nil"/>
              <w:tr2bl w:val="nil"/>
            </w:tcBorders>
            <w:vAlign w:val="center"/>
          </w:tcPr>
          <w:p w14:paraId="1EA5F546">
            <w:pPr>
              <w:pStyle w:val="189"/>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63F9FC1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6</w:t>
            </w:r>
          </w:p>
        </w:tc>
        <w:tc>
          <w:tcPr>
            <w:tcW w:w="1185" w:type="dxa"/>
            <w:tcBorders>
              <w:tl2br w:val="nil"/>
              <w:tr2bl w:val="nil"/>
            </w:tcBorders>
            <w:vAlign w:val="center"/>
          </w:tcPr>
          <w:p w14:paraId="222F5AAF">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44BA8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35DB2D19">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4C8C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氨氮</w:t>
            </w:r>
          </w:p>
        </w:tc>
        <w:tc>
          <w:tcPr>
            <w:tcW w:w="1147" w:type="dxa"/>
            <w:tcBorders>
              <w:tl2br w:val="nil"/>
              <w:tr2bl w:val="nil"/>
            </w:tcBorders>
            <w:vAlign w:val="center"/>
          </w:tcPr>
          <w:p w14:paraId="79DE6CB0">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2.19</w:t>
            </w:r>
          </w:p>
        </w:tc>
        <w:tc>
          <w:tcPr>
            <w:tcW w:w="1005" w:type="dxa"/>
            <w:tcBorders>
              <w:tl2br w:val="nil"/>
              <w:tr2bl w:val="nil"/>
            </w:tcBorders>
            <w:vAlign w:val="center"/>
          </w:tcPr>
          <w:p w14:paraId="4AEF80DA">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2.14</w:t>
            </w:r>
          </w:p>
        </w:tc>
        <w:tc>
          <w:tcPr>
            <w:tcW w:w="1155" w:type="dxa"/>
            <w:tcBorders>
              <w:tl2br w:val="nil"/>
              <w:tr2bl w:val="nil"/>
            </w:tcBorders>
            <w:vAlign w:val="center"/>
          </w:tcPr>
          <w:p w14:paraId="18B77160">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2.05</w:t>
            </w:r>
          </w:p>
        </w:tc>
        <w:tc>
          <w:tcPr>
            <w:tcW w:w="900" w:type="dxa"/>
            <w:tcBorders>
              <w:tl2br w:val="nil"/>
              <w:tr2bl w:val="nil"/>
            </w:tcBorders>
            <w:vAlign w:val="center"/>
          </w:tcPr>
          <w:p w14:paraId="5D536A95">
            <w:pPr>
              <w:pStyle w:val="189"/>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73211E7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1.</w:t>
            </w:r>
            <w:r>
              <w:rPr>
                <w:rFonts w:hint="eastAsia" w:ascii="Times New Roman" w:hAnsi="Times New Roman" w:cs="Times New Roman"/>
                <w:color w:val="FF0000"/>
                <w:highlight w:val="none"/>
                <w:u w:val="wave" w:color="auto"/>
                <w:lang w:val="en-US" w:eastAsia="zh-CN"/>
              </w:rPr>
              <w:t>5</w:t>
            </w:r>
          </w:p>
        </w:tc>
        <w:tc>
          <w:tcPr>
            <w:tcW w:w="1185" w:type="dxa"/>
            <w:tcBorders>
              <w:tl2br w:val="nil"/>
              <w:tr2bl w:val="nil"/>
            </w:tcBorders>
            <w:vAlign w:val="center"/>
          </w:tcPr>
          <w:p w14:paraId="2EE2C34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FF0000"/>
                <w:highlight w:val="none"/>
                <w:u w:val="wave" w:color="auto"/>
                <w:lang w:val="en-US" w:eastAsia="zh-CN"/>
              </w:rPr>
            </w:pPr>
            <w:r>
              <w:rPr>
                <w:rFonts w:hint="eastAsia" w:cs="Times New Roman"/>
                <w:b/>
                <w:bCs/>
                <w:color w:val="FF0000"/>
                <w:highlight w:val="none"/>
                <w:u w:val="wave" w:color="auto"/>
                <w:lang w:val="en-US" w:eastAsia="zh-CN"/>
              </w:rPr>
              <w:t>0.46</w:t>
            </w:r>
          </w:p>
        </w:tc>
      </w:tr>
      <w:tr w14:paraId="74036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1DEFE5F0">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F642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总磷</w:t>
            </w:r>
          </w:p>
        </w:tc>
        <w:tc>
          <w:tcPr>
            <w:tcW w:w="1147" w:type="dxa"/>
            <w:tcBorders>
              <w:tl2br w:val="nil"/>
              <w:tr2bl w:val="nil"/>
            </w:tcBorders>
            <w:vAlign w:val="center"/>
          </w:tcPr>
          <w:p w14:paraId="166CA852">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0.36</w:t>
            </w:r>
          </w:p>
        </w:tc>
        <w:tc>
          <w:tcPr>
            <w:tcW w:w="1005" w:type="dxa"/>
            <w:tcBorders>
              <w:tl2br w:val="nil"/>
              <w:tr2bl w:val="nil"/>
            </w:tcBorders>
            <w:vAlign w:val="center"/>
          </w:tcPr>
          <w:p w14:paraId="68B8DEC9">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0.37</w:t>
            </w:r>
          </w:p>
        </w:tc>
        <w:tc>
          <w:tcPr>
            <w:tcW w:w="1155" w:type="dxa"/>
            <w:tcBorders>
              <w:tl2br w:val="nil"/>
              <w:tr2bl w:val="nil"/>
            </w:tcBorders>
            <w:vAlign w:val="center"/>
          </w:tcPr>
          <w:p w14:paraId="43947098">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0.34</w:t>
            </w:r>
          </w:p>
        </w:tc>
        <w:tc>
          <w:tcPr>
            <w:tcW w:w="900" w:type="dxa"/>
            <w:tcBorders>
              <w:tl2br w:val="nil"/>
              <w:tr2bl w:val="nil"/>
            </w:tcBorders>
            <w:vAlign w:val="center"/>
          </w:tcPr>
          <w:p w14:paraId="18AE6508">
            <w:pPr>
              <w:pStyle w:val="189"/>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23E9610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0.</w:t>
            </w:r>
            <w:r>
              <w:rPr>
                <w:rFonts w:hint="eastAsia" w:ascii="Times New Roman" w:hAnsi="Times New Roman" w:cs="Times New Roman"/>
                <w:color w:val="FF0000"/>
                <w:highlight w:val="none"/>
                <w:u w:val="wave" w:color="auto"/>
                <w:lang w:val="en-US" w:eastAsia="zh-CN"/>
              </w:rPr>
              <w:t>3</w:t>
            </w:r>
          </w:p>
        </w:tc>
        <w:tc>
          <w:tcPr>
            <w:tcW w:w="1185" w:type="dxa"/>
            <w:tcBorders>
              <w:tl2br w:val="nil"/>
              <w:tr2bl w:val="nil"/>
            </w:tcBorders>
            <w:vAlign w:val="center"/>
          </w:tcPr>
          <w:p w14:paraId="2E01982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FF0000"/>
                <w:highlight w:val="none"/>
                <w:u w:val="wave" w:color="auto"/>
                <w:lang w:val="en-US" w:eastAsia="zh-CN"/>
              </w:rPr>
            </w:pPr>
            <w:r>
              <w:rPr>
                <w:rFonts w:hint="eastAsia" w:cs="Times New Roman"/>
                <w:b/>
                <w:bCs/>
                <w:color w:val="FF0000"/>
                <w:highlight w:val="none"/>
                <w:u w:val="wave" w:color="auto"/>
                <w:lang w:val="en-US" w:eastAsia="zh-CN"/>
              </w:rPr>
              <w:t>0.23</w:t>
            </w:r>
          </w:p>
        </w:tc>
      </w:tr>
      <w:tr w14:paraId="43D0A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4CCE1C78">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0BB720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总氮</w:t>
            </w:r>
          </w:p>
        </w:tc>
        <w:tc>
          <w:tcPr>
            <w:tcW w:w="1147" w:type="dxa"/>
            <w:tcBorders>
              <w:tl2br w:val="nil"/>
              <w:tr2bl w:val="nil"/>
            </w:tcBorders>
            <w:vAlign w:val="center"/>
          </w:tcPr>
          <w:p w14:paraId="432F68C6">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5.91</w:t>
            </w:r>
          </w:p>
        </w:tc>
        <w:tc>
          <w:tcPr>
            <w:tcW w:w="1005" w:type="dxa"/>
            <w:tcBorders>
              <w:tl2br w:val="nil"/>
              <w:tr2bl w:val="nil"/>
            </w:tcBorders>
            <w:vAlign w:val="center"/>
          </w:tcPr>
          <w:p w14:paraId="12E743A4">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5.83</w:t>
            </w:r>
          </w:p>
        </w:tc>
        <w:tc>
          <w:tcPr>
            <w:tcW w:w="1155" w:type="dxa"/>
            <w:tcBorders>
              <w:tl2br w:val="nil"/>
              <w:tr2bl w:val="nil"/>
            </w:tcBorders>
            <w:vAlign w:val="center"/>
          </w:tcPr>
          <w:p w14:paraId="43F5A98A">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5.96</w:t>
            </w:r>
          </w:p>
        </w:tc>
        <w:tc>
          <w:tcPr>
            <w:tcW w:w="900" w:type="dxa"/>
            <w:tcBorders>
              <w:tl2br w:val="nil"/>
              <w:tr2bl w:val="nil"/>
            </w:tcBorders>
            <w:vAlign w:val="center"/>
          </w:tcPr>
          <w:p w14:paraId="1D25BEC3">
            <w:pPr>
              <w:pStyle w:val="189"/>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0306809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1.</w:t>
            </w:r>
            <w:r>
              <w:rPr>
                <w:rFonts w:hint="eastAsia" w:ascii="Times New Roman" w:hAnsi="Times New Roman" w:cs="Times New Roman"/>
                <w:color w:val="FF0000"/>
                <w:highlight w:val="none"/>
                <w:u w:val="wave" w:color="auto"/>
                <w:lang w:val="en-US" w:eastAsia="zh-CN"/>
              </w:rPr>
              <w:t>5</w:t>
            </w:r>
          </w:p>
        </w:tc>
        <w:tc>
          <w:tcPr>
            <w:tcW w:w="1185" w:type="dxa"/>
            <w:tcBorders>
              <w:tl2br w:val="nil"/>
              <w:tr2bl w:val="nil"/>
            </w:tcBorders>
            <w:vAlign w:val="center"/>
          </w:tcPr>
          <w:p w14:paraId="258C6B1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FF0000"/>
                <w:highlight w:val="none"/>
                <w:u w:val="wave" w:color="auto"/>
                <w:lang w:val="en-US" w:eastAsia="zh-CN"/>
              </w:rPr>
            </w:pPr>
            <w:r>
              <w:rPr>
                <w:rFonts w:hint="eastAsia" w:cs="Times New Roman"/>
                <w:b/>
                <w:bCs/>
                <w:color w:val="FF0000"/>
                <w:highlight w:val="none"/>
                <w:u w:val="wave" w:color="auto"/>
                <w:lang w:val="en-US" w:eastAsia="zh-CN"/>
              </w:rPr>
              <w:t>2.97</w:t>
            </w:r>
          </w:p>
        </w:tc>
      </w:tr>
      <w:tr w14:paraId="4C576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412B56B3">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4EECA3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悬浮物</w:t>
            </w:r>
          </w:p>
        </w:tc>
        <w:tc>
          <w:tcPr>
            <w:tcW w:w="1147" w:type="dxa"/>
            <w:tcBorders>
              <w:tl2br w:val="nil"/>
              <w:tr2bl w:val="nil"/>
            </w:tcBorders>
            <w:vAlign w:val="center"/>
          </w:tcPr>
          <w:p w14:paraId="13ACB23D">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29</w:t>
            </w:r>
          </w:p>
        </w:tc>
        <w:tc>
          <w:tcPr>
            <w:tcW w:w="1005" w:type="dxa"/>
            <w:tcBorders>
              <w:tl2br w:val="nil"/>
              <w:tr2bl w:val="nil"/>
            </w:tcBorders>
            <w:vAlign w:val="center"/>
          </w:tcPr>
          <w:p w14:paraId="2C5591B1">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32</w:t>
            </w:r>
          </w:p>
        </w:tc>
        <w:tc>
          <w:tcPr>
            <w:tcW w:w="1155" w:type="dxa"/>
            <w:tcBorders>
              <w:tl2br w:val="nil"/>
              <w:tr2bl w:val="nil"/>
            </w:tcBorders>
            <w:vAlign w:val="center"/>
          </w:tcPr>
          <w:p w14:paraId="2F0A880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34</w:t>
            </w:r>
          </w:p>
        </w:tc>
        <w:tc>
          <w:tcPr>
            <w:tcW w:w="900" w:type="dxa"/>
            <w:tcBorders>
              <w:tl2br w:val="nil"/>
              <w:tr2bl w:val="nil"/>
            </w:tcBorders>
            <w:vAlign w:val="center"/>
          </w:tcPr>
          <w:p w14:paraId="44FD5838">
            <w:pPr>
              <w:pStyle w:val="189"/>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0A8A9FF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lang w:val="en-US" w:eastAsia="zh-CN"/>
              </w:rPr>
              <w:t>/</w:t>
            </w:r>
          </w:p>
        </w:tc>
        <w:tc>
          <w:tcPr>
            <w:tcW w:w="1185" w:type="dxa"/>
            <w:tcBorders>
              <w:tl2br w:val="nil"/>
              <w:tr2bl w:val="nil"/>
            </w:tcBorders>
            <w:vAlign w:val="top"/>
          </w:tcPr>
          <w:p w14:paraId="6B24ABC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6FE90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67BC668D">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68B6EB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sz w:val="21"/>
                <w:szCs w:val="21"/>
                <w:highlight w:val="none"/>
                <w:u w:val="wave" w:color="auto"/>
                <w:lang w:val="en-US" w:eastAsia="zh-CN"/>
              </w:rPr>
              <w:t>动植物油</w:t>
            </w:r>
          </w:p>
        </w:tc>
        <w:tc>
          <w:tcPr>
            <w:tcW w:w="1147" w:type="dxa"/>
            <w:tcBorders>
              <w:tl2br w:val="nil"/>
              <w:tr2bl w:val="nil"/>
            </w:tcBorders>
            <w:vAlign w:val="center"/>
          </w:tcPr>
          <w:p w14:paraId="5A2198E9">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3.85</w:t>
            </w:r>
          </w:p>
        </w:tc>
        <w:tc>
          <w:tcPr>
            <w:tcW w:w="1005" w:type="dxa"/>
            <w:tcBorders>
              <w:tl2br w:val="nil"/>
              <w:tr2bl w:val="nil"/>
            </w:tcBorders>
            <w:vAlign w:val="center"/>
          </w:tcPr>
          <w:p w14:paraId="2929A6D5">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3.86</w:t>
            </w:r>
          </w:p>
        </w:tc>
        <w:tc>
          <w:tcPr>
            <w:tcW w:w="1155" w:type="dxa"/>
            <w:tcBorders>
              <w:tl2br w:val="nil"/>
              <w:tr2bl w:val="nil"/>
            </w:tcBorders>
            <w:vAlign w:val="center"/>
          </w:tcPr>
          <w:p w14:paraId="2E5306B8">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3.34</w:t>
            </w:r>
          </w:p>
        </w:tc>
        <w:tc>
          <w:tcPr>
            <w:tcW w:w="900" w:type="dxa"/>
            <w:tcBorders>
              <w:tl2br w:val="nil"/>
              <w:tr2bl w:val="nil"/>
            </w:tcBorders>
            <w:vAlign w:val="center"/>
          </w:tcPr>
          <w:p w14:paraId="2D473286">
            <w:pPr>
              <w:pStyle w:val="189"/>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57D051C5">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w:t>
            </w:r>
          </w:p>
        </w:tc>
        <w:tc>
          <w:tcPr>
            <w:tcW w:w="1185" w:type="dxa"/>
            <w:tcBorders>
              <w:tl2br w:val="nil"/>
              <w:tr2bl w:val="nil"/>
            </w:tcBorders>
            <w:vAlign w:val="top"/>
          </w:tcPr>
          <w:p w14:paraId="75EE4AE4">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61AF9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537E1338">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6ACA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阴离子表面活性剂</w:t>
            </w:r>
          </w:p>
        </w:tc>
        <w:tc>
          <w:tcPr>
            <w:tcW w:w="1147" w:type="dxa"/>
            <w:tcBorders>
              <w:tl2br w:val="nil"/>
              <w:tr2bl w:val="nil"/>
            </w:tcBorders>
            <w:vAlign w:val="center"/>
          </w:tcPr>
          <w:p w14:paraId="4EF5B46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005" w:type="dxa"/>
            <w:tcBorders>
              <w:tl2br w:val="nil"/>
              <w:tr2bl w:val="nil"/>
            </w:tcBorders>
            <w:vAlign w:val="center"/>
          </w:tcPr>
          <w:p w14:paraId="77232B15">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155" w:type="dxa"/>
            <w:tcBorders>
              <w:tl2br w:val="nil"/>
              <w:tr2bl w:val="nil"/>
            </w:tcBorders>
            <w:vAlign w:val="center"/>
          </w:tcPr>
          <w:p w14:paraId="2F62AE87">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900" w:type="dxa"/>
            <w:tcBorders>
              <w:tl2br w:val="nil"/>
              <w:tr2bl w:val="nil"/>
            </w:tcBorders>
            <w:vAlign w:val="center"/>
          </w:tcPr>
          <w:p w14:paraId="655483F9">
            <w:pPr>
              <w:pStyle w:val="189"/>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7126F5ED">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0.3</w:t>
            </w:r>
          </w:p>
        </w:tc>
        <w:tc>
          <w:tcPr>
            <w:tcW w:w="1185" w:type="dxa"/>
            <w:tcBorders>
              <w:tl2br w:val="nil"/>
              <w:tr2bl w:val="nil"/>
            </w:tcBorders>
            <w:vAlign w:val="center"/>
          </w:tcPr>
          <w:p w14:paraId="66FD424E">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40446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564BFE57">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A08B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粪大肠菌群</w:t>
            </w:r>
          </w:p>
        </w:tc>
        <w:tc>
          <w:tcPr>
            <w:tcW w:w="1147" w:type="dxa"/>
            <w:tcBorders>
              <w:tl2br w:val="nil"/>
              <w:tr2bl w:val="nil"/>
            </w:tcBorders>
            <w:vAlign w:val="center"/>
          </w:tcPr>
          <w:p w14:paraId="61C59E46">
            <w:pPr>
              <w:keepNext w:val="0"/>
              <w:keepLines w:val="0"/>
              <w:widowControl/>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2.2</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005" w:type="dxa"/>
            <w:tcBorders>
              <w:tl2br w:val="nil"/>
              <w:tr2bl w:val="nil"/>
            </w:tcBorders>
            <w:vAlign w:val="center"/>
          </w:tcPr>
          <w:p w14:paraId="7B6CADA7">
            <w:pPr>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2.8</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155" w:type="dxa"/>
            <w:tcBorders>
              <w:tl2br w:val="nil"/>
              <w:tr2bl w:val="nil"/>
            </w:tcBorders>
            <w:vAlign w:val="center"/>
          </w:tcPr>
          <w:p w14:paraId="6EDE6D35">
            <w:pPr>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1.8</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900" w:type="dxa"/>
            <w:tcBorders>
              <w:tl2br w:val="nil"/>
              <w:tr2bl w:val="nil"/>
            </w:tcBorders>
            <w:vAlign w:val="center"/>
          </w:tcPr>
          <w:p w14:paraId="4D633BC2">
            <w:pPr>
              <w:pStyle w:val="189"/>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个</w:t>
            </w:r>
            <w:r>
              <w:rPr>
                <w:rFonts w:hint="default" w:ascii="Times New Roman" w:hAnsi="Times New Roman" w:eastAsia="宋体" w:cs="Times New Roman"/>
                <w:color w:val="FF0000"/>
                <w:kern w:val="0"/>
                <w:sz w:val="21"/>
                <w:szCs w:val="21"/>
                <w:lang w:val="en-US" w:eastAsia="zh-CN" w:bidi="ar"/>
              </w:rPr>
              <w:t>/L</w:t>
            </w:r>
          </w:p>
        </w:tc>
        <w:tc>
          <w:tcPr>
            <w:tcW w:w="1260" w:type="dxa"/>
            <w:tcBorders>
              <w:tl2br w:val="nil"/>
              <w:tr2bl w:val="nil"/>
            </w:tcBorders>
            <w:vAlign w:val="center"/>
          </w:tcPr>
          <w:p w14:paraId="6ADF99FA">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20000</w:t>
            </w:r>
          </w:p>
        </w:tc>
        <w:tc>
          <w:tcPr>
            <w:tcW w:w="1185" w:type="dxa"/>
            <w:tcBorders>
              <w:tl2br w:val="nil"/>
              <w:tr2bl w:val="nil"/>
            </w:tcBorders>
            <w:vAlign w:val="top"/>
          </w:tcPr>
          <w:p w14:paraId="4035DCB8">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0803F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restart"/>
            <w:tcBorders>
              <w:tl2br w:val="nil"/>
              <w:tr2bl w:val="nil"/>
            </w:tcBorders>
          </w:tcPr>
          <w:p w14:paraId="57BD7E1F">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W2污水排放口下游300m（机排二十渠）</w:t>
            </w:r>
          </w:p>
        </w:tc>
        <w:tc>
          <w:tcPr>
            <w:tcW w:w="1305" w:type="dxa"/>
            <w:tcBorders>
              <w:tl2br w:val="nil"/>
              <w:tr2bl w:val="nil"/>
            </w:tcBorders>
            <w:vAlign w:val="top"/>
          </w:tcPr>
          <w:p w14:paraId="46CDDD0D">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pH值</w:t>
            </w:r>
          </w:p>
        </w:tc>
        <w:tc>
          <w:tcPr>
            <w:tcW w:w="1147" w:type="dxa"/>
            <w:tcBorders>
              <w:tl2br w:val="nil"/>
              <w:tr2bl w:val="nil"/>
            </w:tcBorders>
            <w:vAlign w:val="center"/>
          </w:tcPr>
          <w:p w14:paraId="5821679D">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7.8</w:t>
            </w:r>
          </w:p>
        </w:tc>
        <w:tc>
          <w:tcPr>
            <w:tcW w:w="1005" w:type="dxa"/>
            <w:tcBorders>
              <w:tl2br w:val="nil"/>
              <w:tr2bl w:val="nil"/>
            </w:tcBorders>
            <w:vAlign w:val="center"/>
          </w:tcPr>
          <w:p w14:paraId="5A7E488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7.6</w:t>
            </w:r>
          </w:p>
        </w:tc>
        <w:tc>
          <w:tcPr>
            <w:tcW w:w="1155" w:type="dxa"/>
            <w:tcBorders>
              <w:tl2br w:val="nil"/>
              <w:tr2bl w:val="nil"/>
            </w:tcBorders>
            <w:vAlign w:val="center"/>
          </w:tcPr>
          <w:p w14:paraId="3731610F">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7.7</w:t>
            </w:r>
          </w:p>
        </w:tc>
        <w:tc>
          <w:tcPr>
            <w:tcW w:w="900" w:type="dxa"/>
            <w:tcBorders>
              <w:tl2br w:val="nil"/>
              <w:tr2bl w:val="nil"/>
            </w:tcBorders>
            <w:vAlign w:val="center"/>
          </w:tcPr>
          <w:p w14:paraId="485A8414">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无量纲</w:t>
            </w:r>
          </w:p>
        </w:tc>
        <w:tc>
          <w:tcPr>
            <w:tcW w:w="1260" w:type="dxa"/>
            <w:tcBorders>
              <w:tl2br w:val="nil"/>
              <w:tr2bl w:val="nil"/>
            </w:tcBorders>
            <w:vAlign w:val="center"/>
          </w:tcPr>
          <w:p w14:paraId="0336DE72">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6~9</w:t>
            </w:r>
          </w:p>
        </w:tc>
        <w:tc>
          <w:tcPr>
            <w:tcW w:w="1185" w:type="dxa"/>
            <w:tcBorders>
              <w:tl2br w:val="nil"/>
              <w:tr2bl w:val="nil"/>
            </w:tcBorders>
            <w:vAlign w:val="top"/>
          </w:tcPr>
          <w:p w14:paraId="39532C16">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6BB44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53B71A10">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410DE9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化学需氧量</w:t>
            </w:r>
          </w:p>
        </w:tc>
        <w:tc>
          <w:tcPr>
            <w:tcW w:w="1147" w:type="dxa"/>
            <w:tcBorders>
              <w:tl2br w:val="nil"/>
              <w:tr2bl w:val="nil"/>
            </w:tcBorders>
            <w:vAlign w:val="center"/>
          </w:tcPr>
          <w:p w14:paraId="2A1D53F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19</w:t>
            </w:r>
          </w:p>
        </w:tc>
        <w:tc>
          <w:tcPr>
            <w:tcW w:w="1005" w:type="dxa"/>
            <w:tcBorders>
              <w:tl2br w:val="nil"/>
              <w:tr2bl w:val="nil"/>
            </w:tcBorders>
            <w:vAlign w:val="center"/>
          </w:tcPr>
          <w:p w14:paraId="5D605DF9">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10</w:t>
            </w:r>
          </w:p>
        </w:tc>
        <w:tc>
          <w:tcPr>
            <w:tcW w:w="1155" w:type="dxa"/>
            <w:tcBorders>
              <w:tl2br w:val="nil"/>
              <w:tr2bl w:val="nil"/>
            </w:tcBorders>
            <w:vAlign w:val="center"/>
          </w:tcPr>
          <w:p w14:paraId="58A71B71">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15</w:t>
            </w:r>
          </w:p>
        </w:tc>
        <w:tc>
          <w:tcPr>
            <w:tcW w:w="900" w:type="dxa"/>
            <w:tcBorders>
              <w:tl2br w:val="nil"/>
              <w:tr2bl w:val="nil"/>
            </w:tcBorders>
            <w:vAlign w:val="center"/>
          </w:tcPr>
          <w:p w14:paraId="138D187C">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4992CA1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eastAsia" w:ascii="Times New Roman" w:hAnsi="Times New Roman" w:cs="Times New Roman"/>
                <w:color w:val="FF0000"/>
                <w:highlight w:val="none"/>
                <w:u w:val="wave" w:color="auto"/>
                <w:lang w:val="en-US" w:eastAsia="zh-CN"/>
              </w:rPr>
              <w:t>30</w:t>
            </w:r>
          </w:p>
        </w:tc>
        <w:tc>
          <w:tcPr>
            <w:tcW w:w="1185" w:type="dxa"/>
            <w:tcBorders>
              <w:tl2br w:val="nil"/>
              <w:tr2bl w:val="nil"/>
            </w:tcBorders>
            <w:vAlign w:val="top"/>
          </w:tcPr>
          <w:p w14:paraId="05A4B63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FF0000"/>
                <w:highlight w:val="none"/>
                <w:u w:val="wave" w:color="auto"/>
              </w:rPr>
            </w:pPr>
            <w:r>
              <w:rPr>
                <w:rFonts w:hint="default" w:cs="Times New Roman"/>
                <w:color w:val="FF0000"/>
                <w:highlight w:val="none"/>
                <w:u w:val="wave" w:color="auto"/>
                <w:lang w:val="en-US" w:eastAsia="zh-CN"/>
              </w:rPr>
              <w:t>/</w:t>
            </w:r>
          </w:p>
        </w:tc>
      </w:tr>
      <w:tr w14:paraId="23E7C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2D129BBE">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702B3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五日生化需氧量</w:t>
            </w:r>
          </w:p>
        </w:tc>
        <w:tc>
          <w:tcPr>
            <w:tcW w:w="1147" w:type="dxa"/>
            <w:tcBorders>
              <w:tl2br w:val="nil"/>
              <w:tr2bl w:val="nil"/>
            </w:tcBorders>
            <w:vAlign w:val="center"/>
          </w:tcPr>
          <w:p w14:paraId="61E054A5">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3.6</w:t>
            </w:r>
          </w:p>
        </w:tc>
        <w:tc>
          <w:tcPr>
            <w:tcW w:w="1005" w:type="dxa"/>
            <w:tcBorders>
              <w:tl2br w:val="nil"/>
              <w:tr2bl w:val="nil"/>
            </w:tcBorders>
            <w:vAlign w:val="center"/>
          </w:tcPr>
          <w:p w14:paraId="4ABEB49B">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3.9</w:t>
            </w:r>
          </w:p>
        </w:tc>
        <w:tc>
          <w:tcPr>
            <w:tcW w:w="1155" w:type="dxa"/>
            <w:tcBorders>
              <w:tl2br w:val="nil"/>
              <w:tr2bl w:val="nil"/>
            </w:tcBorders>
            <w:vAlign w:val="center"/>
          </w:tcPr>
          <w:p w14:paraId="1D45377D">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4.0</w:t>
            </w:r>
          </w:p>
        </w:tc>
        <w:tc>
          <w:tcPr>
            <w:tcW w:w="900" w:type="dxa"/>
            <w:tcBorders>
              <w:tl2br w:val="nil"/>
              <w:tr2bl w:val="nil"/>
            </w:tcBorders>
            <w:vAlign w:val="center"/>
          </w:tcPr>
          <w:p w14:paraId="118C33DF">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1345851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6</w:t>
            </w:r>
          </w:p>
        </w:tc>
        <w:tc>
          <w:tcPr>
            <w:tcW w:w="1185" w:type="dxa"/>
            <w:tcBorders>
              <w:tl2br w:val="nil"/>
              <w:tr2bl w:val="nil"/>
            </w:tcBorders>
            <w:vAlign w:val="center"/>
          </w:tcPr>
          <w:p w14:paraId="055A848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FF0000"/>
                <w:highlight w:val="none"/>
                <w:u w:val="wave" w:color="auto"/>
              </w:rPr>
            </w:pPr>
            <w:r>
              <w:rPr>
                <w:rFonts w:hint="default" w:cs="Times New Roman"/>
                <w:color w:val="FF0000"/>
                <w:highlight w:val="none"/>
                <w:u w:val="wave" w:color="auto"/>
                <w:lang w:val="en-US" w:eastAsia="zh-CN"/>
              </w:rPr>
              <w:t>/</w:t>
            </w:r>
          </w:p>
        </w:tc>
      </w:tr>
      <w:tr w14:paraId="61571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26A2C312">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562BFF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氨氮</w:t>
            </w:r>
          </w:p>
        </w:tc>
        <w:tc>
          <w:tcPr>
            <w:tcW w:w="1147" w:type="dxa"/>
            <w:tcBorders>
              <w:tl2br w:val="nil"/>
              <w:tr2bl w:val="nil"/>
            </w:tcBorders>
            <w:vAlign w:val="center"/>
          </w:tcPr>
          <w:p w14:paraId="1A6DD2A2">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2.07</w:t>
            </w:r>
          </w:p>
        </w:tc>
        <w:tc>
          <w:tcPr>
            <w:tcW w:w="1005" w:type="dxa"/>
            <w:tcBorders>
              <w:tl2br w:val="nil"/>
              <w:tr2bl w:val="nil"/>
            </w:tcBorders>
            <w:vAlign w:val="center"/>
          </w:tcPr>
          <w:p w14:paraId="08C15671">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1.89</w:t>
            </w:r>
          </w:p>
        </w:tc>
        <w:tc>
          <w:tcPr>
            <w:tcW w:w="1155" w:type="dxa"/>
            <w:tcBorders>
              <w:tl2br w:val="nil"/>
              <w:tr2bl w:val="nil"/>
            </w:tcBorders>
            <w:vAlign w:val="center"/>
          </w:tcPr>
          <w:p w14:paraId="7468636C">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1.75</w:t>
            </w:r>
          </w:p>
        </w:tc>
        <w:tc>
          <w:tcPr>
            <w:tcW w:w="900" w:type="dxa"/>
            <w:tcBorders>
              <w:tl2br w:val="nil"/>
              <w:tr2bl w:val="nil"/>
            </w:tcBorders>
            <w:vAlign w:val="center"/>
          </w:tcPr>
          <w:p w14:paraId="01D73641">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0C6C0D1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1.</w:t>
            </w:r>
            <w:r>
              <w:rPr>
                <w:rFonts w:hint="eastAsia" w:ascii="Times New Roman" w:hAnsi="Times New Roman" w:cs="Times New Roman"/>
                <w:color w:val="FF0000"/>
                <w:highlight w:val="none"/>
                <w:u w:val="wave" w:color="auto"/>
                <w:lang w:val="en-US" w:eastAsia="zh-CN"/>
              </w:rPr>
              <w:t>5</w:t>
            </w:r>
          </w:p>
        </w:tc>
        <w:tc>
          <w:tcPr>
            <w:tcW w:w="1185" w:type="dxa"/>
            <w:tcBorders>
              <w:tl2br w:val="nil"/>
              <w:tr2bl w:val="nil"/>
            </w:tcBorders>
            <w:vAlign w:val="center"/>
          </w:tcPr>
          <w:p w14:paraId="774D6DA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highlight w:val="none"/>
                <w:u w:val="wave" w:color="auto"/>
                <w:lang w:val="en-US" w:eastAsia="zh-CN"/>
              </w:rPr>
            </w:pPr>
            <w:r>
              <w:rPr>
                <w:rFonts w:hint="eastAsia" w:cs="Times New Roman"/>
                <w:b/>
                <w:bCs/>
                <w:color w:val="FF0000"/>
                <w:highlight w:val="none"/>
                <w:u w:val="wave" w:color="auto"/>
                <w:lang w:val="en-US" w:eastAsia="zh-CN"/>
              </w:rPr>
              <w:t>0.38</w:t>
            </w:r>
          </w:p>
        </w:tc>
      </w:tr>
      <w:tr w14:paraId="1F22C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6FE3C0DB">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6134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总磷</w:t>
            </w:r>
          </w:p>
        </w:tc>
        <w:tc>
          <w:tcPr>
            <w:tcW w:w="1147" w:type="dxa"/>
            <w:tcBorders>
              <w:tl2br w:val="nil"/>
              <w:tr2bl w:val="nil"/>
            </w:tcBorders>
            <w:vAlign w:val="center"/>
          </w:tcPr>
          <w:p w14:paraId="7D79D44C">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0.12</w:t>
            </w:r>
          </w:p>
        </w:tc>
        <w:tc>
          <w:tcPr>
            <w:tcW w:w="1005" w:type="dxa"/>
            <w:tcBorders>
              <w:tl2br w:val="nil"/>
              <w:tr2bl w:val="nil"/>
            </w:tcBorders>
            <w:vAlign w:val="center"/>
          </w:tcPr>
          <w:p w14:paraId="310C2BFF">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0.14</w:t>
            </w:r>
          </w:p>
        </w:tc>
        <w:tc>
          <w:tcPr>
            <w:tcW w:w="1155" w:type="dxa"/>
            <w:tcBorders>
              <w:tl2br w:val="nil"/>
              <w:tr2bl w:val="nil"/>
            </w:tcBorders>
            <w:vAlign w:val="center"/>
          </w:tcPr>
          <w:p w14:paraId="0AC34B8F">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0.11</w:t>
            </w:r>
          </w:p>
        </w:tc>
        <w:tc>
          <w:tcPr>
            <w:tcW w:w="900" w:type="dxa"/>
            <w:tcBorders>
              <w:tl2br w:val="nil"/>
              <w:tr2bl w:val="nil"/>
            </w:tcBorders>
            <w:vAlign w:val="center"/>
          </w:tcPr>
          <w:p w14:paraId="2962AA8F">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704E129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0.</w:t>
            </w:r>
            <w:r>
              <w:rPr>
                <w:rFonts w:hint="eastAsia" w:ascii="Times New Roman" w:hAnsi="Times New Roman" w:cs="Times New Roman"/>
                <w:color w:val="FF0000"/>
                <w:highlight w:val="none"/>
                <w:u w:val="wave" w:color="auto"/>
                <w:lang w:val="en-US" w:eastAsia="zh-CN"/>
              </w:rPr>
              <w:t>3</w:t>
            </w:r>
          </w:p>
        </w:tc>
        <w:tc>
          <w:tcPr>
            <w:tcW w:w="1185" w:type="dxa"/>
            <w:tcBorders>
              <w:tl2br w:val="nil"/>
              <w:tr2bl w:val="nil"/>
            </w:tcBorders>
            <w:shd w:val="clear" w:color="auto" w:fill="auto"/>
            <w:vAlign w:val="top"/>
          </w:tcPr>
          <w:p w14:paraId="4BFF852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lang w:val="en-US" w:eastAsia="zh-CN" w:bidi="ar-SA"/>
              </w:rPr>
            </w:pPr>
            <w:r>
              <w:rPr>
                <w:rFonts w:hint="default" w:cs="Times New Roman"/>
                <w:color w:val="FF0000"/>
                <w:highlight w:val="none"/>
                <w:u w:val="wave" w:color="auto"/>
                <w:lang w:val="en-US" w:eastAsia="zh-CN"/>
              </w:rPr>
              <w:t>/</w:t>
            </w:r>
          </w:p>
        </w:tc>
      </w:tr>
      <w:tr w14:paraId="0B08A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308ECFB8">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C540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总氮</w:t>
            </w:r>
          </w:p>
        </w:tc>
        <w:tc>
          <w:tcPr>
            <w:tcW w:w="1147" w:type="dxa"/>
            <w:tcBorders>
              <w:tl2br w:val="nil"/>
              <w:tr2bl w:val="nil"/>
            </w:tcBorders>
            <w:vAlign w:val="center"/>
          </w:tcPr>
          <w:p w14:paraId="36D9A1F2">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6.28</w:t>
            </w:r>
          </w:p>
        </w:tc>
        <w:tc>
          <w:tcPr>
            <w:tcW w:w="1005" w:type="dxa"/>
            <w:tcBorders>
              <w:tl2br w:val="nil"/>
              <w:tr2bl w:val="nil"/>
            </w:tcBorders>
            <w:vAlign w:val="center"/>
          </w:tcPr>
          <w:p w14:paraId="46278654">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6.33</w:t>
            </w:r>
          </w:p>
        </w:tc>
        <w:tc>
          <w:tcPr>
            <w:tcW w:w="1155" w:type="dxa"/>
            <w:tcBorders>
              <w:tl2br w:val="nil"/>
              <w:tr2bl w:val="nil"/>
            </w:tcBorders>
            <w:vAlign w:val="center"/>
          </w:tcPr>
          <w:p w14:paraId="482329B0">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6.14</w:t>
            </w:r>
          </w:p>
        </w:tc>
        <w:tc>
          <w:tcPr>
            <w:tcW w:w="900" w:type="dxa"/>
            <w:tcBorders>
              <w:tl2br w:val="nil"/>
              <w:tr2bl w:val="nil"/>
            </w:tcBorders>
            <w:vAlign w:val="center"/>
          </w:tcPr>
          <w:p w14:paraId="3A58057B">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001BB81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1.</w:t>
            </w:r>
            <w:r>
              <w:rPr>
                <w:rFonts w:hint="eastAsia" w:ascii="Times New Roman" w:hAnsi="Times New Roman" w:cs="Times New Roman"/>
                <w:color w:val="FF0000"/>
                <w:highlight w:val="none"/>
                <w:u w:val="wave" w:color="auto"/>
                <w:lang w:val="en-US" w:eastAsia="zh-CN"/>
              </w:rPr>
              <w:t>5</w:t>
            </w:r>
          </w:p>
        </w:tc>
        <w:tc>
          <w:tcPr>
            <w:tcW w:w="1185" w:type="dxa"/>
            <w:tcBorders>
              <w:tl2br w:val="nil"/>
              <w:tr2bl w:val="nil"/>
            </w:tcBorders>
            <w:shd w:val="clear" w:color="auto" w:fill="auto"/>
            <w:vAlign w:val="top"/>
          </w:tcPr>
          <w:p w14:paraId="68A21DE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lang w:val="en-US" w:eastAsia="zh-CN" w:bidi="ar-SA"/>
              </w:rPr>
            </w:pPr>
            <w:r>
              <w:rPr>
                <w:rFonts w:hint="eastAsia" w:cs="Times New Roman"/>
                <w:b/>
                <w:bCs/>
                <w:color w:val="FF0000"/>
                <w:highlight w:val="none"/>
                <w:u w:val="wave" w:color="auto"/>
                <w:lang w:val="en-US" w:eastAsia="zh-CN"/>
              </w:rPr>
              <w:t>3.22</w:t>
            </w:r>
          </w:p>
        </w:tc>
      </w:tr>
      <w:tr w14:paraId="00EF1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1E20C2C3">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172DA3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悬浮物</w:t>
            </w:r>
          </w:p>
        </w:tc>
        <w:tc>
          <w:tcPr>
            <w:tcW w:w="1147" w:type="dxa"/>
            <w:tcBorders>
              <w:tl2br w:val="nil"/>
              <w:tr2bl w:val="nil"/>
            </w:tcBorders>
            <w:vAlign w:val="center"/>
          </w:tcPr>
          <w:p w14:paraId="4096CEE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45</w:t>
            </w:r>
          </w:p>
        </w:tc>
        <w:tc>
          <w:tcPr>
            <w:tcW w:w="1005" w:type="dxa"/>
            <w:tcBorders>
              <w:tl2br w:val="nil"/>
              <w:tr2bl w:val="nil"/>
            </w:tcBorders>
            <w:vAlign w:val="center"/>
          </w:tcPr>
          <w:p w14:paraId="0E8A02D1">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43</w:t>
            </w:r>
          </w:p>
        </w:tc>
        <w:tc>
          <w:tcPr>
            <w:tcW w:w="1155" w:type="dxa"/>
            <w:tcBorders>
              <w:tl2br w:val="nil"/>
              <w:tr2bl w:val="nil"/>
            </w:tcBorders>
            <w:vAlign w:val="center"/>
          </w:tcPr>
          <w:p w14:paraId="63757254">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42</w:t>
            </w:r>
          </w:p>
        </w:tc>
        <w:tc>
          <w:tcPr>
            <w:tcW w:w="900" w:type="dxa"/>
            <w:tcBorders>
              <w:tl2br w:val="nil"/>
              <w:tr2bl w:val="nil"/>
            </w:tcBorders>
            <w:vAlign w:val="center"/>
          </w:tcPr>
          <w:p w14:paraId="46346593">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1F4C521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lang w:val="en-US" w:eastAsia="zh-CN"/>
              </w:rPr>
              <w:t>/</w:t>
            </w:r>
          </w:p>
        </w:tc>
        <w:tc>
          <w:tcPr>
            <w:tcW w:w="1185" w:type="dxa"/>
            <w:tcBorders>
              <w:tl2br w:val="nil"/>
              <w:tr2bl w:val="nil"/>
            </w:tcBorders>
            <w:shd w:val="clear" w:color="auto" w:fill="auto"/>
            <w:vAlign w:val="center"/>
          </w:tcPr>
          <w:p w14:paraId="5D0B94F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lang w:val="en-US" w:eastAsia="zh-CN" w:bidi="ar-SA"/>
              </w:rPr>
            </w:pPr>
            <w:r>
              <w:rPr>
                <w:rFonts w:hint="default" w:cs="Times New Roman"/>
                <w:color w:val="FF0000"/>
                <w:highlight w:val="none"/>
                <w:u w:val="wave" w:color="auto"/>
                <w:lang w:val="en-US" w:eastAsia="zh-CN"/>
              </w:rPr>
              <w:t>/</w:t>
            </w:r>
          </w:p>
        </w:tc>
      </w:tr>
      <w:tr w14:paraId="7C517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5A04F3D0">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0E3C7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sz w:val="21"/>
                <w:szCs w:val="21"/>
                <w:highlight w:val="none"/>
                <w:u w:val="wave" w:color="auto"/>
                <w:lang w:val="en-US" w:eastAsia="zh-CN"/>
              </w:rPr>
              <w:t>动植物油</w:t>
            </w:r>
          </w:p>
        </w:tc>
        <w:tc>
          <w:tcPr>
            <w:tcW w:w="1147" w:type="dxa"/>
            <w:tcBorders>
              <w:tl2br w:val="nil"/>
              <w:tr2bl w:val="nil"/>
            </w:tcBorders>
            <w:vAlign w:val="center"/>
          </w:tcPr>
          <w:p w14:paraId="11D919A3">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4.35</w:t>
            </w:r>
          </w:p>
        </w:tc>
        <w:tc>
          <w:tcPr>
            <w:tcW w:w="1005" w:type="dxa"/>
            <w:tcBorders>
              <w:tl2br w:val="nil"/>
              <w:tr2bl w:val="nil"/>
            </w:tcBorders>
            <w:vAlign w:val="center"/>
          </w:tcPr>
          <w:p w14:paraId="45A9624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3.88</w:t>
            </w:r>
          </w:p>
        </w:tc>
        <w:tc>
          <w:tcPr>
            <w:tcW w:w="1155" w:type="dxa"/>
            <w:tcBorders>
              <w:tl2br w:val="nil"/>
              <w:tr2bl w:val="nil"/>
            </w:tcBorders>
            <w:vAlign w:val="center"/>
          </w:tcPr>
          <w:p w14:paraId="61C5DC89">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3.53</w:t>
            </w:r>
          </w:p>
        </w:tc>
        <w:tc>
          <w:tcPr>
            <w:tcW w:w="900" w:type="dxa"/>
            <w:tcBorders>
              <w:tl2br w:val="nil"/>
              <w:tr2bl w:val="nil"/>
            </w:tcBorders>
            <w:vAlign w:val="center"/>
          </w:tcPr>
          <w:p w14:paraId="77412B9F">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2318464E">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w:t>
            </w:r>
          </w:p>
        </w:tc>
        <w:tc>
          <w:tcPr>
            <w:tcW w:w="1185" w:type="dxa"/>
            <w:tcBorders>
              <w:tl2br w:val="nil"/>
              <w:tr2bl w:val="nil"/>
            </w:tcBorders>
            <w:vAlign w:val="top"/>
          </w:tcPr>
          <w:p w14:paraId="56211B29">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73871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40260333">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B3F4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阴离子表面活性剂</w:t>
            </w:r>
          </w:p>
        </w:tc>
        <w:tc>
          <w:tcPr>
            <w:tcW w:w="1147" w:type="dxa"/>
            <w:tcBorders>
              <w:tl2br w:val="nil"/>
              <w:tr2bl w:val="nil"/>
            </w:tcBorders>
            <w:vAlign w:val="center"/>
          </w:tcPr>
          <w:p w14:paraId="51B067B2">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005" w:type="dxa"/>
            <w:tcBorders>
              <w:tl2br w:val="nil"/>
              <w:tr2bl w:val="nil"/>
            </w:tcBorders>
            <w:vAlign w:val="center"/>
          </w:tcPr>
          <w:p w14:paraId="7E355464">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155" w:type="dxa"/>
            <w:tcBorders>
              <w:tl2br w:val="nil"/>
              <w:tr2bl w:val="nil"/>
            </w:tcBorders>
            <w:vAlign w:val="center"/>
          </w:tcPr>
          <w:p w14:paraId="728E80F3">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900" w:type="dxa"/>
            <w:tcBorders>
              <w:tl2br w:val="nil"/>
              <w:tr2bl w:val="nil"/>
            </w:tcBorders>
            <w:vAlign w:val="center"/>
          </w:tcPr>
          <w:p w14:paraId="517E8031">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24014DE1">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0.3</w:t>
            </w:r>
          </w:p>
        </w:tc>
        <w:tc>
          <w:tcPr>
            <w:tcW w:w="1185" w:type="dxa"/>
            <w:tcBorders>
              <w:tl2br w:val="nil"/>
              <w:tr2bl w:val="nil"/>
            </w:tcBorders>
            <w:vAlign w:val="top"/>
          </w:tcPr>
          <w:p w14:paraId="07028709">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30357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031CACF1">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7206C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粪大肠菌群</w:t>
            </w:r>
          </w:p>
        </w:tc>
        <w:tc>
          <w:tcPr>
            <w:tcW w:w="1147" w:type="dxa"/>
            <w:tcBorders>
              <w:tl2br w:val="nil"/>
              <w:tr2bl w:val="nil"/>
            </w:tcBorders>
            <w:vAlign w:val="center"/>
          </w:tcPr>
          <w:p w14:paraId="5F4D791F">
            <w:pPr>
              <w:keepNext w:val="0"/>
              <w:keepLines w:val="0"/>
              <w:widowControl/>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3.5</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005" w:type="dxa"/>
            <w:tcBorders>
              <w:tl2br w:val="nil"/>
              <w:tr2bl w:val="nil"/>
            </w:tcBorders>
            <w:vAlign w:val="center"/>
          </w:tcPr>
          <w:p w14:paraId="242099BD">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4.3</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155" w:type="dxa"/>
            <w:tcBorders>
              <w:tl2br w:val="nil"/>
              <w:tr2bl w:val="nil"/>
            </w:tcBorders>
            <w:vAlign w:val="center"/>
          </w:tcPr>
          <w:p w14:paraId="53C3164D">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3.5</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900" w:type="dxa"/>
            <w:tcBorders>
              <w:tl2br w:val="nil"/>
              <w:tr2bl w:val="nil"/>
            </w:tcBorders>
            <w:vAlign w:val="center"/>
          </w:tcPr>
          <w:p w14:paraId="7296C1BE">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eastAsia" w:ascii="Times New Roman" w:hAnsi="Times New Roman" w:eastAsia="宋体" w:cs="Times New Roman"/>
                <w:color w:val="FF0000"/>
                <w:kern w:val="0"/>
                <w:sz w:val="21"/>
                <w:szCs w:val="21"/>
                <w:lang w:val="en-US" w:eastAsia="zh-CN" w:bidi="ar"/>
              </w:rPr>
              <w:t>个</w:t>
            </w:r>
            <w:r>
              <w:rPr>
                <w:rFonts w:hint="default" w:ascii="Times New Roman" w:hAnsi="Times New Roman" w:eastAsia="宋体" w:cs="Times New Roman"/>
                <w:color w:val="FF0000"/>
                <w:kern w:val="0"/>
                <w:sz w:val="21"/>
                <w:szCs w:val="21"/>
                <w:lang w:val="en-US" w:eastAsia="zh-CN" w:bidi="ar"/>
              </w:rPr>
              <w:t>/L</w:t>
            </w:r>
          </w:p>
        </w:tc>
        <w:tc>
          <w:tcPr>
            <w:tcW w:w="1260" w:type="dxa"/>
            <w:tcBorders>
              <w:tl2br w:val="nil"/>
              <w:tr2bl w:val="nil"/>
            </w:tcBorders>
            <w:vAlign w:val="center"/>
          </w:tcPr>
          <w:p w14:paraId="33880BF5">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20000</w:t>
            </w:r>
          </w:p>
        </w:tc>
        <w:tc>
          <w:tcPr>
            <w:tcW w:w="1185" w:type="dxa"/>
            <w:tcBorders>
              <w:tl2br w:val="nil"/>
              <w:tr2bl w:val="nil"/>
            </w:tcBorders>
            <w:vAlign w:val="center"/>
          </w:tcPr>
          <w:p w14:paraId="11B1E564">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3A53E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4" w:type="dxa"/>
            <w:vMerge w:val="restart"/>
            <w:tcBorders>
              <w:tl2br w:val="nil"/>
              <w:tr2bl w:val="nil"/>
            </w:tcBorders>
          </w:tcPr>
          <w:p w14:paraId="00891D0C">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W3机排二十渠与老三运河交汇处上游200m（老三运河）</w:t>
            </w:r>
          </w:p>
        </w:tc>
        <w:tc>
          <w:tcPr>
            <w:tcW w:w="1305" w:type="dxa"/>
            <w:tcBorders>
              <w:tl2br w:val="nil"/>
              <w:tr2bl w:val="nil"/>
            </w:tcBorders>
            <w:vAlign w:val="top"/>
          </w:tcPr>
          <w:p w14:paraId="1578B08E">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pH值</w:t>
            </w:r>
          </w:p>
        </w:tc>
        <w:tc>
          <w:tcPr>
            <w:tcW w:w="1147" w:type="dxa"/>
            <w:tcBorders>
              <w:tl2br w:val="nil"/>
              <w:tr2bl w:val="nil"/>
            </w:tcBorders>
            <w:vAlign w:val="center"/>
          </w:tcPr>
          <w:p w14:paraId="56B43BE4">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7.9</w:t>
            </w:r>
          </w:p>
        </w:tc>
        <w:tc>
          <w:tcPr>
            <w:tcW w:w="1005" w:type="dxa"/>
            <w:tcBorders>
              <w:tl2br w:val="nil"/>
              <w:tr2bl w:val="nil"/>
            </w:tcBorders>
            <w:vAlign w:val="center"/>
          </w:tcPr>
          <w:p w14:paraId="32B944DA">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7.8</w:t>
            </w:r>
          </w:p>
        </w:tc>
        <w:tc>
          <w:tcPr>
            <w:tcW w:w="1155" w:type="dxa"/>
            <w:tcBorders>
              <w:tl2br w:val="nil"/>
              <w:tr2bl w:val="nil"/>
            </w:tcBorders>
            <w:vAlign w:val="center"/>
          </w:tcPr>
          <w:p w14:paraId="6E51F005">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7.8</w:t>
            </w:r>
          </w:p>
        </w:tc>
        <w:tc>
          <w:tcPr>
            <w:tcW w:w="900" w:type="dxa"/>
            <w:tcBorders>
              <w:tl2br w:val="nil"/>
              <w:tr2bl w:val="nil"/>
            </w:tcBorders>
            <w:vAlign w:val="center"/>
          </w:tcPr>
          <w:p w14:paraId="39B3C065">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无量纲</w:t>
            </w:r>
          </w:p>
        </w:tc>
        <w:tc>
          <w:tcPr>
            <w:tcW w:w="1260" w:type="dxa"/>
            <w:tcBorders>
              <w:tl2br w:val="nil"/>
              <w:tr2bl w:val="nil"/>
            </w:tcBorders>
            <w:vAlign w:val="center"/>
          </w:tcPr>
          <w:p w14:paraId="44B43F4C">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6~9</w:t>
            </w:r>
          </w:p>
        </w:tc>
        <w:tc>
          <w:tcPr>
            <w:tcW w:w="1185" w:type="dxa"/>
            <w:tcBorders>
              <w:tl2br w:val="nil"/>
              <w:tr2bl w:val="nil"/>
            </w:tcBorders>
            <w:vAlign w:val="top"/>
          </w:tcPr>
          <w:p w14:paraId="4B5A070F">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718B6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23B4038D">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4CE74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化学需氧量</w:t>
            </w:r>
          </w:p>
        </w:tc>
        <w:tc>
          <w:tcPr>
            <w:tcW w:w="1147" w:type="dxa"/>
            <w:tcBorders>
              <w:tl2br w:val="nil"/>
              <w:tr2bl w:val="nil"/>
            </w:tcBorders>
            <w:vAlign w:val="center"/>
          </w:tcPr>
          <w:p w14:paraId="0D9C7594">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10</w:t>
            </w:r>
          </w:p>
        </w:tc>
        <w:tc>
          <w:tcPr>
            <w:tcW w:w="1005" w:type="dxa"/>
            <w:tcBorders>
              <w:tl2br w:val="nil"/>
              <w:tr2bl w:val="nil"/>
            </w:tcBorders>
            <w:vAlign w:val="center"/>
          </w:tcPr>
          <w:p w14:paraId="10392561">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11</w:t>
            </w:r>
          </w:p>
        </w:tc>
        <w:tc>
          <w:tcPr>
            <w:tcW w:w="1155" w:type="dxa"/>
            <w:tcBorders>
              <w:tl2br w:val="nil"/>
              <w:tr2bl w:val="nil"/>
            </w:tcBorders>
            <w:vAlign w:val="center"/>
          </w:tcPr>
          <w:p w14:paraId="39575871">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14</w:t>
            </w:r>
          </w:p>
        </w:tc>
        <w:tc>
          <w:tcPr>
            <w:tcW w:w="900" w:type="dxa"/>
            <w:tcBorders>
              <w:tl2br w:val="nil"/>
              <w:tr2bl w:val="nil"/>
            </w:tcBorders>
            <w:vAlign w:val="center"/>
          </w:tcPr>
          <w:p w14:paraId="0A893F9C">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07095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≤20</w:t>
            </w:r>
          </w:p>
        </w:tc>
        <w:tc>
          <w:tcPr>
            <w:tcW w:w="1185" w:type="dxa"/>
            <w:tcBorders>
              <w:tl2br w:val="nil"/>
              <w:tr2bl w:val="nil"/>
            </w:tcBorders>
            <w:vAlign w:val="top"/>
          </w:tcPr>
          <w:p w14:paraId="672030C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lang w:val="en-US" w:eastAsia="zh-CN"/>
              </w:rPr>
            </w:pPr>
            <w:r>
              <w:rPr>
                <w:rFonts w:hint="default" w:cs="Times New Roman"/>
                <w:color w:val="FF0000"/>
                <w:highlight w:val="none"/>
                <w:u w:val="wave" w:color="auto"/>
                <w:lang w:val="en-US" w:eastAsia="zh-CN"/>
              </w:rPr>
              <w:t>/</w:t>
            </w:r>
          </w:p>
        </w:tc>
      </w:tr>
      <w:tr w14:paraId="74EE1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20CDC7D8">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FA543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五日生化需氧量</w:t>
            </w:r>
          </w:p>
        </w:tc>
        <w:tc>
          <w:tcPr>
            <w:tcW w:w="1147" w:type="dxa"/>
            <w:tcBorders>
              <w:tl2br w:val="nil"/>
              <w:tr2bl w:val="nil"/>
            </w:tcBorders>
            <w:vAlign w:val="center"/>
          </w:tcPr>
          <w:p w14:paraId="1D9F4E90">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4.6</w:t>
            </w:r>
          </w:p>
        </w:tc>
        <w:tc>
          <w:tcPr>
            <w:tcW w:w="1005" w:type="dxa"/>
            <w:tcBorders>
              <w:tl2br w:val="nil"/>
              <w:tr2bl w:val="nil"/>
            </w:tcBorders>
            <w:vAlign w:val="center"/>
          </w:tcPr>
          <w:p w14:paraId="419A776A">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4.7</w:t>
            </w:r>
          </w:p>
        </w:tc>
        <w:tc>
          <w:tcPr>
            <w:tcW w:w="1155" w:type="dxa"/>
            <w:tcBorders>
              <w:tl2br w:val="nil"/>
              <w:tr2bl w:val="nil"/>
            </w:tcBorders>
            <w:vAlign w:val="center"/>
          </w:tcPr>
          <w:p w14:paraId="3B93A9FB">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4.1</w:t>
            </w:r>
          </w:p>
        </w:tc>
        <w:tc>
          <w:tcPr>
            <w:tcW w:w="900" w:type="dxa"/>
            <w:tcBorders>
              <w:tl2br w:val="nil"/>
              <w:tr2bl w:val="nil"/>
            </w:tcBorders>
            <w:vAlign w:val="center"/>
          </w:tcPr>
          <w:p w14:paraId="4A60F8CB">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77587C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≤4</w:t>
            </w:r>
          </w:p>
        </w:tc>
        <w:tc>
          <w:tcPr>
            <w:tcW w:w="1185" w:type="dxa"/>
            <w:tcBorders>
              <w:tl2br w:val="nil"/>
              <w:tr2bl w:val="nil"/>
            </w:tcBorders>
            <w:vAlign w:val="center"/>
          </w:tcPr>
          <w:p w14:paraId="221B5A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FF0000"/>
                <w:sz w:val="21"/>
                <w:szCs w:val="21"/>
                <w:highlight w:val="none"/>
                <w:u w:val="wave" w:color="auto"/>
                <w:lang w:val="en-US" w:eastAsia="zh-CN"/>
              </w:rPr>
            </w:pPr>
            <w:r>
              <w:rPr>
                <w:rFonts w:hint="eastAsia" w:cs="Times New Roman"/>
                <w:b/>
                <w:bCs/>
                <w:color w:val="FF0000"/>
                <w:sz w:val="21"/>
                <w:szCs w:val="21"/>
                <w:highlight w:val="none"/>
                <w:u w:val="wave" w:color="auto"/>
                <w:lang w:val="en-US" w:eastAsia="zh-CN"/>
              </w:rPr>
              <w:t>0.18</w:t>
            </w:r>
          </w:p>
        </w:tc>
      </w:tr>
      <w:tr w14:paraId="08D5A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09B2DB73">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1C3C22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氨氮</w:t>
            </w:r>
          </w:p>
        </w:tc>
        <w:tc>
          <w:tcPr>
            <w:tcW w:w="1147" w:type="dxa"/>
            <w:tcBorders>
              <w:tl2br w:val="nil"/>
              <w:tr2bl w:val="nil"/>
            </w:tcBorders>
            <w:vAlign w:val="center"/>
          </w:tcPr>
          <w:p w14:paraId="36F31E6C">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2.67</w:t>
            </w:r>
          </w:p>
        </w:tc>
        <w:tc>
          <w:tcPr>
            <w:tcW w:w="1005" w:type="dxa"/>
            <w:tcBorders>
              <w:tl2br w:val="nil"/>
              <w:tr2bl w:val="nil"/>
            </w:tcBorders>
            <w:vAlign w:val="center"/>
          </w:tcPr>
          <w:p w14:paraId="50249CBB">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2.52</w:t>
            </w:r>
          </w:p>
        </w:tc>
        <w:tc>
          <w:tcPr>
            <w:tcW w:w="1155" w:type="dxa"/>
            <w:tcBorders>
              <w:tl2br w:val="nil"/>
              <w:tr2bl w:val="nil"/>
            </w:tcBorders>
            <w:vAlign w:val="center"/>
          </w:tcPr>
          <w:p w14:paraId="57DDCDE6">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2.40</w:t>
            </w:r>
          </w:p>
        </w:tc>
        <w:tc>
          <w:tcPr>
            <w:tcW w:w="900" w:type="dxa"/>
            <w:tcBorders>
              <w:tl2br w:val="nil"/>
              <w:tr2bl w:val="nil"/>
            </w:tcBorders>
            <w:vAlign w:val="center"/>
          </w:tcPr>
          <w:p w14:paraId="215A8FD6">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3E4FAB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≤1.0</w:t>
            </w:r>
          </w:p>
        </w:tc>
        <w:tc>
          <w:tcPr>
            <w:tcW w:w="1185" w:type="dxa"/>
            <w:tcBorders>
              <w:tl2br w:val="nil"/>
              <w:tr2bl w:val="nil"/>
            </w:tcBorders>
            <w:vAlign w:val="center"/>
          </w:tcPr>
          <w:p w14:paraId="227E93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FF0000"/>
                <w:sz w:val="21"/>
                <w:szCs w:val="21"/>
                <w:highlight w:val="none"/>
                <w:u w:val="wave" w:color="auto"/>
                <w:lang w:val="en-US" w:eastAsia="zh-CN"/>
              </w:rPr>
            </w:pPr>
            <w:r>
              <w:rPr>
                <w:rFonts w:hint="eastAsia" w:cs="Times New Roman"/>
                <w:b/>
                <w:bCs/>
                <w:color w:val="FF0000"/>
                <w:sz w:val="21"/>
                <w:szCs w:val="21"/>
                <w:highlight w:val="none"/>
                <w:u w:val="wave" w:color="auto"/>
                <w:lang w:val="en-US" w:eastAsia="zh-CN"/>
              </w:rPr>
              <w:t>1.67</w:t>
            </w:r>
          </w:p>
        </w:tc>
      </w:tr>
      <w:tr w14:paraId="338DE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570D0155">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772D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总磷</w:t>
            </w:r>
          </w:p>
        </w:tc>
        <w:tc>
          <w:tcPr>
            <w:tcW w:w="1147" w:type="dxa"/>
            <w:tcBorders>
              <w:tl2br w:val="nil"/>
              <w:tr2bl w:val="nil"/>
            </w:tcBorders>
            <w:vAlign w:val="center"/>
          </w:tcPr>
          <w:p w14:paraId="047A85A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0.16</w:t>
            </w:r>
          </w:p>
        </w:tc>
        <w:tc>
          <w:tcPr>
            <w:tcW w:w="1005" w:type="dxa"/>
            <w:tcBorders>
              <w:tl2br w:val="nil"/>
              <w:tr2bl w:val="nil"/>
            </w:tcBorders>
            <w:vAlign w:val="center"/>
          </w:tcPr>
          <w:p w14:paraId="07A7D37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0.18</w:t>
            </w:r>
          </w:p>
        </w:tc>
        <w:tc>
          <w:tcPr>
            <w:tcW w:w="1155" w:type="dxa"/>
            <w:tcBorders>
              <w:tl2br w:val="nil"/>
              <w:tr2bl w:val="nil"/>
            </w:tcBorders>
            <w:vAlign w:val="center"/>
          </w:tcPr>
          <w:p w14:paraId="5F955976">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0.17</w:t>
            </w:r>
          </w:p>
        </w:tc>
        <w:tc>
          <w:tcPr>
            <w:tcW w:w="900" w:type="dxa"/>
            <w:tcBorders>
              <w:tl2br w:val="nil"/>
              <w:tr2bl w:val="nil"/>
            </w:tcBorders>
            <w:vAlign w:val="center"/>
          </w:tcPr>
          <w:p w14:paraId="0E8BBF89">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62766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≤0.2</w:t>
            </w:r>
          </w:p>
        </w:tc>
        <w:tc>
          <w:tcPr>
            <w:tcW w:w="1185" w:type="dxa"/>
            <w:tcBorders>
              <w:tl2br w:val="nil"/>
              <w:tr2bl w:val="nil"/>
            </w:tcBorders>
            <w:vAlign w:val="center"/>
          </w:tcPr>
          <w:p w14:paraId="031ED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lang w:val="en-US" w:eastAsia="zh-CN"/>
              </w:rPr>
            </w:pPr>
            <w:r>
              <w:rPr>
                <w:rFonts w:hint="default" w:cs="Times New Roman"/>
                <w:color w:val="FF0000"/>
                <w:highlight w:val="none"/>
                <w:u w:val="wave" w:color="auto"/>
                <w:lang w:val="en-US" w:eastAsia="zh-CN"/>
              </w:rPr>
              <w:t>/</w:t>
            </w:r>
          </w:p>
        </w:tc>
      </w:tr>
      <w:tr w14:paraId="10E79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30302770">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2BDC06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总氮</w:t>
            </w:r>
          </w:p>
        </w:tc>
        <w:tc>
          <w:tcPr>
            <w:tcW w:w="1147" w:type="dxa"/>
            <w:tcBorders>
              <w:tl2br w:val="nil"/>
              <w:tr2bl w:val="nil"/>
            </w:tcBorders>
            <w:vAlign w:val="center"/>
          </w:tcPr>
          <w:p w14:paraId="093646ED">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5.14</w:t>
            </w:r>
          </w:p>
        </w:tc>
        <w:tc>
          <w:tcPr>
            <w:tcW w:w="1005" w:type="dxa"/>
            <w:tcBorders>
              <w:tl2br w:val="nil"/>
              <w:tr2bl w:val="nil"/>
            </w:tcBorders>
            <w:vAlign w:val="center"/>
          </w:tcPr>
          <w:p w14:paraId="1ED41958">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5.36</w:t>
            </w:r>
          </w:p>
        </w:tc>
        <w:tc>
          <w:tcPr>
            <w:tcW w:w="1155" w:type="dxa"/>
            <w:tcBorders>
              <w:tl2br w:val="nil"/>
              <w:tr2bl w:val="nil"/>
            </w:tcBorders>
            <w:vAlign w:val="center"/>
          </w:tcPr>
          <w:p w14:paraId="279C6EB9">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5.25</w:t>
            </w:r>
          </w:p>
        </w:tc>
        <w:tc>
          <w:tcPr>
            <w:tcW w:w="900" w:type="dxa"/>
            <w:tcBorders>
              <w:tl2br w:val="nil"/>
              <w:tr2bl w:val="nil"/>
            </w:tcBorders>
            <w:vAlign w:val="center"/>
          </w:tcPr>
          <w:p w14:paraId="1FDFFA5E">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2AC3E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≤1.0</w:t>
            </w:r>
          </w:p>
        </w:tc>
        <w:tc>
          <w:tcPr>
            <w:tcW w:w="1185" w:type="dxa"/>
            <w:tcBorders>
              <w:tl2br w:val="nil"/>
              <w:tr2bl w:val="nil"/>
            </w:tcBorders>
            <w:vAlign w:val="center"/>
          </w:tcPr>
          <w:p w14:paraId="10879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lang w:val="en-US" w:eastAsia="zh-CN"/>
              </w:rPr>
            </w:pPr>
            <w:r>
              <w:rPr>
                <w:rFonts w:hint="eastAsia" w:cs="Times New Roman"/>
                <w:b/>
                <w:bCs/>
                <w:color w:val="FF0000"/>
                <w:sz w:val="21"/>
                <w:szCs w:val="21"/>
                <w:highlight w:val="none"/>
                <w:u w:val="wave" w:color="auto"/>
                <w:lang w:val="en-US" w:eastAsia="zh-CN"/>
              </w:rPr>
              <w:t>4.36</w:t>
            </w:r>
          </w:p>
        </w:tc>
      </w:tr>
      <w:tr w14:paraId="065CE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0404DBEA">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251EA4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悬浮物</w:t>
            </w:r>
          </w:p>
        </w:tc>
        <w:tc>
          <w:tcPr>
            <w:tcW w:w="1147" w:type="dxa"/>
            <w:tcBorders>
              <w:tl2br w:val="nil"/>
              <w:tr2bl w:val="nil"/>
            </w:tcBorders>
            <w:vAlign w:val="center"/>
          </w:tcPr>
          <w:p w14:paraId="56811866">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24</w:t>
            </w:r>
          </w:p>
        </w:tc>
        <w:tc>
          <w:tcPr>
            <w:tcW w:w="1005" w:type="dxa"/>
            <w:tcBorders>
              <w:tl2br w:val="nil"/>
              <w:tr2bl w:val="nil"/>
            </w:tcBorders>
            <w:vAlign w:val="center"/>
          </w:tcPr>
          <w:p w14:paraId="67524CF3">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25</w:t>
            </w:r>
          </w:p>
        </w:tc>
        <w:tc>
          <w:tcPr>
            <w:tcW w:w="1155" w:type="dxa"/>
            <w:tcBorders>
              <w:tl2br w:val="nil"/>
              <w:tr2bl w:val="nil"/>
            </w:tcBorders>
            <w:vAlign w:val="center"/>
          </w:tcPr>
          <w:p w14:paraId="2AAE6A6A">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23</w:t>
            </w:r>
          </w:p>
        </w:tc>
        <w:tc>
          <w:tcPr>
            <w:tcW w:w="900" w:type="dxa"/>
            <w:tcBorders>
              <w:tl2br w:val="nil"/>
              <w:tr2bl w:val="nil"/>
            </w:tcBorders>
            <w:vAlign w:val="center"/>
          </w:tcPr>
          <w:p w14:paraId="37495674">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3DDD0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w:t>
            </w:r>
          </w:p>
        </w:tc>
        <w:tc>
          <w:tcPr>
            <w:tcW w:w="1185" w:type="dxa"/>
            <w:tcBorders>
              <w:tl2br w:val="nil"/>
              <w:tr2bl w:val="nil"/>
            </w:tcBorders>
            <w:vAlign w:val="center"/>
          </w:tcPr>
          <w:p w14:paraId="5B5ACDE4">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0B5F1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39D4AC44">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077805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sz w:val="21"/>
                <w:szCs w:val="21"/>
                <w:highlight w:val="none"/>
                <w:u w:val="wave" w:color="auto"/>
                <w:lang w:val="en-US" w:eastAsia="zh-CN"/>
              </w:rPr>
              <w:t>动植物油</w:t>
            </w:r>
          </w:p>
        </w:tc>
        <w:tc>
          <w:tcPr>
            <w:tcW w:w="1147" w:type="dxa"/>
            <w:tcBorders>
              <w:tl2br w:val="nil"/>
              <w:tr2bl w:val="nil"/>
            </w:tcBorders>
            <w:vAlign w:val="center"/>
          </w:tcPr>
          <w:p w14:paraId="44B2861C">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3.56</w:t>
            </w:r>
          </w:p>
        </w:tc>
        <w:tc>
          <w:tcPr>
            <w:tcW w:w="1005" w:type="dxa"/>
            <w:tcBorders>
              <w:tl2br w:val="nil"/>
              <w:tr2bl w:val="nil"/>
            </w:tcBorders>
            <w:vAlign w:val="center"/>
          </w:tcPr>
          <w:p w14:paraId="47138CB9">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3.03</w:t>
            </w:r>
          </w:p>
        </w:tc>
        <w:tc>
          <w:tcPr>
            <w:tcW w:w="1155" w:type="dxa"/>
            <w:tcBorders>
              <w:tl2br w:val="nil"/>
              <w:tr2bl w:val="nil"/>
            </w:tcBorders>
            <w:vAlign w:val="center"/>
          </w:tcPr>
          <w:p w14:paraId="4B21E82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2.98</w:t>
            </w:r>
          </w:p>
        </w:tc>
        <w:tc>
          <w:tcPr>
            <w:tcW w:w="900" w:type="dxa"/>
            <w:tcBorders>
              <w:tl2br w:val="nil"/>
              <w:tr2bl w:val="nil"/>
            </w:tcBorders>
            <w:vAlign w:val="center"/>
          </w:tcPr>
          <w:p w14:paraId="7444444B">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474139A7">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w:t>
            </w:r>
          </w:p>
        </w:tc>
        <w:tc>
          <w:tcPr>
            <w:tcW w:w="1185" w:type="dxa"/>
            <w:tcBorders>
              <w:tl2br w:val="nil"/>
              <w:tr2bl w:val="nil"/>
            </w:tcBorders>
            <w:vAlign w:val="center"/>
          </w:tcPr>
          <w:p w14:paraId="0A1E8107">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7C068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6B5C2213">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1B2CA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阴离子表面活性剂</w:t>
            </w:r>
          </w:p>
        </w:tc>
        <w:tc>
          <w:tcPr>
            <w:tcW w:w="1147" w:type="dxa"/>
            <w:tcBorders>
              <w:tl2br w:val="nil"/>
              <w:tr2bl w:val="nil"/>
            </w:tcBorders>
            <w:vAlign w:val="center"/>
          </w:tcPr>
          <w:p w14:paraId="4EF05D99">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005" w:type="dxa"/>
            <w:tcBorders>
              <w:tl2br w:val="nil"/>
              <w:tr2bl w:val="nil"/>
            </w:tcBorders>
            <w:vAlign w:val="center"/>
          </w:tcPr>
          <w:p w14:paraId="11B19657">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155" w:type="dxa"/>
            <w:tcBorders>
              <w:tl2br w:val="nil"/>
              <w:tr2bl w:val="nil"/>
            </w:tcBorders>
            <w:vAlign w:val="center"/>
          </w:tcPr>
          <w:p w14:paraId="12D39B26">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900" w:type="dxa"/>
            <w:tcBorders>
              <w:tl2br w:val="nil"/>
              <w:tr2bl w:val="nil"/>
            </w:tcBorders>
            <w:vAlign w:val="center"/>
          </w:tcPr>
          <w:p w14:paraId="341BAE0E">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3CB7F0D2">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0.2</w:t>
            </w:r>
          </w:p>
        </w:tc>
        <w:tc>
          <w:tcPr>
            <w:tcW w:w="1185" w:type="dxa"/>
            <w:tcBorders>
              <w:tl2br w:val="nil"/>
              <w:tr2bl w:val="nil"/>
            </w:tcBorders>
            <w:vAlign w:val="center"/>
          </w:tcPr>
          <w:p w14:paraId="01B67F2B">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2F1F5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35F8DFD4">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1023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粪大肠菌群</w:t>
            </w:r>
          </w:p>
        </w:tc>
        <w:tc>
          <w:tcPr>
            <w:tcW w:w="1147" w:type="dxa"/>
            <w:tcBorders>
              <w:tl2br w:val="nil"/>
              <w:tr2bl w:val="nil"/>
            </w:tcBorders>
            <w:vAlign w:val="center"/>
          </w:tcPr>
          <w:p w14:paraId="0D8C1ACE">
            <w:pPr>
              <w:keepNext w:val="0"/>
              <w:keepLines w:val="0"/>
              <w:widowControl/>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1.7</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005" w:type="dxa"/>
            <w:tcBorders>
              <w:tl2br w:val="nil"/>
              <w:tr2bl w:val="nil"/>
            </w:tcBorders>
            <w:vAlign w:val="center"/>
          </w:tcPr>
          <w:p w14:paraId="3D26E428">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2.0</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155" w:type="dxa"/>
            <w:tcBorders>
              <w:tl2br w:val="nil"/>
              <w:tr2bl w:val="nil"/>
            </w:tcBorders>
            <w:vAlign w:val="center"/>
          </w:tcPr>
          <w:p w14:paraId="11937594">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1.1</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900" w:type="dxa"/>
            <w:tcBorders>
              <w:tl2br w:val="nil"/>
              <w:tr2bl w:val="nil"/>
            </w:tcBorders>
            <w:vAlign w:val="center"/>
          </w:tcPr>
          <w:p w14:paraId="07801E61">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eastAsia" w:ascii="Times New Roman" w:hAnsi="Times New Roman" w:eastAsia="宋体" w:cs="Times New Roman"/>
                <w:color w:val="FF0000"/>
                <w:kern w:val="0"/>
                <w:sz w:val="21"/>
                <w:szCs w:val="21"/>
                <w:lang w:val="en-US" w:eastAsia="zh-CN" w:bidi="ar"/>
              </w:rPr>
              <w:t>个</w:t>
            </w:r>
            <w:r>
              <w:rPr>
                <w:rFonts w:hint="default" w:ascii="Times New Roman" w:hAnsi="Times New Roman" w:eastAsia="宋体" w:cs="Times New Roman"/>
                <w:color w:val="FF0000"/>
                <w:kern w:val="0"/>
                <w:sz w:val="21"/>
                <w:szCs w:val="21"/>
                <w:lang w:val="en-US" w:eastAsia="zh-CN" w:bidi="ar"/>
              </w:rPr>
              <w:t>/L</w:t>
            </w:r>
          </w:p>
        </w:tc>
        <w:tc>
          <w:tcPr>
            <w:tcW w:w="1260" w:type="dxa"/>
            <w:tcBorders>
              <w:tl2br w:val="nil"/>
              <w:tr2bl w:val="nil"/>
            </w:tcBorders>
            <w:vAlign w:val="center"/>
          </w:tcPr>
          <w:p w14:paraId="0B76C134">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10000</w:t>
            </w:r>
          </w:p>
        </w:tc>
        <w:tc>
          <w:tcPr>
            <w:tcW w:w="1185" w:type="dxa"/>
            <w:tcBorders>
              <w:tl2br w:val="nil"/>
              <w:tr2bl w:val="nil"/>
            </w:tcBorders>
            <w:vAlign w:val="center"/>
          </w:tcPr>
          <w:p w14:paraId="4A6890FC">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10F03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restart"/>
            <w:tcBorders>
              <w:tl2br w:val="nil"/>
              <w:tr2bl w:val="nil"/>
            </w:tcBorders>
          </w:tcPr>
          <w:p w14:paraId="1457DB1A">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W4机排二十渠与老三运河交汇处下游500m（老三运河）</w:t>
            </w:r>
          </w:p>
        </w:tc>
        <w:tc>
          <w:tcPr>
            <w:tcW w:w="1305" w:type="dxa"/>
            <w:tcBorders>
              <w:tl2br w:val="nil"/>
              <w:tr2bl w:val="nil"/>
            </w:tcBorders>
            <w:vAlign w:val="top"/>
          </w:tcPr>
          <w:p w14:paraId="5BA12675">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pH值</w:t>
            </w:r>
          </w:p>
        </w:tc>
        <w:tc>
          <w:tcPr>
            <w:tcW w:w="1147" w:type="dxa"/>
            <w:tcBorders>
              <w:tl2br w:val="nil"/>
              <w:tr2bl w:val="nil"/>
            </w:tcBorders>
            <w:vAlign w:val="center"/>
          </w:tcPr>
          <w:p w14:paraId="0114FD8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8.0</w:t>
            </w:r>
          </w:p>
        </w:tc>
        <w:tc>
          <w:tcPr>
            <w:tcW w:w="1005" w:type="dxa"/>
            <w:tcBorders>
              <w:tl2br w:val="nil"/>
              <w:tr2bl w:val="nil"/>
            </w:tcBorders>
            <w:vAlign w:val="center"/>
          </w:tcPr>
          <w:p w14:paraId="19C640C6">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7.9</w:t>
            </w:r>
          </w:p>
        </w:tc>
        <w:tc>
          <w:tcPr>
            <w:tcW w:w="1155" w:type="dxa"/>
            <w:tcBorders>
              <w:tl2br w:val="nil"/>
              <w:tr2bl w:val="nil"/>
            </w:tcBorders>
            <w:vAlign w:val="center"/>
          </w:tcPr>
          <w:p w14:paraId="3B0C4B7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7.9</w:t>
            </w:r>
          </w:p>
        </w:tc>
        <w:tc>
          <w:tcPr>
            <w:tcW w:w="900" w:type="dxa"/>
            <w:tcBorders>
              <w:tl2br w:val="nil"/>
              <w:tr2bl w:val="nil"/>
            </w:tcBorders>
            <w:vAlign w:val="center"/>
          </w:tcPr>
          <w:p w14:paraId="2038D7F8">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无量纲</w:t>
            </w:r>
          </w:p>
        </w:tc>
        <w:tc>
          <w:tcPr>
            <w:tcW w:w="1260" w:type="dxa"/>
            <w:tcBorders>
              <w:tl2br w:val="nil"/>
              <w:tr2bl w:val="nil"/>
            </w:tcBorders>
            <w:vAlign w:val="center"/>
          </w:tcPr>
          <w:p w14:paraId="77EDC949">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6~9</w:t>
            </w:r>
          </w:p>
        </w:tc>
        <w:tc>
          <w:tcPr>
            <w:tcW w:w="1185" w:type="dxa"/>
            <w:tcBorders>
              <w:tl2br w:val="nil"/>
              <w:tr2bl w:val="nil"/>
            </w:tcBorders>
            <w:vAlign w:val="center"/>
          </w:tcPr>
          <w:p w14:paraId="19773F58">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48FE3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65051F25">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53998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化学需氧量</w:t>
            </w:r>
          </w:p>
        </w:tc>
        <w:tc>
          <w:tcPr>
            <w:tcW w:w="1147" w:type="dxa"/>
            <w:tcBorders>
              <w:tl2br w:val="nil"/>
              <w:tr2bl w:val="nil"/>
            </w:tcBorders>
            <w:vAlign w:val="center"/>
          </w:tcPr>
          <w:p w14:paraId="1FC32ECA">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13</w:t>
            </w:r>
          </w:p>
        </w:tc>
        <w:tc>
          <w:tcPr>
            <w:tcW w:w="1005" w:type="dxa"/>
            <w:tcBorders>
              <w:tl2br w:val="nil"/>
              <w:tr2bl w:val="nil"/>
            </w:tcBorders>
            <w:vAlign w:val="center"/>
          </w:tcPr>
          <w:p w14:paraId="43835C18">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15</w:t>
            </w:r>
          </w:p>
        </w:tc>
        <w:tc>
          <w:tcPr>
            <w:tcW w:w="1155" w:type="dxa"/>
            <w:tcBorders>
              <w:tl2br w:val="nil"/>
              <w:tr2bl w:val="nil"/>
            </w:tcBorders>
            <w:vAlign w:val="center"/>
          </w:tcPr>
          <w:p w14:paraId="2D662653">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17</w:t>
            </w:r>
          </w:p>
        </w:tc>
        <w:tc>
          <w:tcPr>
            <w:tcW w:w="900" w:type="dxa"/>
            <w:tcBorders>
              <w:tl2br w:val="nil"/>
              <w:tr2bl w:val="nil"/>
            </w:tcBorders>
            <w:vAlign w:val="center"/>
          </w:tcPr>
          <w:p w14:paraId="057ED43C">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63CA0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≤20</w:t>
            </w:r>
          </w:p>
        </w:tc>
        <w:tc>
          <w:tcPr>
            <w:tcW w:w="1185" w:type="dxa"/>
            <w:tcBorders>
              <w:tl2br w:val="nil"/>
              <w:tr2bl w:val="nil"/>
            </w:tcBorders>
            <w:vAlign w:val="center"/>
          </w:tcPr>
          <w:p w14:paraId="41D23CAD">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37ACF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21CD3E70">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E1C4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五日生化需氧量</w:t>
            </w:r>
          </w:p>
        </w:tc>
        <w:tc>
          <w:tcPr>
            <w:tcW w:w="1147" w:type="dxa"/>
            <w:tcBorders>
              <w:tl2br w:val="nil"/>
              <w:tr2bl w:val="nil"/>
            </w:tcBorders>
            <w:vAlign w:val="center"/>
          </w:tcPr>
          <w:p w14:paraId="0189986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3.8</w:t>
            </w:r>
          </w:p>
        </w:tc>
        <w:tc>
          <w:tcPr>
            <w:tcW w:w="1005" w:type="dxa"/>
            <w:tcBorders>
              <w:tl2br w:val="nil"/>
              <w:tr2bl w:val="nil"/>
            </w:tcBorders>
            <w:vAlign w:val="center"/>
          </w:tcPr>
          <w:p w14:paraId="6E347469">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3.7</w:t>
            </w:r>
          </w:p>
        </w:tc>
        <w:tc>
          <w:tcPr>
            <w:tcW w:w="1155" w:type="dxa"/>
            <w:tcBorders>
              <w:tl2br w:val="nil"/>
              <w:tr2bl w:val="nil"/>
            </w:tcBorders>
            <w:vAlign w:val="center"/>
          </w:tcPr>
          <w:p w14:paraId="06D1D00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4.3</w:t>
            </w:r>
          </w:p>
        </w:tc>
        <w:tc>
          <w:tcPr>
            <w:tcW w:w="900" w:type="dxa"/>
            <w:tcBorders>
              <w:tl2br w:val="nil"/>
              <w:tr2bl w:val="nil"/>
            </w:tcBorders>
            <w:vAlign w:val="center"/>
          </w:tcPr>
          <w:p w14:paraId="0F97E615">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3BAFB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≤4</w:t>
            </w:r>
          </w:p>
        </w:tc>
        <w:tc>
          <w:tcPr>
            <w:tcW w:w="1185" w:type="dxa"/>
            <w:tcBorders>
              <w:tl2br w:val="nil"/>
              <w:tr2bl w:val="nil"/>
            </w:tcBorders>
            <w:vAlign w:val="center"/>
          </w:tcPr>
          <w:p w14:paraId="4FC99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FF0000"/>
                <w:sz w:val="21"/>
                <w:szCs w:val="21"/>
                <w:highlight w:val="none"/>
                <w:u w:val="wave" w:color="auto"/>
                <w:lang w:val="en-US" w:eastAsia="zh-CN"/>
              </w:rPr>
            </w:pPr>
            <w:r>
              <w:rPr>
                <w:rFonts w:hint="eastAsia" w:cs="Times New Roman"/>
                <w:b/>
                <w:bCs/>
                <w:color w:val="FF0000"/>
                <w:sz w:val="21"/>
                <w:szCs w:val="21"/>
                <w:highlight w:val="none"/>
                <w:u w:val="wave" w:color="auto"/>
                <w:lang w:val="en-US" w:eastAsia="zh-CN"/>
              </w:rPr>
              <w:t>0.08</w:t>
            </w:r>
          </w:p>
        </w:tc>
      </w:tr>
      <w:tr w14:paraId="5B627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1B9B3534">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62985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氨氮</w:t>
            </w:r>
          </w:p>
        </w:tc>
        <w:tc>
          <w:tcPr>
            <w:tcW w:w="1147" w:type="dxa"/>
            <w:tcBorders>
              <w:tl2br w:val="nil"/>
              <w:tr2bl w:val="nil"/>
            </w:tcBorders>
            <w:vAlign w:val="center"/>
          </w:tcPr>
          <w:p w14:paraId="720AC60F">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2.40</w:t>
            </w:r>
          </w:p>
        </w:tc>
        <w:tc>
          <w:tcPr>
            <w:tcW w:w="1005" w:type="dxa"/>
            <w:tcBorders>
              <w:tl2br w:val="nil"/>
              <w:tr2bl w:val="nil"/>
            </w:tcBorders>
            <w:vAlign w:val="center"/>
          </w:tcPr>
          <w:p w14:paraId="3E29B488">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2.31</w:t>
            </w:r>
          </w:p>
        </w:tc>
        <w:tc>
          <w:tcPr>
            <w:tcW w:w="1155" w:type="dxa"/>
            <w:tcBorders>
              <w:tl2br w:val="nil"/>
              <w:tr2bl w:val="nil"/>
            </w:tcBorders>
            <w:vAlign w:val="center"/>
          </w:tcPr>
          <w:p w14:paraId="5F41A005">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2.82</w:t>
            </w:r>
          </w:p>
        </w:tc>
        <w:tc>
          <w:tcPr>
            <w:tcW w:w="900" w:type="dxa"/>
            <w:tcBorders>
              <w:tl2br w:val="nil"/>
              <w:tr2bl w:val="nil"/>
            </w:tcBorders>
            <w:vAlign w:val="center"/>
          </w:tcPr>
          <w:p w14:paraId="16D0303F">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2C2A7E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≤1.0</w:t>
            </w:r>
          </w:p>
        </w:tc>
        <w:tc>
          <w:tcPr>
            <w:tcW w:w="1185" w:type="dxa"/>
            <w:tcBorders>
              <w:tl2br w:val="nil"/>
              <w:tr2bl w:val="nil"/>
            </w:tcBorders>
            <w:vAlign w:val="center"/>
          </w:tcPr>
          <w:p w14:paraId="73D8A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FF0000"/>
                <w:sz w:val="21"/>
                <w:szCs w:val="21"/>
                <w:highlight w:val="none"/>
                <w:u w:val="wave" w:color="auto"/>
                <w:lang w:val="en-US" w:eastAsia="zh-CN"/>
              </w:rPr>
            </w:pPr>
            <w:r>
              <w:rPr>
                <w:rFonts w:hint="eastAsia" w:cs="Times New Roman"/>
                <w:b/>
                <w:bCs/>
                <w:color w:val="FF0000"/>
                <w:sz w:val="21"/>
                <w:szCs w:val="21"/>
                <w:highlight w:val="none"/>
                <w:u w:val="wave" w:color="auto"/>
                <w:lang w:val="en-US" w:eastAsia="zh-CN"/>
              </w:rPr>
              <w:t>1.82</w:t>
            </w:r>
          </w:p>
        </w:tc>
      </w:tr>
      <w:tr w14:paraId="55889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50597984">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0EEFC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总磷</w:t>
            </w:r>
          </w:p>
        </w:tc>
        <w:tc>
          <w:tcPr>
            <w:tcW w:w="1147" w:type="dxa"/>
            <w:tcBorders>
              <w:tl2br w:val="nil"/>
              <w:tr2bl w:val="nil"/>
            </w:tcBorders>
            <w:vAlign w:val="center"/>
          </w:tcPr>
          <w:p w14:paraId="1119189A">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0.22</w:t>
            </w:r>
          </w:p>
        </w:tc>
        <w:tc>
          <w:tcPr>
            <w:tcW w:w="1005" w:type="dxa"/>
            <w:tcBorders>
              <w:tl2br w:val="nil"/>
              <w:tr2bl w:val="nil"/>
            </w:tcBorders>
            <w:vAlign w:val="center"/>
          </w:tcPr>
          <w:p w14:paraId="16C41149">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0.23</w:t>
            </w:r>
          </w:p>
        </w:tc>
        <w:tc>
          <w:tcPr>
            <w:tcW w:w="1155" w:type="dxa"/>
            <w:tcBorders>
              <w:tl2br w:val="nil"/>
              <w:tr2bl w:val="nil"/>
            </w:tcBorders>
            <w:vAlign w:val="center"/>
          </w:tcPr>
          <w:p w14:paraId="4A0BD274">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0.20</w:t>
            </w:r>
          </w:p>
        </w:tc>
        <w:tc>
          <w:tcPr>
            <w:tcW w:w="900" w:type="dxa"/>
            <w:tcBorders>
              <w:tl2br w:val="nil"/>
              <w:tr2bl w:val="nil"/>
            </w:tcBorders>
            <w:vAlign w:val="center"/>
          </w:tcPr>
          <w:p w14:paraId="2BAA9550">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028E3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≤0.2</w:t>
            </w:r>
          </w:p>
        </w:tc>
        <w:tc>
          <w:tcPr>
            <w:tcW w:w="1185" w:type="dxa"/>
            <w:tcBorders>
              <w:tl2br w:val="nil"/>
              <w:tr2bl w:val="nil"/>
            </w:tcBorders>
            <w:vAlign w:val="center"/>
          </w:tcPr>
          <w:p w14:paraId="21BCBF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FF0000"/>
                <w:sz w:val="21"/>
                <w:szCs w:val="21"/>
                <w:highlight w:val="none"/>
                <w:u w:val="wave" w:color="auto"/>
                <w:lang w:val="en-US" w:eastAsia="zh-CN"/>
              </w:rPr>
            </w:pPr>
            <w:r>
              <w:rPr>
                <w:rFonts w:hint="eastAsia" w:cs="Times New Roman"/>
                <w:b/>
                <w:bCs/>
                <w:color w:val="FF0000"/>
                <w:sz w:val="21"/>
                <w:szCs w:val="21"/>
                <w:highlight w:val="none"/>
                <w:u w:val="wave" w:color="auto"/>
                <w:lang w:val="en-US" w:eastAsia="zh-CN"/>
              </w:rPr>
              <w:t>0.15</w:t>
            </w:r>
          </w:p>
        </w:tc>
      </w:tr>
      <w:tr w14:paraId="1CF6B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086FF2F6">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5126E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总氮</w:t>
            </w:r>
          </w:p>
        </w:tc>
        <w:tc>
          <w:tcPr>
            <w:tcW w:w="1147" w:type="dxa"/>
            <w:tcBorders>
              <w:tl2br w:val="nil"/>
              <w:tr2bl w:val="nil"/>
            </w:tcBorders>
            <w:vAlign w:val="center"/>
          </w:tcPr>
          <w:p w14:paraId="32D93492">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5.36</w:t>
            </w:r>
          </w:p>
        </w:tc>
        <w:tc>
          <w:tcPr>
            <w:tcW w:w="1005" w:type="dxa"/>
            <w:tcBorders>
              <w:tl2br w:val="nil"/>
              <w:tr2bl w:val="nil"/>
            </w:tcBorders>
            <w:vAlign w:val="center"/>
          </w:tcPr>
          <w:p w14:paraId="4921A8EC">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5.57</w:t>
            </w:r>
          </w:p>
        </w:tc>
        <w:tc>
          <w:tcPr>
            <w:tcW w:w="1155" w:type="dxa"/>
            <w:tcBorders>
              <w:tl2br w:val="nil"/>
              <w:tr2bl w:val="nil"/>
            </w:tcBorders>
            <w:vAlign w:val="center"/>
          </w:tcPr>
          <w:p w14:paraId="52E72EDC">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5.47</w:t>
            </w:r>
          </w:p>
        </w:tc>
        <w:tc>
          <w:tcPr>
            <w:tcW w:w="900" w:type="dxa"/>
            <w:tcBorders>
              <w:tl2br w:val="nil"/>
              <w:tr2bl w:val="nil"/>
            </w:tcBorders>
            <w:vAlign w:val="center"/>
          </w:tcPr>
          <w:p w14:paraId="62569D7B">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0AF02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≤1.0</w:t>
            </w:r>
          </w:p>
        </w:tc>
        <w:tc>
          <w:tcPr>
            <w:tcW w:w="1185" w:type="dxa"/>
            <w:tcBorders>
              <w:tl2br w:val="nil"/>
              <w:tr2bl w:val="nil"/>
            </w:tcBorders>
            <w:vAlign w:val="center"/>
          </w:tcPr>
          <w:p w14:paraId="755DB7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FF0000"/>
                <w:sz w:val="21"/>
                <w:szCs w:val="21"/>
                <w:highlight w:val="none"/>
                <w:u w:val="wave" w:color="auto"/>
                <w:lang w:val="en-US" w:eastAsia="zh-CN"/>
              </w:rPr>
            </w:pPr>
            <w:r>
              <w:rPr>
                <w:rFonts w:hint="eastAsia" w:cs="Times New Roman"/>
                <w:b/>
                <w:bCs/>
                <w:color w:val="FF0000"/>
                <w:sz w:val="21"/>
                <w:szCs w:val="21"/>
                <w:highlight w:val="none"/>
                <w:u w:val="wave" w:color="auto"/>
                <w:lang w:val="en-US" w:eastAsia="zh-CN"/>
              </w:rPr>
              <w:t>4.57</w:t>
            </w:r>
          </w:p>
        </w:tc>
      </w:tr>
      <w:tr w14:paraId="401CC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79E8CBC4">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C2B0A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悬浮物</w:t>
            </w:r>
          </w:p>
        </w:tc>
        <w:tc>
          <w:tcPr>
            <w:tcW w:w="1147" w:type="dxa"/>
            <w:tcBorders>
              <w:tl2br w:val="nil"/>
              <w:tr2bl w:val="nil"/>
            </w:tcBorders>
            <w:vAlign w:val="center"/>
          </w:tcPr>
          <w:p w14:paraId="1BA105C4">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30</w:t>
            </w:r>
          </w:p>
        </w:tc>
        <w:tc>
          <w:tcPr>
            <w:tcW w:w="1005" w:type="dxa"/>
            <w:tcBorders>
              <w:tl2br w:val="nil"/>
              <w:tr2bl w:val="nil"/>
            </w:tcBorders>
            <w:vAlign w:val="center"/>
          </w:tcPr>
          <w:p w14:paraId="12AE7ABF">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31</w:t>
            </w:r>
          </w:p>
        </w:tc>
        <w:tc>
          <w:tcPr>
            <w:tcW w:w="1155" w:type="dxa"/>
            <w:tcBorders>
              <w:tl2br w:val="nil"/>
              <w:tr2bl w:val="nil"/>
            </w:tcBorders>
            <w:vAlign w:val="center"/>
          </w:tcPr>
          <w:p w14:paraId="15E7EF6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34</w:t>
            </w:r>
          </w:p>
        </w:tc>
        <w:tc>
          <w:tcPr>
            <w:tcW w:w="900" w:type="dxa"/>
            <w:tcBorders>
              <w:tl2br w:val="nil"/>
              <w:tr2bl w:val="nil"/>
            </w:tcBorders>
            <w:vAlign w:val="center"/>
          </w:tcPr>
          <w:p w14:paraId="1D1D86D8">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10D44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w:t>
            </w:r>
          </w:p>
        </w:tc>
        <w:tc>
          <w:tcPr>
            <w:tcW w:w="1185" w:type="dxa"/>
            <w:tcBorders>
              <w:tl2br w:val="nil"/>
              <w:tr2bl w:val="nil"/>
            </w:tcBorders>
            <w:vAlign w:val="center"/>
          </w:tcPr>
          <w:p w14:paraId="1229F82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lang w:val="en-US" w:eastAsia="zh-CN"/>
              </w:rPr>
            </w:pPr>
            <w:r>
              <w:rPr>
                <w:rFonts w:hint="default" w:cs="Times New Roman"/>
                <w:color w:val="FF0000"/>
                <w:highlight w:val="none"/>
                <w:u w:val="wave" w:color="auto"/>
                <w:lang w:val="en-US" w:eastAsia="zh-CN"/>
              </w:rPr>
              <w:t>/</w:t>
            </w:r>
          </w:p>
        </w:tc>
      </w:tr>
      <w:tr w14:paraId="3B8B1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002B0EBC">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4A426D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sz w:val="21"/>
                <w:szCs w:val="21"/>
                <w:highlight w:val="none"/>
                <w:u w:val="wave" w:color="auto"/>
                <w:lang w:val="en-US" w:eastAsia="zh-CN"/>
              </w:rPr>
              <w:t>动植物油</w:t>
            </w:r>
          </w:p>
        </w:tc>
        <w:tc>
          <w:tcPr>
            <w:tcW w:w="1147" w:type="dxa"/>
            <w:tcBorders>
              <w:tl2br w:val="nil"/>
              <w:tr2bl w:val="nil"/>
            </w:tcBorders>
            <w:vAlign w:val="center"/>
          </w:tcPr>
          <w:p w14:paraId="2FCD863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3.84</w:t>
            </w:r>
          </w:p>
        </w:tc>
        <w:tc>
          <w:tcPr>
            <w:tcW w:w="1005" w:type="dxa"/>
            <w:tcBorders>
              <w:tl2br w:val="nil"/>
              <w:tr2bl w:val="nil"/>
            </w:tcBorders>
            <w:vAlign w:val="center"/>
          </w:tcPr>
          <w:p w14:paraId="235D1CB7">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3.20</w:t>
            </w:r>
          </w:p>
        </w:tc>
        <w:tc>
          <w:tcPr>
            <w:tcW w:w="1155" w:type="dxa"/>
            <w:tcBorders>
              <w:tl2br w:val="nil"/>
              <w:tr2bl w:val="nil"/>
            </w:tcBorders>
            <w:vAlign w:val="center"/>
          </w:tcPr>
          <w:p w14:paraId="1FCF2E2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3.20</w:t>
            </w:r>
          </w:p>
        </w:tc>
        <w:tc>
          <w:tcPr>
            <w:tcW w:w="900" w:type="dxa"/>
            <w:tcBorders>
              <w:tl2br w:val="nil"/>
              <w:tr2bl w:val="nil"/>
            </w:tcBorders>
            <w:vAlign w:val="center"/>
          </w:tcPr>
          <w:p w14:paraId="0C88930F">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37CAF88F">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w:t>
            </w:r>
          </w:p>
        </w:tc>
        <w:tc>
          <w:tcPr>
            <w:tcW w:w="1185" w:type="dxa"/>
            <w:tcBorders>
              <w:tl2br w:val="nil"/>
              <w:tr2bl w:val="nil"/>
            </w:tcBorders>
            <w:vAlign w:val="center"/>
          </w:tcPr>
          <w:p w14:paraId="4C66DAB9">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4A026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73CE2377">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45C041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阴离子表面活性剂</w:t>
            </w:r>
          </w:p>
        </w:tc>
        <w:tc>
          <w:tcPr>
            <w:tcW w:w="1147" w:type="dxa"/>
            <w:tcBorders>
              <w:tl2br w:val="nil"/>
              <w:tr2bl w:val="nil"/>
            </w:tcBorders>
            <w:vAlign w:val="center"/>
          </w:tcPr>
          <w:p w14:paraId="79949773">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005" w:type="dxa"/>
            <w:tcBorders>
              <w:tl2br w:val="nil"/>
              <w:tr2bl w:val="nil"/>
            </w:tcBorders>
            <w:vAlign w:val="center"/>
          </w:tcPr>
          <w:p w14:paraId="5E4F3FAD">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155" w:type="dxa"/>
            <w:tcBorders>
              <w:tl2br w:val="nil"/>
              <w:tr2bl w:val="nil"/>
            </w:tcBorders>
            <w:vAlign w:val="center"/>
          </w:tcPr>
          <w:p w14:paraId="406225C8">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900" w:type="dxa"/>
            <w:tcBorders>
              <w:tl2br w:val="nil"/>
              <w:tr2bl w:val="nil"/>
            </w:tcBorders>
            <w:vAlign w:val="center"/>
          </w:tcPr>
          <w:p w14:paraId="04C9D512">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260" w:type="dxa"/>
            <w:tcBorders>
              <w:tl2br w:val="nil"/>
              <w:tr2bl w:val="nil"/>
            </w:tcBorders>
            <w:vAlign w:val="center"/>
          </w:tcPr>
          <w:p w14:paraId="7DAC0A86">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0.2</w:t>
            </w:r>
          </w:p>
        </w:tc>
        <w:tc>
          <w:tcPr>
            <w:tcW w:w="1185" w:type="dxa"/>
            <w:tcBorders>
              <w:tl2br w:val="nil"/>
              <w:tr2bl w:val="nil"/>
            </w:tcBorders>
            <w:vAlign w:val="center"/>
          </w:tcPr>
          <w:p w14:paraId="6AE2A6FC">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741F1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71D2B64F">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63DE4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粪大肠菌群</w:t>
            </w:r>
          </w:p>
        </w:tc>
        <w:tc>
          <w:tcPr>
            <w:tcW w:w="1147" w:type="dxa"/>
            <w:tcBorders>
              <w:tl2br w:val="nil"/>
              <w:tr2bl w:val="nil"/>
            </w:tcBorders>
            <w:vAlign w:val="center"/>
          </w:tcPr>
          <w:p w14:paraId="2284D7BE">
            <w:pPr>
              <w:keepNext w:val="0"/>
              <w:keepLines w:val="0"/>
              <w:widowControl/>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2.2</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005" w:type="dxa"/>
            <w:tcBorders>
              <w:tl2br w:val="nil"/>
              <w:tr2bl w:val="nil"/>
            </w:tcBorders>
            <w:vAlign w:val="center"/>
          </w:tcPr>
          <w:p w14:paraId="0B0DFF34">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2.1</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155" w:type="dxa"/>
            <w:tcBorders>
              <w:tl2br w:val="nil"/>
              <w:tr2bl w:val="nil"/>
            </w:tcBorders>
            <w:vAlign w:val="center"/>
          </w:tcPr>
          <w:p w14:paraId="2BE9A1E6">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1.7</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900" w:type="dxa"/>
            <w:tcBorders>
              <w:tl2br w:val="nil"/>
              <w:tr2bl w:val="nil"/>
            </w:tcBorders>
            <w:vAlign w:val="center"/>
          </w:tcPr>
          <w:p w14:paraId="6F21A78A">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eastAsia" w:ascii="Times New Roman" w:hAnsi="Times New Roman" w:eastAsia="宋体" w:cs="Times New Roman"/>
                <w:color w:val="FF0000"/>
                <w:kern w:val="0"/>
                <w:sz w:val="21"/>
                <w:szCs w:val="21"/>
                <w:lang w:val="en-US" w:eastAsia="zh-CN" w:bidi="ar"/>
              </w:rPr>
              <w:t>个</w:t>
            </w:r>
            <w:r>
              <w:rPr>
                <w:rFonts w:hint="default" w:ascii="Times New Roman" w:hAnsi="Times New Roman" w:eastAsia="宋体" w:cs="Times New Roman"/>
                <w:color w:val="FF0000"/>
                <w:kern w:val="0"/>
                <w:sz w:val="21"/>
                <w:szCs w:val="21"/>
                <w:lang w:val="en-US" w:eastAsia="zh-CN" w:bidi="ar"/>
              </w:rPr>
              <w:t>/L</w:t>
            </w:r>
          </w:p>
        </w:tc>
        <w:tc>
          <w:tcPr>
            <w:tcW w:w="1260" w:type="dxa"/>
            <w:tcBorders>
              <w:tl2br w:val="nil"/>
              <w:tr2bl w:val="nil"/>
            </w:tcBorders>
            <w:vAlign w:val="center"/>
          </w:tcPr>
          <w:p w14:paraId="63C9CBE0">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10000</w:t>
            </w:r>
          </w:p>
        </w:tc>
        <w:tc>
          <w:tcPr>
            <w:tcW w:w="1185" w:type="dxa"/>
            <w:tcBorders>
              <w:tl2br w:val="nil"/>
              <w:tr2bl w:val="nil"/>
            </w:tcBorders>
            <w:vAlign w:val="center"/>
          </w:tcPr>
          <w:p w14:paraId="1C9F990F">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bl>
    <w:p w14:paraId="66657FE7">
      <w:pPr>
        <w:pStyle w:val="194"/>
        <w:spacing w:line="240" w:lineRule="auto"/>
        <w:rPr>
          <w:rFonts w:hint="default" w:ascii="Times New Roman" w:hAnsi="Times New Roman" w:cs="Times New Roman"/>
          <w:color w:val="FF0000"/>
          <w:highlight w:val="none"/>
          <w:u w:val="wave" w:color="auto"/>
          <w:lang w:val="en-US" w:eastAsia="zh-CN"/>
        </w:rPr>
      </w:pPr>
      <w:r>
        <w:rPr>
          <w:rFonts w:hint="default" w:ascii="Times New Roman" w:hAnsi="Times New Roman" w:cs="Times New Roman"/>
          <w:color w:val="FF0000"/>
          <w:highlight w:val="none"/>
          <w:u w:val="wave" w:color="auto"/>
        </w:rPr>
        <w:t>表</w:t>
      </w:r>
      <w:r>
        <w:rPr>
          <w:rFonts w:hint="default" w:ascii="Times New Roman" w:hAnsi="Times New Roman" w:cs="Times New Roman"/>
          <w:color w:val="FF0000"/>
          <w:highlight w:val="none"/>
          <w:u w:val="wave" w:color="auto"/>
          <w:lang w:val="en-US" w:eastAsia="zh-CN"/>
        </w:rPr>
        <w:t>4</w:t>
      </w: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2</w:t>
      </w:r>
      <w:r>
        <w:rPr>
          <w:rFonts w:hint="default" w:ascii="Times New Roman" w:hAnsi="Times New Roman" w:cs="Times New Roman"/>
          <w:color w:val="FF0000"/>
          <w:highlight w:val="none"/>
          <w:u w:val="wave" w:color="auto"/>
        </w:rPr>
        <w:t>-</w:t>
      </w:r>
      <w:r>
        <w:rPr>
          <w:rFonts w:hint="eastAsia" w:cs="Times New Roman"/>
          <w:color w:val="FF0000"/>
          <w:highlight w:val="none"/>
          <w:u w:val="wave" w:color="auto"/>
          <w:lang w:val="en-US" w:eastAsia="zh-CN"/>
        </w:rPr>
        <w:t xml:space="preserve">6 </w:t>
      </w:r>
      <w:r>
        <w:rPr>
          <w:rFonts w:hint="default" w:ascii="Times New Roman" w:hAnsi="Times New Roman" w:cs="Times New Roman"/>
          <w:color w:val="FF0000"/>
          <w:highlight w:val="none"/>
          <w:u w:val="wave" w:color="auto"/>
          <w:lang w:val="en-US" w:eastAsia="zh-CN"/>
        </w:rPr>
        <w:t xml:space="preserve"> </w:t>
      </w:r>
      <w:r>
        <w:rPr>
          <w:rFonts w:hint="eastAsia" w:cs="Times New Roman"/>
          <w:color w:val="FF0000"/>
          <w:highlight w:val="none"/>
          <w:u w:val="wave" w:color="auto"/>
          <w:lang w:val="en-US" w:eastAsia="zh-CN"/>
        </w:rPr>
        <w:t>2023年</w:t>
      </w:r>
      <w:r>
        <w:rPr>
          <w:rFonts w:hint="default" w:ascii="Times New Roman" w:hAnsi="Times New Roman" w:cs="Times New Roman"/>
          <w:color w:val="FF0000"/>
          <w:highlight w:val="none"/>
          <w:u w:val="wave" w:color="auto"/>
        </w:rPr>
        <w:t>水环境质量监测结果</w:t>
      </w:r>
      <w:r>
        <w:rPr>
          <w:rFonts w:hint="default" w:ascii="Times New Roman" w:hAnsi="Times New Roman" w:cs="Times New Roman"/>
          <w:color w:val="FF0000"/>
          <w:highlight w:val="none"/>
          <w:u w:val="wave" w:color="auto"/>
          <w:lang w:val="en-US" w:eastAsia="zh-CN"/>
        </w:rPr>
        <w:t>一览表</w:t>
      </w:r>
    </w:p>
    <w:tbl>
      <w:tblPr>
        <w:tblStyle w:val="7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305"/>
        <w:gridCol w:w="1072"/>
        <w:gridCol w:w="1125"/>
        <w:gridCol w:w="1110"/>
        <w:gridCol w:w="930"/>
        <w:gridCol w:w="1185"/>
        <w:gridCol w:w="1185"/>
      </w:tblGrid>
      <w:tr w14:paraId="3D216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restart"/>
            <w:tcBorders>
              <w:tl2br w:val="nil"/>
              <w:tr2bl w:val="nil"/>
            </w:tcBorders>
          </w:tcPr>
          <w:p w14:paraId="2C432D48">
            <w:pPr>
              <w:pStyle w:val="189"/>
              <w:keepNext w:val="0"/>
              <w:keepLines w:val="0"/>
              <w:numPr>
                <w:ilvl w:val="0"/>
                <w:numId w:val="0"/>
              </w:numPr>
              <w:suppressLineNumbers w:val="0"/>
              <w:spacing w:before="0" w:beforeAutospacing="0" w:after="0" w:afterAutospacing="0"/>
              <w:ind w:left="0" w:right="0"/>
              <w:jc w:val="center"/>
              <w:rPr>
                <w:rFonts w:hint="eastAsia" w:cs="Times New Roman"/>
                <w:color w:val="FF0000"/>
                <w:highlight w:val="none"/>
                <w:u w:val="wave" w:color="auto"/>
                <w:vertAlign w:val="baseline"/>
                <w:lang w:val="en-US" w:eastAsia="zh-CN"/>
              </w:rPr>
            </w:pPr>
          </w:p>
          <w:p w14:paraId="035B749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监测点位</w:t>
            </w:r>
          </w:p>
        </w:tc>
        <w:tc>
          <w:tcPr>
            <w:tcW w:w="1305" w:type="dxa"/>
            <w:vMerge w:val="restart"/>
            <w:tcBorders>
              <w:tl2br w:val="nil"/>
              <w:tr2bl w:val="nil"/>
            </w:tcBorders>
          </w:tcPr>
          <w:p w14:paraId="7A1425B9">
            <w:pPr>
              <w:pStyle w:val="189"/>
              <w:keepNext w:val="0"/>
              <w:keepLines w:val="0"/>
              <w:numPr>
                <w:ilvl w:val="0"/>
                <w:numId w:val="0"/>
              </w:numPr>
              <w:suppressLineNumbers w:val="0"/>
              <w:spacing w:before="0" w:beforeAutospacing="0" w:after="0" w:afterAutospacing="0"/>
              <w:ind w:left="0" w:right="0"/>
              <w:jc w:val="center"/>
              <w:rPr>
                <w:rFonts w:hint="eastAsia" w:cs="Times New Roman"/>
                <w:color w:val="FF0000"/>
                <w:highlight w:val="none"/>
                <w:u w:val="wave" w:color="auto"/>
                <w:vertAlign w:val="baseline"/>
                <w:lang w:val="en-US" w:eastAsia="zh-CN"/>
              </w:rPr>
            </w:pPr>
          </w:p>
          <w:p w14:paraId="0F517778">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检测项目</w:t>
            </w:r>
          </w:p>
        </w:tc>
        <w:tc>
          <w:tcPr>
            <w:tcW w:w="3307" w:type="dxa"/>
            <w:gridSpan w:val="3"/>
            <w:tcBorders>
              <w:tl2br w:val="nil"/>
              <w:tr2bl w:val="nil"/>
            </w:tcBorders>
          </w:tcPr>
          <w:p w14:paraId="6B91268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监测日期及检测结果</w:t>
            </w:r>
          </w:p>
        </w:tc>
        <w:tc>
          <w:tcPr>
            <w:tcW w:w="930" w:type="dxa"/>
            <w:vMerge w:val="restart"/>
            <w:tcBorders>
              <w:tl2br w:val="nil"/>
              <w:tr2bl w:val="nil"/>
            </w:tcBorders>
          </w:tcPr>
          <w:p w14:paraId="3C575EFD">
            <w:pPr>
              <w:pStyle w:val="189"/>
              <w:keepNext w:val="0"/>
              <w:keepLines w:val="0"/>
              <w:numPr>
                <w:ilvl w:val="0"/>
                <w:numId w:val="0"/>
              </w:numPr>
              <w:suppressLineNumbers w:val="0"/>
              <w:spacing w:before="0" w:beforeAutospacing="0" w:after="0" w:afterAutospacing="0"/>
              <w:ind w:left="0" w:right="0"/>
              <w:jc w:val="center"/>
              <w:rPr>
                <w:rFonts w:hint="eastAsia" w:cs="Times New Roman"/>
                <w:color w:val="FF0000"/>
                <w:highlight w:val="none"/>
                <w:u w:val="wave" w:color="auto"/>
                <w:vertAlign w:val="baseline"/>
                <w:lang w:val="en-US" w:eastAsia="zh-CN"/>
              </w:rPr>
            </w:pPr>
          </w:p>
          <w:p w14:paraId="40132B87">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单位</w:t>
            </w:r>
          </w:p>
        </w:tc>
        <w:tc>
          <w:tcPr>
            <w:tcW w:w="1185" w:type="dxa"/>
            <w:vMerge w:val="restart"/>
            <w:tcBorders>
              <w:tl2br w:val="nil"/>
              <w:tr2bl w:val="nil"/>
            </w:tcBorders>
          </w:tcPr>
          <w:p w14:paraId="0420BAF9">
            <w:pPr>
              <w:pStyle w:val="189"/>
              <w:keepNext w:val="0"/>
              <w:keepLines w:val="0"/>
              <w:numPr>
                <w:ilvl w:val="0"/>
                <w:numId w:val="0"/>
              </w:numPr>
              <w:suppressLineNumbers w:val="0"/>
              <w:spacing w:before="0" w:beforeAutospacing="0" w:after="0" w:afterAutospacing="0"/>
              <w:ind w:left="0" w:right="0"/>
              <w:jc w:val="center"/>
              <w:rPr>
                <w:rFonts w:hint="eastAsia" w:cs="Times New Roman"/>
                <w:color w:val="FF0000"/>
                <w:highlight w:val="none"/>
                <w:u w:val="wave" w:color="auto"/>
                <w:vertAlign w:val="baseline"/>
                <w:lang w:val="en-US" w:eastAsia="zh-CN"/>
              </w:rPr>
            </w:pPr>
          </w:p>
          <w:p w14:paraId="25EBE5D4">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标准限值</w:t>
            </w:r>
          </w:p>
        </w:tc>
        <w:tc>
          <w:tcPr>
            <w:tcW w:w="1185" w:type="dxa"/>
            <w:vMerge w:val="restart"/>
            <w:tcBorders>
              <w:tl2br w:val="nil"/>
              <w:tr2bl w:val="nil"/>
            </w:tcBorders>
          </w:tcPr>
          <w:p w14:paraId="3E2BF54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最大超标倍数</w:t>
            </w:r>
          </w:p>
        </w:tc>
      </w:tr>
      <w:tr w14:paraId="78FA9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16FC7CAE">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vMerge w:val="continue"/>
            <w:tcBorders>
              <w:tl2br w:val="nil"/>
              <w:tr2bl w:val="nil"/>
            </w:tcBorders>
          </w:tcPr>
          <w:p w14:paraId="13B5A978">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072" w:type="dxa"/>
            <w:tcBorders>
              <w:tl2br w:val="nil"/>
              <w:tr2bl w:val="nil"/>
            </w:tcBorders>
          </w:tcPr>
          <w:p w14:paraId="4D1A45B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center"/>
              <w:textAlignment w:val="baseline"/>
              <w:rPr>
                <w:rFonts w:hint="default" w:ascii="Times New Roman" w:hAnsi="Times New Roman" w:eastAsia="宋体" w:cs="Times New Roman"/>
                <w:color w:val="FF0000"/>
                <w:sz w:val="21"/>
                <w:szCs w:val="21"/>
                <w:highlight w:val="none"/>
                <w:u w:val="wave" w:color="auto"/>
                <w:lang w:val="en-US" w:eastAsia="zh-CN" w:bidi="ar-SA"/>
              </w:rPr>
            </w:pPr>
            <w:r>
              <w:rPr>
                <w:rFonts w:hint="eastAsia" w:ascii="Times New Roman" w:hAnsi="Times New Roman" w:eastAsia="宋体" w:cs="Times New Roman"/>
                <w:color w:val="FF0000"/>
                <w:sz w:val="21"/>
                <w:szCs w:val="21"/>
                <w:highlight w:val="none"/>
                <w:u w:val="wave" w:color="auto"/>
                <w:lang w:val="en-US" w:eastAsia="zh-CN" w:bidi="ar-SA"/>
              </w:rPr>
              <w:t>202</w:t>
            </w:r>
            <w:r>
              <w:rPr>
                <w:rFonts w:hint="eastAsia" w:cs="Times New Roman"/>
                <w:color w:val="FF0000"/>
                <w:sz w:val="21"/>
                <w:szCs w:val="21"/>
                <w:highlight w:val="none"/>
                <w:u w:val="wave" w:color="auto"/>
                <w:lang w:val="en-US" w:eastAsia="zh-CN" w:bidi="ar-SA"/>
              </w:rPr>
              <w:t>3</w:t>
            </w:r>
            <w:r>
              <w:rPr>
                <w:rFonts w:hint="eastAsia" w:ascii="Times New Roman" w:hAnsi="Times New Roman" w:eastAsia="宋体" w:cs="Times New Roman"/>
                <w:color w:val="FF0000"/>
                <w:sz w:val="21"/>
                <w:szCs w:val="21"/>
                <w:highlight w:val="none"/>
                <w:u w:val="wave" w:color="auto"/>
                <w:lang w:val="en-US" w:eastAsia="zh-CN" w:bidi="ar-SA"/>
              </w:rPr>
              <w:t>年4月</w:t>
            </w:r>
            <w:r>
              <w:rPr>
                <w:rFonts w:hint="eastAsia" w:cs="Times New Roman"/>
                <w:color w:val="FF0000"/>
                <w:sz w:val="21"/>
                <w:szCs w:val="21"/>
                <w:highlight w:val="none"/>
                <w:u w:val="wave" w:color="auto"/>
                <w:lang w:val="en-US" w:eastAsia="zh-CN" w:bidi="ar-SA"/>
              </w:rPr>
              <w:t>16</w:t>
            </w:r>
            <w:r>
              <w:rPr>
                <w:rFonts w:hint="eastAsia" w:ascii="Times New Roman" w:hAnsi="Times New Roman" w:eastAsia="宋体" w:cs="Times New Roman"/>
                <w:color w:val="FF0000"/>
                <w:sz w:val="21"/>
                <w:szCs w:val="21"/>
                <w:highlight w:val="none"/>
                <w:u w:val="wave" w:color="auto"/>
                <w:lang w:val="en-US" w:eastAsia="zh-CN" w:bidi="ar-SA"/>
              </w:rPr>
              <w:t>日</w:t>
            </w:r>
          </w:p>
        </w:tc>
        <w:tc>
          <w:tcPr>
            <w:tcW w:w="1125" w:type="dxa"/>
            <w:tcBorders>
              <w:tl2br w:val="nil"/>
              <w:tr2bl w:val="nil"/>
            </w:tcBorders>
          </w:tcPr>
          <w:p w14:paraId="12CA8A2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center"/>
              <w:textAlignment w:val="baseline"/>
              <w:rPr>
                <w:rFonts w:hint="default" w:ascii="Times New Roman" w:hAnsi="Times New Roman" w:eastAsia="宋体" w:cs="Times New Roman"/>
                <w:color w:val="FF0000"/>
                <w:sz w:val="21"/>
                <w:szCs w:val="21"/>
                <w:highlight w:val="none"/>
                <w:u w:val="wave" w:color="auto"/>
                <w:lang w:val="en-US" w:eastAsia="zh-CN" w:bidi="ar-SA"/>
              </w:rPr>
            </w:pPr>
            <w:r>
              <w:rPr>
                <w:rFonts w:hint="eastAsia" w:ascii="Times New Roman" w:hAnsi="Times New Roman" w:eastAsia="宋体" w:cs="Times New Roman"/>
                <w:color w:val="FF0000"/>
                <w:sz w:val="21"/>
                <w:szCs w:val="21"/>
                <w:highlight w:val="none"/>
                <w:u w:val="wave" w:color="auto"/>
                <w:lang w:val="en-US" w:eastAsia="zh-CN" w:bidi="ar-SA"/>
              </w:rPr>
              <w:t>202</w:t>
            </w:r>
            <w:r>
              <w:rPr>
                <w:rFonts w:hint="eastAsia" w:cs="Times New Roman"/>
                <w:color w:val="FF0000"/>
                <w:sz w:val="21"/>
                <w:szCs w:val="21"/>
                <w:highlight w:val="none"/>
                <w:u w:val="wave" w:color="auto"/>
                <w:lang w:val="en-US" w:eastAsia="zh-CN" w:bidi="ar-SA"/>
              </w:rPr>
              <w:t>3</w:t>
            </w:r>
            <w:r>
              <w:rPr>
                <w:rFonts w:hint="eastAsia" w:ascii="Times New Roman" w:hAnsi="Times New Roman" w:eastAsia="宋体" w:cs="Times New Roman"/>
                <w:color w:val="FF0000"/>
                <w:sz w:val="21"/>
                <w:szCs w:val="21"/>
                <w:highlight w:val="none"/>
                <w:u w:val="wave" w:color="auto"/>
                <w:lang w:val="en-US" w:eastAsia="zh-CN" w:bidi="ar-SA"/>
              </w:rPr>
              <w:t>年4月</w:t>
            </w:r>
            <w:r>
              <w:rPr>
                <w:rFonts w:hint="eastAsia" w:cs="Times New Roman"/>
                <w:color w:val="FF0000"/>
                <w:sz w:val="21"/>
                <w:szCs w:val="21"/>
                <w:highlight w:val="none"/>
                <w:u w:val="wave" w:color="auto"/>
                <w:lang w:val="en-US" w:eastAsia="zh-CN" w:bidi="ar-SA"/>
              </w:rPr>
              <w:t>17</w:t>
            </w:r>
            <w:r>
              <w:rPr>
                <w:rFonts w:hint="eastAsia" w:ascii="Times New Roman" w:hAnsi="Times New Roman" w:eastAsia="宋体" w:cs="Times New Roman"/>
                <w:color w:val="FF0000"/>
                <w:sz w:val="21"/>
                <w:szCs w:val="21"/>
                <w:highlight w:val="none"/>
                <w:u w:val="wave" w:color="auto"/>
                <w:lang w:val="en-US" w:eastAsia="zh-CN" w:bidi="ar-SA"/>
              </w:rPr>
              <w:t>日</w:t>
            </w:r>
          </w:p>
        </w:tc>
        <w:tc>
          <w:tcPr>
            <w:tcW w:w="1110" w:type="dxa"/>
            <w:tcBorders>
              <w:tl2br w:val="nil"/>
              <w:tr2bl w:val="nil"/>
            </w:tcBorders>
          </w:tcPr>
          <w:p w14:paraId="5F84997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firstLine="0" w:firstLineChars="0"/>
              <w:jc w:val="center"/>
              <w:textAlignment w:val="baseline"/>
              <w:rPr>
                <w:rFonts w:hint="default" w:ascii="Times New Roman" w:hAnsi="Times New Roman" w:eastAsia="宋体" w:cs="Times New Roman"/>
                <w:color w:val="FF0000"/>
                <w:sz w:val="21"/>
                <w:szCs w:val="21"/>
                <w:highlight w:val="none"/>
                <w:u w:val="wave" w:color="auto"/>
                <w:lang w:val="en-US" w:eastAsia="zh-CN" w:bidi="ar-SA"/>
              </w:rPr>
            </w:pPr>
            <w:r>
              <w:rPr>
                <w:rFonts w:hint="eastAsia" w:ascii="Times New Roman" w:hAnsi="Times New Roman" w:eastAsia="宋体" w:cs="Times New Roman"/>
                <w:color w:val="FF0000"/>
                <w:sz w:val="21"/>
                <w:szCs w:val="21"/>
                <w:highlight w:val="none"/>
                <w:u w:val="wave" w:color="auto"/>
                <w:lang w:val="en-US" w:eastAsia="zh-CN" w:bidi="ar-SA"/>
              </w:rPr>
              <w:t>202</w:t>
            </w:r>
            <w:r>
              <w:rPr>
                <w:rFonts w:hint="eastAsia" w:cs="Times New Roman"/>
                <w:color w:val="FF0000"/>
                <w:sz w:val="21"/>
                <w:szCs w:val="21"/>
                <w:highlight w:val="none"/>
                <w:u w:val="wave" w:color="auto"/>
                <w:lang w:val="en-US" w:eastAsia="zh-CN" w:bidi="ar-SA"/>
              </w:rPr>
              <w:t>3</w:t>
            </w:r>
            <w:r>
              <w:rPr>
                <w:rFonts w:hint="eastAsia" w:ascii="Times New Roman" w:hAnsi="Times New Roman" w:eastAsia="宋体" w:cs="Times New Roman"/>
                <w:color w:val="FF0000"/>
                <w:sz w:val="21"/>
                <w:szCs w:val="21"/>
                <w:highlight w:val="none"/>
                <w:u w:val="wave" w:color="auto"/>
                <w:lang w:val="en-US" w:eastAsia="zh-CN" w:bidi="ar-SA"/>
              </w:rPr>
              <w:t>年4月</w:t>
            </w:r>
            <w:r>
              <w:rPr>
                <w:rFonts w:hint="eastAsia" w:cs="Times New Roman"/>
                <w:color w:val="FF0000"/>
                <w:sz w:val="21"/>
                <w:szCs w:val="21"/>
                <w:highlight w:val="none"/>
                <w:u w:val="wave" w:color="auto"/>
                <w:lang w:val="en-US" w:eastAsia="zh-CN" w:bidi="ar-SA"/>
              </w:rPr>
              <w:t>18</w:t>
            </w:r>
            <w:r>
              <w:rPr>
                <w:rFonts w:hint="eastAsia" w:ascii="Times New Roman" w:hAnsi="Times New Roman" w:eastAsia="宋体" w:cs="Times New Roman"/>
                <w:color w:val="FF0000"/>
                <w:sz w:val="21"/>
                <w:szCs w:val="21"/>
                <w:highlight w:val="none"/>
                <w:u w:val="wave" w:color="auto"/>
                <w:lang w:val="en-US" w:eastAsia="zh-CN" w:bidi="ar-SA"/>
              </w:rPr>
              <w:t>日</w:t>
            </w:r>
          </w:p>
        </w:tc>
        <w:tc>
          <w:tcPr>
            <w:tcW w:w="930" w:type="dxa"/>
            <w:vMerge w:val="continue"/>
            <w:tcBorders>
              <w:tl2br w:val="nil"/>
              <w:tr2bl w:val="nil"/>
            </w:tcBorders>
          </w:tcPr>
          <w:p w14:paraId="5623A98A">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185" w:type="dxa"/>
            <w:vMerge w:val="continue"/>
            <w:tcBorders>
              <w:tl2br w:val="nil"/>
              <w:tr2bl w:val="nil"/>
            </w:tcBorders>
          </w:tcPr>
          <w:p w14:paraId="008839B2">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185" w:type="dxa"/>
            <w:vMerge w:val="continue"/>
            <w:tcBorders>
              <w:tl2br w:val="nil"/>
              <w:tr2bl w:val="nil"/>
            </w:tcBorders>
          </w:tcPr>
          <w:p w14:paraId="566E1772">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r>
      <w:tr w14:paraId="4F6C3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restart"/>
            <w:tcBorders>
              <w:tl2br w:val="nil"/>
              <w:tr2bl w:val="nil"/>
            </w:tcBorders>
          </w:tcPr>
          <w:p w14:paraId="0A41588F">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W1污水排放口上游500m（机排二十渠）</w:t>
            </w:r>
          </w:p>
        </w:tc>
        <w:tc>
          <w:tcPr>
            <w:tcW w:w="1305" w:type="dxa"/>
            <w:tcBorders>
              <w:tl2br w:val="nil"/>
              <w:tr2bl w:val="nil"/>
            </w:tcBorders>
          </w:tcPr>
          <w:p w14:paraId="4C0629BD">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pH值</w:t>
            </w:r>
          </w:p>
        </w:tc>
        <w:tc>
          <w:tcPr>
            <w:tcW w:w="1072" w:type="dxa"/>
            <w:tcBorders>
              <w:tl2br w:val="nil"/>
              <w:tr2bl w:val="nil"/>
            </w:tcBorders>
            <w:vAlign w:val="center"/>
          </w:tcPr>
          <w:p w14:paraId="6EFBD531">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7.6</w:t>
            </w:r>
          </w:p>
        </w:tc>
        <w:tc>
          <w:tcPr>
            <w:tcW w:w="1125" w:type="dxa"/>
            <w:tcBorders>
              <w:tl2br w:val="nil"/>
              <w:tr2bl w:val="nil"/>
            </w:tcBorders>
            <w:vAlign w:val="center"/>
          </w:tcPr>
          <w:p w14:paraId="49A8A541">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7.7</w:t>
            </w:r>
          </w:p>
        </w:tc>
        <w:tc>
          <w:tcPr>
            <w:tcW w:w="1110" w:type="dxa"/>
            <w:tcBorders>
              <w:tl2br w:val="nil"/>
              <w:tr2bl w:val="nil"/>
            </w:tcBorders>
            <w:vAlign w:val="center"/>
          </w:tcPr>
          <w:p w14:paraId="4F58F37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7.8</w:t>
            </w:r>
          </w:p>
        </w:tc>
        <w:tc>
          <w:tcPr>
            <w:tcW w:w="930" w:type="dxa"/>
            <w:tcBorders>
              <w:tl2br w:val="nil"/>
              <w:tr2bl w:val="nil"/>
            </w:tcBorders>
            <w:vAlign w:val="center"/>
          </w:tcPr>
          <w:p w14:paraId="47305697">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无量纲</w:t>
            </w:r>
          </w:p>
        </w:tc>
        <w:tc>
          <w:tcPr>
            <w:tcW w:w="1185" w:type="dxa"/>
            <w:tcBorders>
              <w:tl2br w:val="nil"/>
              <w:tr2bl w:val="nil"/>
            </w:tcBorders>
            <w:vAlign w:val="center"/>
          </w:tcPr>
          <w:p w14:paraId="258630E1">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6~9</w:t>
            </w:r>
          </w:p>
        </w:tc>
        <w:tc>
          <w:tcPr>
            <w:tcW w:w="1185" w:type="dxa"/>
            <w:tcBorders>
              <w:tl2br w:val="nil"/>
              <w:tr2bl w:val="nil"/>
            </w:tcBorders>
            <w:vAlign w:val="center"/>
          </w:tcPr>
          <w:p w14:paraId="019F48E4">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5B307F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11D8AE65">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6AC75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化学需氧量</w:t>
            </w:r>
          </w:p>
        </w:tc>
        <w:tc>
          <w:tcPr>
            <w:tcW w:w="1072" w:type="dxa"/>
            <w:tcBorders>
              <w:tl2br w:val="nil"/>
              <w:tr2bl w:val="nil"/>
            </w:tcBorders>
            <w:vAlign w:val="center"/>
          </w:tcPr>
          <w:p w14:paraId="04446FC1">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12</w:t>
            </w:r>
          </w:p>
        </w:tc>
        <w:tc>
          <w:tcPr>
            <w:tcW w:w="1125" w:type="dxa"/>
            <w:tcBorders>
              <w:tl2br w:val="nil"/>
              <w:tr2bl w:val="nil"/>
            </w:tcBorders>
            <w:vAlign w:val="center"/>
          </w:tcPr>
          <w:p w14:paraId="47769AD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6</w:t>
            </w:r>
          </w:p>
        </w:tc>
        <w:tc>
          <w:tcPr>
            <w:tcW w:w="1110" w:type="dxa"/>
            <w:tcBorders>
              <w:tl2br w:val="nil"/>
              <w:tr2bl w:val="nil"/>
            </w:tcBorders>
            <w:vAlign w:val="center"/>
          </w:tcPr>
          <w:p w14:paraId="60E4C06F">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10</w:t>
            </w:r>
          </w:p>
        </w:tc>
        <w:tc>
          <w:tcPr>
            <w:tcW w:w="930" w:type="dxa"/>
            <w:tcBorders>
              <w:tl2br w:val="nil"/>
              <w:tr2bl w:val="nil"/>
            </w:tcBorders>
            <w:vAlign w:val="center"/>
          </w:tcPr>
          <w:p w14:paraId="25435C1B">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182F926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eastAsia" w:ascii="Times New Roman" w:hAnsi="Times New Roman" w:cs="Times New Roman"/>
                <w:color w:val="FF0000"/>
                <w:highlight w:val="none"/>
                <w:u w:val="wave" w:color="auto"/>
                <w:lang w:val="en-US" w:eastAsia="zh-CN"/>
              </w:rPr>
              <w:t>30</w:t>
            </w:r>
          </w:p>
        </w:tc>
        <w:tc>
          <w:tcPr>
            <w:tcW w:w="1185" w:type="dxa"/>
            <w:tcBorders>
              <w:tl2br w:val="nil"/>
              <w:tr2bl w:val="nil"/>
            </w:tcBorders>
            <w:vAlign w:val="center"/>
          </w:tcPr>
          <w:p w14:paraId="5D016B3A">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1745A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67641829">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4111C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五日生化需氧量</w:t>
            </w:r>
          </w:p>
        </w:tc>
        <w:tc>
          <w:tcPr>
            <w:tcW w:w="1072" w:type="dxa"/>
            <w:tcBorders>
              <w:tl2br w:val="nil"/>
              <w:tr2bl w:val="nil"/>
            </w:tcBorders>
            <w:vAlign w:val="center"/>
          </w:tcPr>
          <w:p w14:paraId="67CF651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4.3</w:t>
            </w:r>
          </w:p>
        </w:tc>
        <w:tc>
          <w:tcPr>
            <w:tcW w:w="1125" w:type="dxa"/>
            <w:tcBorders>
              <w:tl2br w:val="nil"/>
              <w:tr2bl w:val="nil"/>
            </w:tcBorders>
            <w:vAlign w:val="center"/>
          </w:tcPr>
          <w:p w14:paraId="0F17A6CC">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4.1</w:t>
            </w:r>
          </w:p>
        </w:tc>
        <w:tc>
          <w:tcPr>
            <w:tcW w:w="1110" w:type="dxa"/>
            <w:tcBorders>
              <w:tl2br w:val="nil"/>
              <w:tr2bl w:val="nil"/>
            </w:tcBorders>
            <w:vAlign w:val="center"/>
          </w:tcPr>
          <w:p w14:paraId="3224BDEB">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4.5</w:t>
            </w:r>
          </w:p>
        </w:tc>
        <w:tc>
          <w:tcPr>
            <w:tcW w:w="930" w:type="dxa"/>
            <w:tcBorders>
              <w:tl2br w:val="nil"/>
              <w:tr2bl w:val="nil"/>
            </w:tcBorders>
            <w:vAlign w:val="center"/>
          </w:tcPr>
          <w:p w14:paraId="4FF5268B">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229FB29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6</w:t>
            </w:r>
          </w:p>
        </w:tc>
        <w:tc>
          <w:tcPr>
            <w:tcW w:w="1185" w:type="dxa"/>
            <w:tcBorders>
              <w:tl2br w:val="nil"/>
              <w:tr2bl w:val="nil"/>
            </w:tcBorders>
            <w:vAlign w:val="center"/>
          </w:tcPr>
          <w:p w14:paraId="3F64404D">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793DA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28C19857">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788BB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氨氮</w:t>
            </w:r>
          </w:p>
        </w:tc>
        <w:tc>
          <w:tcPr>
            <w:tcW w:w="1072" w:type="dxa"/>
            <w:tcBorders>
              <w:tl2br w:val="nil"/>
              <w:tr2bl w:val="nil"/>
            </w:tcBorders>
            <w:vAlign w:val="center"/>
          </w:tcPr>
          <w:p w14:paraId="70A83339">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2.19</w:t>
            </w:r>
          </w:p>
        </w:tc>
        <w:tc>
          <w:tcPr>
            <w:tcW w:w="1125" w:type="dxa"/>
            <w:tcBorders>
              <w:tl2br w:val="nil"/>
              <w:tr2bl w:val="nil"/>
            </w:tcBorders>
            <w:vAlign w:val="center"/>
          </w:tcPr>
          <w:p w14:paraId="6827847E">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2.14</w:t>
            </w:r>
          </w:p>
        </w:tc>
        <w:tc>
          <w:tcPr>
            <w:tcW w:w="1110" w:type="dxa"/>
            <w:tcBorders>
              <w:tl2br w:val="nil"/>
              <w:tr2bl w:val="nil"/>
            </w:tcBorders>
            <w:vAlign w:val="center"/>
          </w:tcPr>
          <w:p w14:paraId="3BCBEAF4">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2.05</w:t>
            </w:r>
          </w:p>
        </w:tc>
        <w:tc>
          <w:tcPr>
            <w:tcW w:w="930" w:type="dxa"/>
            <w:tcBorders>
              <w:tl2br w:val="nil"/>
              <w:tr2bl w:val="nil"/>
            </w:tcBorders>
            <w:vAlign w:val="center"/>
          </w:tcPr>
          <w:p w14:paraId="68231A07">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582B05B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1.</w:t>
            </w:r>
            <w:r>
              <w:rPr>
                <w:rFonts w:hint="eastAsia" w:ascii="Times New Roman" w:hAnsi="Times New Roman" w:cs="Times New Roman"/>
                <w:color w:val="FF0000"/>
                <w:highlight w:val="none"/>
                <w:u w:val="wave" w:color="auto"/>
                <w:lang w:val="en-US" w:eastAsia="zh-CN"/>
              </w:rPr>
              <w:t>5</w:t>
            </w:r>
          </w:p>
        </w:tc>
        <w:tc>
          <w:tcPr>
            <w:tcW w:w="1185" w:type="dxa"/>
            <w:tcBorders>
              <w:tl2br w:val="nil"/>
              <w:tr2bl w:val="nil"/>
            </w:tcBorders>
            <w:vAlign w:val="center"/>
          </w:tcPr>
          <w:p w14:paraId="578CB83E">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b/>
                <w:bCs/>
                <w:color w:val="FF0000"/>
                <w:highlight w:val="none"/>
                <w:u w:val="wave" w:color="auto"/>
                <w:lang w:val="en-US" w:eastAsia="zh-CN"/>
              </w:rPr>
            </w:pPr>
            <w:r>
              <w:rPr>
                <w:rFonts w:hint="eastAsia" w:cs="Times New Roman"/>
                <w:b/>
                <w:bCs/>
                <w:color w:val="FF0000"/>
                <w:highlight w:val="none"/>
                <w:u w:val="wave" w:color="auto"/>
                <w:lang w:val="en-US" w:eastAsia="zh-CN"/>
              </w:rPr>
              <w:t>0.46</w:t>
            </w:r>
          </w:p>
        </w:tc>
      </w:tr>
      <w:tr w14:paraId="25414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6E967598">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03A03C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总磷</w:t>
            </w:r>
          </w:p>
        </w:tc>
        <w:tc>
          <w:tcPr>
            <w:tcW w:w="1072" w:type="dxa"/>
            <w:tcBorders>
              <w:tl2br w:val="nil"/>
              <w:tr2bl w:val="nil"/>
            </w:tcBorders>
            <w:vAlign w:val="center"/>
          </w:tcPr>
          <w:p w14:paraId="3BFCDCF2">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0.36</w:t>
            </w:r>
          </w:p>
        </w:tc>
        <w:tc>
          <w:tcPr>
            <w:tcW w:w="1125" w:type="dxa"/>
            <w:tcBorders>
              <w:tl2br w:val="nil"/>
              <w:tr2bl w:val="nil"/>
            </w:tcBorders>
            <w:vAlign w:val="center"/>
          </w:tcPr>
          <w:p w14:paraId="12CBE8D4">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0.37</w:t>
            </w:r>
          </w:p>
        </w:tc>
        <w:tc>
          <w:tcPr>
            <w:tcW w:w="1110" w:type="dxa"/>
            <w:tcBorders>
              <w:tl2br w:val="nil"/>
              <w:tr2bl w:val="nil"/>
            </w:tcBorders>
            <w:vAlign w:val="center"/>
          </w:tcPr>
          <w:p w14:paraId="4739FD21">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0.34</w:t>
            </w:r>
          </w:p>
        </w:tc>
        <w:tc>
          <w:tcPr>
            <w:tcW w:w="930" w:type="dxa"/>
            <w:tcBorders>
              <w:tl2br w:val="nil"/>
              <w:tr2bl w:val="nil"/>
            </w:tcBorders>
            <w:vAlign w:val="center"/>
          </w:tcPr>
          <w:p w14:paraId="4AFBD7F0">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6B98156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0.</w:t>
            </w:r>
            <w:r>
              <w:rPr>
                <w:rFonts w:hint="eastAsia" w:ascii="Times New Roman" w:hAnsi="Times New Roman" w:cs="Times New Roman"/>
                <w:color w:val="FF0000"/>
                <w:highlight w:val="none"/>
                <w:u w:val="wave" w:color="auto"/>
                <w:lang w:val="en-US" w:eastAsia="zh-CN"/>
              </w:rPr>
              <w:t>3</w:t>
            </w:r>
          </w:p>
        </w:tc>
        <w:tc>
          <w:tcPr>
            <w:tcW w:w="1185" w:type="dxa"/>
            <w:tcBorders>
              <w:tl2br w:val="nil"/>
              <w:tr2bl w:val="nil"/>
            </w:tcBorders>
            <w:vAlign w:val="center"/>
          </w:tcPr>
          <w:p w14:paraId="2E370AF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FF0000"/>
                <w:highlight w:val="none"/>
                <w:u w:val="wave" w:color="auto"/>
                <w:lang w:val="en-US" w:eastAsia="zh-CN"/>
              </w:rPr>
            </w:pPr>
            <w:r>
              <w:rPr>
                <w:rFonts w:hint="eastAsia" w:cs="Times New Roman"/>
                <w:b/>
                <w:bCs/>
                <w:color w:val="FF0000"/>
                <w:highlight w:val="none"/>
                <w:u w:val="wave" w:color="auto"/>
                <w:lang w:val="en-US" w:eastAsia="zh-CN"/>
              </w:rPr>
              <w:t>0.23</w:t>
            </w:r>
          </w:p>
        </w:tc>
      </w:tr>
      <w:tr w14:paraId="7463A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0365AD8F">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2C0FB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总氮</w:t>
            </w:r>
          </w:p>
        </w:tc>
        <w:tc>
          <w:tcPr>
            <w:tcW w:w="1072" w:type="dxa"/>
            <w:tcBorders>
              <w:tl2br w:val="nil"/>
              <w:tr2bl w:val="nil"/>
            </w:tcBorders>
            <w:vAlign w:val="center"/>
          </w:tcPr>
          <w:p w14:paraId="31529E3F">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5.91</w:t>
            </w:r>
          </w:p>
        </w:tc>
        <w:tc>
          <w:tcPr>
            <w:tcW w:w="1125" w:type="dxa"/>
            <w:tcBorders>
              <w:tl2br w:val="nil"/>
              <w:tr2bl w:val="nil"/>
            </w:tcBorders>
            <w:vAlign w:val="center"/>
          </w:tcPr>
          <w:p w14:paraId="3A293F9F">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5.83</w:t>
            </w:r>
          </w:p>
        </w:tc>
        <w:tc>
          <w:tcPr>
            <w:tcW w:w="1110" w:type="dxa"/>
            <w:tcBorders>
              <w:tl2br w:val="nil"/>
              <w:tr2bl w:val="nil"/>
            </w:tcBorders>
            <w:vAlign w:val="center"/>
          </w:tcPr>
          <w:p w14:paraId="439041AF">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5.96</w:t>
            </w:r>
          </w:p>
        </w:tc>
        <w:tc>
          <w:tcPr>
            <w:tcW w:w="930" w:type="dxa"/>
            <w:tcBorders>
              <w:tl2br w:val="nil"/>
              <w:tr2bl w:val="nil"/>
            </w:tcBorders>
            <w:vAlign w:val="center"/>
          </w:tcPr>
          <w:p w14:paraId="77E2680C">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70105D9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1.</w:t>
            </w:r>
            <w:r>
              <w:rPr>
                <w:rFonts w:hint="eastAsia" w:ascii="Times New Roman" w:hAnsi="Times New Roman" w:cs="Times New Roman"/>
                <w:color w:val="FF0000"/>
                <w:highlight w:val="none"/>
                <w:u w:val="wave" w:color="auto"/>
                <w:lang w:val="en-US" w:eastAsia="zh-CN"/>
              </w:rPr>
              <w:t>5</w:t>
            </w:r>
          </w:p>
        </w:tc>
        <w:tc>
          <w:tcPr>
            <w:tcW w:w="1185" w:type="dxa"/>
            <w:tcBorders>
              <w:tl2br w:val="nil"/>
              <w:tr2bl w:val="nil"/>
            </w:tcBorders>
            <w:vAlign w:val="center"/>
          </w:tcPr>
          <w:p w14:paraId="73DF5BE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highlight w:val="none"/>
                <w:u w:val="wave" w:color="auto"/>
                <w:lang w:val="en-US" w:eastAsia="zh-CN"/>
              </w:rPr>
            </w:pPr>
          </w:p>
        </w:tc>
      </w:tr>
      <w:tr w14:paraId="36D48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4A9D12DF">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D01D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悬浮物</w:t>
            </w:r>
          </w:p>
        </w:tc>
        <w:tc>
          <w:tcPr>
            <w:tcW w:w="1072" w:type="dxa"/>
            <w:tcBorders>
              <w:tl2br w:val="nil"/>
              <w:tr2bl w:val="nil"/>
            </w:tcBorders>
            <w:vAlign w:val="center"/>
          </w:tcPr>
          <w:p w14:paraId="0A707CF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29</w:t>
            </w:r>
          </w:p>
        </w:tc>
        <w:tc>
          <w:tcPr>
            <w:tcW w:w="1125" w:type="dxa"/>
            <w:tcBorders>
              <w:tl2br w:val="nil"/>
              <w:tr2bl w:val="nil"/>
            </w:tcBorders>
            <w:vAlign w:val="center"/>
          </w:tcPr>
          <w:p w14:paraId="34F3A0DB">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32</w:t>
            </w:r>
          </w:p>
        </w:tc>
        <w:tc>
          <w:tcPr>
            <w:tcW w:w="1110" w:type="dxa"/>
            <w:tcBorders>
              <w:tl2br w:val="nil"/>
              <w:tr2bl w:val="nil"/>
            </w:tcBorders>
            <w:vAlign w:val="center"/>
          </w:tcPr>
          <w:p w14:paraId="185C7624">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34</w:t>
            </w:r>
          </w:p>
        </w:tc>
        <w:tc>
          <w:tcPr>
            <w:tcW w:w="930" w:type="dxa"/>
            <w:tcBorders>
              <w:tl2br w:val="nil"/>
              <w:tr2bl w:val="nil"/>
            </w:tcBorders>
            <w:vAlign w:val="center"/>
          </w:tcPr>
          <w:p w14:paraId="569F41EF">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1B7D23D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lang w:val="en-US" w:eastAsia="zh-CN"/>
              </w:rPr>
              <w:t>/</w:t>
            </w:r>
          </w:p>
        </w:tc>
        <w:tc>
          <w:tcPr>
            <w:tcW w:w="1185" w:type="dxa"/>
            <w:tcBorders>
              <w:tl2br w:val="nil"/>
              <w:tr2bl w:val="nil"/>
            </w:tcBorders>
            <w:vAlign w:val="center"/>
          </w:tcPr>
          <w:p w14:paraId="1A46897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FF0000"/>
                <w:highlight w:val="none"/>
                <w:u w:val="wave" w:color="auto"/>
                <w:lang w:val="en-US" w:eastAsia="zh-CN"/>
              </w:rPr>
            </w:pPr>
          </w:p>
        </w:tc>
      </w:tr>
      <w:tr w14:paraId="7D7B5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14" w:type="dxa"/>
            <w:vMerge w:val="continue"/>
            <w:tcBorders>
              <w:tl2br w:val="nil"/>
              <w:tr2bl w:val="nil"/>
            </w:tcBorders>
          </w:tcPr>
          <w:p w14:paraId="396D4C8F">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2290A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sz w:val="21"/>
                <w:szCs w:val="21"/>
                <w:highlight w:val="none"/>
                <w:u w:val="wave" w:color="auto"/>
                <w:lang w:val="en-US" w:eastAsia="zh-CN"/>
              </w:rPr>
              <w:t>动植物油</w:t>
            </w:r>
          </w:p>
        </w:tc>
        <w:tc>
          <w:tcPr>
            <w:tcW w:w="1072" w:type="dxa"/>
            <w:tcBorders>
              <w:tl2br w:val="nil"/>
              <w:tr2bl w:val="nil"/>
            </w:tcBorders>
            <w:vAlign w:val="center"/>
          </w:tcPr>
          <w:p w14:paraId="08C7B228">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3.85</w:t>
            </w:r>
          </w:p>
        </w:tc>
        <w:tc>
          <w:tcPr>
            <w:tcW w:w="1125" w:type="dxa"/>
            <w:tcBorders>
              <w:tl2br w:val="nil"/>
              <w:tr2bl w:val="nil"/>
            </w:tcBorders>
            <w:vAlign w:val="center"/>
          </w:tcPr>
          <w:p w14:paraId="5CA719A1">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3.86</w:t>
            </w:r>
          </w:p>
        </w:tc>
        <w:tc>
          <w:tcPr>
            <w:tcW w:w="1110" w:type="dxa"/>
            <w:tcBorders>
              <w:tl2br w:val="nil"/>
              <w:tr2bl w:val="nil"/>
            </w:tcBorders>
            <w:vAlign w:val="center"/>
          </w:tcPr>
          <w:p w14:paraId="547EC1D3">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3.34</w:t>
            </w:r>
          </w:p>
        </w:tc>
        <w:tc>
          <w:tcPr>
            <w:tcW w:w="930" w:type="dxa"/>
            <w:tcBorders>
              <w:tl2br w:val="nil"/>
              <w:tr2bl w:val="nil"/>
            </w:tcBorders>
            <w:vAlign w:val="center"/>
          </w:tcPr>
          <w:p w14:paraId="6B927336">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451A3E56">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w:t>
            </w:r>
          </w:p>
        </w:tc>
        <w:tc>
          <w:tcPr>
            <w:tcW w:w="1185" w:type="dxa"/>
            <w:tcBorders>
              <w:tl2br w:val="nil"/>
              <w:tr2bl w:val="nil"/>
            </w:tcBorders>
            <w:vAlign w:val="center"/>
          </w:tcPr>
          <w:p w14:paraId="67778BC4">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p>
        </w:tc>
      </w:tr>
      <w:tr w14:paraId="308F6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4799F24E">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0EF87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阴离子表面活性剂</w:t>
            </w:r>
          </w:p>
        </w:tc>
        <w:tc>
          <w:tcPr>
            <w:tcW w:w="1072" w:type="dxa"/>
            <w:tcBorders>
              <w:tl2br w:val="nil"/>
              <w:tr2bl w:val="nil"/>
            </w:tcBorders>
            <w:vAlign w:val="center"/>
          </w:tcPr>
          <w:p w14:paraId="4515BC75">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125" w:type="dxa"/>
            <w:tcBorders>
              <w:tl2br w:val="nil"/>
              <w:tr2bl w:val="nil"/>
            </w:tcBorders>
            <w:vAlign w:val="center"/>
          </w:tcPr>
          <w:p w14:paraId="5C3FCB73">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110" w:type="dxa"/>
            <w:tcBorders>
              <w:tl2br w:val="nil"/>
              <w:tr2bl w:val="nil"/>
            </w:tcBorders>
            <w:vAlign w:val="center"/>
          </w:tcPr>
          <w:p w14:paraId="57138EBF">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930" w:type="dxa"/>
            <w:tcBorders>
              <w:tl2br w:val="nil"/>
              <w:tr2bl w:val="nil"/>
            </w:tcBorders>
            <w:vAlign w:val="center"/>
          </w:tcPr>
          <w:p w14:paraId="7191F78A">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7A75B594">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0.3</w:t>
            </w:r>
          </w:p>
        </w:tc>
        <w:tc>
          <w:tcPr>
            <w:tcW w:w="1185" w:type="dxa"/>
            <w:tcBorders>
              <w:tl2br w:val="nil"/>
              <w:tr2bl w:val="nil"/>
            </w:tcBorders>
            <w:vAlign w:val="center"/>
          </w:tcPr>
          <w:p w14:paraId="3642CFCC">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p>
        </w:tc>
      </w:tr>
      <w:tr w14:paraId="7B7BCC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2CF24619">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35E66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粪大肠菌群</w:t>
            </w:r>
          </w:p>
        </w:tc>
        <w:tc>
          <w:tcPr>
            <w:tcW w:w="1072" w:type="dxa"/>
            <w:tcBorders>
              <w:tl2br w:val="nil"/>
              <w:tr2bl w:val="nil"/>
            </w:tcBorders>
            <w:vAlign w:val="center"/>
          </w:tcPr>
          <w:p w14:paraId="316526FD">
            <w:pPr>
              <w:keepNext w:val="0"/>
              <w:keepLines w:val="0"/>
              <w:widowControl/>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2.2</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125" w:type="dxa"/>
            <w:tcBorders>
              <w:tl2br w:val="nil"/>
              <w:tr2bl w:val="nil"/>
            </w:tcBorders>
            <w:vAlign w:val="center"/>
          </w:tcPr>
          <w:p w14:paraId="328D9E64">
            <w:pPr>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2.8</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110" w:type="dxa"/>
            <w:tcBorders>
              <w:tl2br w:val="nil"/>
              <w:tr2bl w:val="nil"/>
            </w:tcBorders>
            <w:vAlign w:val="center"/>
          </w:tcPr>
          <w:p w14:paraId="793FED15">
            <w:pPr>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1.8</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930" w:type="dxa"/>
            <w:tcBorders>
              <w:tl2br w:val="nil"/>
              <w:tr2bl w:val="nil"/>
            </w:tcBorders>
            <w:vAlign w:val="center"/>
          </w:tcPr>
          <w:p w14:paraId="0A37C121">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eastAsia" w:ascii="Times New Roman" w:hAnsi="Times New Roman" w:eastAsia="宋体" w:cs="Times New Roman"/>
                <w:color w:val="FF0000"/>
                <w:kern w:val="0"/>
                <w:sz w:val="21"/>
                <w:szCs w:val="21"/>
                <w:lang w:val="en-US" w:eastAsia="zh-CN" w:bidi="ar"/>
              </w:rPr>
              <w:t>个</w:t>
            </w:r>
            <w:r>
              <w:rPr>
                <w:rFonts w:hint="default" w:ascii="Times New Roman" w:hAnsi="Times New Roman" w:eastAsia="宋体" w:cs="Times New Roman"/>
                <w:color w:val="FF0000"/>
                <w:kern w:val="0"/>
                <w:sz w:val="21"/>
                <w:szCs w:val="21"/>
                <w:lang w:val="en-US" w:eastAsia="zh-CN" w:bidi="ar"/>
              </w:rPr>
              <w:t>/L</w:t>
            </w:r>
          </w:p>
        </w:tc>
        <w:tc>
          <w:tcPr>
            <w:tcW w:w="1185" w:type="dxa"/>
            <w:tcBorders>
              <w:tl2br w:val="nil"/>
              <w:tr2bl w:val="nil"/>
            </w:tcBorders>
            <w:vAlign w:val="center"/>
          </w:tcPr>
          <w:p w14:paraId="58507712">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20000</w:t>
            </w:r>
          </w:p>
        </w:tc>
        <w:tc>
          <w:tcPr>
            <w:tcW w:w="1185" w:type="dxa"/>
            <w:tcBorders>
              <w:tl2br w:val="nil"/>
              <w:tr2bl w:val="nil"/>
            </w:tcBorders>
            <w:vAlign w:val="center"/>
          </w:tcPr>
          <w:p w14:paraId="15AA26C9">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0CAE2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restart"/>
            <w:tcBorders>
              <w:tl2br w:val="nil"/>
              <w:tr2bl w:val="nil"/>
            </w:tcBorders>
          </w:tcPr>
          <w:p w14:paraId="4AF232B3">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W2污水排放口下游500m（机排二十渠）</w:t>
            </w:r>
          </w:p>
        </w:tc>
        <w:tc>
          <w:tcPr>
            <w:tcW w:w="1305" w:type="dxa"/>
            <w:tcBorders>
              <w:tl2br w:val="nil"/>
              <w:tr2bl w:val="nil"/>
            </w:tcBorders>
            <w:vAlign w:val="top"/>
          </w:tcPr>
          <w:p w14:paraId="1299BC9A">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pH值</w:t>
            </w:r>
          </w:p>
        </w:tc>
        <w:tc>
          <w:tcPr>
            <w:tcW w:w="1072" w:type="dxa"/>
            <w:tcBorders>
              <w:tl2br w:val="nil"/>
              <w:tr2bl w:val="nil"/>
            </w:tcBorders>
            <w:vAlign w:val="center"/>
          </w:tcPr>
          <w:p w14:paraId="5E04BEA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7.8</w:t>
            </w:r>
          </w:p>
        </w:tc>
        <w:tc>
          <w:tcPr>
            <w:tcW w:w="1125" w:type="dxa"/>
            <w:tcBorders>
              <w:tl2br w:val="nil"/>
              <w:tr2bl w:val="nil"/>
            </w:tcBorders>
            <w:vAlign w:val="center"/>
          </w:tcPr>
          <w:p w14:paraId="0433FB79">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7.6</w:t>
            </w:r>
          </w:p>
        </w:tc>
        <w:tc>
          <w:tcPr>
            <w:tcW w:w="1110" w:type="dxa"/>
            <w:tcBorders>
              <w:tl2br w:val="nil"/>
              <w:tr2bl w:val="nil"/>
            </w:tcBorders>
            <w:vAlign w:val="center"/>
          </w:tcPr>
          <w:p w14:paraId="1FB7712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7.7</w:t>
            </w:r>
          </w:p>
        </w:tc>
        <w:tc>
          <w:tcPr>
            <w:tcW w:w="930" w:type="dxa"/>
            <w:tcBorders>
              <w:tl2br w:val="nil"/>
              <w:tr2bl w:val="nil"/>
            </w:tcBorders>
            <w:vAlign w:val="center"/>
          </w:tcPr>
          <w:p w14:paraId="43A78C8E">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无量纲</w:t>
            </w:r>
          </w:p>
        </w:tc>
        <w:tc>
          <w:tcPr>
            <w:tcW w:w="1185" w:type="dxa"/>
            <w:tcBorders>
              <w:tl2br w:val="nil"/>
              <w:tr2bl w:val="nil"/>
            </w:tcBorders>
            <w:vAlign w:val="center"/>
          </w:tcPr>
          <w:p w14:paraId="04AAFB15">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6~9</w:t>
            </w:r>
          </w:p>
        </w:tc>
        <w:tc>
          <w:tcPr>
            <w:tcW w:w="1185" w:type="dxa"/>
            <w:tcBorders>
              <w:tl2br w:val="nil"/>
              <w:tr2bl w:val="nil"/>
            </w:tcBorders>
            <w:vAlign w:val="center"/>
          </w:tcPr>
          <w:p w14:paraId="42E671E3">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57A54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17C8BD17">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16ED64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化学需氧量</w:t>
            </w:r>
          </w:p>
        </w:tc>
        <w:tc>
          <w:tcPr>
            <w:tcW w:w="1072" w:type="dxa"/>
            <w:tcBorders>
              <w:tl2br w:val="nil"/>
              <w:tr2bl w:val="nil"/>
            </w:tcBorders>
            <w:vAlign w:val="center"/>
          </w:tcPr>
          <w:p w14:paraId="002DAB79">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19</w:t>
            </w:r>
          </w:p>
        </w:tc>
        <w:tc>
          <w:tcPr>
            <w:tcW w:w="1125" w:type="dxa"/>
            <w:tcBorders>
              <w:tl2br w:val="nil"/>
              <w:tr2bl w:val="nil"/>
            </w:tcBorders>
            <w:vAlign w:val="center"/>
          </w:tcPr>
          <w:p w14:paraId="6FAEA0F3">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10</w:t>
            </w:r>
          </w:p>
        </w:tc>
        <w:tc>
          <w:tcPr>
            <w:tcW w:w="1110" w:type="dxa"/>
            <w:tcBorders>
              <w:tl2br w:val="nil"/>
              <w:tr2bl w:val="nil"/>
            </w:tcBorders>
            <w:vAlign w:val="center"/>
          </w:tcPr>
          <w:p w14:paraId="1EF2DEF4">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15</w:t>
            </w:r>
          </w:p>
        </w:tc>
        <w:tc>
          <w:tcPr>
            <w:tcW w:w="930" w:type="dxa"/>
            <w:tcBorders>
              <w:tl2br w:val="nil"/>
              <w:tr2bl w:val="nil"/>
            </w:tcBorders>
            <w:vAlign w:val="center"/>
          </w:tcPr>
          <w:p w14:paraId="38F347B5">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62EE720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eastAsia" w:ascii="Times New Roman" w:hAnsi="Times New Roman" w:cs="Times New Roman"/>
                <w:color w:val="FF0000"/>
                <w:highlight w:val="none"/>
                <w:u w:val="wave" w:color="auto"/>
                <w:lang w:val="en-US" w:eastAsia="zh-CN"/>
              </w:rPr>
              <w:t>30</w:t>
            </w:r>
          </w:p>
        </w:tc>
        <w:tc>
          <w:tcPr>
            <w:tcW w:w="1185" w:type="dxa"/>
            <w:tcBorders>
              <w:tl2br w:val="nil"/>
              <w:tr2bl w:val="nil"/>
            </w:tcBorders>
            <w:shd w:val="clear" w:color="auto" w:fill="auto"/>
            <w:vAlign w:val="center"/>
          </w:tcPr>
          <w:p w14:paraId="69B3A96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lang w:val="en-US" w:eastAsia="zh-CN" w:bidi="ar-SA"/>
              </w:rPr>
            </w:pPr>
            <w:r>
              <w:rPr>
                <w:rFonts w:hint="eastAsia" w:cs="Times New Roman"/>
                <w:b/>
                <w:bCs/>
                <w:color w:val="FF0000"/>
                <w:highlight w:val="none"/>
                <w:u w:val="wave" w:color="auto"/>
                <w:lang w:val="en-US" w:eastAsia="zh-CN"/>
              </w:rPr>
              <w:t>2.97</w:t>
            </w:r>
          </w:p>
        </w:tc>
      </w:tr>
      <w:tr w14:paraId="1AE6A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4E82E42E">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F9140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五日生化需氧量</w:t>
            </w:r>
          </w:p>
        </w:tc>
        <w:tc>
          <w:tcPr>
            <w:tcW w:w="1072" w:type="dxa"/>
            <w:tcBorders>
              <w:tl2br w:val="nil"/>
              <w:tr2bl w:val="nil"/>
            </w:tcBorders>
            <w:vAlign w:val="center"/>
          </w:tcPr>
          <w:p w14:paraId="5D85D597">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3.6</w:t>
            </w:r>
          </w:p>
        </w:tc>
        <w:tc>
          <w:tcPr>
            <w:tcW w:w="1125" w:type="dxa"/>
            <w:tcBorders>
              <w:tl2br w:val="nil"/>
              <w:tr2bl w:val="nil"/>
            </w:tcBorders>
            <w:vAlign w:val="center"/>
          </w:tcPr>
          <w:p w14:paraId="6388A194">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3.9</w:t>
            </w:r>
          </w:p>
        </w:tc>
        <w:tc>
          <w:tcPr>
            <w:tcW w:w="1110" w:type="dxa"/>
            <w:tcBorders>
              <w:tl2br w:val="nil"/>
              <w:tr2bl w:val="nil"/>
            </w:tcBorders>
            <w:vAlign w:val="center"/>
          </w:tcPr>
          <w:p w14:paraId="5C0AA633">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4.0</w:t>
            </w:r>
          </w:p>
        </w:tc>
        <w:tc>
          <w:tcPr>
            <w:tcW w:w="930" w:type="dxa"/>
            <w:tcBorders>
              <w:tl2br w:val="nil"/>
              <w:tr2bl w:val="nil"/>
            </w:tcBorders>
            <w:vAlign w:val="center"/>
          </w:tcPr>
          <w:p w14:paraId="72AFC15B">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6E607F1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6</w:t>
            </w:r>
          </w:p>
        </w:tc>
        <w:tc>
          <w:tcPr>
            <w:tcW w:w="1185" w:type="dxa"/>
            <w:tcBorders>
              <w:tl2br w:val="nil"/>
              <w:tr2bl w:val="nil"/>
            </w:tcBorders>
            <w:shd w:val="clear" w:color="auto" w:fill="auto"/>
            <w:vAlign w:val="center"/>
          </w:tcPr>
          <w:p w14:paraId="4406193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lang w:val="en-US" w:eastAsia="zh-CN" w:bidi="ar-SA"/>
              </w:rPr>
            </w:pPr>
            <w:r>
              <w:rPr>
                <w:rFonts w:hint="default" w:cs="Times New Roman"/>
                <w:color w:val="FF0000"/>
                <w:highlight w:val="none"/>
                <w:u w:val="wave" w:color="auto"/>
                <w:lang w:val="en-US" w:eastAsia="zh-CN"/>
              </w:rPr>
              <w:t>/</w:t>
            </w:r>
          </w:p>
        </w:tc>
      </w:tr>
      <w:tr w14:paraId="3CA92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04DBFC27">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C5499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氨氮</w:t>
            </w:r>
          </w:p>
        </w:tc>
        <w:tc>
          <w:tcPr>
            <w:tcW w:w="1072" w:type="dxa"/>
            <w:tcBorders>
              <w:tl2br w:val="nil"/>
              <w:tr2bl w:val="nil"/>
            </w:tcBorders>
            <w:vAlign w:val="center"/>
          </w:tcPr>
          <w:p w14:paraId="50F0FDFD">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2.07</w:t>
            </w:r>
          </w:p>
        </w:tc>
        <w:tc>
          <w:tcPr>
            <w:tcW w:w="1125" w:type="dxa"/>
            <w:tcBorders>
              <w:tl2br w:val="nil"/>
              <w:tr2bl w:val="nil"/>
            </w:tcBorders>
            <w:vAlign w:val="center"/>
          </w:tcPr>
          <w:p w14:paraId="2140F88B">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1.89</w:t>
            </w:r>
          </w:p>
        </w:tc>
        <w:tc>
          <w:tcPr>
            <w:tcW w:w="1110" w:type="dxa"/>
            <w:tcBorders>
              <w:tl2br w:val="nil"/>
              <w:tr2bl w:val="nil"/>
            </w:tcBorders>
            <w:vAlign w:val="center"/>
          </w:tcPr>
          <w:p w14:paraId="5739CE2A">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1.75</w:t>
            </w:r>
          </w:p>
        </w:tc>
        <w:tc>
          <w:tcPr>
            <w:tcW w:w="930" w:type="dxa"/>
            <w:tcBorders>
              <w:tl2br w:val="nil"/>
              <w:tr2bl w:val="nil"/>
            </w:tcBorders>
            <w:vAlign w:val="center"/>
          </w:tcPr>
          <w:p w14:paraId="3F83F726">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112FA18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1.</w:t>
            </w:r>
            <w:r>
              <w:rPr>
                <w:rFonts w:hint="eastAsia" w:ascii="Times New Roman" w:hAnsi="Times New Roman" w:cs="Times New Roman"/>
                <w:color w:val="FF0000"/>
                <w:highlight w:val="none"/>
                <w:u w:val="wave" w:color="auto"/>
                <w:lang w:val="en-US" w:eastAsia="zh-CN"/>
              </w:rPr>
              <w:t>5</w:t>
            </w:r>
          </w:p>
        </w:tc>
        <w:tc>
          <w:tcPr>
            <w:tcW w:w="1185" w:type="dxa"/>
            <w:tcBorders>
              <w:tl2br w:val="nil"/>
              <w:tr2bl w:val="nil"/>
            </w:tcBorders>
            <w:shd w:val="clear" w:color="auto" w:fill="auto"/>
            <w:vAlign w:val="center"/>
          </w:tcPr>
          <w:p w14:paraId="22E607B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bidi="ar-SA"/>
              </w:rPr>
            </w:pPr>
            <w:r>
              <w:rPr>
                <w:rFonts w:hint="default" w:cs="Times New Roman"/>
                <w:color w:val="FF0000"/>
                <w:highlight w:val="none"/>
                <w:u w:val="wave" w:color="auto"/>
                <w:lang w:val="en-US" w:eastAsia="zh-CN"/>
              </w:rPr>
              <w:t>/</w:t>
            </w:r>
          </w:p>
        </w:tc>
      </w:tr>
      <w:tr w14:paraId="5DA78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2878768E">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52F95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总磷</w:t>
            </w:r>
          </w:p>
        </w:tc>
        <w:tc>
          <w:tcPr>
            <w:tcW w:w="1072" w:type="dxa"/>
            <w:tcBorders>
              <w:tl2br w:val="nil"/>
              <w:tr2bl w:val="nil"/>
            </w:tcBorders>
            <w:vAlign w:val="center"/>
          </w:tcPr>
          <w:p w14:paraId="09C411AF">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0.12</w:t>
            </w:r>
          </w:p>
        </w:tc>
        <w:tc>
          <w:tcPr>
            <w:tcW w:w="1125" w:type="dxa"/>
            <w:tcBorders>
              <w:tl2br w:val="nil"/>
              <w:tr2bl w:val="nil"/>
            </w:tcBorders>
            <w:vAlign w:val="center"/>
          </w:tcPr>
          <w:p w14:paraId="07C4702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0.14</w:t>
            </w:r>
          </w:p>
        </w:tc>
        <w:tc>
          <w:tcPr>
            <w:tcW w:w="1110" w:type="dxa"/>
            <w:tcBorders>
              <w:tl2br w:val="nil"/>
              <w:tr2bl w:val="nil"/>
            </w:tcBorders>
            <w:vAlign w:val="center"/>
          </w:tcPr>
          <w:p w14:paraId="5384461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0.11</w:t>
            </w:r>
          </w:p>
        </w:tc>
        <w:tc>
          <w:tcPr>
            <w:tcW w:w="930" w:type="dxa"/>
            <w:tcBorders>
              <w:tl2br w:val="nil"/>
              <w:tr2bl w:val="nil"/>
            </w:tcBorders>
            <w:vAlign w:val="center"/>
          </w:tcPr>
          <w:p w14:paraId="40D9ED79">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405FBFB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0.</w:t>
            </w:r>
            <w:r>
              <w:rPr>
                <w:rFonts w:hint="eastAsia" w:ascii="Times New Roman" w:hAnsi="Times New Roman" w:cs="Times New Roman"/>
                <w:color w:val="FF0000"/>
                <w:highlight w:val="none"/>
                <w:u w:val="wave" w:color="auto"/>
                <w:lang w:val="en-US" w:eastAsia="zh-CN"/>
              </w:rPr>
              <w:t>3</w:t>
            </w:r>
          </w:p>
        </w:tc>
        <w:tc>
          <w:tcPr>
            <w:tcW w:w="1185" w:type="dxa"/>
            <w:tcBorders>
              <w:tl2br w:val="nil"/>
              <w:tr2bl w:val="nil"/>
            </w:tcBorders>
            <w:shd w:val="clear" w:color="auto" w:fill="auto"/>
            <w:vAlign w:val="center"/>
          </w:tcPr>
          <w:p w14:paraId="0EE51FC7">
            <w:pPr>
              <w:pStyle w:val="192"/>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FF0000"/>
                <w:sz w:val="21"/>
                <w:szCs w:val="21"/>
                <w:highlight w:val="none"/>
                <w:u w:val="wave" w:color="auto"/>
                <w:vertAlign w:val="baseline"/>
                <w:lang w:val="en-US" w:eastAsia="zh-CN" w:bidi="ar-SA"/>
              </w:rPr>
            </w:pPr>
            <w:r>
              <w:rPr>
                <w:rFonts w:hint="default" w:cs="Times New Roman"/>
                <w:color w:val="FF0000"/>
                <w:highlight w:val="none"/>
                <w:u w:val="wave" w:color="auto"/>
                <w:lang w:val="en-US" w:eastAsia="zh-CN"/>
              </w:rPr>
              <w:t>/</w:t>
            </w:r>
          </w:p>
        </w:tc>
      </w:tr>
      <w:tr w14:paraId="0A0AB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14" w:type="dxa"/>
            <w:vMerge w:val="continue"/>
            <w:tcBorders>
              <w:tl2br w:val="nil"/>
              <w:tr2bl w:val="nil"/>
            </w:tcBorders>
          </w:tcPr>
          <w:p w14:paraId="117B5263">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5D44AB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总氮</w:t>
            </w:r>
          </w:p>
        </w:tc>
        <w:tc>
          <w:tcPr>
            <w:tcW w:w="1072" w:type="dxa"/>
            <w:tcBorders>
              <w:tl2br w:val="nil"/>
              <w:tr2bl w:val="nil"/>
            </w:tcBorders>
            <w:vAlign w:val="center"/>
          </w:tcPr>
          <w:p w14:paraId="72E9A449">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6.28</w:t>
            </w:r>
          </w:p>
        </w:tc>
        <w:tc>
          <w:tcPr>
            <w:tcW w:w="1125" w:type="dxa"/>
            <w:tcBorders>
              <w:tl2br w:val="nil"/>
              <w:tr2bl w:val="nil"/>
            </w:tcBorders>
            <w:vAlign w:val="center"/>
          </w:tcPr>
          <w:p w14:paraId="02C964AB">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6.33</w:t>
            </w:r>
          </w:p>
        </w:tc>
        <w:tc>
          <w:tcPr>
            <w:tcW w:w="1110" w:type="dxa"/>
            <w:tcBorders>
              <w:tl2br w:val="nil"/>
              <w:tr2bl w:val="nil"/>
            </w:tcBorders>
            <w:vAlign w:val="center"/>
          </w:tcPr>
          <w:p w14:paraId="296BC73C">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6.14</w:t>
            </w:r>
          </w:p>
        </w:tc>
        <w:tc>
          <w:tcPr>
            <w:tcW w:w="930" w:type="dxa"/>
            <w:tcBorders>
              <w:tl2br w:val="nil"/>
              <w:tr2bl w:val="nil"/>
            </w:tcBorders>
            <w:vAlign w:val="center"/>
          </w:tcPr>
          <w:p w14:paraId="561D982B">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68E99B8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rPr>
              <w:t>≤</w:t>
            </w:r>
            <w:r>
              <w:rPr>
                <w:rFonts w:hint="default" w:ascii="Times New Roman" w:hAnsi="Times New Roman" w:cs="Times New Roman"/>
                <w:color w:val="FF0000"/>
                <w:highlight w:val="none"/>
                <w:u w:val="wave" w:color="auto"/>
                <w:lang w:val="en-US" w:eastAsia="zh-CN"/>
              </w:rPr>
              <w:t>1.</w:t>
            </w:r>
            <w:r>
              <w:rPr>
                <w:rFonts w:hint="eastAsia" w:ascii="Times New Roman" w:hAnsi="Times New Roman" w:cs="Times New Roman"/>
                <w:color w:val="FF0000"/>
                <w:highlight w:val="none"/>
                <w:u w:val="wave" w:color="auto"/>
                <w:lang w:val="en-US" w:eastAsia="zh-CN"/>
              </w:rPr>
              <w:t>5</w:t>
            </w:r>
          </w:p>
        </w:tc>
        <w:tc>
          <w:tcPr>
            <w:tcW w:w="1185" w:type="dxa"/>
            <w:tcBorders>
              <w:tl2br w:val="nil"/>
              <w:tr2bl w:val="nil"/>
            </w:tcBorders>
            <w:vAlign w:val="center"/>
          </w:tcPr>
          <w:p w14:paraId="2904ED9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highlight w:val="none"/>
                <w:u w:val="wave" w:color="auto"/>
                <w:lang w:val="en-US" w:eastAsia="zh-CN"/>
              </w:rPr>
            </w:pPr>
            <w:r>
              <w:rPr>
                <w:rFonts w:hint="eastAsia" w:cs="Times New Roman"/>
                <w:b/>
                <w:bCs/>
                <w:color w:val="FF0000"/>
                <w:highlight w:val="none"/>
                <w:u w:val="wave" w:color="auto"/>
                <w:lang w:val="en-US" w:eastAsia="zh-CN"/>
              </w:rPr>
              <w:t>3.22</w:t>
            </w:r>
          </w:p>
        </w:tc>
      </w:tr>
      <w:tr w14:paraId="16C55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54DEFE41">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52732F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悬浮物</w:t>
            </w:r>
          </w:p>
        </w:tc>
        <w:tc>
          <w:tcPr>
            <w:tcW w:w="1072" w:type="dxa"/>
            <w:tcBorders>
              <w:tl2br w:val="nil"/>
              <w:tr2bl w:val="nil"/>
            </w:tcBorders>
            <w:vAlign w:val="center"/>
          </w:tcPr>
          <w:p w14:paraId="72869BBF">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45</w:t>
            </w:r>
          </w:p>
        </w:tc>
        <w:tc>
          <w:tcPr>
            <w:tcW w:w="1125" w:type="dxa"/>
            <w:tcBorders>
              <w:tl2br w:val="nil"/>
              <w:tr2bl w:val="nil"/>
            </w:tcBorders>
            <w:vAlign w:val="center"/>
          </w:tcPr>
          <w:p w14:paraId="10C85A35">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43</w:t>
            </w:r>
          </w:p>
        </w:tc>
        <w:tc>
          <w:tcPr>
            <w:tcW w:w="1110" w:type="dxa"/>
            <w:tcBorders>
              <w:tl2br w:val="nil"/>
              <w:tr2bl w:val="nil"/>
            </w:tcBorders>
            <w:vAlign w:val="center"/>
          </w:tcPr>
          <w:p w14:paraId="5CA7F1A9">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42</w:t>
            </w:r>
          </w:p>
        </w:tc>
        <w:tc>
          <w:tcPr>
            <w:tcW w:w="930" w:type="dxa"/>
            <w:tcBorders>
              <w:tl2br w:val="nil"/>
              <w:tr2bl w:val="nil"/>
            </w:tcBorders>
            <w:vAlign w:val="center"/>
          </w:tcPr>
          <w:p w14:paraId="65123A75">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74557F0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cs="Times New Roman"/>
                <w:color w:val="FF0000"/>
                <w:highlight w:val="none"/>
                <w:u w:val="wave" w:color="auto"/>
                <w:lang w:val="en-US" w:eastAsia="zh-CN"/>
              </w:rPr>
              <w:t>/</w:t>
            </w:r>
          </w:p>
        </w:tc>
        <w:tc>
          <w:tcPr>
            <w:tcW w:w="1185" w:type="dxa"/>
            <w:tcBorders>
              <w:tl2br w:val="nil"/>
              <w:tr2bl w:val="nil"/>
            </w:tcBorders>
            <w:vAlign w:val="center"/>
          </w:tcPr>
          <w:p w14:paraId="5E27DA2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FF0000"/>
                <w:highlight w:val="none"/>
                <w:u w:val="wave" w:color="auto"/>
                <w:lang w:val="en-US" w:eastAsia="zh-CN"/>
              </w:rPr>
            </w:pPr>
            <w:r>
              <w:rPr>
                <w:rFonts w:hint="default" w:cs="Times New Roman"/>
                <w:color w:val="FF0000"/>
                <w:highlight w:val="none"/>
                <w:u w:val="wave" w:color="auto"/>
                <w:lang w:val="en-US" w:eastAsia="zh-CN"/>
              </w:rPr>
              <w:t>/</w:t>
            </w:r>
          </w:p>
        </w:tc>
      </w:tr>
      <w:tr w14:paraId="66DF8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14" w:type="dxa"/>
            <w:vMerge w:val="continue"/>
            <w:tcBorders>
              <w:tl2br w:val="nil"/>
              <w:tr2bl w:val="nil"/>
            </w:tcBorders>
          </w:tcPr>
          <w:p w14:paraId="247ABBD5">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28624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sz w:val="21"/>
                <w:szCs w:val="21"/>
                <w:highlight w:val="none"/>
                <w:u w:val="wave" w:color="auto"/>
                <w:lang w:val="en-US" w:eastAsia="zh-CN"/>
              </w:rPr>
              <w:t>动植物油</w:t>
            </w:r>
          </w:p>
        </w:tc>
        <w:tc>
          <w:tcPr>
            <w:tcW w:w="1072" w:type="dxa"/>
            <w:tcBorders>
              <w:tl2br w:val="nil"/>
              <w:tr2bl w:val="nil"/>
            </w:tcBorders>
            <w:vAlign w:val="center"/>
          </w:tcPr>
          <w:p w14:paraId="7E646D28">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4.35</w:t>
            </w:r>
          </w:p>
        </w:tc>
        <w:tc>
          <w:tcPr>
            <w:tcW w:w="1125" w:type="dxa"/>
            <w:tcBorders>
              <w:tl2br w:val="nil"/>
              <w:tr2bl w:val="nil"/>
            </w:tcBorders>
            <w:vAlign w:val="center"/>
          </w:tcPr>
          <w:p w14:paraId="42BC9BCA">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3.88</w:t>
            </w:r>
          </w:p>
        </w:tc>
        <w:tc>
          <w:tcPr>
            <w:tcW w:w="1110" w:type="dxa"/>
            <w:tcBorders>
              <w:tl2br w:val="nil"/>
              <w:tr2bl w:val="nil"/>
            </w:tcBorders>
            <w:vAlign w:val="center"/>
          </w:tcPr>
          <w:p w14:paraId="1E7FBB7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3.53</w:t>
            </w:r>
          </w:p>
        </w:tc>
        <w:tc>
          <w:tcPr>
            <w:tcW w:w="930" w:type="dxa"/>
            <w:tcBorders>
              <w:tl2br w:val="nil"/>
              <w:tr2bl w:val="nil"/>
            </w:tcBorders>
            <w:vAlign w:val="center"/>
          </w:tcPr>
          <w:p w14:paraId="7AB4B4EC">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2107C2D7">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w:t>
            </w:r>
          </w:p>
        </w:tc>
        <w:tc>
          <w:tcPr>
            <w:tcW w:w="1185" w:type="dxa"/>
            <w:tcBorders>
              <w:tl2br w:val="nil"/>
              <w:tr2bl w:val="nil"/>
            </w:tcBorders>
            <w:vAlign w:val="center"/>
          </w:tcPr>
          <w:p w14:paraId="130D5BAE">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58243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0F6E5825">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0CB91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阴离子表面活性剂</w:t>
            </w:r>
          </w:p>
        </w:tc>
        <w:tc>
          <w:tcPr>
            <w:tcW w:w="1072" w:type="dxa"/>
            <w:tcBorders>
              <w:tl2br w:val="nil"/>
              <w:tr2bl w:val="nil"/>
            </w:tcBorders>
            <w:vAlign w:val="center"/>
          </w:tcPr>
          <w:p w14:paraId="6F9E2EE1">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125" w:type="dxa"/>
            <w:tcBorders>
              <w:tl2br w:val="nil"/>
              <w:tr2bl w:val="nil"/>
            </w:tcBorders>
            <w:vAlign w:val="center"/>
          </w:tcPr>
          <w:p w14:paraId="1FD55AAE">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110" w:type="dxa"/>
            <w:tcBorders>
              <w:tl2br w:val="nil"/>
              <w:tr2bl w:val="nil"/>
            </w:tcBorders>
            <w:vAlign w:val="center"/>
          </w:tcPr>
          <w:p w14:paraId="4857FC5A">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930" w:type="dxa"/>
            <w:tcBorders>
              <w:tl2br w:val="nil"/>
              <w:tr2bl w:val="nil"/>
            </w:tcBorders>
            <w:vAlign w:val="center"/>
          </w:tcPr>
          <w:p w14:paraId="749D7021">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038AE3C9">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0.3</w:t>
            </w:r>
          </w:p>
        </w:tc>
        <w:tc>
          <w:tcPr>
            <w:tcW w:w="1185" w:type="dxa"/>
            <w:tcBorders>
              <w:tl2br w:val="nil"/>
              <w:tr2bl w:val="nil"/>
            </w:tcBorders>
            <w:vAlign w:val="center"/>
          </w:tcPr>
          <w:p w14:paraId="22CF7D34">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33522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1B1BED66">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6F39C9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粪大肠菌群</w:t>
            </w:r>
          </w:p>
        </w:tc>
        <w:tc>
          <w:tcPr>
            <w:tcW w:w="1072" w:type="dxa"/>
            <w:tcBorders>
              <w:tl2br w:val="nil"/>
              <w:tr2bl w:val="nil"/>
            </w:tcBorders>
            <w:vAlign w:val="center"/>
          </w:tcPr>
          <w:p w14:paraId="7821DD49">
            <w:pPr>
              <w:keepNext w:val="0"/>
              <w:keepLines w:val="0"/>
              <w:widowControl/>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3.5</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125" w:type="dxa"/>
            <w:tcBorders>
              <w:tl2br w:val="nil"/>
              <w:tr2bl w:val="nil"/>
            </w:tcBorders>
            <w:vAlign w:val="center"/>
          </w:tcPr>
          <w:p w14:paraId="4A992970">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4.3</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110" w:type="dxa"/>
            <w:tcBorders>
              <w:tl2br w:val="nil"/>
              <w:tr2bl w:val="nil"/>
            </w:tcBorders>
            <w:vAlign w:val="center"/>
          </w:tcPr>
          <w:p w14:paraId="71A15EE6">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3.5</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930" w:type="dxa"/>
            <w:tcBorders>
              <w:tl2br w:val="nil"/>
              <w:tr2bl w:val="nil"/>
            </w:tcBorders>
            <w:vAlign w:val="center"/>
          </w:tcPr>
          <w:p w14:paraId="30CD1836">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eastAsia" w:ascii="Times New Roman" w:hAnsi="Times New Roman" w:eastAsia="宋体" w:cs="Times New Roman"/>
                <w:color w:val="FF0000"/>
                <w:kern w:val="0"/>
                <w:sz w:val="21"/>
                <w:szCs w:val="21"/>
                <w:lang w:val="en-US" w:eastAsia="zh-CN" w:bidi="ar"/>
              </w:rPr>
              <w:t>个</w:t>
            </w:r>
            <w:r>
              <w:rPr>
                <w:rFonts w:hint="default" w:ascii="Times New Roman" w:hAnsi="Times New Roman" w:eastAsia="宋体" w:cs="Times New Roman"/>
                <w:color w:val="FF0000"/>
                <w:kern w:val="0"/>
                <w:sz w:val="21"/>
                <w:szCs w:val="21"/>
                <w:lang w:val="en-US" w:eastAsia="zh-CN" w:bidi="ar"/>
              </w:rPr>
              <w:t>/L</w:t>
            </w:r>
          </w:p>
        </w:tc>
        <w:tc>
          <w:tcPr>
            <w:tcW w:w="1185" w:type="dxa"/>
            <w:tcBorders>
              <w:tl2br w:val="nil"/>
              <w:tr2bl w:val="nil"/>
            </w:tcBorders>
            <w:vAlign w:val="center"/>
          </w:tcPr>
          <w:p w14:paraId="156F7560">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20000</w:t>
            </w:r>
          </w:p>
        </w:tc>
        <w:tc>
          <w:tcPr>
            <w:tcW w:w="1185" w:type="dxa"/>
            <w:tcBorders>
              <w:tl2br w:val="nil"/>
              <w:tr2bl w:val="nil"/>
            </w:tcBorders>
            <w:vAlign w:val="center"/>
          </w:tcPr>
          <w:p w14:paraId="201CC321">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64AF2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restart"/>
            <w:tcBorders>
              <w:tl2br w:val="nil"/>
              <w:tr2bl w:val="nil"/>
            </w:tcBorders>
          </w:tcPr>
          <w:p w14:paraId="18802271">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W3污水排放口下游2500m（老三运河）</w:t>
            </w:r>
          </w:p>
        </w:tc>
        <w:tc>
          <w:tcPr>
            <w:tcW w:w="1305" w:type="dxa"/>
            <w:tcBorders>
              <w:tl2br w:val="nil"/>
              <w:tr2bl w:val="nil"/>
            </w:tcBorders>
            <w:vAlign w:val="top"/>
          </w:tcPr>
          <w:p w14:paraId="1278FF28">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pH值</w:t>
            </w:r>
          </w:p>
        </w:tc>
        <w:tc>
          <w:tcPr>
            <w:tcW w:w="1072" w:type="dxa"/>
            <w:tcBorders>
              <w:tl2br w:val="nil"/>
              <w:tr2bl w:val="nil"/>
            </w:tcBorders>
            <w:vAlign w:val="center"/>
          </w:tcPr>
          <w:p w14:paraId="21285A4C">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7.9</w:t>
            </w:r>
          </w:p>
        </w:tc>
        <w:tc>
          <w:tcPr>
            <w:tcW w:w="1125" w:type="dxa"/>
            <w:tcBorders>
              <w:tl2br w:val="nil"/>
              <w:tr2bl w:val="nil"/>
            </w:tcBorders>
            <w:vAlign w:val="center"/>
          </w:tcPr>
          <w:p w14:paraId="788AFAFF">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7.8</w:t>
            </w:r>
          </w:p>
        </w:tc>
        <w:tc>
          <w:tcPr>
            <w:tcW w:w="1110" w:type="dxa"/>
            <w:tcBorders>
              <w:tl2br w:val="nil"/>
              <w:tr2bl w:val="nil"/>
            </w:tcBorders>
            <w:vAlign w:val="center"/>
          </w:tcPr>
          <w:p w14:paraId="5FD375D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7.8</w:t>
            </w:r>
          </w:p>
        </w:tc>
        <w:tc>
          <w:tcPr>
            <w:tcW w:w="930" w:type="dxa"/>
            <w:tcBorders>
              <w:tl2br w:val="nil"/>
              <w:tr2bl w:val="nil"/>
            </w:tcBorders>
            <w:vAlign w:val="center"/>
          </w:tcPr>
          <w:p w14:paraId="348BD803">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无量纲</w:t>
            </w:r>
          </w:p>
        </w:tc>
        <w:tc>
          <w:tcPr>
            <w:tcW w:w="1185" w:type="dxa"/>
            <w:tcBorders>
              <w:tl2br w:val="nil"/>
              <w:tr2bl w:val="nil"/>
            </w:tcBorders>
            <w:vAlign w:val="center"/>
          </w:tcPr>
          <w:p w14:paraId="7F7DB7A1">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6~9</w:t>
            </w:r>
          </w:p>
        </w:tc>
        <w:tc>
          <w:tcPr>
            <w:tcW w:w="1185" w:type="dxa"/>
            <w:tcBorders>
              <w:tl2br w:val="nil"/>
              <w:tr2bl w:val="nil"/>
            </w:tcBorders>
            <w:vAlign w:val="center"/>
          </w:tcPr>
          <w:p w14:paraId="086A200C">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77013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1E9A341D">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060141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化学需氧量</w:t>
            </w:r>
          </w:p>
        </w:tc>
        <w:tc>
          <w:tcPr>
            <w:tcW w:w="1072" w:type="dxa"/>
            <w:tcBorders>
              <w:tl2br w:val="nil"/>
              <w:tr2bl w:val="nil"/>
            </w:tcBorders>
            <w:vAlign w:val="center"/>
          </w:tcPr>
          <w:p w14:paraId="065677F7">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10</w:t>
            </w:r>
          </w:p>
        </w:tc>
        <w:tc>
          <w:tcPr>
            <w:tcW w:w="1125" w:type="dxa"/>
            <w:tcBorders>
              <w:tl2br w:val="nil"/>
              <w:tr2bl w:val="nil"/>
            </w:tcBorders>
            <w:vAlign w:val="center"/>
          </w:tcPr>
          <w:p w14:paraId="7EB3B1D4">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11</w:t>
            </w:r>
          </w:p>
        </w:tc>
        <w:tc>
          <w:tcPr>
            <w:tcW w:w="1110" w:type="dxa"/>
            <w:tcBorders>
              <w:tl2br w:val="nil"/>
              <w:tr2bl w:val="nil"/>
            </w:tcBorders>
            <w:vAlign w:val="center"/>
          </w:tcPr>
          <w:p w14:paraId="786378B6">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14</w:t>
            </w:r>
          </w:p>
        </w:tc>
        <w:tc>
          <w:tcPr>
            <w:tcW w:w="930" w:type="dxa"/>
            <w:tcBorders>
              <w:tl2br w:val="nil"/>
              <w:tr2bl w:val="nil"/>
            </w:tcBorders>
            <w:vAlign w:val="center"/>
          </w:tcPr>
          <w:p w14:paraId="1A11E004">
            <w:pPr>
              <w:pStyle w:val="192"/>
              <w:keepNext w:val="0"/>
              <w:keepLines w:val="0"/>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117FAB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≤20</w:t>
            </w:r>
          </w:p>
        </w:tc>
        <w:tc>
          <w:tcPr>
            <w:tcW w:w="1185" w:type="dxa"/>
            <w:tcBorders>
              <w:tl2br w:val="nil"/>
              <w:tr2bl w:val="nil"/>
            </w:tcBorders>
            <w:vAlign w:val="center"/>
          </w:tcPr>
          <w:p w14:paraId="1ED5C4C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lang w:val="en-US" w:eastAsia="zh-CN"/>
              </w:rPr>
            </w:pPr>
            <w:r>
              <w:rPr>
                <w:rFonts w:hint="default" w:cs="Times New Roman"/>
                <w:color w:val="FF0000"/>
                <w:highlight w:val="none"/>
                <w:u w:val="wave" w:color="auto"/>
                <w:lang w:val="en-US" w:eastAsia="zh-CN"/>
              </w:rPr>
              <w:t>/</w:t>
            </w:r>
          </w:p>
        </w:tc>
      </w:tr>
      <w:tr w14:paraId="55504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0EE1810D">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108D1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五日生化需氧量</w:t>
            </w:r>
          </w:p>
        </w:tc>
        <w:tc>
          <w:tcPr>
            <w:tcW w:w="1072" w:type="dxa"/>
            <w:tcBorders>
              <w:tl2br w:val="nil"/>
              <w:tr2bl w:val="nil"/>
            </w:tcBorders>
            <w:vAlign w:val="center"/>
          </w:tcPr>
          <w:p w14:paraId="1A5F4A12">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4.6</w:t>
            </w:r>
          </w:p>
        </w:tc>
        <w:tc>
          <w:tcPr>
            <w:tcW w:w="1125" w:type="dxa"/>
            <w:tcBorders>
              <w:tl2br w:val="nil"/>
              <w:tr2bl w:val="nil"/>
            </w:tcBorders>
            <w:vAlign w:val="center"/>
          </w:tcPr>
          <w:p w14:paraId="599597DC">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4.7</w:t>
            </w:r>
          </w:p>
        </w:tc>
        <w:tc>
          <w:tcPr>
            <w:tcW w:w="1110" w:type="dxa"/>
            <w:tcBorders>
              <w:tl2br w:val="nil"/>
              <w:tr2bl w:val="nil"/>
            </w:tcBorders>
            <w:vAlign w:val="center"/>
          </w:tcPr>
          <w:p w14:paraId="6580CD6E">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4.1</w:t>
            </w:r>
          </w:p>
        </w:tc>
        <w:tc>
          <w:tcPr>
            <w:tcW w:w="930" w:type="dxa"/>
            <w:tcBorders>
              <w:tl2br w:val="nil"/>
              <w:tr2bl w:val="nil"/>
            </w:tcBorders>
            <w:vAlign w:val="center"/>
          </w:tcPr>
          <w:p w14:paraId="46E7CE13">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12A39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≤4</w:t>
            </w:r>
          </w:p>
        </w:tc>
        <w:tc>
          <w:tcPr>
            <w:tcW w:w="1185" w:type="dxa"/>
            <w:tcBorders>
              <w:tl2br w:val="nil"/>
              <w:tr2bl w:val="nil"/>
            </w:tcBorders>
            <w:vAlign w:val="center"/>
          </w:tcPr>
          <w:p w14:paraId="5B0511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FF0000"/>
                <w:sz w:val="21"/>
                <w:szCs w:val="21"/>
                <w:highlight w:val="none"/>
                <w:u w:val="wave" w:color="auto"/>
                <w:lang w:val="en-US" w:eastAsia="zh-CN"/>
              </w:rPr>
            </w:pPr>
            <w:r>
              <w:rPr>
                <w:rFonts w:hint="eastAsia" w:cs="Times New Roman"/>
                <w:b/>
                <w:bCs/>
                <w:color w:val="FF0000"/>
                <w:sz w:val="21"/>
                <w:szCs w:val="21"/>
                <w:highlight w:val="none"/>
                <w:u w:val="wave" w:color="auto"/>
                <w:lang w:val="en-US" w:eastAsia="zh-CN"/>
              </w:rPr>
              <w:t>0.18</w:t>
            </w:r>
          </w:p>
        </w:tc>
      </w:tr>
      <w:tr w14:paraId="68BA3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5D645DDB">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2D43A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氨氮</w:t>
            </w:r>
          </w:p>
        </w:tc>
        <w:tc>
          <w:tcPr>
            <w:tcW w:w="1072" w:type="dxa"/>
            <w:tcBorders>
              <w:tl2br w:val="nil"/>
              <w:tr2bl w:val="nil"/>
            </w:tcBorders>
            <w:vAlign w:val="center"/>
          </w:tcPr>
          <w:p w14:paraId="4CA6EDA8">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2.67</w:t>
            </w:r>
          </w:p>
        </w:tc>
        <w:tc>
          <w:tcPr>
            <w:tcW w:w="1125" w:type="dxa"/>
            <w:tcBorders>
              <w:tl2br w:val="nil"/>
              <w:tr2bl w:val="nil"/>
            </w:tcBorders>
            <w:vAlign w:val="center"/>
          </w:tcPr>
          <w:p w14:paraId="3FFC8A37">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2.52</w:t>
            </w:r>
          </w:p>
        </w:tc>
        <w:tc>
          <w:tcPr>
            <w:tcW w:w="1110" w:type="dxa"/>
            <w:tcBorders>
              <w:tl2br w:val="nil"/>
              <w:tr2bl w:val="nil"/>
            </w:tcBorders>
            <w:vAlign w:val="center"/>
          </w:tcPr>
          <w:p w14:paraId="34E00FE7">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2.40</w:t>
            </w:r>
          </w:p>
        </w:tc>
        <w:tc>
          <w:tcPr>
            <w:tcW w:w="930" w:type="dxa"/>
            <w:tcBorders>
              <w:tl2br w:val="nil"/>
              <w:tr2bl w:val="nil"/>
            </w:tcBorders>
            <w:vAlign w:val="center"/>
          </w:tcPr>
          <w:p w14:paraId="51513836">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39604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≤1.0</w:t>
            </w:r>
          </w:p>
        </w:tc>
        <w:tc>
          <w:tcPr>
            <w:tcW w:w="1185" w:type="dxa"/>
            <w:tcBorders>
              <w:tl2br w:val="nil"/>
              <w:tr2bl w:val="nil"/>
            </w:tcBorders>
            <w:vAlign w:val="center"/>
          </w:tcPr>
          <w:p w14:paraId="47EC7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FF0000"/>
                <w:sz w:val="21"/>
                <w:szCs w:val="21"/>
                <w:highlight w:val="none"/>
                <w:u w:val="wave" w:color="auto"/>
                <w:lang w:val="en-US" w:eastAsia="zh-CN"/>
              </w:rPr>
            </w:pPr>
            <w:r>
              <w:rPr>
                <w:rFonts w:hint="eastAsia" w:cs="Times New Roman"/>
                <w:b/>
                <w:bCs/>
                <w:color w:val="FF0000"/>
                <w:sz w:val="21"/>
                <w:szCs w:val="21"/>
                <w:highlight w:val="none"/>
                <w:u w:val="wave" w:color="auto"/>
                <w:lang w:val="en-US" w:eastAsia="zh-CN"/>
              </w:rPr>
              <w:t>1.67</w:t>
            </w:r>
          </w:p>
        </w:tc>
      </w:tr>
      <w:tr w14:paraId="3205C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6D208590">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2C92C6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总磷</w:t>
            </w:r>
          </w:p>
        </w:tc>
        <w:tc>
          <w:tcPr>
            <w:tcW w:w="1072" w:type="dxa"/>
            <w:tcBorders>
              <w:tl2br w:val="nil"/>
              <w:tr2bl w:val="nil"/>
            </w:tcBorders>
            <w:vAlign w:val="center"/>
          </w:tcPr>
          <w:p w14:paraId="34EEC44E">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0.16</w:t>
            </w:r>
          </w:p>
        </w:tc>
        <w:tc>
          <w:tcPr>
            <w:tcW w:w="1125" w:type="dxa"/>
            <w:tcBorders>
              <w:tl2br w:val="nil"/>
              <w:tr2bl w:val="nil"/>
            </w:tcBorders>
            <w:vAlign w:val="center"/>
          </w:tcPr>
          <w:p w14:paraId="52BB19EA">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0.18</w:t>
            </w:r>
          </w:p>
        </w:tc>
        <w:tc>
          <w:tcPr>
            <w:tcW w:w="1110" w:type="dxa"/>
            <w:tcBorders>
              <w:tl2br w:val="nil"/>
              <w:tr2bl w:val="nil"/>
            </w:tcBorders>
            <w:vAlign w:val="center"/>
          </w:tcPr>
          <w:p w14:paraId="2949C8C2">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0.17</w:t>
            </w:r>
          </w:p>
        </w:tc>
        <w:tc>
          <w:tcPr>
            <w:tcW w:w="930" w:type="dxa"/>
            <w:tcBorders>
              <w:tl2br w:val="nil"/>
              <w:tr2bl w:val="nil"/>
            </w:tcBorders>
            <w:vAlign w:val="center"/>
          </w:tcPr>
          <w:p w14:paraId="6B13AF64">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3A4024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≤0.2</w:t>
            </w:r>
          </w:p>
        </w:tc>
        <w:tc>
          <w:tcPr>
            <w:tcW w:w="1185" w:type="dxa"/>
            <w:tcBorders>
              <w:tl2br w:val="nil"/>
              <w:tr2bl w:val="nil"/>
            </w:tcBorders>
            <w:vAlign w:val="center"/>
          </w:tcPr>
          <w:p w14:paraId="43BB99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lang w:val="en-US" w:eastAsia="zh-CN"/>
              </w:rPr>
            </w:pPr>
            <w:r>
              <w:rPr>
                <w:rFonts w:hint="eastAsia" w:cs="Times New Roman"/>
                <w:color w:val="FF0000"/>
                <w:sz w:val="21"/>
                <w:szCs w:val="21"/>
                <w:highlight w:val="none"/>
                <w:u w:val="wave" w:color="auto"/>
                <w:lang w:val="en-US" w:eastAsia="zh-CN"/>
              </w:rPr>
              <w:t>/</w:t>
            </w:r>
          </w:p>
        </w:tc>
      </w:tr>
      <w:tr w14:paraId="5B588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5CAAA427">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2D0F2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总氮</w:t>
            </w:r>
          </w:p>
        </w:tc>
        <w:tc>
          <w:tcPr>
            <w:tcW w:w="1072" w:type="dxa"/>
            <w:tcBorders>
              <w:tl2br w:val="nil"/>
              <w:tr2bl w:val="nil"/>
            </w:tcBorders>
            <w:vAlign w:val="center"/>
          </w:tcPr>
          <w:p w14:paraId="6EA171A3">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5.14</w:t>
            </w:r>
          </w:p>
        </w:tc>
        <w:tc>
          <w:tcPr>
            <w:tcW w:w="1125" w:type="dxa"/>
            <w:tcBorders>
              <w:tl2br w:val="nil"/>
              <w:tr2bl w:val="nil"/>
            </w:tcBorders>
            <w:vAlign w:val="center"/>
          </w:tcPr>
          <w:p w14:paraId="7131813D">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5.36</w:t>
            </w:r>
          </w:p>
        </w:tc>
        <w:tc>
          <w:tcPr>
            <w:tcW w:w="1110" w:type="dxa"/>
            <w:tcBorders>
              <w:tl2br w:val="nil"/>
              <w:tr2bl w:val="nil"/>
            </w:tcBorders>
            <w:vAlign w:val="center"/>
          </w:tcPr>
          <w:p w14:paraId="0D2BC320">
            <w:pPr>
              <w:pStyle w:val="189"/>
              <w:keepNext w:val="0"/>
              <w:keepLines w:val="0"/>
              <w:numPr>
                <w:ilvl w:val="0"/>
                <w:numId w:val="0"/>
              </w:numPr>
              <w:suppressLineNumbers w:val="0"/>
              <w:spacing w:before="0" w:beforeAutospacing="0" w:after="0" w:afterAutospacing="0"/>
              <w:ind w:left="0" w:right="0"/>
              <w:jc w:val="center"/>
              <w:rPr>
                <w:rFonts w:hint="default" w:cs="Times New Roman"/>
                <w:b/>
                <w:bCs/>
                <w:color w:val="FF0000"/>
                <w:highlight w:val="none"/>
                <w:u w:val="wave" w:color="auto"/>
                <w:vertAlign w:val="baseline"/>
                <w:lang w:val="en-US" w:eastAsia="zh-CN"/>
              </w:rPr>
            </w:pPr>
            <w:r>
              <w:rPr>
                <w:rFonts w:hint="eastAsia" w:cs="Times New Roman"/>
                <w:b/>
                <w:bCs/>
                <w:color w:val="FF0000"/>
                <w:highlight w:val="none"/>
                <w:u w:val="wave" w:color="auto"/>
                <w:vertAlign w:val="baseline"/>
                <w:lang w:val="en-US" w:eastAsia="zh-CN"/>
              </w:rPr>
              <w:t>5.25</w:t>
            </w:r>
          </w:p>
        </w:tc>
        <w:tc>
          <w:tcPr>
            <w:tcW w:w="930" w:type="dxa"/>
            <w:tcBorders>
              <w:tl2br w:val="nil"/>
              <w:tr2bl w:val="nil"/>
            </w:tcBorders>
            <w:vAlign w:val="center"/>
          </w:tcPr>
          <w:p w14:paraId="3D23EF4A">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7427C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≤1.0</w:t>
            </w:r>
          </w:p>
        </w:tc>
        <w:tc>
          <w:tcPr>
            <w:tcW w:w="1185" w:type="dxa"/>
            <w:tcBorders>
              <w:tl2br w:val="nil"/>
              <w:tr2bl w:val="nil"/>
            </w:tcBorders>
            <w:vAlign w:val="center"/>
          </w:tcPr>
          <w:p w14:paraId="4D6E32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color w:val="FF0000"/>
                <w:lang w:val="en-US" w:eastAsia="zh-CN"/>
              </w:rPr>
            </w:pPr>
            <w:r>
              <w:rPr>
                <w:rFonts w:hint="eastAsia" w:cs="Times New Roman"/>
                <w:b/>
                <w:bCs/>
                <w:color w:val="FF0000"/>
                <w:sz w:val="21"/>
                <w:szCs w:val="21"/>
                <w:highlight w:val="none"/>
                <w:u w:val="wave" w:color="auto"/>
                <w:lang w:val="en-US" w:eastAsia="zh-CN"/>
              </w:rPr>
              <w:t>4.36</w:t>
            </w:r>
          </w:p>
        </w:tc>
      </w:tr>
      <w:tr w14:paraId="19718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6690D58A">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3CFA1A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悬浮物</w:t>
            </w:r>
          </w:p>
        </w:tc>
        <w:tc>
          <w:tcPr>
            <w:tcW w:w="1072" w:type="dxa"/>
            <w:tcBorders>
              <w:tl2br w:val="nil"/>
              <w:tr2bl w:val="nil"/>
            </w:tcBorders>
            <w:vAlign w:val="center"/>
          </w:tcPr>
          <w:p w14:paraId="6B2D3C23">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24</w:t>
            </w:r>
          </w:p>
        </w:tc>
        <w:tc>
          <w:tcPr>
            <w:tcW w:w="1125" w:type="dxa"/>
            <w:tcBorders>
              <w:tl2br w:val="nil"/>
              <w:tr2bl w:val="nil"/>
            </w:tcBorders>
            <w:vAlign w:val="center"/>
          </w:tcPr>
          <w:p w14:paraId="33CF3D89">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25</w:t>
            </w:r>
          </w:p>
        </w:tc>
        <w:tc>
          <w:tcPr>
            <w:tcW w:w="1110" w:type="dxa"/>
            <w:tcBorders>
              <w:tl2br w:val="nil"/>
              <w:tr2bl w:val="nil"/>
            </w:tcBorders>
            <w:vAlign w:val="center"/>
          </w:tcPr>
          <w:p w14:paraId="5A3041DF">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23</w:t>
            </w:r>
          </w:p>
        </w:tc>
        <w:tc>
          <w:tcPr>
            <w:tcW w:w="930" w:type="dxa"/>
            <w:tcBorders>
              <w:tl2br w:val="nil"/>
              <w:tr2bl w:val="nil"/>
            </w:tcBorders>
            <w:vAlign w:val="center"/>
          </w:tcPr>
          <w:p w14:paraId="6812DB20">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1F24E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u w:val="wave" w:color="auto"/>
                <w:vertAlign w:val="baseline"/>
                <w:lang w:val="en-US" w:eastAsia="zh-CN"/>
              </w:rPr>
            </w:pPr>
            <w:r>
              <w:rPr>
                <w:rFonts w:hint="default" w:ascii="Times New Roman" w:hAnsi="Times New Roman" w:eastAsia="宋体" w:cs="Times New Roman"/>
                <w:color w:val="FF0000"/>
                <w:sz w:val="21"/>
                <w:szCs w:val="21"/>
                <w:highlight w:val="none"/>
                <w:u w:val="wave" w:color="auto"/>
                <w:lang w:val="en-US" w:eastAsia="zh-CN"/>
              </w:rPr>
              <w:t>/</w:t>
            </w:r>
          </w:p>
        </w:tc>
        <w:tc>
          <w:tcPr>
            <w:tcW w:w="1185" w:type="dxa"/>
            <w:tcBorders>
              <w:tl2br w:val="nil"/>
              <w:tr2bl w:val="nil"/>
            </w:tcBorders>
            <w:vAlign w:val="center"/>
          </w:tcPr>
          <w:p w14:paraId="2FEE86F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lang w:val="en-US" w:eastAsia="zh-CN"/>
              </w:rPr>
            </w:pPr>
            <w:r>
              <w:rPr>
                <w:rFonts w:hint="default" w:cs="Times New Roman"/>
                <w:color w:val="FF0000"/>
                <w:highlight w:val="none"/>
                <w:u w:val="wave" w:color="auto"/>
                <w:lang w:val="en-US" w:eastAsia="zh-CN"/>
              </w:rPr>
              <w:t>/</w:t>
            </w:r>
          </w:p>
        </w:tc>
      </w:tr>
      <w:tr w14:paraId="29D2A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3A1FE3A9">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45BFE7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sz w:val="21"/>
                <w:szCs w:val="21"/>
                <w:highlight w:val="none"/>
                <w:u w:val="wave" w:color="auto"/>
                <w:lang w:val="en-US" w:eastAsia="zh-CN"/>
              </w:rPr>
              <w:t>动植物油</w:t>
            </w:r>
          </w:p>
        </w:tc>
        <w:tc>
          <w:tcPr>
            <w:tcW w:w="1072" w:type="dxa"/>
            <w:tcBorders>
              <w:tl2br w:val="nil"/>
              <w:tr2bl w:val="nil"/>
            </w:tcBorders>
            <w:vAlign w:val="center"/>
          </w:tcPr>
          <w:p w14:paraId="1211A830">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3.56</w:t>
            </w:r>
          </w:p>
        </w:tc>
        <w:tc>
          <w:tcPr>
            <w:tcW w:w="1125" w:type="dxa"/>
            <w:tcBorders>
              <w:tl2br w:val="nil"/>
              <w:tr2bl w:val="nil"/>
            </w:tcBorders>
            <w:vAlign w:val="center"/>
          </w:tcPr>
          <w:p w14:paraId="3F0C76DC">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3.03</w:t>
            </w:r>
          </w:p>
        </w:tc>
        <w:tc>
          <w:tcPr>
            <w:tcW w:w="1110" w:type="dxa"/>
            <w:tcBorders>
              <w:tl2br w:val="nil"/>
              <w:tr2bl w:val="nil"/>
            </w:tcBorders>
            <w:vAlign w:val="center"/>
          </w:tcPr>
          <w:p w14:paraId="6FCA6E46">
            <w:pPr>
              <w:pStyle w:val="189"/>
              <w:keepNext w:val="0"/>
              <w:keepLines w:val="0"/>
              <w:numPr>
                <w:ilvl w:val="0"/>
                <w:numId w:val="0"/>
              </w:numPr>
              <w:suppressLineNumbers w:val="0"/>
              <w:spacing w:before="0" w:beforeAutospacing="0" w:after="0" w:afterAutospacing="0"/>
              <w:ind w:left="0" w:right="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2.98</w:t>
            </w:r>
          </w:p>
        </w:tc>
        <w:tc>
          <w:tcPr>
            <w:tcW w:w="930" w:type="dxa"/>
            <w:tcBorders>
              <w:tl2br w:val="nil"/>
              <w:tr2bl w:val="nil"/>
            </w:tcBorders>
            <w:vAlign w:val="center"/>
          </w:tcPr>
          <w:p w14:paraId="0D4602F9">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58F9475F">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w:t>
            </w:r>
          </w:p>
        </w:tc>
        <w:tc>
          <w:tcPr>
            <w:tcW w:w="1185" w:type="dxa"/>
            <w:tcBorders>
              <w:tl2br w:val="nil"/>
              <w:tr2bl w:val="nil"/>
            </w:tcBorders>
            <w:vAlign w:val="center"/>
          </w:tcPr>
          <w:p w14:paraId="3A46256B">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040EE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67691D38">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4D6545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阴离子表面活性剂</w:t>
            </w:r>
          </w:p>
        </w:tc>
        <w:tc>
          <w:tcPr>
            <w:tcW w:w="1072" w:type="dxa"/>
            <w:tcBorders>
              <w:tl2br w:val="nil"/>
              <w:tr2bl w:val="nil"/>
            </w:tcBorders>
            <w:vAlign w:val="center"/>
          </w:tcPr>
          <w:p w14:paraId="235BEFFE">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125" w:type="dxa"/>
            <w:tcBorders>
              <w:tl2br w:val="nil"/>
              <w:tr2bl w:val="nil"/>
            </w:tcBorders>
            <w:vAlign w:val="center"/>
          </w:tcPr>
          <w:p w14:paraId="4BA75D14">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1110" w:type="dxa"/>
            <w:tcBorders>
              <w:tl2br w:val="nil"/>
              <w:tr2bl w:val="nil"/>
            </w:tcBorders>
            <w:vAlign w:val="center"/>
          </w:tcPr>
          <w:p w14:paraId="75F29D33">
            <w:pPr>
              <w:pStyle w:val="189"/>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0.05L</w:t>
            </w:r>
          </w:p>
        </w:tc>
        <w:tc>
          <w:tcPr>
            <w:tcW w:w="930" w:type="dxa"/>
            <w:tcBorders>
              <w:tl2br w:val="nil"/>
              <w:tr2bl w:val="nil"/>
            </w:tcBorders>
            <w:vAlign w:val="center"/>
          </w:tcPr>
          <w:p w14:paraId="5760ED06">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default" w:ascii="Times New Roman" w:hAnsi="Times New Roman" w:eastAsia="宋体" w:cs="Times New Roman"/>
                <w:color w:val="FF0000"/>
                <w:kern w:val="0"/>
                <w:sz w:val="21"/>
                <w:szCs w:val="21"/>
                <w:lang w:val="en-US" w:eastAsia="zh-CN" w:bidi="ar"/>
              </w:rPr>
              <w:t>mg/L</w:t>
            </w:r>
          </w:p>
        </w:tc>
        <w:tc>
          <w:tcPr>
            <w:tcW w:w="1185" w:type="dxa"/>
            <w:tcBorders>
              <w:tl2br w:val="nil"/>
              <w:tr2bl w:val="nil"/>
            </w:tcBorders>
            <w:vAlign w:val="center"/>
          </w:tcPr>
          <w:p w14:paraId="44CA8AA8">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0.2</w:t>
            </w:r>
          </w:p>
        </w:tc>
        <w:tc>
          <w:tcPr>
            <w:tcW w:w="1185" w:type="dxa"/>
            <w:tcBorders>
              <w:tl2br w:val="nil"/>
              <w:tr2bl w:val="nil"/>
            </w:tcBorders>
            <w:vAlign w:val="center"/>
          </w:tcPr>
          <w:p w14:paraId="2D6C5036">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r w14:paraId="130B8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4" w:type="dxa"/>
            <w:vMerge w:val="continue"/>
            <w:tcBorders>
              <w:tl2br w:val="nil"/>
              <w:tr2bl w:val="nil"/>
            </w:tcBorders>
          </w:tcPr>
          <w:p w14:paraId="672956F7">
            <w:pPr>
              <w:pStyle w:val="189"/>
              <w:keepNext w:val="0"/>
              <w:keepLines w:val="0"/>
              <w:numPr>
                <w:ilvl w:val="0"/>
                <w:numId w:val="0"/>
              </w:numPr>
              <w:suppressLineNumbers w:val="0"/>
              <w:spacing w:before="0" w:beforeAutospacing="0" w:after="0" w:afterAutospacing="0"/>
              <w:ind w:left="0" w:right="0"/>
              <w:rPr>
                <w:rFonts w:hint="default" w:cs="Times New Roman"/>
                <w:color w:val="FF0000"/>
                <w:highlight w:val="none"/>
                <w:u w:val="wave" w:color="auto"/>
                <w:vertAlign w:val="baseline"/>
                <w:lang w:val="en-US" w:eastAsia="zh-CN"/>
              </w:rPr>
            </w:pPr>
          </w:p>
        </w:tc>
        <w:tc>
          <w:tcPr>
            <w:tcW w:w="1305" w:type="dxa"/>
            <w:tcBorders>
              <w:tl2br w:val="nil"/>
              <w:tr2bl w:val="nil"/>
            </w:tcBorders>
            <w:vAlign w:val="center"/>
          </w:tcPr>
          <w:p w14:paraId="7ADE0D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粪大肠菌群</w:t>
            </w:r>
          </w:p>
        </w:tc>
        <w:tc>
          <w:tcPr>
            <w:tcW w:w="1072" w:type="dxa"/>
            <w:tcBorders>
              <w:tl2br w:val="nil"/>
              <w:tr2bl w:val="nil"/>
            </w:tcBorders>
            <w:vAlign w:val="center"/>
          </w:tcPr>
          <w:p w14:paraId="54DC247B">
            <w:pPr>
              <w:keepNext w:val="0"/>
              <w:keepLines w:val="0"/>
              <w:widowControl/>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1.7</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125" w:type="dxa"/>
            <w:tcBorders>
              <w:tl2br w:val="nil"/>
              <w:tr2bl w:val="nil"/>
            </w:tcBorders>
            <w:vAlign w:val="center"/>
          </w:tcPr>
          <w:p w14:paraId="612BE154">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2.0</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1110" w:type="dxa"/>
            <w:tcBorders>
              <w:tl2br w:val="nil"/>
              <w:tr2bl w:val="nil"/>
            </w:tcBorders>
            <w:vAlign w:val="center"/>
          </w:tcPr>
          <w:p w14:paraId="01D1544E">
            <w:pPr>
              <w:keepNext w:val="0"/>
              <w:keepLines w:val="0"/>
              <w:numPr>
                <w:ilvl w:val="0"/>
                <w:numId w:val="0"/>
              </w:numPr>
              <w:suppressLineNumbers w:val="0"/>
              <w:spacing w:before="0" w:beforeAutospacing="0" w:after="0" w:afterAutospacing="0"/>
              <w:ind w:left="0" w:leftChars="0" w:right="0" w:firstLine="0" w:firstLineChars="0"/>
              <w:jc w:val="center"/>
              <w:rPr>
                <w:rFonts w:hint="default" w:cs="Times New Roman"/>
                <w:color w:val="FF0000"/>
                <w:highlight w:val="none"/>
                <w:u w:val="wave" w:color="auto"/>
                <w:vertAlign w:val="baseline"/>
                <w:lang w:val="en-US" w:eastAsia="zh-CN"/>
              </w:rPr>
            </w:pPr>
            <w:r>
              <w:rPr>
                <w:rFonts w:hint="eastAsia" w:cs="Times New Roman"/>
                <w:color w:val="FF0000"/>
                <w:highlight w:val="none"/>
                <w:u w:val="wave" w:color="auto"/>
                <w:vertAlign w:val="baseline"/>
                <w:lang w:val="en-US" w:eastAsia="zh-CN"/>
              </w:rPr>
              <w:t>1.1</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 xml:space="preserve"> 3</w:t>
            </w:r>
          </w:p>
        </w:tc>
        <w:tc>
          <w:tcPr>
            <w:tcW w:w="930" w:type="dxa"/>
            <w:tcBorders>
              <w:tl2br w:val="nil"/>
              <w:tr2bl w:val="nil"/>
            </w:tcBorders>
            <w:vAlign w:val="center"/>
          </w:tcPr>
          <w:p w14:paraId="48B7FAD1">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cs="Times New Roman"/>
                <w:color w:val="FF0000"/>
                <w:highlight w:val="none"/>
                <w:u w:val="wave" w:color="auto"/>
                <w:vertAlign w:val="baseline"/>
                <w:lang w:val="en-US" w:eastAsia="zh-CN"/>
              </w:rPr>
            </w:pPr>
            <w:r>
              <w:rPr>
                <w:rFonts w:hint="eastAsia" w:ascii="Times New Roman" w:hAnsi="Times New Roman" w:eastAsia="宋体" w:cs="Times New Roman"/>
                <w:color w:val="FF0000"/>
                <w:kern w:val="0"/>
                <w:sz w:val="21"/>
                <w:szCs w:val="21"/>
                <w:lang w:val="en-US" w:eastAsia="zh-CN" w:bidi="ar"/>
              </w:rPr>
              <w:t>个</w:t>
            </w:r>
            <w:r>
              <w:rPr>
                <w:rFonts w:hint="default" w:ascii="Times New Roman" w:hAnsi="Times New Roman" w:eastAsia="宋体" w:cs="Times New Roman"/>
                <w:color w:val="FF0000"/>
                <w:kern w:val="0"/>
                <w:sz w:val="21"/>
                <w:szCs w:val="21"/>
                <w:lang w:val="en-US" w:eastAsia="zh-CN" w:bidi="ar"/>
              </w:rPr>
              <w:t>/L</w:t>
            </w:r>
          </w:p>
        </w:tc>
        <w:tc>
          <w:tcPr>
            <w:tcW w:w="1185" w:type="dxa"/>
            <w:tcBorders>
              <w:tl2br w:val="nil"/>
              <w:tr2bl w:val="nil"/>
            </w:tcBorders>
            <w:vAlign w:val="center"/>
          </w:tcPr>
          <w:p w14:paraId="1FB605FD">
            <w:pPr>
              <w:pStyle w:val="189"/>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sz w:val="21"/>
                <w:szCs w:val="21"/>
                <w:highlight w:val="none"/>
                <w:u w:val="wave" w:color="auto"/>
                <w:vertAlign w:val="baseline"/>
                <w:lang w:val="en-US" w:eastAsia="zh-CN"/>
              </w:rPr>
            </w:pPr>
            <w:r>
              <w:rPr>
                <w:rFonts w:hint="eastAsia" w:cs="Times New Roman"/>
                <w:color w:val="FF0000"/>
                <w:highlight w:val="none"/>
                <w:u w:val="wave" w:color="auto"/>
                <w:vertAlign w:val="baseline"/>
                <w:lang w:val="en-US" w:eastAsia="zh-CN"/>
              </w:rPr>
              <w:t>10000</w:t>
            </w:r>
          </w:p>
        </w:tc>
        <w:tc>
          <w:tcPr>
            <w:tcW w:w="1185" w:type="dxa"/>
            <w:tcBorders>
              <w:tl2br w:val="nil"/>
              <w:tr2bl w:val="nil"/>
            </w:tcBorders>
            <w:vAlign w:val="center"/>
          </w:tcPr>
          <w:p w14:paraId="2580481F">
            <w:pPr>
              <w:pStyle w:val="192"/>
              <w:keepNext w:val="0"/>
              <w:keepLines w:val="0"/>
              <w:suppressLineNumbers w:val="0"/>
              <w:spacing w:before="0" w:beforeAutospacing="0" w:after="0" w:afterAutospacing="0"/>
              <w:ind w:left="0" w:leftChars="0" w:right="0" w:rightChars="0" w:firstLine="0" w:firstLineChars="0"/>
              <w:jc w:val="center"/>
              <w:rPr>
                <w:rFonts w:hint="eastAsia" w:cs="Times New Roman"/>
                <w:color w:val="FF0000"/>
                <w:highlight w:val="none"/>
                <w:u w:val="wave" w:color="auto"/>
                <w:vertAlign w:val="baseline"/>
                <w:lang w:val="en-US" w:eastAsia="zh-CN"/>
              </w:rPr>
            </w:pPr>
            <w:r>
              <w:rPr>
                <w:rFonts w:hint="default" w:cs="Times New Roman"/>
                <w:color w:val="FF0000"/>
                <w:highlight w:val="none"/>
                <w:u w:val="wave" w:color="auto"/>
                <w:lang w:val="en-US" w:eastAsia="zh-CN"/>
              </w:rPr>
              <w:t>/</w:t>
            </w:r>
          </w:p>
        </w:tc>
      </w:tr>
    </w:tbl>
    <w:p w14:paraId="6240BA08">
      <w:pPr>
        <w:pStyle w:val="189"/>
        <w:ind w:left="0" w:leftChars="0" w:firstLine="480" w:firstLineChars="200"/>
        <w:rPr>
          <w:rFonts w:hint="default" w:ascii="Times New Roman" w:hAnsi="Times New Roman" w:cs="Times New Roman"/>
          <w:color w:val="FF0000"/>
          <w:highlight w:val="none"/>
          <w:u w:val="wave" w:color="auto"/>
        </w:rPr>
      </w:pPr>
      <w:r>
        <w:rPr>
          <w:rFonts w:hint="eastAsia" w:cs="Times New Roman"/>
          <w:color w:val="FF0000"/>
          <w:highlight w:val="none"/>
          <w:u w:val="wave" w:color="auto"/>
          <w:lang w:val="en-US" w:eastAsia="zh-CN"/>
        </w:rPr>
        <w:t>根据上表4.2-5、4.2-6可知，2022年、2023年机排二十渠各监测断面监测因子中氨氮、总磷、总氮均出现超标，最大超标倍数分别为0.46、1.67、3.22倍，老三运河各监测断面监测因子中BOD5、氨氮、总磷、总氮均出现超标，最大超标倍数分别为0.18、1.82、0.15、4.57倍。根据表4.2-4可知，</w:t>
      </w:r>
      <w:r>
        <w:rPr>
          <w:rFonts w:hint="eastAsia" w:eastAsia="宋体" w:cs="Times New Roman"/>
          <w:color w:val="FF0000"/>
          <w:sz w:val="24"/>
          <w:szCs w:val="24"/>
          <w:highlight w:val="none"/>
          <w:u w:val="wave" w:color="auto"/>
          <w:lang w:val="en-US" w:eastAsia="zh-CN" w:bidi="ar-SA"/>
        </w:rPr>
        <w:t>2025年</w:t>
      </w:r>
      <w:r>
        <w:rPr>
          <w:rFonts w:hint="default" w:ascii="Times New Roman" w:hAnsi="Times New Roman" w:eastAsia="宋体" w:cs="Times New Roman"/>
          <w:color w:val="FF0000"/>
          <w:sz w:val="24"/>
          <w:szCs w:val="24"/>
          <w:highlight w:val="none"/>
          <w:u w:val="wave" w:color="auto"/>
          <w:lang w:val="en-US" w:eastAsia="zh-CN" w:bidi="ar-SA"/>
        </w:rPr>
        <w:t>机排二十渠各监测点位现状监测因子均能达到《地表水环境质量标准》（GB3838-2002）中</w:t>
      </w:r>
      <w:r>
        <w:rPr>
          <w:rFonts w:hint="eastAsia" w:ascii="Times New Roman" w:hAnsi="Times New Roman" w:eastAsia="宋体" w:cs="Times New Roman"/>
          <w:color w:val="FF0000"/>
          <w:sz w:val="24"/>
          <w:szCs w:val="24"/>
          <w:highlight w:val="none"/>
          <w:u w:val="wave" w:color="auto"/>
          <w:lang w:val="en-US" w:eastAsia="zh-CN" w:bidi="ar-SA"/>
        </w:rPr>
        <w:t>Ⅳ</w:t>
      </w:r>
      <w:r>
        <w:rPr>
          <w:rFonts w:hint="default" w:ascii="Times New Roman" w:hAnsi="Times New Roman" w:eastAsia="宋体" w:cs="Times New Roman"/>
          <w:color w:val="FF0000"/>
          <w:sz w:val="24"/>
          <w:szCs w:val="24"/>
          <w:highlight w:val="none"/>
          <w:u w:val="wave" w:color="auto"/>
          <w:lang w:val="en-US" w:eastAsia="zh-CN" w:bidi="ar-SA"/>
        </w:rPr>
        <w:t>类标准的要求，</w:t>
      </w:r>
      <w:r>
        <w:rPr>
          <w:rFonts w:hint="default" w:ascii="Times New Roman" w:hAnsi="Times New Roman" w:cs="Times New Roman"/>
          <w:color w:val="FF0000"/>
          <w:highlight w:val="none"/>
          <w:u w:val="wave" w:color="auto"/>
          <w:lang w:val="en-US" w:eastAsia="zh-CN"/>
        </w:rPr>
        <w:t>老三运河各</w:t>
      </w:r>
      <w:r>
        <w:rPr>
          <w:rFonts w:hint="default" w:ascii="Times New Roman" w:hAnsi="Times New Roman" w:cs="Times New Roman"/>
          <w:color w:val="FF0000"/>
          <w:highlight w:val="none"/>
          <w:u w:val="wave" w:color="auto"/>
        </w:rPr>
        <w:t>监测</w:t>
      </w:r>
      <w:r>
        <w:rPr>
          <w:rFonts w:hint="default" w:ascii="Times New Roman" w:hAnsi="Times New Roman" w:cs="Times New Roman"/>
          <w:color w:val="FF0000"/>
          <w:highlight w:val="none"/>
          <w:u w:val="wave" w:color="auto"/>
          <w:lang w:eastAsia="zh-CN"/>
        </w:rPr>
        <w:t>点位</w:t>
      </w:r>
      <w:r>
        <w:rPr>
          <w:rFonts w:hint="default" w:ascii="Times New Roman" w:hAnsi="Times New Roman" w:cs="Times New Roman"/>
          <w:color w:val="FF0000"/>
          <w:highlight w:val="none"/>
          <w:u w:val="wave" w:color="auto"/>
        </w:rPr>
        <w:t>现状监测因子均能达到《地表水环境质量标准》（GB3838-2002）中</w:t>
      </w:r>
      <w:r>
        <w:rPr>
          <w:rFonts w:hint="default" w:ascii="Times New Roman" w:hAnsi="Times New Roman" w:eastAsia="宋体" w:cs="Times New Roman"/>
          <w:color w:val="FF0000"/>
          <w:kern w:val="0"/>
          <w:sz w:val="21"/>
          <w:szCs w:val="21"/>
          <w:highlight w:val="none"/>
          <w:u w:val="wave" w:color="auto"/>
          <w:lang w:val="en-US" w:eastAsia="zh-CN" w:bidi="ar"/>
        </w:rPr>
        <w:t>Ⅲ</w:t>
      </w:r>
      <w:r>
        <w:rPr>
          <w:rFonts w:hint="default" w:ascii="Times New Roman" w:hAnsi="Times New Roman" w:cs="Times New Roman"/>
          <w:color w:val="FF0000"/>
          <w:highlight w:val="none"/>
          <w:u w:val="wave" w:color="auto"/>
        </w:rPr>
        <w:t>类标准的要求</w:t>
      </w:r>
      <w:r>
        <w:rPr>
          <w:rFonts w:hint="default" w:ascii="Times New Roman" w:hAnsi="Times New Roman" w:cs="Times New Roman"/>
          <w:color w:val="FF0000"/>
          <w:highlight w:val="none"/>
          <w:u w:val="wave" w:color="auto"/>
          <w:lang w:eastAsia="zh-CN"/>
        </w:rPr>
        <w:t>，</w:t>
      </w:r>
      <w:r>
        <w:rPr>
          <w:rFonts w:hint="default" w:ascii="Times New Roman" w:hAnsi="Times New Roman" w:cs="Times New Roman"/>
          <w:color w:val="FF0000"/>
          <w:highlight w:val="none"/>
          <w:u w:val="wave" w:color="auto"/>
          <w:lang w:val="en-US" w:eastAsia="zh-CN"/>
        </w:rPr>
        <w:t>项目区域水环境质量</w:t>
      </w:r>
      <w:r>
        <w:rPr>
          <w:rFonts w:hint="eastAsia" w:cs="Times New Roman"/>
          <w:color w:val="FF0000"/>
          <w:highlight w:val="none"/>
          <w:u w:val="wave" w:color="auto"/>
          <w:lang w:val="en-US" w:eastAsia="zh-CN"/>
        </w:rPr>
        <w:t>明显好转</w:t>
      </w:r>
      <w:r>
        <w:rPr>
          <w:rFonts w:hint="default" w:ascii="Times New Roman" w:hAnsi="Times New Roman" w:cs="Times New Roman"/>
          <w:color w:val="FF0000"/>
          <w:highlight w:val="none"/>
          <w:u w:val="wave" w:color="auto"/>
        </w:rPr>
        <w:t>。</w:t>
      </w:r>
    </w:p>
    <w:p w14:paraId="7A259E39">
      <w:pPr>
        <w:pStyle w:val="4"/>
        <w:numPr>
          <w:ilvl w:val="1"/>
          <w:numId w:val="0"/>
        </w:numPr>
        <w:ind w:leftChars="0"/>
        <w:outlineLvl w:val="2"/>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pPr>
      <w:bookmarkStart w:id="98" w:name="_Toc22930"/>
      <w:r>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t>4.2.</w:t>
      </w:r>
      <w:r>
        <w:rPr>
          <w:rFonts w:hint="eastAsia" w:cs="Times New Roman"/>
          <w:b/>
          <w:bCs/>
          <w:color w:val="000000" w:themeColor="text1"/>
          <w:sz w:val="28"/>
          <w:szCs w:val="32"/>
          <w:highlight w:val="none"/>
          <w:u w:val="none" w:color="auto"/>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t xml:space="preserve"> 土壤环境质量现状调查与评价</w:t>
      </w:r>
      <w:bookmarkEnd w:id="98"/>
    </w:p>
    <w:p w14:paraId="764628AF">
      <w:pPr>
        <w:ind w:firstLine="48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本次评价委托</w:t>
      </w:r>
      <w:r>
        <w:rPr>
          <w:rFonts w:hint="default" w:ascii="Times New Roman" w:hAnsi="Times New Roman" w:cs="Times New Roman"/>
          <w:color w:val="000000" w:themeColor="text1"/>
          <w:highlight w:val="none"/>
          <w:u w:val="none" w:color="auto"/>
          <w:lang w:eastAsia="zh-CN"/>
          <w14:textFill>
            <w14:solidFill>
              <w14:schemeClr w14:val="tx1"/>
            </w14:solidFill>
          </w14:textFill>
        </w:rPr>
        <w:t>湖南瑞鉴检测有限公司</w:t>
      </w:r>
      <w:r>
        <w:rPr>
          <w:rFonts w:hint="default" w:ascii="Times New Roman" w:hAnsi="Times New Roman" w:cs="Times New Roman"/>
          <w:color w:val="000000" w:themeColor="text1"/>
          <w:highlight w:val="none"/>
          <w:u w:val="none" w:color="auto"/>
          <w14:textFill>
            <w14:solidFill>
              <w14:schemeClr w14:val="tx1"/>
            </w14:solidFill>
          </w14:textFill>
        </w:rPr>
        <w:t>在项目所在区域共设置3个土壤监测点对土壤环境质量现状进行了监测。</w:t>
      </w:r>
    </w:p>
    <w:p w14:paraId="493AB53E">
      <w:pPr>
        <w:ind w:firstLine="600" w:firstLineChars="25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监测点：厂内设3个表层样（T1、T2、T3）。</w:t>
      </w:r>
    </w:p>
    <w:p w14:paraId="7EC46719">
      <w:pPr>
        <w:ind w:firstLine="600" w:firstLineChars="25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监测时间及频率：监测时间20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25</w:t>
      </w:r>
      <w:r>
        <w:rPr>
          <w:rFonts w:hint="default" w:ascii="Times New Roman" w:hAnsi="Times New Roman" w:cs="Times New Roman"/>
          <w:color w:val="000000" w:themeColor="text1"/>
          <w:highlight w:val="none"/>
          <w:u w:val="none" w:color="auto"/>
          <w14:textFill>
            <w14:solidFill>
              <w14:schemeClr w14:val="tx1"/>
            </w14:solidFill>
          </w14:textFill>
        </w:rPr>
        <w:t>年</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月</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18</w:t>
      </w:r>
      <w:r>
        <w:rPr>
          <w:rFonts w:hint="default" w:ascii="Times New Roman" w:hAnsi="Times New Roman" w:cs="Times New Roman"/>
          <w:color w:val="000000" w:themeColor="text1"/>
          <w:highlight w:val="none"/>
          <w:u w:val="none" w:color="auto"/>
          <w14:textFill>
            <w14:solidFill>
              <w14:schemeClr w14:val="tx1"/>
            </w14:solidFill>
          </w14:textFill>
        </w:rPr>
        <w:t>日，采样一天，采样一次。</w:t>
      </w:r>
    </w:p>
    <w:p w14:paraId="034EE55D">
      <w:pPr>
        <w:ind w:firstLine="600" w:firstLineChars="25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监测项目：T1</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T2、T3：pH 值、砷、铬（六价）、镉、铜、铅、 汞、镍、四氯化碳、氯仿、氯甲烷*、1,1二氯乙烷、1,2-二氯乙烷、1,1-二氯乙烯、 顺-1,2-二氯乙烯、反-1,1-二氯乙烯、二氯 甲烷、1,2-二氯丙烷、1,1,1,2-四氯乙烷、 1,1,2,2-四氯乙烷、四氯乙烯、1,1,1-三氯 乙烷、1,1,2-三氯乙烷、三氯乙烯、1,2.3三氯丙烷、氯乙烯、苯、氯苯、1,2-二氯 苯、1,4-二氯苯、乙苯、苯乙烯、甲苯、 间二甲苯+对二甲苯、邻二甲苯、硝基苯*、苯胺*、2-氯酚、苯并蒽、苯并芘、苯 并[b]荧蒽、苯并[k]荧蒽、䓛、二苯并蒽、 茚并芘、萘；</w:t>
      </w:r>
    </w:p>
    <w:p w14:paraId="5B7ABC8B">
      <w:pPr>
        <w:ind w:firstLine="480"/>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土壤环境现状监测及分析结果见下表。</w:t>
      </w:r>
    </w:p>
    <w:p w14:paraId="500587EA">
      <w:pPr>
        <w:pStyle w:val="21"/>
        <w:spacing w:line="240" w:lineRule="auto"/>
        <w:ind w:firstLine="482"/>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4.2</w:t>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eastAsia" w:cs="Times New Roman"/>
          <w:color w:val="000000" w:themeColor="text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t xml:space="preserve"> 土壤环境质量现状监测结果</w:t>
      </w:r>
      <w:r>
        <w:rPr>
          <w:rFonts w:hint="default" w:ascii="Times New Roman" w:hAnsi="Times New Roman" w:cs="Times New Roman"/>
          <w:color w:val="000000" w:themeColor="text1"/>
          <w:highlight w:val="none"/>
          <w:u w:val="none" w:color="auto"/>
          <w:lang w:eastAsia="zh-CN"/>
          <w14:textFill>
            <w14:solidFill>
              <w14:schemeClr w14:val="tx1"/>
            </w14:solidFill>
          </w14:textFill>
        </w:rPr>
        <w:t>一览表</w:t>
      </w:r>
    </w:p>
    <w:tbl>
      <w:tblPr>
        <w:tblStyle w:val="77"/>
        <w:tblW w:w="496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80"/>
        <w:gridCol w:w="1530"/>
        <w:gridCol w:w="1530"/>
        <w:gridCol w:w="1530"/>
        <w:gridCol w:w="1024"/>
        <w:gridCol w:w="1024"/>
      </w:tblGrid>
      <w:tr w14:paraId="289F2F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blHeader/>
          <w:jc w:val="center"/>
        </w:trPr>
        <w:tc>
          <w:tcPr>
            <w:tcW w:w="1399" w:type="pct"/>
            <w:vMerge w:val="restart"/>
            <w:tcBorders>
              <w:tl2br w:val="nil"/>
              <w:tr2bl w:val="nil"/>
            </w:tcBorders>
            <w:noWrap w:val="0"/>
            <w:vAlign w:val="center"/>
          </w:tcPr>
          <w:p w14:paraId="012903B9">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0"/>
                <w:highlight w:val="none"/>
                <w:vertAlign w:val="baseline"/>
                <w:lang w:val="en-US" w:eastAsia="zh-CN"/>
              </w:rPr>
            </w:pPr>
            <w:r>
              <w:rPr>
                <w:rFonts w:hint="default" w:ascii="Times New Roman" w:hAnsi="Times New Roman" w:eastAsia="宋体" w:cs="Times New Roman"/>
                <w:b/>
                <w:bCs/>
                <w:color w:val="auto"/>
                <w:sz w:val="21"/>
                <w:szCs w:val="20"/>
                <w:highlight w:val="none"/>
                <w:vertAlign w:val="baseline"/>
                <w:lang w:val="en-US" w:eastAsia="zh-CN"/>
              </w:rPr>
              <w:t>检测项目</w:t>
            </w:r>
          </w:p>
        </w:tc>
        <w:tc>
          <w:tcPr>
            <w:tcW w:w="2489" w:type="pct"/>
            <w:gridSpan w:val="3"/>
            <w:tcBorders>
              <w:tl2br w:val="nil"/>
              <w:tr2bl w:val="nil"/>
            </w:tcBorders>
            <w:noWrap w:val="0"/>
            <w:vAlign w:val="center"/>
          </w:tcPr>
          <w:p w14:paraId="5DA472FC">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检测结果</w:t>
            </w:r>
          </w:p>
        </w:tc>
        <w:tc>
          <w:tcPr>
            <w:tcW w:w="555" w:type="pct"/>
            <w:vMerge w:val="restart"/>
            <w:tcBorders>
              <w:tl2br w:val="nil"/>
              <w:tr2bl w:val="nil"/>
            </w:tcBorders>
            <w:noWrap w:val="0"/>
            <w:vAlign w:val="center"/>
          </w:tcPr>
          <w:p w14:paraId="022F57E8">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参考</w:t>
            </w:r>
          </w:p>
          <w:p w14:paraId="5F8106C3">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限值</w:t>
            </w:r>
          </w:p>
        </w:tc>
        <w:tc>
          <w:tcPr>
            <w:tcW w:w="555" w:type="pct"/>
            <w:vMerge w:val="restart"/>
            <w:tcBorders>
              <w:tl2br w:val="nil"/>
              <w:tr2bl w:val="nil"/>
            </w:tcBorders>
            <w:noWrap w:val="0"/>
            <w:vAlign w:val="center"/>
          </w:tcPr>
          <w:p w14:paraId="6A8408E6">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达标</w:t>
            </w:r>
          </w:p>
          <w:p w14:paraId="3E74363C">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情况</w:t>
            </w:r>
          </w:p>
        </w:tc>
      </w:tr>
      <w:tr w14:paraId="328BB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1399" w:type="pct"/>
            <w:vMerge w:val="continue"/>
            <w:tcBorders>
              <w:tl2br w:val="nil"/>
              <w:tr2bl w:val="nil"/>
            </w:tcBorders>
            <w:noWrap w:val="0"/>
            <w:vAlign w:val="center"/>
          </w:tcPr>
          <w:p w14:paraId="11330EB0">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0"/>
                <w:highlight w:val="none"/>
                <w:vertAlign w:val="baseline"/>
                <w:lang w:val="en-US" w:eastAsia="zh-CN"/>
              </w:rPr>
            </w:pPr>
          </w:p>
        </w:tc>
        <w:tc>
          <w:tcPr>
            <w:tcW w:w="829" w:type="pct"/>
            <w:tcBorders>
              <w:tl2br w:val="nil"/>
              <w:tr2bl w:val="nil"/>
            </w:tcBorders>
            <w:noWrap w:val="0"/>
            <w:vAlign w:val="center"/>
          </w:tcPr>
          <w:p w14:paraId="0099E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T1</w:t>
            </w:r>
          </w:p>
        </w:tc>
        <w:tc>
          <w:tcPr>
            <w:tcW w:w="829" w:type="pct"/>
            <w:tcBorders>
              <w:tl2br w:val="nil"/>
              <w:tr2bl w:val="nil"/>
            </w:tcBorders>
            <w:noWrap w:val="0"/>
            <w:vAlign w:val="center"/>
          </w:tcPr>
          <w:p w14:paraId="59FEF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T2</w:t>
            </w:r>
          </w:p>
        </w:tc>
        <w:tc>
          <w:tcPr>
            <w:tcW w:w="829" w:type="pct"/>
            <w:tcBorders>
              <w:tl2br w:val="nil"/>
              <w:tr2bl w:val="nil"/>
            </w:tcBorders>
            <w:noWrap w:val="0"/>
            <w:vAlign w:val="center"/>
          </w:tcPr>
          <w:p w14:paraId="7534D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T3</w:t>
            </w:r>
          </w:p>
        </w:tc>
        <w:tc>
          <w:tcPr>
            <w:tcW w:w="555" w:type="pct"/>
            <w:vMerge w:val="continue"/>
            <w:tcBorders>
              <w:tl2br w:val="nil"/>
              <w:tr2bl w:val="nil"/>
            </w:tcBorders>
            <w:noWrap w:val="0"/>
            <w:vAlign w:val="center"/>
          </w:tcPr>
          <w:p w14:paraId="6E6F2B1D">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auto"/>
                <w:sz w:val="21"/>
                <w:szCs w:val="21"/>
                <w:highlight w:val="none"/>
                <w:lang w:val="en-US" w:eastAsia="zh-CN"/>
              </w:rPr>
            </w:pPr>
          </w:p>
        </w:tc>
        <w:tc>
          <w:tcPr>
            <w:tcW w:w="555" w:type="pct"/>
            <w:vMerge w:val="continue"/>
            <w:tcBorders>
              <w:tl2br w:val="nil"/>
              <w:tr2bl w:val="nil"/>
            </w:tcBorders>
            <w:noWrap w:val="0"/>
            <w:vAlign w:val="center"/>
          </w:tcPr>
          <w:p w14:paraId="12009693">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auto"/>
                <w:sz w:val="21"/>
                <w:szCs w:val="21"/>
                <w:highlight w:val="none"/>
                <w:lang w:val="en-US" w:eastAsia="zh-CN"/>
              </w:rPr>
            </w:pPr>
          </w:p>
        </w:tc>
      </w:tr>
      <w:tr w14:paraId="2FE21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5AEA56EC">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bidi="ar-SA"/>
              </w:rPr>
              <w:t>pH（无量纲）</w:t>
            </w:r>
          </w:p>
        </w:tc>
        <w:tc>
          <w:tcPr>
            <w:tcW w:w="829" w:type="pct"/>
            <w:tcBorders>
              <w:tl2br w:val="nil"/>
              <w:tr2bl w:val="nil"/>
            </w:tcBorders>
            <w:noWrap w:val="0"/>
            <w:vAlign w:val="center"/>
          </w:tcPr>
          <w:p w14:paraId="34E15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rPr>
              <w:t>6.31</w:t>
            </w:r>
          </w:p>
        </w:tc>
        <w:tc>
          <w:tcPr>
            <w:tcW w:w="829" w:type="pct"/>
            <w:tcBorders>
              <w:tl2br w:val="nil"/>
              <w:tr2bl w:val="nil"/>
            </w:tcBorders>
            <w:noWrap w:val="0"/>
            <w:vAlign w:val="center"/>
          </w:tcPr>
          <w:p w14:paraId="153FC1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7.12</w:t>
            </w:r>
          </w:p>
        </w:tc>
        <w:tc>
          <w:tcPr>
            <w:tcW w:w="829" w:type="pct"/>
            <w:tcBorders>
              <w:tl2br w:val="nil"/>
              <w:tr2bl w:val="nil"/>
            </w:tcBorders>
            <w:noWrap w:val="0"/>
            <w:vAlign w:val="center"/>
          </w:tcPr>
          <w:p w14:paraId="6FD73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6.85</w:t>
            </w:r>
          </w:p>
        </w:tc>
        <w:tc>
          <w:tcPr>
            <w:tcW w:w="555" w:type="pct"/>
            <w:tcBorders>
              <w:tl2br w:val="nil"/>
              <w:tr2bl w:val="nil"/>
            </w:tcBorders>
            <w:noWrap w:val="0"/>
            <w:vAlign w:val="center"/>
          </w:tcPr>
          <w:p w14:paraId="1B1B7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024" w:type="dxa"/>
            <w:tcBorders>
              <w:tl2br w:val="nil"/>
              <w:tr2bl w:val="nil"/>
            </w:tcBorders>
            <w:noWrap w:val="0"/>
            <w:vAlign w:val="center"/>
          </w:tcPr>
          <w:p w14:paraId="1ED99E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1E6C0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0C9ADE53">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bidi="ar-SA"/>
              </w:rPr>
              <w:t>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0F32E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rPr>
              <w:t>24.3</w:t>
            </w:r>
          </w:p>
        </w:tc>
        <w:tc>
          <w:tcPr>
            <w:tcW w:w="829" w:type="pct"/>
            <w:tcBorders>
              <w:tl2br w:val="nil"/>
              <w:tr2bl w:val="nil"/>
            </w:tcBorders>
            <w:noWrap w:val="0"/>
            <w:vAlign w:val="center"/>
          </w:tcPr>
          <w:p w14:paraId="5AF2A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26.3</w:t>
            </w:r>
          </w:p>
        </w:tc>
        <w:tc>
          <w:tcPr>
            <w:tcW w:w="829" w:type="pct"/>
            <w:tcBorders>
              <w:tl2br w:val="nil"/>
              <w:tr2bl w:val="nil"/>
            </w:tcBorders>
            <w:noWrap w:val="0"/>
            <w:vAlign w:val="center"/>
          </w:tcPr>
          <w:p w14:paraId="4844F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32.4</w:t>
            </w:r>
          </w:p>
        </w:tc>
        <w:tc>
          <w:tcPr>
            <w:tcW w:w="555" w:type="pct"/>
            <w:tcBorders>
              <w:tl2br w:val="nil"/>
              <w:tr2bl w:val="nil"/>
            </w:tcBorders>
            <w:noWrap w:val="0"/>
            <w:vAlign w:val="center"/>
          </w:tcPr>
          <w:p w14:paraId="072D23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60</w:t>
            </w:r>
          </w:p>
        </w:tc>
        <w:tc>
          <w:tcPr>
            <w:tcW w:w="1024" w:type="dxa"/>
            <w:tcBorders>
              <w:tl2br w:val="nil"/>
              <w:tr2bl w:val="nil"/>
            </w:tcBorders>
            <w:noWrap w:val="0"/>
            <w:vAlign w:val="center"/>
          </w:tcPr>
          <w:p w14:paraId="48A78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4C75A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5E26171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bidi="ar-SA"/>
              </w:rPr>
              <w:t>镉</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66AEA2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rPr>
              <w:t>0.11</w:t>
            </w:r>
          </w:p>
        </w:tc>
        <w:tc>
          <w:tcPr>
            <w:tcW w:w="829" w:type="pct"/>
            <w:tcBorders>
              <w:tl2br w:val="nil"/>
              <w:tr2bl w:val="nil"/>
            </w:tcBorders>
            <w:noWrap w:val="0"/>
            <w:vAlign w:val="center"/>
          </w:tcPr>
          <w:p w14:paraId="22D884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0.27</w:t>
            </w:r>
          </w:p>
        </w:tc>
        <w:tc>
          <w:tcPr>
            <w:tcW w:w="829" w:type="pct"/>
            <w:tcBorders>
              <w:tl2br w:val="nil"/>
              <w:tr2bl w:val="nil"/>
            </w:tcBorders>
            <w:noWrap w:val="0"/>
            <w:vAlign w:val="center"/>
          </w:tcPr>
          <w:p w14:paraId="6EB860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0.36</w:t>
            </w:r>
          </w:p>
        </w:tc>
        <w:tc>
          <w:tcPr>
            <w:tcW w:w="555" w:type="pct"/>
            <w:tcBorders>
              <w:tl2br w:val="nil"/>
              <w:tr2bl w:val="nil"/>
            </w:tcBorders>
            <w:noWrap w:val="0"/>
            <w:vAlign w:val="center"/>
          </w:tcPr>
          <w:p w14:paraId="143BDA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65</w:t>
            </w:r>
          </w:p>
        </w:tc>
        <w:tc>
          <w:tcPr>
            <w:tcW w:w="1024" w:type="dxa"/>
            <w:tcBorders>
              <w:tl2br w:val="nil"/>
              <w:tr2bl w:val="nil"/>
            </w:tcBorders>
            <w:noWrap w:val="0"/>
            <w:vAlign w:val="center"/>
          </w:tcPr>
          <w:p w14:paraId="45693F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26A0B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0BA3E25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bidi="ar-SA"/>
              </w:rPr>
              <w:t>铅</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765207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rPr>
              <w:t>10</w:t>
            </w:r>
          </w:p>
        </w:tc>
        <w:tc>
          <w:tcPr>
            <w:tcW w:w="829" w:type="pct"/>
            <w:tcBorders>
              <w:tl2br w:val="nil"/>
              <w:tr2bl w:val="nil"/>
            </w:tcBorders>
            <w:noWrap w:val="0"/>
            <w:vAlign w:val="center"/>
          </w:tcPr>
          <w:p w14:paraId="6FDB2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16</w:t>
            </w:r>
          </w:p>
        </w:tc>
        <w:tc>
          <w:tcPr>
            <w:tcW w:w="829" w:type="pct"/>
            <w:tcBorders>
              <w:tl2br w:val="nil"/>
              <w:tr2bl w:val="nil"/>
            </w:tcBorders>
            <w:noWrap w:val="0"/>
            <w:vAlign w:val="center"/>
          </w:tcPr>
          <w:p w14:paraId="58680B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24</w:t>
            </w:r>
          </w:p>
        </w:tc>
        <w:tc>
          <w:tcPr>
            <w:tcW w:w="555" w:type="pct"/>
            <w:tcBorders>
              <w:tl2br w:val="nil"/>
              <w:tr2bl w:val="nil"/>
            </w:tcBorders>
            <w:noWrap w:val="0"/>
            <w:vAlign w:val="center"/>
          </w:tcPr>
          <w:p w14:paraId="02C21B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800</w:t>
            </w:r>
          </w:p>
        </w:tc>
        <w:tc>
          <w:tcPr>
            <w:tcW w:w="1024" w:type="dxa"/>
            <w:tcBorders>
              <w:tl2br w:val="nil"/>
              <w:tr2bl w:val="nil"/>
            </w:tcBorders>
            <w:noWrap w:val="0"/>
            <w:vAlign w:val="center"/>
          </w:tcPr>
          <w:p w14:paraId="652B8D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191A1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08C52E9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bidi="ar-SA"/>
              </w:rPr>
              <w:t>汞</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411F5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rPr>
              <w:t>0.245</w:t>
            </w:r>
          </w:p>
        </w:tc>
        <w:tc>
          <w:tcPr>
            <w:tcW w:w="829" w:type="pct"/>
            <w:tcBorders>
              <w:tl2br w:val="nil"/>
              <w:tr2bl w:val="nil"/>
            </w:tcBorders>
            <w:noWrap w:val="0"/>
            <w:vAlign w:val="center"/>
          </w:tcPr>
          <w:p w14:paraId="504870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0.753</w:t>
            </w:r>
          </w:p>
        </w:tc>
        <w:tc>
          <w:tcPr>
            <w:tcW w:w="829" w:type="pct"/>
            <w:tcBorders>
              <w:tl2br w:val="nil"/>
              <w:tr2bl w:val="nil"/>
            </w:tcBorders>
            <w:noWrap w:val="0"/>
            <w:vAlign w:val="center"/>
          </w:tcPr>
          <w:p w14:paraId="6ED29A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0.547</w:t>
            </w:r>
          </w:p>
        </w:tc>
        <w:tc>
          <w:tcPr>
            <w:tcW w:w="555" w:type="pct"/>
            <w:tcBorders>
              <w:tl2br w:val="nil"/>
              <w:tr2bl w:val="nil"/>
            </w:tcBorders>
            <w:noWrap w:val="0"/>
            <w:vAlign w:val="center"/>
          </w:tcPr>
          <w:p w14:paraId="6ECA19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38</w:t>
            </w:r>
          </w:p>
        </w:tc>
        <w:tc>
          <w:tcPr>
            <w:tcW w:w="1024" w:type="dxa"/>
            <w:tcBorders>
              <w:tl2br w:val="nil"/>
              <w:tr2bl w:val="nil"/>
            </w:tcBorders>
            <w:noWrap w:val="0"/>
            <w:vAlign w:val="center"/>
          </w:tcPr>
          <w:p w14:paraId="24E1C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478CD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713C452F">
            <w:pPr>
              <w:keepNext w:val="0"/>
              <w:keepLines w:val="0"/>
              <w:widowControl/>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bidi="ar-SA"/>
              </w:rPr>
              <w:t>铜</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0953A7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rPr>
              <w:t>37</w:t>
            </w:r>
          </w:p>
        </w:tc>
        <w:tc>
          <w:tcPr>
            <w:tcW w:w="829" w:type="pct"/>
            <w:tcBorders>
              <w:tl2br w:val="nil"/>
              <w:tr2bl w:val="nil"/>
            </w:tcBorders>
            <w:noWrap w:val="0"/>
            <w:vAlign w:val="center"/>
          </w:tcPr>
          <w:p w14:paraId="0FF897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48</w:t>
            </w:r>
          </w:p>
        </w:tc>
        <w:tc>
          <w:tcPr>
            <w:tcW w:w="829" w:type="pct"/>
            <w:tcBorders>
              <w:tl2br w:val="nil"/>
              <w:tr2bl w:val="nil"/>
            </w:tcBorders>
            <w:noWrap w:val="0"/>
            <w:vAlign w:val="center"/>
          </w:tcPr>
          <w:p w14:paraId="3F9AD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78</w:t>
            </w:r>
          </w:p>
        </w:tc>
        <w:tc>
          <w:tcPr>
            <w:tcW w:w="555" w:type="pct"/>
            <w:tcBorders>
              <w:tl2br w:val="nil"/>
              <w:tr2bl w:val="nil"/>
            </w:tcBorders>
            <w:noWrap w:val="0"/>
            <w:vAlign w:val="center"/>
          </w:tcPr>
          <w:p w14:paraId="44E22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18000</w:t>
            </w:r>
          </w:p>
        </w:tc>
        <w:tc>
          <w:tcPr>
            <w:tcW w:w="1024" w:type="dxa"/>
            <w:tcBorders>
              <w:tl2br w:val="nil"/>
              <w:tr2bl w:val="nil"/>
            </w:tcBorders>
            <w:noWrap w:val="0"/>
            <w:vAlign w:val="center"/>
          </w:tcPr>
          <w:p w14:paraId="4E4C46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4E2E9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4F10D1F6">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bidi="ar-SA"/>
              </w:rPr>
              <w:t>镍</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7C44A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rPr>
              <w:t>45</w:t>
            </w:r>
          </w:p>
        </w:tc>
        <w:tc>
          <w:tcPr>
            <w:tcW w:w="829" w:type="pct"/>
            <w:tcBorders>
              <w:tl2br w:val="nil"/>
              <w:tr2bl w:val="nil"/>
            </w:tcBorders>
            <w:noWrap w:val="0"/>
            <w:vAlign w:val="center"/>
          </w:tcPr>
          <w:p w14:paraId="04C0C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86</w:t>
            </w:r>
          </w:p>
        </w:tc>
        <w:tc>
          <w:tcPr>
            <w:tcW w:w="829" w:type="pct"/>
            <w:tcBorders>
              <w:tl2br w:val="nil"/>
              <w:tr2bl w:val="nil"/>
            </w:tcBorders>
            <w:noWrap w:val="0"/>
            <w:vAlign w:val="center"/>
          </w:tcPr>
          <w:p w14:paraId="600341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54</w:t>
            </w:r>
          </w:p>
        </w:tc>
        <w:tc>
          <w:tcPr>
            <w:tcW w:w="555" w:type="pct"/>
            <w:tcBorders>
              <w:tl2br w:val="nil"/>
              <w:tr2bl w:val="nil"/>
            </w:tcBorders>
            <w:noWrap w:val="0"/>
            <w:vAlign w:val="center"/>
          </w:tcPr>
          <w:p w14:paraId="61E814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900</w:t>
            </w:r>
          </w:p>
        </w:tc>
        <w:tc>
          <w:tcPr>
            <w:tcW w:w="1024" w:type="dxa"/>
            <w:tcBorders>
              <w:tl2br w:val="nil"/>
              <w:tr2bl w:val="nil"/>
            </w:tcBorders>
            <w:noWrap w:val="0"/>
            <w:vAlign w:val="center"/>
          </w:tcPr>
          <w:p w14:paraId="2D5BB9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465C8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32C3CC53">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bidi="ar-SA"/>
              </w:rPr>
              <w:t>铬（六价）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38D39F6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rPr>
              <w:t>0.5L</w:t>
            </w:r>
          </w:p>
        </w:tc>
        <w:tc>
          <w:tcPr>
            <w:tcW w:w="829" w:type="pct"/>
            <w:tcBorders>
              <w:tl2br w:val="nil"/>
              <w:tr2bl w:val="nil"/>
            </w:tcBorders>
            <w:noWrap w:val="0"/>
            <w:vAlign w:val="center"/>
          </w:tcPr>
          <w:p w14:paraId="0E7DB3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rPr>
              <w:t>0.5L</w:t>
            </w:r>
          </w:p>
        </w:tc>
        <w:tc>
          <w:tcPr>
            <w:tcW w:w="829" w:type="pct"/>
            <w:tcBorders>
              <w:tl2br w:val="nil"/>
              <w:tr2bl w:val="nil"/>
            </w:tcBorders>
            <w:noWrap w:val="0"/>
            <w:vAlign w:val="center"/>
          </w:tcPr>
          <w:p w14:paraId="52618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rPr>
              <w:t>0.5L</w:t>
            </w:r>
          </w:p>
        </w:tc>
        <w:tc>
          <w:tcPr>
            <w:tcW w:w="555" w:type="pct"/>
            <w:tcBorders>
              <w:tl2br w:val="nil"/>
              <w:tr2bl w:val="nil"/>
            </w:tcBorders>
            <w:noWrap w:val="0"/>
            <w:vAlign w:val="center"/>
          </w:tcPr>
          <w:p w14:paraId="05F4D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024" w:type="dxa"/>
            <w:tcBorders>
              <w:tl2br w:val="nil"/>
              <w:tr2bl w:val="nil"/>
            </w:tcBorders>
            <w:noWrap w:val="0"/>
            <w:vAlign w:val="center"/>
          </w:tcPr>
          <w:p w14:paraId="431F7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4293E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7D6054C0">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*四氯化碳</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071F1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829" w:type="pct"/>
            <w:tcBorders>
              <w:tl2br w:val="nil"/>
              <w:tr2bl w:val="nil"/>
            </w:tcBorders>
            <w:noWrap w:val="0"/>
            <w:vAlign w:val="center"/>
          </w:tcPr>
          <w:p w14:paraId="4B42D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829" w:type="pct"/>
            <w:tcBorders>
              <w:tl2br w:val="nil"/>
              <w:tr2bl w:val="nil"/>
            </w:tcBorders>
            <w:noWrap w:val="0"/>
            <w:vAlign w:val="center"/>
          </w:tcPr>
          <w:p w14:paraId="5492BC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555" w:type="pct"/>
            <w:tcBorders>
              <w:tl2br w:val="nil"/>
              <w:tr2bl w:val="nil"/>
            </w:tcBorders>
            <w:noWrap w:val="0"/>
            <w:vAlign w:val="center"/>
          </w:tcPr>
          <w:p w14:paraId="1F8B6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2.8</w:t>
            </w:r>
          </w:p>
        </w:tc>
        <w:tc>
          <w:tcPr>
            <w:tcW w:w="1024" w:type="dxa"/>
            <w:tcBorders>
              <w:tl2br w:val="nil"/>
              <w:tr2bl w:val="nil"/>
            </w:tcBorders>
            <w:noWrap w:val="0"/>
            <w:vAlign w:val="center"/>
          </w:tcPr>
          <w:p w14:paraId="7AF9F9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52164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227BFA86">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*氯仿</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683F1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0.0011L</w:t>
            </w:r>
          </w:p>
        </w:tc>
        <w:tc>
          <w:tcPr>
            <w:tcW w:w="829" w:type="pct"/>
            <w:tcBorders>
              <w:tl2br w:val="nil"/>
              <w:tr2bl w:val="nil"/>
            </w:tcBorders>
            <w:noWrap w:val="0"/>
            <w:vAlign w:val="center"/>
          </w:tcPr>
          <w:p w14:paraId="2DC4C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0.0011L</w:t>
            </w:r>
          </w:p>
        </w:tc>
        <w:tc>
          <w:tcPr>
            <w:tcW w:w="829" w:type="pct"/>
            <w:tcBorders>
              <w:tl2br w:val="nil"/>
              <w:tr2bl w:val="nil"/>
            </w:tcBorders>
            <w:noWrap w:val="0"/>
            <w:vAlign w:val="center"/>
          </w:tcPr>
          <w:p w14:paraId="594529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0.0011L</w:t>
            </w:r>
          </w:p>
        </w:tc>
        <w:tc>
          <w:tcPr>
            <w:tcW w:w="555" w:type="pct"/>
            <w:tcBorders>
              <w:tl2br w:val="nil"/>
              <w:tr2bl w:val="nil"/>
            </w:tcBorders>
            <w:noWrap w:val="0"/>
            <w:vAlign w:val="center"/>
          </w:tcPr>
          <w:p w14:paraId="41D245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0.9</w:t>
            </w:r>
          </w:p>
        </w:tc>
        <w:tc>
          <w:tcPr>
            <w:tcW w:w="1024" w:type="dxa"/>
            <w:tcBorders>
              <w:tl2br w:val="nil"/>
              <w:tr2bl w:val="nil"/>
            </w:tcBorders>
            <w:noWrap w:val="0"/>
            <w:vAlign w:val="center"/>
          </w:tcPr>
          <w:p w14:paraId="31CBA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10911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794F2FF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*氯甲烷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4F0BA9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0.001L</w:t>
            </w:r>
          </w:p>
        </w:tc>
        <w:tc>
          <w:tcPr>
            <w:tcW w:w="829" w:type="pct"/>
            <w:tcBorders>
              <w:tl2br w:val="nil"/>
              <w:tr2bl w:val="nil"/>
            </w:tcBorders>
            <w:noWrap w:val="0"/>
            <w:vAlign w:val="center"/>
          </w:tcPr>
          <w:p w14:paraId="728E7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0.001L</w:t>
            </w:r>
          </w:p>
        </w:tc>
        <w:tc>
          <w:tcPr>
            <w:tcW w:w="829" w:type="pct"/>
            <w:tcBorders>
              <w:tl2br w:val="nil"/>
              <w:tr2bl w:val="nil"/>
            </w:tcBorders>
            <w:noWrap w:val="0"/>
            <w:vAlign w:val="center"/>
          </w:tcPr>
          <w:p w14:paraId="38A22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0.001L</w:t>
            </w:r>
          </w:p>
        </w:tc>
        <w:tc>
          <w:tcPr>
            <w:tcW w:w="555" w:type="pct"/>
            <w:tcBorders>
              <w:tl2br w:val="nil"/>
              <w:tr2bl w:val="nil"/>
            </w:tcBorders>
            <w:noWrap w:val="0"/>
            <w:vAlign w:val="center"/>
          </w:tcPr>
          <w:p w14:paraId="5298F9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37</w:t>
            </w:r>
          </w:p>
        </w:tc>
        <w:tc>
          <w:tcPr>
            <w:tcW w:w="1024" w:type="dxa"/>
            <w:tcBorders>
              <w:tl2br w:val="nil"/>
              <w:tr2bl w:val="nil"/>
            </w:tcBorders>
            <w:noWrap w:val="0"/>
            <w:vAlign w:val="center"/>
          </w:tcPr>
          <w:p w14:paraId="57D8D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3C700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5C57E0F3">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*1,1-二氯乙烷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5E75A2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50ADE7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13DB5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555" w:type="pct"/>
            <w:tcBorders>
              <w:tl2br w:val="nil"/>
              <w:tr2bl w:val="nil"/>
            </w:tcBorders>
            <w:noWrap w:val="0"/>
            <w:vAlign w:val="center"/>
          </w:tcPr>
          <w:p w14:paraId="54E2D7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9</w:t>
            </w:r>
          </w:p>
        </w:tc>
        <w:tc>
          <w:tcPr>
            <w:tcW w:w="1024" w:type="dxa"/>
            <w:tcBorders>
              <w:tl2br w:val="nil"/>
              <w:tr2bl w:val="nil"/>
            </w:tcBorders>
            <w:noWrap w:val="0"/>
            <w:vAlign w:val="center"/>
          </w:tcPr>
          <w:p w14:paraId="05813C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34680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05B906E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*1,2-二氯乙烷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37A779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829" w:type="pct"/>
            <w:tcBorders>
              <w:tl2br w:val="nil"/>
              <w:tr2bl w:val="nil"/>
            </w:tcBorders>
            <w:noWrap w:val="0"/>
            <w:vAlign w:val="center"/>
          </w:tcPr>
          <w:p w14:paraId="56D323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829" w:type="pct"/>
            <w:tcBorders>
              <w:tl2br w:val="nil"/>
              <w:tr2bl w:val="nil"/>
            </w:tcBorders>
            <w:noWrap w:val="0"/>
            <w:vAlign w:val="center"/>
          </w:tcPr>
          <w:p w14:paraId="0501F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555" w:type="pct"/>
            <w:tcBorders>
              <w:tl2br w:val="nil"/>
              <w:tr2bl w:val="nil"/>
            </w:tcBorders>
            <w:noWrap w:val="0"/>
            <w:vAlign w:val="center"/>
          </w:tcPr>
          <w:p w14:paraId="33E1EB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1024" w:type="dxa"/>
            <w:tcBorders>
              <w:tl2br w:val="nil"/>
              <w:tr2bl w:val="nil"/>
            </w:tcBorders>
            <w:noWrap w:val="0"/>
            <w:vAlign w:val="center"/>
          </w:tcPr>
          <w:p w14:paraId="37141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7B8D4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1AC1E63D">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*1,1-二氯乙烯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5540F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0.001L</w:t>
            </w:r>
          </w:p>
        </w:tc>
        <w:tc>
          <w:tcPr>
            <w:tcW w:w="829" w:type="pct"/>
            <w:tcBorders>
              <w:tl2br w:val="nil"/>
              <w:tr2bl w:val="nil"/>
            </w:tcBorders>
            <w:noWrap w:val="0"/>
            <w:vAlign w:val="center"/>
          </w:tcPr>
          <w:p w14:paraId="30CFE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0.001L</w:t>
            </w:r>
          </w:p>
        </w:tc>
        <w:tc>
          <w:tcPr>
            <w:tcW w:w="829" w:type="pct"/>
            <w:tcBorders>
              <w:tl2br w:val="nil"/>
              <w:tr2bl w:val="nil"/>
            </w:tcBorders>
            <w:noWrap w:val="0"/>
            <w:vAlign w:val="center"/>
          </w:tcPr>
          <w:p w14:paraId="7BF25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0.001L</w:t>
            </w:r>
          </w:p>
        </w:tc>
        <w:tc>
          <w:tcPr>
            <w:tcW w:w="555" w:type="pct"/>
            <w:tcBorders>
              <w:tl2br w:val="nil"/>
              <w:tr2bl w:val="nil"/>
            </w:tcBorders>
            <w:noWrap w:val="0"/>
            <w:vAlign w:val="center"/>
          </w:tcPr>
          <w:p w14:paraId="6F3C4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66</w:t>
            </w:r>
          </w:p>
        </w:tc>
        <w:tc>
          <w:tcPr>
            <w:tcW w:w="1024" w:type="dxa"/>
            <w:tcBorders>
              <w:tl2br w:val="nil"/>
              <w:tr2bl w:val="nil"/>
            </w:tcBorders>
            <w:noWrap w:val="0"/>
            <w:vAlign w:val="center"/>
          </w:tcPr>
          <w:p w14:paraId="7AFD2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0EA90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309451F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pacing w:val="-17"/>
                <w:sz w:val="21"/>
                <w:szCs w:val="20"/>
                <w:highlight w:val="none"/>
                <w:lang w:val="en-US" w:eastAsia="zh-CN"/>
              </w:rPr>
              <w:t>*顺-1,2-二氯乙烯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14E73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829" w:type="pct"/>
            <w:tcBorders>
              <w:tl2br w:val="nil"/>
              <w:tr2bl w:val="nil"/>
            </w:tcBorders>
            <w:noWrap w:val="0"/>
            <w:vAlign w:val="center"/>
          </w:tcPr>
          <w:p w14:paraId="359871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829" w:type="pct"/>
            <w:tcBorders>
              <w:tl2br w:val="nil"/>
              <w:tr2bl w:val="nil"/>
            </w:tcBorders>
            <w:noWrap w:val="0"/>
            <w:vAlign w:val="center"/>
          </w:tcPr>
          <w:p w14:paraId="5D411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555" w:type="pct"/>
            <w:tcBorders>
              <w:tl2br w:val="nil"/>
              <w:tr2bl w:val="nil"/>
            </w:tcBorders>
            <w:noWrap w:val="0"/>
            <w:vAlign w:val="center"/>
          </w:tcPr>
          <w:p w14:paraId="4BBB6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596</w:t>
            </w:r>
          </w:p>
        </w:tc>
        <w:tc>
          <w:tcPr>
            <w:tcW w:w="1024" w:type="dxa"/>
            <w:tcBorders>
              <w:tl2br w:val="nil"/>
              <w:tr2bl w:val="nil"/>
            </w:tcBorders>
            <w:noWrap w:val="0"/>
            <w:vAlign w:val="center"/>
          </w:tcPr>
          <w:p w14:paraId="2721C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72D5C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008AC23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pacing w:val="-17"/>
                <w:sz w:val="21"/>
                <w:szCs w:val="20"/>
                <w:highlight w:val="none"/>
                <w:lang w:val="en-US" w:eastAsia="zh-CN" w:bidi="ar-SA"/>
              </w:rPr>
            </w:pPr>
            <w:r>
              <w:rPr>
                <w:rFonts w:hint="default" w:ascii="Times New Roman" w:hAnsi="Times New Roman" w:eastAsia="宋体" w:cs="Times New Roman"/>
                <w:color w:val="auto"/>
                <w:spacing w:val="-17"/>
                <w:sz w:val="21"/>
                <w:szCs w:val="20"/>
                <w:highlight w:val="none"/>
                <w:lang w:val="en-US" w:eastAsia="zh-CN"/>
              </w:rPr>
              <w:t>*反-1,2-二氯乙烯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577F6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0.0014L</w:t>
            </w:r>
          </w:p>
        </w:tc>
        <w:tc>
          <w:tcPr>
            <w:tcW w:w="829" w:type="pct"/>
            <w:tcBorders>
              <w:tl2br w:val="nil"/>
              <w:tr2bl w:val="nil"/>
            </w:tcBorders>
            <w:noWrap w:val="0"/>
            <w:vAlign w:val="center"/>
          </w:tcPr>
          <w:p w14:paraId="5583E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0.0014L</w:t>
            </w:r>
          </w:p>
        </w:tc>
        <w:tc>
          <w:tcPr>
            <w:tcW w:w="829" w:type="pct"/>
            <w:tcBorders>
              <w:tl2br w:val="nil"/>
              <w:tr2bl w:val="nil"/>
            </w:tcBorders>
            <w:noWrap w:val="0"/>
            <w:vAlign w:val="center"/>
          </w:tcPr>
          <w:p w14:paraId="17C0A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0.0014L</w:t>
            </w:r>
          </w:p>
        </w:tc>
        <w:tc>
          <w:tcPr>
            <w:tcW w:w="555" w:type="pct"/>
            <w:tcBorders>
              <w:tl2br w:val="nil"/>
              <w:tr2bl w:val="nil"/>
            </w:tcBorders>
            <w:noWrap w:val="0"/>
            <w:vAlign w:val="center"/>
          </w:tcPr>
          <w:p w14:paraId="114681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54</w:t>
            </w:r>
          </w:p>
        </w:tc>
        <w:tc>
          <w:tcPr>
            <w:tcW w:w="1024" w:type="dxa"/>
            <w:tcBorders>
              <w:tl2br w:val="nil"/>
              <w:tr2bl w:val="nil"/>
            </w:tcBorders>
            <w:noWrap w:val="0"/>
            <w:vAlign w:val="center"/>
          </w:tcPr>
          <w:p w14:paraId="7806A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1F704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107FD0F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*二氯甲烷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467D43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0.0015L</w:t>
            </w:r>
          </w:p>
        </w:tc>
        <w:tc>
          <w:tcPr>
            <w:tcW w:w="829" w:type="pct"/>
            <w:tcBorders>
              <w:tl2br w:val="nil"/>
              <w:tr2bl w:val="nil"/>
            </w:tcBorders>
            <w:noWrap w:val="0"/>
            <w:vAlign w:val="center"/>
          </w:tcPr>
          <w:p w14:paraId="4832A5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0.0015L</w:t>
            </w:r>
          </w:p>
        </w:tc>
        <w:tc>
          <w:tcPr>
            <w:tcW w:w="829" w:type="pct"/>
            <w:tcBorders>
              <w:tl2br w:val="nil"/>
              <w:tr2bl w:val="nil"/>
            </w:tcBorders>
            <w:noWrap w:val="0"/>
            <w:vAlign w:val="center"/>
          </w:tcPr>
          <w:p w14:paraId="2BEB2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0.0015L</w:t>
            </w:r>
          </w:p>
        </w:tc>
        <w:tc>
          <w:tcPr>
            <w:tcW w:w="555" w:type="pct"/>
            <w:tcBorders>
              <w:tl2br w:val="nil"/>
              <w:tr2bl w:val="nil"/>
            </w:tcBorders>
            <w:noWrap w:val="0"/>
            <w:vAlign w:val="center"/>
          </w:tcPr>
          <w:p w14:paraId="25A61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616</w:t>
            </w:r>
          </w:p>
        </w:tc>
        <w:tc>
          <w:tcPr>
            <w:tcW w:w="1024" w:type="dxa"/>
            <w:tcBorders>
              <w:tl2br w:val="nil"/>
              <w:tr2bl w:val="nil"/>
            </w:tcBorders>
            <w:noWrap w:val="0"/>
            <w:vAlign w:val="center"/>
          </w:tcPr>
          <w:p w14:paraId="638DD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4068D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3CB789F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*1,2-二氯丙烷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117200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0.0011L</w:t>
            </w:r>
          </w:p>
        </w:tc>
        <w:tc>
          <w:tcPr>
            <w:tcW w:w="829" w:type="pct"/>
            <w:tcBorders>
              <w:tl2br w:val="nil"/>
              <w:tr2bl w:val="nil"/>
            </w:tcBorders>
            <w:noWrap w:val="0"/>
            <w:vAlign w:val="center"/>
          </w:tcPr>
          <w:p w14:paraId="418AB1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0.0011L</w:t>
            </w:r>
          </w:p>
        </w:tc>
        <w:tc>
          <w:tcPr>
            <w:tcW w:w="829" w:type="pct"/>
            <w:tcBorders>
              <w:tl2br w:val="nil"/>
              <w:tr2bl w:val="nil"/>
            </w:tcBorders>
            <w:noWrap w:val="0"/>
            <w:vAlign w:val="center"/>
          </w:tcPr>
          <w:p w14:paraId="06A7A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0.0011L</w:t>
            </w:r>
          </w:p>
        </w:tc>
        <w:tc>
          <w:tcPr>
            <w:tcW w:w="555" w:type="pct"/>
            <w:tcBorders>
              <w:tl2br w:val="nil"/>
              <w:tr2bl w:val="nil"/>
            </w:tcBorders>
            <w:noWrap w:val="0"/>
            <w:vAlign w:val="center"/>
          </w:tcPr>
          <w:p w14:paraId="58E4C8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1024" w:type="dxa"/>
            <w:tcBorders>
              <w:tl2br w:val="nil"/>
              <w:tr2bl w:val="nil"/>
            </w:tcBorders>
            <w:noWrap w:val="0"/>
            <w:vAlign w:val="center"/>
          </w:tcPr>
          <w:p w14:paraId="1EE912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20406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4525808E">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*1,1,1,2-四氯乙烷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3F207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7C07B6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40153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555" w:type="pct"/>
            <w:tcBorders>
              <w:tl2br w:val="nil"/>
              <w:tr2bl w:val="nil"/>
            </w:tcBorders>
            <w:noWrap w:val="0"/>
            <w:vAlign w:val="center"/>
          </w:tcPr>
          <w:p w14:paraId="10745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w:t>
            </w:r>
          </w:p>
        </w:tc>
        <w:tc>
          <w:tcPr>
            <w:tcW w:w="1024" w:type="dxa"/>
            <w:tcBorders>
              <w:tl2br w:val="nil"/>
              <w:tr2bl w:val="nil"/>
            </w:tcBorders>
            <w:noWrap w:val="0"/>
            <w:vAlign w:val="center"/>
          </w:tcPr>
          <w:p w14:paraId="72616A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440E0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20E59476">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*1,1,2,2-四氯乙烷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7EFFF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0ED55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55AE9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555" w:type="pct"/>
            <w:tcBorders>
              <w:tl2br w:val="nil"/>
              <w:tr2bl w:val="nil"/>
            </w:tcBorders>
            <w:noWrap w:val="0"/>
            <w:vAlign w:val="center"/>
          </w:tcPr>
          <w:p w14:paraId="3B30B0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6.8</w:t>
            </w:r>
          </w:p>
        </w:tc>
        <w:tc>
          <w:tcPr>
            <w:tcW w:w="1024" w:type="dxa"/>
            <w:tcBorders>
              <w:tl2br w:val="nil"/>
              <w:tr2bl w:val="nil"/>
            </w:tcBorders>
            <w:noWrap w:val="0"/>
            <w:vAlign w:val="center"/>
          </w:tcPr>
          <w:p w14:paraId="2C6632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2B5F7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2503776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21"/>
                <w:szCs w:val="20"/>
                <w:highlight w:val="none"/>
                <w:lang w:val="en-US" w:eastAsia="zh-CN"/>
              </w:rPr>
              <w:t>*四氯乙烯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590F4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0.0014L</w:t>
            </w:r>
          </w:p>
        </w:tc>
        <w:tc>
          <w:tcPr>
            <w:tcW w:w="829" w:type="pct"/>
            <w:tcBorders>
              <w:tl2br w:val="nil"/>
              <w:tr2bl w:val="nil"/>
            </w:tcBorders>
            <w:noWrap w:val="0"/>
            <w:vAlign w:val="center"/>
          </w:tcPr>
          <w:p w14:paraId="142DCF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0.0014L</w:t>
            </w:r>
          </w:p>
        </w:tc>
        <w:tc>
          <w:tcPr>
            <w:tcW w:w="829" w:type="pct"/>
            <w:tcBorders>
              <w:tl2br w:val="nil"/>
              <w:tr2bl w:val="nil"/>
            </w:tcBorders>
            <w:noWrap w:val="0"/>
            <w:vAlign w:val="center"/>
          </w:tcPr>
          <w:p w14:paraId="4955F8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0.0014L</w:t>
            </w:r>
          </w:p>
        </w:tc>
        <w:tc>
          <w:tcPr>
            <w:tcW w:w="555" w:type="pct"/>
            <w:tcBorders>
              <w:tl2br w:val="nil"/>
              <w:tr2bl w:val="nil"/>
            </w:tcBorders>
            <w:noWrap w:val="0"/>
            <w:vAlign w:val="center"/>
          </w:tcPr>
          <w:p w14:paraId="295585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53</w:t>
            </w:r>
          </w:p>
        </w:tc>
        <w:tc>
          <w:tcPr>
            <w:tcW w:w="1024" w:type="dxa"/>
            <w:tcBorders>
              <w:tl2br w:val="nil"/>
              <w:tr2bl w:val="nil"/>
            </w:tcBorders>
            <w:noWrap w:val="0"/>
            <w:vAlign w:val="center"/>
          </w:tcPr>
          <w:p w14:paraId="63DA6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13A68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53C3C95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*1,1,1-三氯乙烷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0C204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829" w:type="pct"/>
            <w:tcBorders>
              <w:tl2br w:val="nil"/>
              <w:tr2bl w:val="nil"/>
            </w:tcBorders>
            <w:noWrap w:val="0"/>
            <w:vAlign w:val="center"/>
          </w:tcPr>
          <w:p w14:paraId="3D03A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829" w:type="pct"/>
            <w:tcBorders>
              <w:tl2br w:val="nil"/>
              <w:tr2bl w:val="nil"/>
            </w:tcBorders>
            <w:noWrap w:val="0"/>
            <w:vAlign w:val="center"/>
          </w:tcPr>
          <w:p w14:paraId="198CB5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555" w:type="pct"/>
            <w:tcBorders>
              <w:tl2br w:val="nil"/>
              <w:tr2bl w:val="nil"/>
            </w:tcBorders>
            <w:noWrap w:val="0"/>
            <w:vAlign w:val="center"/>
          </w:tcPr>
          <w:p w14:paraId="6393C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840</w:t>
            </w:r>
          </w:p>
        </w:tc>
        <w:tc>
          <w:tcPr>
            <w:tcW w:w="1024" w:type="dxa"/>
            <w:tcBorders>
              <w:tl2br w:val="nil"/>
              <w:tr2bl w:val="nil"/>
            </w:tcBorders>
            <w:noWrap w:val="0"/>
            <w:vAlign w:val="center"/>
          </w:tcPr>
          <w:p w14:paraId="34011D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0ACFD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743D58DC">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*1,1,2-三氯乙烷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5B060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4B0129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22B6D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555" w:type="pct"/>
            <w:tcBorders>
              <w:tl2br w:val="nil"/>
              <w:tr2bl w:val="nil"/>
            </w:tcBorders>
            <w:noWrap w:val="0"/>
            <w:vAlign w:val="center"/>
          </w:tcPr>
          <w:p w14:paraId="366F3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2.8</w:t>
            </w:r>
          </w:p>
        </w:tc>
        <w:tc>
          <w:tcPr>
            <w:tcW w:w="1024" w:type="dxa"/>
            <w:tcBorders>
              <w:tl2br w:val="nil"/>
              <w:tr2bl w:val="nil"/>
            </w:tcBorders>
            <w:noWrap w:val="0"/>
            <w:vAlign w:val="center"/>
          </w:tcPr>
          <w:p w14:paraId="28092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40734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3CFCE44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*三氯乙烯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4E352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1D53B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70409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555" w:type="pct"/>
            <w:tcBorders>
              <w:tl2br w:val="nil"/>
              <w:tr2bl w:val="nil"/>
            </w:tcBorders>
            <w:noWrap w:val="0"/>
            <w:vAlign w:val="center"/>
          </w:tcPr>
          <w:p w14:paraId="43467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2.8</w:t>
            </w:r>
          </w:p>
        </w:tc>
        <w:tc>
          <w:tcPr>
            <w:tcW w:w="1024" w:type="dxa"/>
            <w:tcBorders>
              <w:tl2br w:val="nil"/>
              <w:tr2bl w:val="nil"/>
            </w:tcBorders>
            <w:noWrap w:val="0"/>
            <w:vAlign w:val="center"/>
          </w:tcPr>
          <w:p w14:paraId="592A1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05948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376BC67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*1,2,3-三氯丙烷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295445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1AB80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11141F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555" w:type="pct"/>
            <w:tcBorders>
              <w:tl2br w:val="nil"/>
              <w:tr2bl w:val="nil"/>
            </w:tcBorders>
            <w:noWrap w:val="0"/>
            <w:vAlign w:val="center"/>
          </w:tcPr>
          <w:p w14:paraId="653AE2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0.5</w:t>
            </w:r>
          </w:p>
        </w:tc>
        <w:tc>
          <w:tcPr>
            <w:tcW w:w="1024" w:type="dxa"/>
            <w:tcBorders>
              <w:tl2br w:val="nil"/>
              <w:tr2bl w:val="nil"/>
            </w:tcBorders>
            <w:noWrap w:val="0"/>
            <w:vAlign w:val="center"/>
          </w:tcPr>
          <w:p w14:paraId="2BFD1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30651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6665319C">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*氯乙烯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346DD6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0.001L</w:t>
            </w:r>
          </w:p>
        </w:tc>
        <w:tc>
          <w:tcPr>
            <w:tcW w:w="829" w:type="pct"/>
            <w:tcBorders>
              <w:tl2br w:val="nil"/>
              <w:tr2bl w:val="nil"/>
            </w:tcBorders>
            <w:noWrap w:val="0"/>
            <w:vAlign w:val="center"/>
          </w:tcPr>
          <w:p w14:paraId="7E2037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0.001L</w:t>
            </w:r>
          </w:p>
        </w:tc>
        <w:tc>
          <w:tcPr>
            <w:tcW w:w="829" w:type="pct"/>
            <w:tcBorders>
              <w:tl2br w:val="nil"/>
              <w:tr2bl w:val="nil"/>
            </w:tcBorders>
            <w:noWrap w:val="0"/>
            <w:vAlign w:val="center"/>
          </w:tcPr>
          <w:p w14:paraId="6C56FD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0.001L</w:t>
            </w:r>
          </w:p>
        </w:tc>
        <w:tc>
          <w:tcPr>
            <w:tcW w:w="555" w:type="pct"/>
            <w:tcBorders>
              <w:tl2br w:val="nil"/>
              <w:tr2bl w:val="nil"/>
            </w:tcBorders>
            <w:noWrap w:val="0"/>
            <w:vAlign w:val="center"/>
          </w:tcPr>
          <w:p w14:paraId="7D846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0.43</w:t>
            </w:r>
          </w:p>
        </w:tc>
        <w:tc>
          <w:tcPr>
            <w:tcW w:w="1024" w:type="dxa"/>
            <w:tcBorders>
              <w:tl2br w:val="nil"/>
              <w:tr2bl w:val="nil"/>
            </w:tcBorders>
            <w:noWrap w:val="0"/>
            <w:vAlign w:val="center"/>
          </w:tcPr>
          <w:p w14:paraId="67A58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5A0E7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5F2D068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268E4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0.0019L</w:t>
            </w:r>
          </w:p>
        </w:tc>
        <w:tc>
          <w:tcPr>
            <w:tcW w:w="829" w:type="pct"/>
            <w:tcBorders>
              <w:tl2br w:val="nil"/>
              <w:tr2bl w:val="nil"/>
            </w:tcBorders>
            <w:noWrap w:val="0"/>
            <w:vAlign w:val="center"/>
          </w:tcPr>
          <w:p w14:paraId="73D79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0.0019L</w:t>
            </w:r>
          </w:p>
        </w:tc>
        <w:tc>
          <w:tcPr>
            <w:tcW w:w="829" w:type="pct"/>
            <w:tcBorders>
              <w:tl2br w:val="nil"/>
              <w:tr2bl w:val="nil"/>
            </w:tcBorders>
            <w:noWrap w:val="0"/>
            <w:vAlign w:val="center"/>
          </w:tcPr>
          <w:p w14:paraId="0D8B0A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0.0019L</w:t>
            </w:r>
          </w:p>
        </w:tc>
        <w:tc>
          <w:tcPr>
            <w:tcW w:w="555" w:type="pct"/>
            <w:tcBorders>
              <w:tl2br w:val="nil"/>
              <w:tr2bl w:val="nil"/>
            </w:tcBorders>
            <w:noWrap w:val="0"/>
            <w:vAlign w:val="center"/>
          </w:tcPr>
          <w:p w14:paraId="1CF727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w:t>
            </w:r>
          </w:p>
        </w:tc>
        <w:tc>
          <w:tcPr>
            <w:tcW w:w="1024" w:type="dxa"/>
            <w:tcBorders>
              <w:tl2br w:val="nil"/>
              <w:tr2bl w:val="nil"/>
            </w:tcBorders>
            <w:noWrap w:val="0"/>
            <w:vAlign w:val="center"/>
          </w:tcPr>
          <w:p w14:paraId="1B818F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6B9C1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37EC05BD">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*氯苯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0F8BEE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7BCA3E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787BE8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555" w:type="pct"/>
            <w:tcBorders>
              <w:tl2br w:val="nil"/>
              <w:tr2bl w:val="nil"/>
            </w:tcBorders>
            <w:noWrap w:val="0"/>
            <w:vAlign w:val="center"/>
          </w:tcPr>
          <w:p w14:paraId="4E6069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270</w:t>
            </w:r>
          </w:p>
        </w:tc>
        <w:tc>
          <w:tcPr>
            <w:tcW w:w="1024" w:type="dxa"/>
            <w:tcBorders>
              <w:tl2br w:val="nil"/>
              <w:tr2bl w:val="nil"/>
            </w:tcBorders>
            <w:noWrap w:val="0"/>
            <w:vAlign w:val="center"/>
          </w:tcPr>
          <w:p w14:paraId="1C226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10805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74F941E3">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*1,2-二氯苯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1297C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0.0015L</w:t>
            </w:r>
          </w:p>
        </w:tc>
        <w:tc>
          <w:tcPr>
            <w:tcW w:w="829" w:type="pct"/>
            <w:tcBorders>
              <w:tl2br w:val="nil"/>
              <w:tr2bl w:val="nil"/>
            </w:tcBorders>
            <w:noWrap w:val="0"/>
            <w:vAlign w:val="center"/>
          </w:tcPr>
          <w:p w14:paraId="4BA9A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0.0015L</w:t>
            </w:r>
          </w:p>
        </w:tc>
        <w:tc>
          <w:tcPr>
            <w:tcW w:w="829" w:type="pct"/>
            <w:tcBorders>
              <w:tl2br w:val="nil"/>
              <w:tr2bl w:val="nil"/>
            </w:tcBorders>
            <w:noWrap w:val="0"/>
            <w:vAlign w:val="center"/>
          </w:tcPr>
          <w:p w14:paraId="38E4C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0.0015L</w:t>
            </w:r>
          </w:p>
        </w:tc>
        <w:tc>
          <w:tcPr>
            <w:tcW w:w="555" w:type="pct"/>
            <w:tcBorders>
              <w:tl2br w:val="nil"/>
              <w:tr2bl w:val="nil"/>
            </w:tcBorders>
            <w:noWrap w:val="0"/>
            <w:vAlign w:val="center"/>
          </w:tcPr>
          <w:p w14:paraId="2199DC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560</w:t>
            </w:r>
          </w:p>
        </w:tc>
        <w:tc>
          <w:tcPr>
            <w:tcW w:w="1024" w:type="dxa"/>
            <w:tcBorders>
              <w:tl2br w:val="nil"/>
              <w:tr2bl w:val="nil"/>
            </w:tcBorders>
            <w:noWrap w:val="0"/>
            <w:vAlign w:val="center"/>
          </w:tcPr>
          <w:p w14:paraId="69D9B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0633B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280EE3A0">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*1,4-二氯苯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24418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0.0015L</w:t>
            </w:r>
          </w:p>
        </w:tc>
        <w:tc>
          <w:tcPr>
            <w:tcW w:w="829" w:type="pct"/>
            <w:tcBorders>
              <w:tl2br w:val="nil"/>
              <w:tr2bl w:val="nil"/>
            </w:tcBorders>
            <w:noWrap w:val="0"/>
            <w:vAlign w:val="center"/>
          </w:tcPr>
          <w:p w14:paraId="74EFED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0.0015L</w:t>
            </w:r>
          </w:p>
        </w:tc>
        <w:tc>
          <w:tcPr>
            <w:tcW w:w="829" w:type="pct"/>
            <w:tcBorders>
              <w:tl2br w:val="nil"/>
              <w:tr2bl w:val="nil"/>
            </w:tcBorders>
            <w:noWrap w:val="0"/>
            <w:vAlign w:val="center"/>
          </w:tcPr>
          <w:p w14:paraId="5890A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0.0015L</w:t>
            </w:r>
          </w:p>
        </w:tc>
        <w:tc>
          <w:tcPr>
            <w:tcW w:w="555" w:type="pct"/>
            <w:tcBorders>
              <w:tl2br w:val="nil"/>
              <w:tr2bl w:val="nil"/>
            </w:tcBorders>
            <w:noWrap w:val="0"/>
            <w:vAlign w:val="center"/>
          </w:tcPr>
          <w:p w14:paraId="18BED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w:t>
            </w:r>
          </w:p>
        </w:tc>
        <w:tc>
          <w:tcPr>
            <w:tcW w:w="1024" w:type="dxa"/>
            <w:tcBorders>
              <w:tl2br w:val="nil"/>
              <w:tr2bl w:val="nil"/>
            </w:tcBorders>
            <w:noWrap w:val="0"/>
            <w:vAlign w:val="center"/>
          </w:tcPr>
          <w:p w14:paraId="74797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25AE5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2F7DE1C0">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*乙苯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626706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4AF2D0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51835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555" w:type="pct"/>
            <w:tcBorders>
              <w:tl2br w:val="nil"/>
              <w:tr2bl w:val="nil"/>
            </w:tcBorders>
            <w:noWrap w:val="0"/>
            <w:vAlign w:val="center"/>
          </w:tcPr>
          <w:p w14:paraId="4DFC9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28</w:t>
            </w:r>
          </w:p>
        </w:tc>
        <w:tc>
          <w:tcPr>
            <w:tcW w:w="1024" w:type="dxa"/>
            <w:tcBorders>
              <w:tl2br w:val="nil"/>
              <w:tr2bl w:val="nil"/>
            </w:tcBorders>
            <w:noWrap w:val="0"/>
            <w:vAlign w:val="center"/>
          </w:tcPr>
          <w:p w14:paraId="0818F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396BC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0BB8C17E">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*苯乙烯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11555B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0.0011L</w:t>
            </w:r>
          </w:p>
        </w:tc>
        <w:tc>
          <w:tcPr>
            <w:tcW w:w="829" w:type="pct"/>
            <w:tcBorders>
              <w:tl2br w:val="nil"/>
              <w:tr2bl w:val="nil"/>
            </w:tcBorders>
            <w:noWrap w:val="0"/>
            <w:vAlign w:val="center"/>
          </w:tcPr>
          <w:p w14:paraId="5518F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0.0011L</w:t>
            </w:r>
          </w:p>
        </w:tc>
        <w:tc>
          <w:tcPr>
            <w:tcW w:w="829" w:type="pct"/>
            <w:tcBorders>
              <w:tl2br w:val="nil"/>
              <w:tr2bl w:val="nil"/>
            </w:tcBorders>
            <w:noWrap w:val="0"/>
            <w:vAlign w:val="center"/>
          </w:tcPr>
          <w:p w14:paraId="01ABC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0.0011L</w:t>
            </w:r>
          </w:p>
        </w:tc>
        <w:tc>
          <w:tcPr>
            <w:tcW w:w="555" w:type="pct"/>
            <w:tcBorders>
              <w:tl2br w:val="nil"/>
              <w:tr2bl w:val="nil"/>
            </w:tcBorders>
            <w:noWrap w:val="0"/>
            <w:vAlign w:val="center"/>
          </w:tcPr>
          <w:p w14:paraId="395933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1290</w:t>
            </w:r>
          </w:p>
        </w:tc>
        <w:tc>
          <w:tcPr>
            <w:tcW w:w="1024" w:type="dxa"/>
            <w:tcBorders>
              <w:tl2br w:val="nil"/>
              <w:tr2bl w:val="nil"/>
            </w:tcBorders>
            <w:noWrap w:val="0"/>
            <w:vAlign w:val="center"/>
          </w:tcPr>
          <w:p w14:paraId="79338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55D12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1BEBA32D">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*甲苯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6CA02F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829" w:type="pct"/>
            <w:tcBorders>
              <w:tl2br w:val="nil"/>
              <w:tr2bl w:val="nil"/>
            </w:tcBorders>
            <w:noWrap w:val="0"/>
            <w:vAlign w:val="center"/>
          </w:tcPr>
          <w:p w14:paraId="08674E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829" w:type="pct"/>
            <w:tcBorders>
              <w:tl2br w:val="nil"/>
              <w:tr2bl w:val="nil"/>
            </w:tcBorders>
            <w:noWrap w:val="0"/>
            <w:vAlign w:val="center"/>
          </w:tcPr>
          <w:p w14:paraId="7CB79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0.0013L</w:t>
            </w:r>
          </w:p>
        </w:tc>
        <w:tc>
          <w:tcPr>
            <w:tcW w:w="555" w:type="pct"/>
            <w:tcBorders>
              <w:tl2br w:val="nil"/>
              <w:tr2bl w:val="nil"/>
            </w:tcBorders>
            <w:noWrap w:val="0"/>
            <w:vAlign w:val="center"/>
          </w:tcPr>
          <w:p w14:paraId="4958F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1200</w:t>
            </w:r>
          </w:p>
        </w:tc>
        <w:tc>
          <w:tcPr>
            <w:tcW w:w="1024" w:type="dxa"/>
            <w:tcBorders>
              <w:tl2br w:val="nil"/>
              <w:tr2bl w:val="nil"/>
            </w:tcBorders>
            <w:noWrap w:val="0"/>
            <w:vAlign w:val="center"/>
          </w:tcPr>
          <w:p w14:paraId="5613A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126AE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03A190E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pacing w:val="-11"/>
                <w:sz w:val="21"/>
                <w:szCs w:val="20"/>
                <w:highlight w:val="none"/>
                <w:lang w:val="en-US" w:eastAsia="zh-CN"/>
              </w:rPr>
              <w:t>*间二甲苯+对二甲苯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4E9FF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0B5D2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440C2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555" w:type="pct"/>
            <w:tcBorders>
              <w:tl2br w:val="nil"/>
              <w:tr2bl w:val="nil"/>
            </w:tcBorders>
            <w:noWrap w:val="0"/>
            <w:vAlign w:val="center"/>
          </w:tcPr>
          <w:p w14:paraId="66D52A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570</w:t>
            </w:r>
          </w:p>
        </w:tc>
        <w:tc>
          <w:tcPr>
            <w:tcW w:w="1024" w:type="dxa"/>
            <w:tcBorders>
              <w:tl2br w:val="nil"/>
              <w:tr2bl w:val="nil"/>
            </w:tcBorders>
            <w:noWrap w:val="0"/>
            <w:vAlign w:val="center"/>
          </w:tcPr>
          <w:p w14:paraId="19683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3747E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27F9226A">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*邻二甲苯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2B264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439C8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829" w:type="pct"/>
            <w:tcBorders>
              <w:tl2br w:val="nil"/>
              <w:tr2bl w:val="nil"/>
            </w:tcBorders>
            <w:noWrap w:val="0"/>
            <w:vAlign w:val="center"/>
          </w:tcPr>
          <w:p w14:paraId="7AB7ED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0.0012L</w:t>
            </w:r>
          </w:p>
        </w:tc>
        <w:tc>
          <w:tcPr>
            <w:tcW w:w="555" w:type="pct"/>
            <w:tcBorders>
              <w:tl2br w:val="nil"/>
              <w:tr2bl w:val="nil"/>
            </w:tcBorders>
            <w:noWrap w:val="0"/>
            <w:vAlign w:val="center"/>
          </w:tcPr>
          <w:p w14:paraId="4F320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640</w:t>
            </w:r>
          </w:p>
        </w:tc>
        <w:tc>
          <w:tcPr>
            <w:tcW w:w="1024" w:type="dxa"/>
            <w:tcBorders>
              <w:tl2br w:val="nil"/>
              <w:tr2bl w:val="nil"/>
            </w:tcBorders>
            <w:noWrap w:val="0"/>
            <w:vAlign w:val="center"/>
          </w:tcPr>
          <w:p w14:paraId="27558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539FE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0ECA90AF">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*硝基苯</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5A216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0.09L</w:t>
            </w:r>
          </w:p>
        </w:tc>
        <w:tc>
          <w:tcPr>
            <w:tcW w:w="829" w:type="pct"/>
            <w:tcBorders>
              <w:tl2br w:val="nil"/>
              <w:tr2bl w:val="nil"/>
            </w:tcBorders>
            <w:noWrap w:val="0"/>
            <w:vAlign w:val="center"/>
          </w:tcPr>
          <w:p w14:paraId="79564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0.09L</w:t>
            </w:r>
          </w:p>
        </w:tc>
        <w:tc>
          <w:tcPr>
            <w:tcW w:w="829" w:type="pct"/>
            <w:tcBorders>
              <w:tl2br w:val="nil"/>
              <w:tr2bl w:val="nil"/>
            </w:tcBorders>
            <w:noWrap w:val="0"/>
            <w:vAlign w:val="center"/>
          </w:tcPr>
          <w:p w14:paraId="1EA4D9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0.09L</w:t>
            </w:r>
          </w:p>
        </w:tc>
        <w:tc>
          <w:tcPr>
            <w:tcW w:w="555" w:type="pct"/>
            <w:tcBorders>
              <w:tl2br w:val="nil"/>
              <w:tr2bl w:val="nil"/>
            </w:tcBorders>
            <w:noWrap w:val="0"/>
            <w:vAlign w:val="center"/>
          </w:tcPr>
          <w:p w14:paraId="0E75FE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76</w:t>
            </w:r>
          </w:p>
        </w:tc>
        <w:tc>
          <w:tcPr>
            <w:tcW w:w="1024" w:type="dxa"/>
            <w:tcBorders>
              <w:tl2br w:val="nil"/>
              <w:tr2bl w:val="nil"/>
            </w:tcBorders>
            <w:noWrap w:val="0"/>
            <w:vAlign w:val="center"/>
          </w:tcPr>
          <w:p w14:paraId="0C624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51C74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2A04590A">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pacing w:val="-11"/>
                <w:sz w:val="21"/>
                <w:szCs w:val="21"/>
                <w:highlight w:val="none"/>
                <w:lang w:val="en-US" w:eastAsia="zh-CN" w:bidi="ar-SA"/>
              </w:rPr>
            </w:pPr>
            <w:r>
              <w:rPr>
                <w:rFonts w:hint="default" w:ascii="Times New Roman" w:hAnsi="Times New Roman" w:eastAsia="宋体" w:cs="Times New Roman"/>
                <w:color w:val="auto"/>
                <w:spacing w:val="-11"/>
                <w:sz w:val="21"/>
                <w:szCs w:val="21"/>
                <w:highlight w:val="none"/>
                <w:lang w:val="en-US" w:eastAsia="zh-CN"/>
              </w:rPr>
              <w:t>*苯胺</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172F5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0A98A3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51BD3B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555" w:type="pct"/>
            <w:tcBorders>
              <w:tl2br w:val="nil"/>
              <w:tr2bl w:val="nil"/>
            </w:tcBorders>
            <w:noWrap w:val="0"/>
            <w:vAlign w:val="center"/>
          </w:tcPr>
          <w:p w14:paraId="5E677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260</w:t>
            </w:r>
          </w:p>
        </w:tc>
        <w:tc>
          <w:tcPr>
            <w:tcW w:w="1024" w:type="dxa"/>
            <w:tcBorders>
              <w:tl2br w:val="nil"/>
              <w:tr2bl w:val="nil"/>
            </w:tcBorders>
            <w:noWrap w:val="0"/>
            <w:vAlign w:val="center"/>
          </w:tcPr>
          <w:p w14:paraId="0962D4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6331B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439445AF">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*2-氯酚</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3A373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0.06L</w:t>
            </w:r>
          </w:p>
        </w:tc>
        <w:tc>
          <w:tcPr>
            <w:tcW w:w="829" w:type="pct"/>
            <w:tcBorders>
              <w:tl2br w:val="nil"/>
              <w:tr2bl w:val="nil"/>
            </w:tcBorders>
            <w:noWrap w:val="0"/>
            <w:vAlign w:val="center"/>
          </w:tcPr>
          <w:p w14:paraId="34EA23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0.06L</w:t>
            </w:r>
          </w:p>
        </w:tc>
        <w:tc>
          <w:tcPr>
            <w:tcW w:w="829" w:type="pct"/>
            <w:tcBorders>
              <w:tl2br w:val="nil"/>
              <w:tr2bl w:val="nil"/>
            </w:tcBorders>
            <w:noWrap w:val="0"/>
            <w:vAlign w:val="center"/>
          </w:tcPr>
          <w:p w14:paraId="69A76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0.06L</w:t>
            </w:r>
          </w:p>
        </w:tc>
        <w:tc>
          <w:tcPr>
            <w:tcW w:w="555" w:type="pct"/>
            <w:tcBorders>
              <w:tl2br w:val="nil"/>
              <w:tr2bl w:val="nil"/>
            </w:tcBorders>
            <w:noWrap w:val="0"/>
            <w:vAlign w:val="center"/>
          </w:tcPr>
          <w:p w14:paraId="66EEC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2256</w:t>
            </w:r>
          </w:p>
        </w:tc>
        <w:tc>
          <w:tcPr>
            <w:tcW w:w="1024" w:type="dxa"/>
            <w:tcBorders>
              <w:tl2br w:val="nil"/>
              <w:tr2bl w:val="nil"/>
            </w:tcBorders>
            <w:noWrap w:val="0"/>
            <w:vAlign w:val="center"/>
          </w:tcPr>
          <w:p w14:paraId="62348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7DC93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2A85AF4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*苯并[a]蒽</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27981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2F528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6EDBC2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555" w:type="pct"/>
            <w:tcBorders>
              <w:tl2br w:val="nil"/>
              <w:tr2bl w:val="nil"/>
            </w:tcBorders>
            <w:noWrap w:val="0"/>
            <w:vAlign w:val="center"/>
          </w:tcPr>
          <w:p w14:paraId="64FD4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15</w:t>
            </w:r>
          </w:p>
        </w:tc>
        <w:tc>
          <w:tcPr>
            <w:tcW w:w="1024" w:type="dxa"/>
            <w:tcBorders>
              <w:tl2br w:val="nil"/>
              <w:tr2bl w:val="nil"/>
            </w:tcBorders>
            <w:noWrap w:val="0"/>
            <w:vAlign w:val="center"/>
          </w:tcPr>
          <w:p w14:paraId="402DD3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573B7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3A1872E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*苯并[a]芘</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3494FC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6955D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76F6E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555" w:type="pct"/>
            <w:tcBorders>
              <w:tl2br w:val="nil"/>
              <w:tr2bl w:val="nil"/>
            </w:tcBorders>
            <w:noWrap w:val="0"/>
            <w:vAlign w:val="center"/>
          </w:tcPr>
          <w:p w14:paraId="12593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1.5</w:t>
            </w:r>
          </w:p>
        </w:tc>
        <w:tc>
          <w:tcPr>
            <w:tcW w:w="1024" w:type="dxa"/>
            <w:tcBorders>
              <w:tl2br w:val="nil"/>
              <w:tr2bl w:val="nil"/>
            </w:tcBorders>
            <w:noWrap w:val="0"/>
            <w:vAlign w:val="center"/>
          </w:tcPr>
          <w:p w14:paraId="77561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40758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51FF82EA">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*苯并[b]荧蒽</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5AA69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0.2L</w:t>
            </w:r>
          </w:p>
        </w:tc>
        <w:tc>
          <w:tcPr>
            <w:tcW w:w="829" w:type="pct"/>
            <w:tcBorders>
              <w:tl2br w:val="nil"/>
              <w:tr2bl w:val="nil"/>
            </w:tcBorders>
            <w:noWrap w:val="0"/>
            <w:vAlign w:val="center"/>
          </w:tcPr>
          <w:p w14:paraId="68B73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0.2L</w:t>
            </w:r>
          </w:p>
        </w:tc>
        <w:tc>
          <w:tcPr>
            <w:tcW w:w="829" w:type="pct"/>
            <w:tcBorders>
              <w:tl2br w:val="nil"/>
              <w:tr2bl w:val="nil"/>
            </w:tcBorders>
            <w:noWrap w:val="0"/>
            <w:vAlign w:val="center"/>
          </w:tcPr>
          <w:p w14:paraId="40200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0.2L</w:t>
            </w:r>
          </w:p>
        </w:tc>
        <w:tc>
          <w:tcPr>
            <w:tcW w:w="555" w:type="pct"/>
            <w:tcBorders>
              <w:tl2br w:val="nil"/>
              <w:tr2bl w:val="nil"/>
            </w:tcBorders>
            <w:noWrap w:val="0"/>
            <w:vAlign w:val="center"/>
          </w:tcPr>
          <w:p w14:paraId="782A4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15</w:t>
            </w:r>
          </w:p>
        </w:tc>
        <w:tc>
          <w:tcPr>
            <w:tcW w:w="1024" w:type="dxa"/>
            <w:tcBorders>
              <w:tl2br w:val="nil"/>
              <w:tr2bl w:val="nil"/>
            </w:tcBorders>
            <w:noWrap w:val="0"/>
            <w:vAlign w:val="center"/>
          </w:tcPr>
          <w:p w14:paraId="61A4F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3DCF7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55B7CF6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*苯并[k]荧蒽</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6452B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73029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5E0795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555" w:type="pct"/>
            <w:tcBorders>
              <w:tl2br w:val="nil"/>
              <w:tr2bl w:val="nil"/>
            </w:tcBorders>
            <w:noWrap w:val="0"/>
            <w:vAlign w:val="center"/>
          </w:tcPr>
          <w:p w14:paraId="4CD5D2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151</w:t>
            </w:r>
          </w:p>
        </w:tc>
        <w:tc>
          <w:tcPr>
            <w:tcW w:w="1024" w:type="dxa"/>
            <w:tcBorders>
              <w:tl2br w:val="nil"/>
              <w:tr2bl w:val="nil"/>
            </w:tcBorders>
            <w:noWrap w:val="0"/>
            <w:vAlign w:val="center"/>
          </w:tcPr>
          <w:p w14:paraId="74B9B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47B9F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26E7BA16">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*䓛</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2DA528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5BE52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094EA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555" w:type="pct"/>
            <w:tcBorders>
              <w:tl2br w:val="nil"/>
              <w:tr2bl w:val="nil"/>
            </w:tcBorders>
            <w:noWrap w:val="0"/>
            <w:vAlign w:val="center"/>
          </w:tcPr>
          <w:p w14:paraId="16A9EF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1293</w:t>
            </w:r>
          </w:p>
        </w:tc>
        <w:tc>
          <w:tcPr>
            <w:tcW w:w="1024" w:type="dxa"/>
            <w:tcBorders>
              <w:tl2br w:val="nil"/>
              <w:tr2bl w:val="nil"/>
            </w:tcBorders>
            <w:noWrap w:val="0"/>
            <w:vAlign w:val="center"/>
          </w:tcPr>
          <w:p w14:paraId="3ED0C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0F360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16F7EEB6">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*二苯并[a,h]蒽</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4784F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50FB9C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457F3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555" w:type="pct"/>
            <w:tcBorders>
              <w:tl2br w:val="nil"/>
              <w:tr2bl w:val="nil"/>
            </w:tcBorders>
            <w:noWrap w:val="0"/>
            <w:vAlign w:val="center"/>
          </w:tcPr>
          <w:p w14:paraId="60523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1.5</w:t>
            </w:r>
          </w:p>
        </w:tc>
        <w:tc>
          <w:tcPr>
            <w:tcW w:w="1024" w:type="dxa"/>
            <w:tcBorders>
              <w:tl2br w:val="nil"/>
              <w:tr2bl w:val="nil"/>
            </w:tcBorders>
            <w:noWrap w:val="0"/>
            <w:vAlign w:val="center"/>
          </w:tcPr>
          <w:p w14:paraId="3EB03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431D0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99" w:type="pct"/>
            <w:tcBorders>
              <w:tl2br w:val="nil"/>
              <w:tr2bl w:val="nil"/>
            </w:tcBorders>
            <w:noWrap w:val="0"/>
            <w:vAlign w:val="center"/>
          </w:tcPr>
          <w:p w14:paraId="478A8A8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*茚并[1,2,3-cd]芘</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6A3E52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634A8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829" w:type="pct"/>
            <w:tcBorders>
              <w:tl2br w:val="nil"/>
              <w:tr2bl w:val="nil"/>
            </w:tcBorders>
            <w:noWrap w:val="0"/>
            <w:vAlign w:val="center"/>
          </w:tcPr>
          <w:p w14:paraId="103BDC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0.1L</w:t>
            </w:r>
          </w:p>
        </w:tc>
        <w:tc>
          <w:tcPr>
            <w:tcW w:w="555" w:type="pct"/>
            <w:tcBorders>
              <w:tl2br w:val="nil"/>
              <w:tr2bl w:val="nil"/>
            </w:tcBorders>
            <w:noWrap w:val="0"/>
            <w:vAlign w:val="center"/>
          </w:tcPr>
          <w:p w14:paraId="34E66D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15</w:t>
            </w:r>
          </w:p>
        </w:tc>
        <w:tc>
          <w:tcPr>
            <w:tcW w:w="1024" w:type="dxa"/>
            <w:tcBorders>
              <w:tl2br w:val="nil"/>
              <w:tr2bl w:val="nil"/>
            </w:tcBorders>
            <w:noWrap w:val="0"/>
            <w:vAlign w:val="center"/>
          </w:tcPr>
          <w:p w14:paraId="59638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02608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399" w:type="pct"/>
            <w:tcBorders>
              <w:tl2br w:val="nil"/>
              <w:tr2bl w:val="nil"/>
            </w:tcBorders>
            <w:noWrap w:val="0"/>
            <w:vAlign w:val="center"/>
          </w:tcPr>
          <w:p w14:paraId="0745A60E">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rPr>
              <w:t>*萘</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lang w:val="en-US" w:eastAsia="zh-CN"/>
              </w:rPr>
              <w:t>mg/kg</w:t>
            </w:r>
            <w:r>
              <w:rPr>
                <w:rFonts w:hint="default" w:ascii="Times New Roman" w:hAnsi="Times New Roman" w:eastAsia="宋体" w:cs="Times New Roman"/>
                <w:color w:val="auto"/>
                <w:sz w:val="21"/>
                <w:szCs w:val="20"/>
                <w:highlight w:val="none"/>
                <w:lang w:eastAsia="zh-CN"/>
              </w:rPr>
              <w:t>）</w:t>
            </w:r>
          </w:p>
        </w:tc>
        <w:tc>
          <w:tcPr>
            <w:tcW w:w="829" w:type="pct"/>
            <w:tcBorders>
              <w:tl2br w:val="nil"/>
              <w:tr2bl w:val="nil"/>
            </w:tcBorders>
            <w:noWrap w:val="0"/>
            <w:vAlign w:val="center"/>
          </w:tcPr>
          <w:p w14:paraId="5AC86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0.09L</w:t>
            </w:r>
          </w:p>
        </w:tc>
        <w:tc>
          <w:tcPr>
            <w:tcW w:w="829" w:type="pct"/>
            <w:tcBorders>
              <w:tl2br w:val="nil"/>
              <w:tr2bl w:val="nil"/>
            </w:tcBorders>
            <w:noWrap w:val="0"/>
            <w:vAlign w:val="center"/>
          </w:tcPr>
          <w:p w14:paraId="16929E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0.09L</w:t>
            </w:r>
          </w:p>
        </w:tc>
        <w:tc>
          <w:tcPr>
            <w:tcW w:w="829" w:type="pct"/>
            <w:tcBorders>
              <w:tl2br w:val="nil"/>
              <w:tr2bl w:val="nil"/>
            </w:tcBorders>
            <w:noWrap w:val="0"/>
            <w:vAlign w:val="center"/>
          </w:tcPr>
          <w:p w14:paraId="08CEB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0.09L</w:t>
            </w:r>
          </w:p>
        </w:tc>
        <w:tc>
          <w:tcPr>
            <w:tcW w:w="555" w:type="pct"/>
            <w:tcBorders>
              <w:tl2br w:val="nil"/>
              <w:tr2bl w:val="nil"/>
            </w:tcBorders>
            <w:noWrap w:val="0"/>
            <w:vAlign w:val="center"/>
          </w:tcPr>
          <w:p w14:paraId="1E853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70</w:t>
            </w:r>
          </w:p>
        </w:tc>
        <w:tc>
          <w:tcPr>
            <w:tcW w:w="1024" w:type="dxa"/>
            <w:tcBorders>
              <w:tl2br w:val="nil"/>
              <w:tr2bl w:val="nil"/>
            </w:tcBorders>
            <w:noWrap w:val="0"/>
            <w:vAlign w:val="center"/>
          </w:tcPr>
          <w:p w14:paraId="79D9E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bl>
    <w:p w14:paraId="67686BC3">
      <w:pPr>
        <w:pStyle w:val="189"/>
        <w:ind w:left="0" w:leftChars="0" w:firstLine="480" w:firstLineChars="200"/>
        <w:rPr>
          <w:rFonts w:hint="default" w:ascii="Times New Roman" w:hAnsi="Times New Roman" w:cs="Times New Roman"/>
          <w:color w:val="0000FF"/>
          <w:highlight w:val="none"/>
          <w:u w:val="wave" w:color="auto"/>
        </w:rPr>
      </w:pPr>
      <w:bookmarkStart w:id="99" w:name="_Hlk33550326"/>
      <w:r>
        <w:rPr>
          <w:rFonts w:hint="default" w:ascii="Times New Roman" w:hAnsi="Times New Roman" w:cs="Times New Roman"/>
          <w:color w:val="000000" w:themeColor="text1"/>
          <w:highlight w:val="none"/>
          <w:u w:val="none" w:color="auto"/>
          <w14:textFill>
            <w14:solidFill>
              <w14:schemeClr w14:val="tx1"/>
            </w14:solidFill>
          </w14:textFill>
        </w:rPr>
        <w:t>由监测结果可知，各监测点监测因子浓度均未超过《土壤环境质量土壤地土壤污染风险管控标准》（GB36600-2018）第二类用地标准中筛选值，厂内土壤环境质量较好。</w:t>
      </w:r>
      <w:bookmarkEnd w:id="99"/>
    </w:p>
    <w:p w14:paraId="2622ED8A">
      <w:pPr>
        <w:pStyle w:val="4"/>
        <w:numPr>
          <w:ilvl w:val="1"/>
          <w:numId w:val="0"/>
        </w:numPr>
        <w:ind w:leftChars="0"/>
        <w:outlineLvl w:val="2"/>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t>4.2.</w:t>
      </w:r>
      <w:r>
        <w:rPr>
          <w:rFonts w:hint="eastAsia" w:cs="Times New Roman"/>
          <w:b/>
          <w:bCs/>
          <w:color w:val="000000" w:themeColor="text1"/>
          <w:sz w:val="28"/>
          <w:szCs w:val="32"/>
          <w:highlight w:val="none"/>
          <w:u w:val="none" w:color="auto"/>
          <w:lang w:val="en-US" w:eastAsia="zh-CN" w:bidi="ar-SA"/>
          <w14:textFill>
            <w14:solidFill>
              <w14:schemeClr w14:val="tx1"/>
            </w14:solidFill>
          </w14:textFill>
        </w:rPr>
        <w:t>5</w:t>
      </w:r>
      <w:r>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t xml:space="preserve"> 地下水环境质量现状调查与评价</w:t>
      </w:r>
    </w:p>
    <w:p w14:paraId="22EDAF24">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为了解项目区域地</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下</w:t>
      </w:r>
      <w:r>
        <w:rPr>
          <w:rFonts w:hint="default" w:ascii="Times New Roman" w:hAnsi="Times New Roman" w:cs="Times New Roman"/>
          <w:color w:val="000000" w:themeColor="text1"/>
          <w:highlight w:val="none"/>
          <w:u w:val="none" w:color="auto"/>
          <w14:textFill>
            <w14:solidFill>
              <w14:schemeClr w14:val="tx1"/>
            </w14:solidFill>
          </w14:textFill>
        </w:rPr>
        <w:t>水环境质量现状，本次评价委托</w:t>
      </w:r>
      <w:r>
        <w:rPr>
          <w:rFonts w:hint="default" w:ascii="Times New Roman" w:hAnsi="Times New Roman" w:cs="Times New Roman"/>
          <w:color w:val="000000" w:themeColor="text1"/>
          <w:highlight w:val="none"/>
          <w:u w:val="none" w:color="auto"/>
          <w:lang w:eastAsia="zh-CN"/>
          <w14:textFill>
            <w14:solidFill>
              <w14:schemeClr w14:val="tx1"/>
            </w14:solidFill>
          </w14:textFill>
        </w:rPr>
        <w:t>湖南瑞鉴检测有限公司于</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w:t>
      </w:r>
      <w:r>
        <w:rPr>
          <w:rFonts w:hint="default" w:ascii="Times New Roman" w:hAnsi="Times New Roman" w:eastAsia="宋体" w:cs="Times New Roman"/>
          <w:b w:val="0"/>
          <w:bCs/>
          <w:color w:val="000000" w:themeColor="text1"/>
          <w:szCs w:val="24"/>
          <w:highlight w:val="none"/>
          <w:u w:val="none" w:color="auto"/>
          <w:lang w:val="en-US" w:eastAsia="zh-CN"/>
          <w14:textFill>
            <w14:solidFill>
              <w14:schemeClr w14:val="tx1"/>
            </w14:solidFill>
          </w14:textFill>
        </w:rPr>
        <w:t>25年10月18日</w:t>
      </w:r>
      <w:r>
        <w:rPr>
          <w:rFonts w:hint="default" w:ascii="Times New Roman" w:hAnsi="Times New Roman" w:cs="Times New Roman"/>
          <w:color w:val="000000" w:themeColor="text1"/>
          <w:highlight w:val="none"/>
          <w:u w:val="none" w:color="auto"/>
          <w14:textFill>
            <w14:solidFill>
              <w14:schemeClr w14:val="tx1"/>
            </w14:solidFill>
          </w14:textFill>
        </w:rPr>
        <w:t>对周边地</w:t>
      </w:r>
      <w:r>
        <w:rPr>
          <w:rFonts w:hint="default" w:ascii="Times New Roman" w:hAnsi="Times New Roman" w:cs="Times New Roman"/>
          <w:color w:val="000000" w:themeColor="text1"/>
          <w:highlight w:val="none"/>
          <w:u w:val="none" w:color="auto"/>
          <w:lang w:eastAsia="zh-CN"/>
          <w14:textFill>
            <w14:solidFill>
              <w14:schemeClr w14:val="tx1"/>
            </w14:solidFill>
          </w14:textFill>
        </w:rPr>
        <w:t>下</w:t>
      </w:r>
      <w:r>
        <w:rPr>
          <w:rFonts w:hint="default" w:ascii="Times New Roman" w:hAnsi="Times New Roman" w:cs="Times New Roman"/>
          <w:color w:val="000000" w:themeColor="text1"/>
          <w:highlight w:val="none"/>
          <w:u w:val="none" w:color="auto"/>
          <w14:textFill>
            <w14:solidFill>
              <w14:schemeClr w14:val="tx1"/>
            </w14:solidFill>
          </w14:textFill>
        </w:rPr>
        <w:t>水进行了现状监测，</w:t>
      </w:r>
      <w:r>
        <w:rPr>
          <w:rFonts w:hint="default" w:ascii="Times New Roman" w:hAnsi="Times New Roman" w:cs="Times New Roman"/>
          <w:color w:val="000000" w:themeColor="text1"/>
          <w:highlight w:val="none"/>
          <w:u w:val="none" w:color="auto"/>
          <w:lang w:eastAsia="zh-CN"/>
          <w14:textFill>
            <w14:solidFill>
              <w14:schemeClr w14:val="tx1"/>
            </w14:solidFill>
          </w14:textFill>
        </w:rPr>
        <w:t>于</w:t>
      </w:r>
      <w:r>
        <w:rPr>
          <w:rFonts w:hint="default" w:ascii="Times New Roman" w:hAnsi="Times New Roman" w:cs="Times New Roman"/>
          <w:color w:val="000000" w:themeColor="text1"/>
          <w:highlight w:val="none"/>
          <w:u w:val="none" w:color="auto"/>
          <w14:textFill>
            <w14:solidFill>
              <w14:schemeClr w14:val="tx1"/>
            </w14:solidFill>
          </w14:textFill>
        </w:rPr>
        <w:t>项目所在区域</w:t>
      </w:r>
      <w:r>
        <w:rPr>
          <w:rFonts w:hint="default" w:ascii="Times New Roman" w:hAnsi="Times New Roman" w:cs="Times New Roman"/>
          <w:color w:val="000000" w:themeColor="text1"/>
          <w:highlight w:val="none"/>
          <w:u w:val="none" w:color="auto"/>
          <w:lang w:eastAsia="zh-CN"/>
          <w14:textFill>
            <w14:solidFill>
              <w14:schemeClr w14:val="tx1"/>
            </w14:solidFill>
          </w14:textFill>
        </w:rPr>
        <w:t>布</w:t>
      </w:r>
      <w:r>
        <w:rPr>
          <w:rFonts w:hint="default" w:ascii="Times New Roman" w:hAnsi="Times New Roman" w:cs="Times New Roman"/>
          <w:color w:val="000000" w:themeColor="text1"/>
          <w:highlight w:val="none"/>
          <w:u w:val="none" w:color="auto"/>
          <w14:textFill>
            <w14:solidFill>
              <w14:schemeClr w14:val="tx1"/>
            </w14:solidFill>
          </w14:textFill>
        </w:rPr>
        <w:t>设</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w:t>
      </w:r>
      <w:r>
        <w:rPr>
          <w:rFonts w:hint="default" w:ascii="Times New Roman" w:hAnsi="Times New Roman" w:cs="Times New Roman"/>
          <w:color w:val="000000" w:themeColor="text1"/>
          <w:highlight w:val="none"/>
          <w:u w:val="none" w:color="auto"/>
          <w14:textFill>
            <w14:solidFill>
              <w14:schemeClr w14:val="tx1"/>
            </w14:solidFill>
          </w14:textFill>
        </w:rPr>
        <w:t>个地下水监测点</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并引用益阳市生态环境局大通湖分局于2024年8月对金银山社区自来水厂（本项目西南侧2383m）进行现状监测的数据，</w:t>
      </w:r>
      <w:r>
        <w:rPr>
          <w:rFonts w:hint="default" w:ascii="Times New Roman" w:hAnsi="Times New Roman" w:cs="Times New Roman"/>
          <w:color w:val="000000" w:themeColor="text1"/>
          <w:highlight w:val="none"/>
          <w:u w:val="none" w:color="auto"/>
          <w:lang w:eastAsia="zh-CN"/>
          <w14:textFill>
            <w14:solidFill>
              <w14:schemeClr w14:val="tx1"/>
            </w14:solidFill>
          </w14:textFill>
        </w:rPr>
        <w:t>具体监测点位见附图</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eastAsia="zh-CN"/>
          <w14:textFill>
            <w14:solidFill>
              <w14:schemeClr w14:val="tx1"/>
            </w14:solidFill>
          </w14:textFill>
        </w:rPr>
        <w:t>本次对</w:t>
      </w:r>
      <w:r>
        <w:rPr>
          <w:rFonts w:hint="default" w:ascii="Times New Roman" w:hAnsi="Times New Roman" w:eastAsia="TimesNewRomanPSMT" w:cs="Times New Roman"/>
          <w:color w:val="000000" w:themeColor="text1"/>
          <w:highlight w:val="none"/>
          <w:u w:val="none" w:color="auto"/>
          <w14:textFill>
            <w14:solidFill>
              <w14:schemeClr w14:val="tx1"/>
            </w14:solidFill>
          </w14:textFill>
        </w:rPr>
        <w:t>K</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eastAsia="TimesNewRomanPSMT" w:cs="Times New Roman"/>
          <w:color w:val="000000" w:themeColor="text1"/>
          <w:highlight w:val="none"/>
          <w:u w:val="none" w:color="auto"/>
          <w14:textFill>
            <w14:solidFill>
              <w14:schemeClr w14:val="tx1"/>
            </w14:solidFill>
          </w14:textFill>
        </w:rPr>
        <w:t>Na</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eastAsia="TimesNewRomanPSMT" w:cs="Times New Roman"/>
          <w:color w:val="000000" w:themeColor="text1"/>
          <w:highlight w:val="none"/>
          <w:u w:val="none" w:color="auto"/>
          <w14:textFill>
            <w14:solidFill>
              <w14:schemeClr w14:val="tx1"/>
            </w14:solidFill>
          </w14:textFill>
        </w:rPr>
        <w:t>Ca</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eastAsia="TimesNewRomanPSMT" w:cs="Times New Roman"/>
          <w:color w:val="000000" w:themeColor="text1"/>
          <w:highlight w:val="none"/>
          <w:u w:val="none" w:color="auto"/>
          <w14:textFill>
            <w14:solidFill>
              <w14:schemeClr w14:val="tx1"/>
            </w14:solidFill>
          </w14:textFill>
        </w:rPr>
        <w:t>Mg</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eastAsia="TimesNewRomanPSMT" w:cs="Times New Roman"/>
          <w:color w:val="000000" w:themeColor="text1"/>
          <w:highlight w:val="none"/>
          <w:u w:val="none" w:color="auto"/>
          <w14:textFill>
            <w14:solidFill>
              <w14:schemeClr w14:val="tx1"/>
            </w14:solidFill>
          </w14:textFill>
        </w:rPr>
        <w:t>CO</w:t>
      </w:r>
      <w:r>
        <w:rPr>
          <w:rFonts w:hint="default" w:ascii="Times New Roman" w:hAnsi="Times New Roman" w:eastAsia="TimesNewRomanPSMT" w:cs="Times New Roman"/>
          <w:color w:val="000000" w:themeColor="text1"/>
          <w:sz w:val="16"/>
          <w:szCs w:val="16"/>
          <w:highlight w:val="none"/>
          <w:u w:val="none" w:color="auto"/>
          <w14:textFill>
            <w14:solidFill>
              <w14:schemeClr w14:val="tx1"/>
            </w14:solidFill>
          </w14:textFill>
        </w:rPr>
        <w:t>3</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eastAsia="TimesNewRomanPSMT" w:cs="Times New Roman"/>
          <w:color w:val="000000" w:themeColor="text1"/>
          <w:highlight w:val="none"/>
          <w:u w:val="none" w:color="auto"/>
          <w14:textFill>
            <w14:solidFill>
              <w14:schemeClr w14:val="tx1"/>
            </w14:solidFill>
          </w14:textFill>
        </w:rPr>
        <w:t>HCO</w:t>
      </w:r>
      <w:r>
        <w:rPr>
          <w:rFonts w:hint="default" w:ascii="Times New Roman" w:hAnsi="Times New Roman" w:eastAsia="TimesNewRomanPSMT" w:cs="Times New Roman"/>
          <w:color w:val="000000" w:themeColor="text1"/>
          <w:sz w:val="16"/>
          <w:szCs w:val="16"/>
          <w:highlight w:val="none"/>
          <w:u w:val="none" w:color="auto"/>
          <w14:textFill>
            <w14:solidFill>
              <w14:schemeClr w14:val="tx1"/>
            </w14:solidFill>
          </w14:textFill>
        </w:rPr>
        <w:t>3</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eastAsia="TimesNewRomanPSMT" w:cs="Times New Roman"/>
          <w:color w:val="000000" w:themeColor="text1"/>
          <w:highlight w:val="none"/>
          <w:u w:val="none" w:color="auto"/>
          <w14:textFill>
            <w14:solidFill>
              <w14:schemeClr w14:val="tx1"/>
            </w14:solidFill>
          </w14:textFill>
        </w:rPr>
        <w:t>Cl</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eastAsia="TimesNewRomanPSMT" w:cs="Times New Roman"/>
          <w:color w:val="000000" w:themeColor="text1"/>
          <w:highlight w:val="none"/>
          <w:u w:val="none" w:color="auto"/>
          <w14:textFill>
            <w14:solidFill>
              <w14:schemeClr w14:val="tx1"/>
            </w14:solidFill>
          </w14:textFill>
        </w:rPr>
        <w:t>SO</w:t>
      </w:r>
      <w:r>
        <w:rPr>
          <w:rFonts w:hint="default" w:ascii="Times New Roman" w:hAnsi="Times New Roman" w:eastAsia="TimesNewRomanPSMT" w:cs="Times New Roman"/>
          <w:color w:val="000000" w:themeColor="text1"/>
          <w:sz w:val="16"/>
          <w:szCs w:val="16"/>
          <w:highlight w:val="none"/>
          <w:u w:val="none" w:color="auto"/>
          <w14:textFill>
            <w14:solidFill>
              <w14:schemeClr w14:val="tx1"/>
            </w14:solidFill>
          </w14:textFill>
        </w:rPr>
        <w:t>4</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eastAsia="zh-CN"/>
          <w14:textFill>
            <w14:solidFill>
              <w14:schemeClr w14:val="tx1"/>
            </w14:solidFill>
          </w14:textFill>
        </w:rPr>
        <w:t>八大离子进行现状监测，</w:t>
      </w:r>
      <w:r>
        <w:rPr>
          <w:rFonts w:hint="default" w:ascii="Times New Roman" w:hAnsi="Times New Roman" w:cs="Times New Roman"/>
          <w:color w:val="000000" w:themeColor="text1"/>
          <w:highlight w:val="none"/>
          <w:u w:val="none" w:color="auto"/>
          <w14:textFill>
            <w14:solidFill>
              <w14:schemeClr w14:val="tx1"/>
            </w14:solidFill>
          </w14:textFill>
        </w:rPr>
        <w:t>因部分离子目前尚无环境质量评价标准，仅作为背景监测，不进行评价。地下水</w:t>
      </w:r>
      <w:r>
        <w:rPr>
          <w:rFonts w:hint="default" w:ascii="Times New Roman" w:hAnsi="Times New Roman" w:cs="Times New Roman"/>
          <w:color w:val="000000" w:themeColor="text1"/>
          <w:highlight w:val="none"/>
          <w:u w:val="none" w:color="auto"/>
          <w:lang w:eastAsia="zh-CN"/>
          <w14:textFill>
            <w14:solidFill>
              <w14:schemeClr w14:val="tx1"/>
            </w14:solidFill>
          </w14:textFill>
        </w:rPr>
        <w:t>监测</w:t>
      </w:r>
      <w:r>
        <w:rPr>
          <w:rFonts w:hint="eastAsia" w:ascii="Times New Roman" w:hAnsi="Times New Roman" w:cs="Times New Roman"/>
          <w:color w:val="000000" w:themeColor="text1"/>
          <w:highlight w:val="none"/>
          <w:u w:val="none" w:color="auto"/>
          <w:lang w:val="en-US" w:eastAsia="zh-CN"/>
          <w14:textFill>
            <w14:solidFill>
              <w14:schemeClr w14:val="tx1"/>
            </w14:solidFill>
          </w14:textFill>
        </w:rPr>
        <w:t>工作内容见表4.2-</w:t>
      </w:r>
      <w:r>
        <w:rPr>
          <w:rFonts w:hint="eastAsia" w:cs="Times New Roman"/>
          <w:color w:val="000000" w:themeColor="text1"/>
          <w:highlight w:val="none"/>
          <w:u w:val="none" w:color="auto"/>
          <w:lang w:val="en-US" w:eastAsia="zh-CN"/>
          <w14:textFill>
            <w14:solidFill>
              <w14:schemeClr w14:val="tx1"/>
            </w14:solidFill>
          </w14:textFill>
        </w:rPr>
        <w:t>6，地下水水文地质条件见表4.2-7，</w:t>
      </w:r>
      <w:r>
        <w:rPr>
          <w:rFonts w:hint="default" w:ascii="Times New Roman" w:hAnsi="Times New Roman" w:cs="Times New Roman"/>
          <w:color w:val="000000" w:themeColor="text1"/>
          <w:highlight w:val="none"/>
          <w:u w:val="none" w:color="auto"/>
          <w14:textFill>
            <w14:solidFill>
              <w14:schemeClr w14:val="tx1"/>
            </w14:solidFill>
          </w14:textFill>
        </w:rPr>
        <w:t>地下水水质</w:t>
      </w:r>
      <w:r>
        <w:rPr>
          <w:rFonts w:hint="default" w:ascii="Times New Roman" w:hAnsi="Times New Roman" w:cs="Times New Roman"/>
          <w:color w:val="000000" w:themeColor="text1"/>
          <w:highlight w:val="none"/>
          <w:u w:val="none" w:color="auto"/>
          <w:lang w:eastAsia="zh-CN"/>
          <w14:textFill>
            <w14:solidFill>
              <w14:schemeClr w14:val="tx1"/>
            </w14:solidFill>
          </w14:textFill>
        </w:rPr>
        <w:t>监测</w:t>
      </w:r>
      <w:r>
        <w:rPr>
          <w:rFonts w:hint="default" w:ascii="Times New Roman" w:hAnsi="Times New Roman" w:cs="Times New Roman"/>
          <w:color w:val="000000" w:themeColor="text1"/>
          <w:highlight w:val="none"/>
          <w:u w:val="none" w:color="auto"/>
          <w14:textFill>
            <w14:solidFill>
              <w14:schemeClr w14:val="tx1"/>
            </w14:solidFill>
          </w14:textFill>
        </w:rPr>
        <w:t>结果见表</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4.2</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eastAsia" w:cs="Times New Roman"/>
          <w:color w:val="000000" w:themeColor="text1"/>
          <w:highlight w:val="none"/>
          <w:u w:val="none" w:color="auto"/>
          <w:lang w:val="en-US" w:eastAsia="zh-CN"/>
          <w14:textFill>
            <w14:solidFill>
              <w14:schemeClr w14:val="tx1"/>
            </w14:solidFill>
          </w14:textFill>
        </w:rPr>
        <w:t>8</w:t>
      </w:r>
      <w:r>
        <w:rPr>
          <w:rFonts w:hint="default" w:ascii="Times New Roman" w:hAnsi="Times New Roman" w:cs="Times New Roman"/>
          <w:color w:val="000000" w:themeColor="text1"/>
          <w:highlight w:val="none"/>
          <w:u w:val="none" w:color="auto"/>
          <w14:textFill>
            <w14:solidFill>
              <w14:schemeClr w14:val="tx1"/>
            </w14:solidFill>
          </w14:textFill>
        </w:rPr>
        <w:t>。</w:t>
      </w:r>
    </w:p>
    <w:p w14:paraId="5E0D6551">
      <w:pPr>
        <w:spacing w:line="240" w:lineRule="auto"/>
        <w:ind w:left="0" w:leftChars="0" w:firstLine="482" w:firstLineChars="200"/>
        <w:jc w:val="center"/>
        <w:rPr>
          <w:rFonts w:hint="default" w:ascii="Times New Roman" w:hAnsi="Times New Roman" w:eastAsia="宋体" w:cs="Times New Roman"/>
          <w:b/>
          <w:bCs/>
          <w:color w:val="000000" w:themeColor="text1"/>
          <w:highlight w:val="none"/>
          <w:u w:val="none" w:color="auto"/>
          <w:lang w:eastAsia="zh-CN"/>
          <w14:textFill>
            <w14:solidFill>
              <w14:schemeClr w14:val="tx1"/>
            </w14:solidFill>
          </w14:textFill>
        </w:rPr>
      </w:pPr>
      <w:r>
        <w:rPr>
          <w:rFonts w:hint="eastAsia" w:cs="Times New Roman"/>
          <w:b/>
          <w:bCs/>
          <w:color w:val="000000" w:themeColor="text1"/>
          <w:highlight w:val="none"/>
          <w:u w:val="none" w:color="auto"/>
          <w:lang w:val="en-US" w:eastAsia="zh-CN"/>
          <w14:textFill>
            <w14:solidFill>
              <w14:schemeClr w14:val="tx1"/>
            </w14:solidFill>
          </w14:textFill>
        </w:rPr>
        <w:t xml:space="preserve">表4.2-6 </w:t>
      </w:r>
      <w:r>
        <w:rPr>
          <w:rFonts w:hint="eastAsia" w:ascii="Times New Roman" w:hAnsi="Times New Roman" w:eastAsia="宋体" w:cs="Times New Roman"/>
          <w:b/>
          <w:bCs/>
          <w:color w:val="000000" w:themeColor="text1"/>
          <w:highlight w:val="none"/>
          <w:u w:val="none" w:color="auto"/>
          <w:lang w:eastAsia="zh-CN"/>
          <w14:textFill>
            <w14:solidFill>
              <w14:schemeClr w14:val="tx1"/>
            </w14:solidFill>
          </w14:textFill>
        </w:rPr>
        <w:t>地下水</w:t>
      </w:r>
      <w:r>
        <w:rPr>
          <w:rFonts w:hint="default" w:ascii="Times New Roman" w:hAnsi="Times New Roman" w:eastAsia="宋体" w:cs="Times New Roman"/>
          <w:b/>
          <w:bCs/>
          <w:color w:val="000000" w:themeColor="text1"/>
          <w:highlight w:val="none"/>
          <w:u w:val="none" w:color="auto"/>
          <w14:textFill>
            <w14:solidFill>
              <w14:schemeClr w14:val="tx1"/>
            </w14:solidFill>
          </w14:textFill>
        </w:rPr>
        <w:t>环境</w:t>
      </w:r>
      <w:r>
        <w:rPr>
          <w:rFonts w:hint="eastAsia" w:ascii="Times New Roman" w:hAnsi="Times New Roman" w:eastAsia="宋体" w:cs="Times New Roman"/>
          <w:b/>
          <w:bCs/>
          <w:color w:val="000000" w:themeColor="text1"/>
          <w:highlight w:val="none"/>
          <w:u w:val="none" w:color="auto"/>
          <w:lang w:eastAsia="zh-CN"/>
          <w14:textFill>
            <w14:solidFill>
              <w14:schemeClr w14:val="tx1"/>
            </w14:solidFill>
          </w14:textFill>
        </w:rPr>
        <w:t>质量现状</w:t>
      </w:r>
      <w:r>
        <w:rPr>
          <w:rFonts w:hint="default" w:ascii="Times New Roman" w:hAnsi="Times New Roman" w:eastAsia="宋体" w:cs="Times New Roman"/>
          <w:b/>
          <w:bCs/>
          <w:color w:val="000000" w:themeColor="text1"/>
          <w:highlight w:val="none"/>
          <w:u w:val="none" w:color="auto"/>
          <w14:textFill>
            <w14:solidFill>
              <w14:schemeClr w14:val="tx1"/>
            </w14:solidFill>
          </w14:textFill>
        </w:rPr>
        <w:t>监测工作内容</w:t>
      </w:r>
    </w:p>
    <w:tbl>
      <w:tblPr>
        <w:tblStyle w:val="76"/>
        <w:tblW w:w="471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70"/>
        <w:gridCol w:w="4253"/>
        <w:gridCol w:w="1135"/>
      </w:tblGrid>
      <w:tr w14:paraId="02271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4" w:hRule="atLeast"/>
          <w:tblHeader/>
          <w:jc w:val="center"/>
        </w:trPr>
        <w:tc>
          <w:tcPr>
            <w:tcW w:w="1923" w:type="pct"/>
            <w:tcBorders>
              <w:tl2br w:val="nil"/>
              <w:tr2bl w:val="nil"/>
            </w:tcBorders>
            <w:noWrap w:val="0"/>
            <w:vAlign w:val="center"/>
          </w:tcPr>
          <w:p w14:paraId="45171A20">
            <w:pPr>
              <w:keepNext w:val="0"/>
              <w:keepLines w:val="0"/>
              <w:suppressLineNumbers w:val="0"/>
              <w:spacing w:before="0" w:beforeAutospacing="0" w:after="0" w:afterAutospacing="0"/>
              <w:ind w:left="-120" w:leftChars="-50" w:right="-120" w:rightChars="-50"/>
              <w:jc w:val="center"/>
              <w:rPr>
                <w:rFonts w:hint="default" w:ascii="Times New Roman" w:hAnsi="Times New Roman"/>
                <w:b/>
                <w:color w:val="000000" w:themeColor="text1"/>
                <w:szCs w:val="21"/>
                <w14:textFill>
                  <w14:solidFill>
                    <w14:schemeClr w14:val="tx1"/>
                  </w14:solidFill>
                </w14:textFill>
              </w:rPr>
            </w:pPr>
            <w:r>
              <w:rPr>
                <w:rFonts w:hint="default" w:ascii="Times New Roman"/>
                <w:b/>
                <w:color w:val="000000" w:themeColor="text1"/>
                <w:szCs w:val="21"/>
                <w14:textFill>
                  <w14:solidFill>
                    <w14:schemeClr w14:val="tx1"/>
                  </w14:solidFill>
                </w14:textFill>
              </w:rPr>
              <w:t>监测布点位置</w:t>
            </w:r>
          </w:p>
        </w:tc>
        <w:tc>
          <w:tcPr>
            <w:tcW w:w="2428" w:type="pct"/>
            <w:tcBorders>
              <w:tl2br w:val="nil"/>
              <w:tr2bl w:val="nil"/>
            </w:tcBorders>
            <w:noWrap w:val="0"/>
            <w:vAlign w:val="center"/>
          </w:tcPr>
          <w:p w14:paraId="518F53C2">
            <w:pPr>
              <w:keepNext w:val="0"/>
              <w:keepLines w:val="0"/>
              <w:suppressLineNumbers w:val="0"/>
              <w:spacing w:before="0" w:beforeAutospacing="0" w:after="0" w:afterAutospacing="0"/>
              <w:ind w:left="-120" w:leftChars="-50" w:right="-120" w:rightChars="-50"/>
              <w:jc w:val="center"/>
              <w:rPr>
                <w:rFonts w:hint="default" w:ascii="Times New Roman"/>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监测因子</w:t>
            </w:r>
          </w:p>
        </w:tc>
        <w:tc>
          <w:tcPr>
            <w:tcW w:w="647" w:type="pct"/>
            <w:tcBorders>
              <w:tl2br w:val="nil"/>
              <w:tr2bl w:val="nil"/>
            </w:tcBorders>
            <w:noWrap w:val="0"/>
            <w:vAlign w:val="center"/>
          </w:tcPr>
          <w:p w14:paraId="0B073BA6">
            <w:pPr>
              <w:keepNext w:val="0"/>
              <w:keepLines w:val="0"/>
              <w:suppressLineNumbers w:val="0"/>
              <w:spacing w:before="0" w:beforeAutospacing="0" w:after="0" w:afterAutospacing="0"/>
              <w:ind w:left="-120" w:leftChars="-50" w:right="-120" w:rightChars="-50"/>
              <w:jc w:val="center"/>
              <w:rPr>
                <w:rFonts w:hint="default" w:ascii="Times New Roman" w:hAnsi="Times New Roman"/>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监测频次</w:t>
            </w:r>
          </w:p>
        </w:tc>
      </w:tr>
      <w:tr w14:paraId="4CA33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23" w:type="pct"/>
            <w:tcBorders>
              <w:tl2br w:val="nil"/>
              <w:tr2bl w:val="nil"/>
            </w:tcBorders>
            <w:noWrap w:val="0"/>
            <w:vAlign w:val="center"/>
          </w:tcPr>
          <w:p w14:paraId="5B990FEB">
            <w:pPr>
              <w:pStyle w:val="146"/>
              <w:keepNext w:val="0"/>
              <w:keepLines w:val="0"/>
              <w:suppressLineNumbers w:val="0"/>
              <w:spacing w:before="0" w:beforeAutospacing="0" w:after="0" w:afterAutospacing="0" w:line="240" w:lineRule="auto"/>
              <w:ind w:left="0" w:right="0"/>
              <w:rPr>
                <w:rFonts w:hint="eastAsia"/>
                <w:color w:val="000000" w:themeColor="text1"/>
                <w:sz w:val="21"/>
                <w:szCs w:val="21"/>
                <w:highlight w:val="yellow"/>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D</w:t>
            </w:r>
            <w:r>
              <w:rPr>
                <w:rFonts w:hint="eastAsia"/>
                <w:color w:val="000000" w:themeColor="text1"/>
                <w:sz w:val="21"/>
                <w:szCs w:val="21"/>
                <w:lang w:val="en-US" w:eastAsia="zh-CN"/>
                <w14:textFill>
                  <w14:solidFill>
                    <w14:schemeClr w14:val="tx1"/>
                  </w14:solidFill>
                </w14:textFill>
              </w:rPr>
              <w:t>1</w:t>
            </w:r>
          </w:p>
        </w:tc>
        <w:tc>
          <w:tcPr>
            <w:tcW w:w="2428" w:type="pct"/>
            <w:vMerge w:val="restart"/>
            <w:tcBorders>
              <w:tl2br w:val="nil"/>
              <w:tr2bl w:val="nil"/>
            </w:tcBorders>
            <w:noWrap w:val="0"/>
            <w:vAlign w:val="center"/>
          </w:tcPr>
          <w:p w14:paraId="478B5619">
            <w:pPr>
              <w:pStyle w:val="146"/>
              <w:keepNext w:val="0"/>
              <w:keepLines w:val="0"/>
              <w:suppressLineNumbers w:val="0"/>
              <w:spacing w:before="0" w:beforeAutospacing="0" w:after="0" w:afterAutospacing="0" w:line="240" w:lineRule="auto"/>
              <w:ind w:left="0" w:right="0"/>
              <w:jc w:val="both"/>
              <w:rPr>
                <w:rFonts w:hint="eastAsia" w:eastAsia="宋体"/>
                <w:color w:val="000000" w:themeColor="text1"/>
                <w:sz w:val="21"/>
                <w:szCs w:val="21"/>
                <w:highlight w:val="yellow"/>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K</w:t>
            </w:r>
            <w:r>
              <w:rPr>
                <w:rFonts w:hint="default"/>
                <w:color w:val="000000" w:themeColor="text1"/>
                <w:sz w:val="21"/>
                <w:szCs w:val="21"/>
                <w:vertAlign w:val="superscript"/>
                <w14:textFill>
                  <w14:solidFill>
                    <w14:schemeClr w14:val="tx1"/>
                  </w14:solidFill>
                </w14:textFill>
              </w:rPr>
              <w:t>+</w:t>
            </w:r>
            <w:r>
              <w:rPr>
                <w:rFonts w:hint="default"/>
                <w:color w:val="000000" w:themeColor="text1"/>
                <w:sz w:val="21"/>
                <w:szCs w:val="21"/>
                <w14:textFill>
                  <w14:solidFill>
                    <w14:schemeClr w14:val="tx1"/>
                  </w14:solidFill>
                </w14:textFill>
              </w:rPr>
              <w:t>、Na</w:t>
            </w:r>
            <w:r>
              <w:rPr>
                <w:rFonts w:hint="default"/>
                <w:color w:val="000000" w:themeColor="text1"/>
                <w:sz w:val="21"/>
                <w:szCs w:val="21"/>
                <w:vertAlign w:val="superscript"/>
                <w14:textFill>
                  <w14:solidFill>
                    <w14:schemeClr w14:val="tx1"/>
                  </w14:solidFill>
                </w14:textFill>
              </w:rPr>
              <w:t>+</w:t>
            </w:r>
            <w:r>
              <w:rPr>
                <w:rFonts w:hint="default"/>
                <w:color w:val="000000" w:themeColor="text1"/>
                <w:sz w:val="21"/>
                <w:szCs w:val="21"/>
                <w14:textFill>
                  <w14:solidFill>
                    <w14:schemeClr w14:val="tx1"/>
                  </w14:solidFill>
                </w14:textFill>
              </w:rPr>
              <w:t>、Ca</w:t>
            </w:r>
            <w:r>
              <w:rPr>
                <w:rFonts w:hint="default"/>
                <w:color w:val="000000" w:themeColor="text1"/>
                <w:sz w:val="21"/>
                <w:szCs w:val="21"/>
                <w:vertAlign w:val="superscript"/>
                <w14:textFill>
                  <w14:solidFill>
                    <w14:schemeClr w14:val="tx1"/>
                  </w14:solidFill>
                </w14:textFill>
              </w:rPr>
              <w:t>2+</w:t>
            </w:r>
            <w:r>
              <w:rPr>
                <w:rFonts w:hint="default"/>
                <w:color w:val="000000" w:themeColor="text1"/>
                <w:sz w:val="21"/>
                <w:szCs w:val="21"/>
                <w14:textFill>
                  <w14:solidFill>
                    <w14:schemeClr w14:val="tx1"/>
                  </w14:solidFill>
                </w14:textFill>
              </w:rPr>
              <w:t>、Mg</w:t>
            </w:r>
            <w:r>
              <w:rPr>
                <w:rFonts w:hint="default"/>
                <w:color w:val="000000" w:themeColor="text1"/>
                <w:sz w:val="21"/>
                <w:szCs w:val="21"/>
                <w:vertAlign w:val="superscript"/>
                <w14:textFill>
                  <w14:solidFill>
                    <w14:schemeClr w14:val="tx1"/>
                  </w14:solidFill>
                </w14:textFill>
              </w:rPr>
              <w:t>2+</w:t>
            </w:r>
            <w:r>
              <w:rPr>
                <w:rFonts w:hint="default"/>
                <w:color w:val="000000" w:themeColor="text1"/>
                <w:sz w:val="21"/>
                <w:szCs w:val="21"/>
                <w14:textFill>
                  <w14:solidFill>
                    <w14:schemeClr w14:val="tx1"/>
                  </w14:solidFill>
                </w14:textFill>
              </w:rPr>
              <w:t>、CO</w:t>
            </w:r>
            <w:r>
              <w:rPr>
                <w:rFonts w:hint="default"/>
                <w:color w:val="000000" w:themeColor="text1"/>
                <w:sz w:val="21"/>
                <w:szCs w:val="21"/>
                <w:vertAlign w:val="subscript"/>
                <w14:textFill>
                  <w14:solidFill>
                    <w14:schemeClr w14:val="tx1"/>
                  </w14:solidFill>
                </w14:textFill>
              </w:rPr>
              <w:t>3</w:t>
            </w:r>
            <w:r>
              <w:rPr>
                <w:rFonts w:hint="default"/>
                <w:color w:val="000000" w:themeColor="text1"/>
                <w:sz w:val="21"/>
                <w:szCs w:val="21"/>
                <w:vertAlign w:val="superscript"/>
                <w14:textFill>
                  <w14:solidFill>
                    <w14:schemeClr w14:val="tx1"/>
                  </w14:solidFill>
                </w14:textFill>
              </w:rPr>
              <w:t>2-</w:t>
            </w:r>
            <w:r>
              <w:rPr>
                <w:rFonts w:hint="default"/>
                <w:color w:val="000000" w:themeColor="text1"/>
                <w:sz w:val="21"/>
                <w:szCs w:val="21"/>
                <w14:textFill>
                  <w14:solidFill>
                    <w14:schemeClr w14:val="tx1"/>
                  </w14:solidFill>
                </w14:textFill>
              </w:rPr>
              <w:t>、HCO</w:t>
            </w:r>
            <w:r>
              <w:rPr>
                <w:rFonts w:hint="default"/>
                <w:color w:val="000000" w:themeColor="text1"/>
                <w:sz w:val="21"/>
                <w:szCs w:val="21"/>
                <w:vertAlign w:val="subscript"/>
                <w14:textFill>
                  <w14:solidFill>
                    <w14:schemeClr w14:val="tx1"/>
                  </w14:solidFill>
                </w14:textFill>
              </w:rPr>
              <w:t>3</w:t>
            </w:r>
            <w:r>
              <w:rPr>
                <w:rFonts w:hint="default"/>
                <w:color w:val="000000" w:themeColor="text1"/>
                <w:sz w:val="21"/>
                <w:szCs w:val="21"/>
                <w:vertAlign w:val="superscript"/>
                <w14:textFill>
                  <w14:solidFill>
                    <w14:schemeClr w14:val="tx1"/>
                  </w14:solidFill>
                </w14:textFill>
              </w:rPr>
              <w:t>-</w:t>
            </w:r>
            <w:r>
              <w:rPr>
                <w:rFonts w:hint="default"/>
                <w:color w:val="000000" w:themeColor="text1"/>
                <w:sz w:val="21"/>
                <w:szCs w:val="21"/>
                <w14:textFill>
                  <w14:solidFill>
                    <w14:schemeClr w14:val="tx1"/>
                  </w14:solidFill>
                </w14:textFill>
              </w:rPr>
              <w:t>、Cl</w:t>
            </w:r>
            <w:r>
              <w:rPr>
                <w:rFonts w:hint="default"/>
                <w:color w:val="000000" w:themeColor="text1"/>
                <w:sz w:val="21"/>
                <w:szCs w:val="21"/>
                <w:vertAlign w:val="superscript"/>
                <w14:textFill>
                  <w14:solidFill>
                    <w14:schemeClr w14:val="tx1"/>
                  </w14:solidFill>
                </w14:textFill>
              </w:rPr>
              <w:t>-</w:t>
            </w:r>
            <w:r>
              <w:rPr>
                <w:rFonts w:hint="default"/>
                <w:color w:val="000000" w:themeColor="text1"/>
                <w:sz w:val="21"/>
                <w:szCs w:val="21"/>
                <w14:textFill>
                  <w14:solidFill>
                    <w14:schemeClr w14:val="tx1"/>
                  </w14:solidFill>
                </w14:textFill>
              </w:rPr>
              <w:t>、SO</w:t>
            </w:r>
            <w:r>
              <w:rPr>
                <w:rFonts w:hint="default"/>
                <w:color w:val="000000" w:themeColor="text1"/>
                <w:sz w:val="21"/>
                <w:szCs w:val="21"/>
                <w:vertAlign w:val="subscript"/>
                <w14:textFill>
                  <w14:solidFill>
                    <w14:schemeClr w14:val="tx1"/>
                  </w14:solidFill>
                </w14:textFill>
              </w:rPr>
              <w:t>4</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pH、总硬度、溶解性总固体、硫酸盐、氯化物、铁、锰、挥发</w:t>
            </w:r>
            <w:r>
              <w:rPr>
                <w:rFonts w:hint="eastAsia"/>
                <w:color w:val="000000" w:themeColor="text1"/>
                <w:sz w:val="21"/>
                <w:szCs w:val="21"/>
                <w:lang w:eastAsia="zh-CN"/>
                <w14:textFill>
                  <w14:solidFill>
                    <w14:schemeClr w14:val="tx1"/>
                  </w14:solidFill>
                </w14:textFill>
              </w:rPr>
              <w:t>性</w:t>
            </w:r>
            <w:r>
              <w:rPr>
                <w:rFonts w:hint="eastAsia"/>
                <w:color w:val="000000" w:themeColor="text1"/>
                <w:sz w:val="21"/>
                <w:szCs w:val="21"/>
                <w14:textFill>
                  <w14:solidFill>
                    <w14:schemeClr w14:val="tx1"/>
                  </w14:solidFill>
                </w14:textFill>
              </w:rPr>
              <w:t>酚类、耗氧量、氨氮、亚硝酸盐、硝酸盐、氰化物、氟化物、汞、砷、镉、铬（六价）、铅、总大肠菌群、菌落总数</w:t>
            </w:r>
            <w:r>
              <w:rPr>
                <w:rFonts w:hint="eastAsia"/>
                <w:color w:val="000000" w:themeColor="text1"/>
                <w:sz w:val="21"/>
                <w:szCs w:val="21"/>
                <w:lang w:val="en-US" w:eastAsia="zh-CN"/>
                <w14:textFill>
                  <w14:solidFill>
                    <w14:schemeClr w14:val="tx1"/>
                  </w14:solidFill>
                </w14:textFill>
              </w:rPr>
              <w:t>同步监测</w:t>
            </w:r>
            <w:r>
              <w:rPr>
                <w:rFonts w:hint="eastAsia"/>
                <w:color w:val="000000" w:themeColor="text1"/>
                <w:sz w:val="21"/>
                <w:szCs w:val="21"/>
                <w14:textFill>
                  <w14:solidFill>
                    <w14:schemeClr w14:val="tx1"/>
                  </w14:solidFill>
                </w14:textFill>
              </w:rPr>
              <w:t>地下水水位</w:t>
            </w:r>
          </w:p>
        </w:tc>
        <w:tc>
          <w:tcPr>
            <w:tcW w:w="647" w:type="pct"/>
            <w:vMerge w:val="restart"/>
            <w:tcBorders>
              <w:tl2br w:val="nil"/>
              <w:tr2bl w:val="nil"/>
            </w:tcBorders>
            <w:noWrap w:val="0"/>
            <w:vAlign w:val="center"/>
          </w:tcPr>
          <w:p w14:paraId="2195F533">
            <w:pPr>
              <w:pStyle w:val="146"/>
              <w:keepNext w:val="0"/>
              <w:keepLines w:val="0"/>
              <w:suppressLineNumbers w:val="0"/>
              <w:spacing w:before="0" w:beforeAutospacing="0" w:after="0" w:afterAutospacing="0"/>
              <w:ind w:left="0" w:right="0"/>
              <w:jc w:val="both"/>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监测</w:t>
            </w:r>
            <w:r>
              <w:rPr>
                <w:rFonts w:hint="eastAsia"/>
                <w:color w:val="000000" w:themeColor="text1"/>
                <w:sz w:val="21"/>
                <w:szCs w:val="21"/>
                <w:lang w:eastAsia="zh-CN"/>
                <w14:textFill>
                  <w14:solidFill>
                    <w14:schemeClr w14:val="tx1"/>
                  </w14:solidFill>
                </w14:textFill>
              </w:rPr>
              <w:t>1</w:t>
            </w:r>
            <w:r>
              <w:rPr>
                <w:rFonts w:hint="eastAsia"/>
                <w:color w:val="000000" w:themeColor="text1"/>
                <w:sz w:val="21"/>
                <w:szCs w:val="21"/>
                <w14:textFill>
                  <w14:solidFill>
                    <w14:schemeClr w14:val="tx1"/>
                  </w14:solidFill>
                </w14:textFill>
              </w:rPr>
              <w:t>天</w:t>
            </w:r>
          </w:p>
          <w:p w14:paraId="5B631DEB">
            <w:pPr>
              <w:pStyle w:val="146"/>
              <w:keepNext w:val="0"/>
              <w:keepLines w:val="0"/>
              <w:suppressLineNumbers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每天采样1次</w:t>
            </w:r>
          </w:p>
        </w:tc>
      </w:tr>
      <w:tr w14:paraId="18730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23" w:type="pct"/>
            <w:tcBorders>
              <w:tl2br w:val="nil"/>
              <w:tr2bl w:val="nil"/>
            </w:tcBorders>
            <w:noWrap w:val="0"/>
            <w:vAlign w:val="center"/>
          </w:tcPr>
          <w:p w14:paraId="26911535">
            <w:pPr>
              <w:pStyle w:val="146"/>
              <w:keepNext w:val="0"/>
              <w:keepLines w:val="0"/>
              <w:suppressLineNumbers w:val="0"/>
              <w:spacing w:before="0" w:beforeAutospacing="0" w:after="0" w:afterAutospacing="0" w:line="240" w:lineRule="auto"/>
              <w:ind w:left="0" w:right="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D2</w:t>
            </w:r>
          </w:p>
        </w:tc>
        <w:tc>
          <w:tcPr>
            <w:tcW w:w="2428" w:type="pct"/>
            <w:vMerge w:val="continue"/>
            <w:tcBorders>
              <w:tl2br w:val="nil"/>
              <w:tr2bl w:val="nil"/>
            </w:tcBorders>
            <w:noWrap w:val="0"/>
            <w:vAlign w:val="center"/>
          </w:tcPr>
          <w:p w14:paraId="1F901397">
            <w:pPr>
              <w:pStyle w:val="146"/>
              <w:keepNext w:val="0"/>
              <w:keepLines w:val="0"/>
              <w:suppressLineNumbers w:val="0"/>
              <w:spacing w:before="0" w:beforeAutospacing="0" w:after="0" w:afterAutospacing="0"/>
              <w:ind w:left="0" w:right="0"/>
              <w:rPr>
                <w:rFonts w:hint="eastAsia"/>
                <w:color w:val="000000" w:themeColor="text1"/>
                <w:sz w:val="21"/>
                <w:szCs w:val="21"/>
                <w:highlight w:val="yellow"/>
                <w:lang w:val="en-US" w:eastAsia="zh-CN"/>
                <w14:textFill>
                  <w14:solidFill>
                    <w14:schemeClr w14:val="tx1"/>
                  </w14:solidFill>
                </w14:textFill>
              </w:rPr>
            </w:pPr>
          </w:p>
        </w:tc>
        <w:tc>
          <w:tcPr>
            <w:tcW w:w="647" w:type="pct"/>
            <w:vMerge w:val="continue"/>
            <w:tcBorders>
              <w:tl2br w:val="nil"/>
              <w:tr2bl w:val="nil"/>
            </w:tcBorders>
            <w:noWrap w:val="0"/>
            <w:vAlign w:val="center"/>
          </w:tcPr>
          <w:p w14:paraId="472B4FB0">
            <w:pPr>
              <w:pStyle w:val="146"/>
              <w:keepNext w:val="0"/>
              <w:keepLines w:val="0"/>
              <w:suppressLineNumbers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p>
        </w:tc>
      </w:tr>
      <w:tr w14:paraId="2B0D44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23" w:type="pct"/>
            <w:tcBorders>
              <w:tl2br w:val="nil"/>
              <w:tr2bl w:val="nil"/>
            </w:tcBorders>
            <w:noWrap w:val="0"/>
            <w:vAlign w:val="center"/>
          </w:tcPr>
          <w:p w14:paraId="705984D9">
            <w:pPr>
              <w:pStyle w:val="146"/>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000000" w:themeColor="text1"/>
                <w:kern w:val="10"/>
                <w:sz w:val="21"/>
                <w:szCs w:val="21"/>
                <w:highlight w:val="none"/>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D3</w:t>
            </w:r>
          </w:p>
        </w:tc>
        <w:tc>
          <w:tcPr>
            <w:tcW w:w="2428" w:type="pct"/>
            <w:vMerge w:val="continue"/>
            <w:tcBorders>
              <w:tl2br w:val="nil"/>
              <w:tr2bl w:val="nil"/>
            </w:tcBorders>
            <w:noWrap w:val="0"/>
            <w:vAlign w:val="center"/>
          </w:tcPr>
          <w:p w14:paraId="7A77E50D">
            <w:pPr>
              <w:pStyle w:val="146"/>
              <w:keepNext w:val="0"/>
              <w:keepLines w:val="0"/>
              <w:suppressLineNumbers w:val="0"/>
              <w:spacing w:before="0" w:beforeAutospacing="0" w:after="0" w:afterAutospacing="0"/>
              <w:ind w:left="0" w:right="0"/>
              <w:rPr>
                <w:rFonts w:hint="eastAsia"/>
                <w:color w:val="000000" w:themeColor="text1"/>
                <w:sz w:val="21"/>
                <w:szCs w:val="21"/>
                <w:highlight w:val="yellow"/>
                <w:lang w:val="en-US" w:eastAsia="zh-CN"/>
                <w14:textFill>
                  <w14:solidFill>
                    <w14:schemeClr w14:val="tx1"/>
                  </w14:solidFill>
                </w14:textFill>
              </w:rPr>
            </w:pPr>
          </w:p>
        </w:tc>
        <w:tc>
          <w:tcPr>
            <w:tcW w:w="647" w:type="pct"/>
            <w:vMerge w:val="continue"/>
            <w:tcBorders>
              <w:tl2br w:val="nil"/>
              <w:tr2bl w:val="nil"/>
            </w:tcBorders>
            <w:noWrap w:val="0"/>
            <w:vAlign w:val="center"/>
          </w:tcPr>
          <w:p w14:paraId="1116829C">
            <w:pPr>
              <w:pStyle w:val="146"/>
              <w:keepNext w:val="0"/>
              <w:keepLines w:val="0"/>
              <w:suppressLineNumbers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p>
        </w:tc>
      </w:tr>
      <w:tr w14:paraId="342B0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23" w:type="pct"/>
            <w:tcBorders>
              <w:tl2br w:val="nil"/>
              <w:tr2bl w:val="nil"/>
            </w:tcBorders>
            <w:noWrap w:val="0"/>
            <w:vAlign w:val="center"/>
          </w:tcPr>
          <w:p w14:paraId="5A63BFEE">
            <w:pPr>
              <w:pStyle w:val="146"/>
              <w:keepNext w:val="0"/>
              <w:keepLines w:val="0"/>
              <w:suppressLineNumbers w:val="0"/>
              <w:spacing w:before="0" w:beforeAutospacing="0" w:after="0" w:afterAutospacing="0" w:line="240" w:lineRule="auto"/>
              <w:ind w:left="0" w:right="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D4</w:t>
            </w:r>
          </w:p>
        </w:tc>
        <w:tc>
          <w:tcPr>
            <w:tcW w:w="2428" w:type="pct"/>
            <w:vMerge w:val="continue"/>
            <w:tcBorders>
              <w:tl2br w:val="nil"/>
              <w:tr2bl w:val="nil"/>
            </w:tcBorders>
            <w:noWrap w:val="0"/>
            <w:vAlign w:val="center"/>
          </w:tcPr>
          <w:p w14:paraId="3E25B289">
            <w:pPr>
              <w:pStyle w:val="146"/>
              <w:keepNext w:val="0"/>
              <w:keepLines w:val="0"/>
              <w:suppressLineNumbers w:val="0"/>
              <w:spacing w:before="0" w:beforeAutospacing="0" w:after="0" w:afterAutospacing="0"/>
              <w:ind w:left="0" w:right="0"/>
              <w:rPr>
                <w:rFonts w:hint="eastAsia"/>
                <w:color w:val="000000" w:themeColor="text1"/>
                <w:sz w:val="21"/>
                <w:szCs w:val="21"/>
                <w:highlight w:val="yellow"/>
                <w:lang w:val="en-US" w:eastAsia="zh-CN"/>
                <w14:textFill>
                  <w14:solidFill>
                    <w14:schemeClr w14:val="tx1"/>
                  </w14:solidFill>
                </w14:textFill>
              </w:rPr>
            </w:pPr>
          </w:p>
        </w:tc>
        <w:tc>
          <w:tcPr>
            <w:tcW w:w="647" w:type="pct"/>
            <w:vMerge w:val="continue"/>
            <w:tcBorders>
              <w:tl2br w:val="nil"/>
              <w:tr2bl w:val="nil"/>
            </w:tcBorders>
            <w:noWrap w:val="0"/>
            <w:vAlign w:val="center"/>
          </w:tcPr>
          <w:p w14:paraId="09914B48">
            <w:pPr>
              <w:pStyle w:val="146"/>
              <w:keepNext w:val="0"/>
              <w:keepLines w:val="0"/>
              <w:suppressLineNumbers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p>
        </w:tc>
      </w:tr>
      <w:tr w14:paraId="13A9C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23" w:type="pct"/>
            <w:tcBorders>
              <w:tl2br w:val="nil"/>
              <w:tr2bl w:val="nil"/>
            </w:tcBorders>
            <w:noWrap w:val="0"/>
            <w:vAlign w:val="center"/>
          </w:tcPr>
          <w:p w14:paraId="2AB3B90D">
            <w:pPr>
              <w:pStyle w:val="146"/>
              <w:keepNext w:val="0"/>
              <w:keepLines w:val="0"/>
              <w:suppressLineNumbers w:val="0"/>
              <w:spacing w:before="0" w:beforeAutospacing="0" w:after="0" w:afterAutospacing="0" w:line="240" w:lineRule="auto"/>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D5</w:t>
            </w:r>
          </w:p>
        </w:tc>
        <w:tc>
          <w:tcPr>
            <w:tcW w:w="2428" w:type="pct"/>
            <w:vMerge w:val="restart"/>
            <w:tcBorders>
              <w:tl2br w:val="nil"/>
              <w:tr2bl w:val="nil"/>
            </w:tcBorders>
            <w:noWrap w:val="0"/>
            <w:vAlign w:val="center"/>
          </w:tcPr>
          <w:p w14:paraId="5FA191C1">
            <w:pPr>
              <w:pStyle w:val="146"/>
              <w:keepNext w:val="0"/>
              <w:keepLines w:val="0"/>
              <w:suppressLineNumbers w:val="0"/>
              <w:spacing w:before="0" w:beforeAutospacing="0" w:after="0" w:afterAutospacing="0"/>
              <w:ind w:left="0" w:right="0"/>
              <w:rPr>
                <w:rFonts w:hint="eastAsia"/>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地下水水位</w:t>
            </w:r>
          </w:p>
        </w:tc>
        <w:tc>
          <w:tcPr>
            <w:tcW w:w="647" w:type="pct"/>
            <w:vMerge w:val="continue"/>
            <w:tcBorders>
              <w:tl2br w:val="nil"/>
              <w:tr2bl w:val="nil"/>
            </w:tcBorders>
            <w:noWrap w:val="0"/>
            <w:vAlign w:val="center"/>
          </w:tcPr>
          <w:p w14:paraId="21E08736">
            <w:pPr>
              <w:pStyle w:val="146"/>
              <w:keepNext w:val="0"/>
              <w:keepLines w:val="0"/>
              <w:suppressLineNumbers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p>
        </w:tc>
      </w:tr>
      <w:tr w14:paraId="3ACB6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23" w:type="pct"/>
            <w:tcBorders>
              <w:tl2br w:val="nil"/>
              <w:tr2bl w:val="nil"/>
            </w:tcBorders>
            <w:noWrap w:val="0"/>
            <w:vAlign w:val="center"/>
          </w:tcPr>
          <w:p w14:paraId="13D7AC46">
            <w:pPr>
              <w:pStyle w:val="146"/>
              <w:keepNext w:val="0"/>
              <w:keepLines w:val="0"/>
              <w:suppressLineNumbers w:val="0"/>
              <w:spacing w:before="0" w:beforeAutospacing="0" w:after="0" w:afterAutospacing="0" w:line="240" w:lineRule="auto"/>
              <w:ind w:left="0" w:right="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D6</w:t>
            </w:r>
          </w:p>
        </w:tc>
        <w:tc>
          <w:tcPr>
            <w:tcW w:w="2428" w:type="pct"/>
            <w:vMerge w:val="continue"/>
            <w:tcBorders>
              <w:tl2br w:val="nil"/>
              <w:tr2bl w:val="nil"/>
            </w:tcBorders>
            <w:noWrap w:val="0"/>
            <w:vAlign w:val="center"/>
          </w:tcPr>
          <w:p w14:paraId="40B18C79">
            <w:pPr>
              <w:pStyle w:val="146"/>
              <w:keepNext w:val="0"/>
              <w:keepLines w:val="0"/>
              <w:suppressLineNumbers w:val="0"/>
              <w:spacing w:before="0" w:beforeAutospacing="0" w:after="0" w:afterAutospacing="0"/>
              <w:ind w:left="0" w:right="0"/>
              <w:rPr>
                <w:rFonts w:hint="eastAsia"/>
                <w:color w:val="000000" w:themeColor="text1"/>
                <w:sz w:val="21"/>
                <w:szCs w:val="21"/>
                <w:highlight w:val="yellow"/>
                <w:lang w:val="en-US" w:eastAsia="zh-CN"/>
                <w14:textFill>
                  <w14:solidFill>
                    <w14:schemeClr w14:val="tx1"/>
                  </w14:solidFill>
                </w14:textFill>
              </w:rPr>
            </w:pPr>
          </w:p>
        </w:tc>
        <w:tc>
          <w:tcPr>
            <w:tcW w:w="647" w:type="pct"/>
            <w:vMerge w:val="continue"/>
            <w:tcBorders>
              <w:tl2br w:val="nil"/>
              <w:tr2bl w:val="nil"/>
            </w:tcBorders>
            <w:noWrap w:val="0"/>
            <w:vAlign w:val="center"/>
          </w:tcPr>
          <w:p w14:paraId="5E3055E8">
            <w:pPr>
              <w:pStyle w:val="146"/>
              <w:keepNext w:val="0"/>
              <w:keepLines w:val="0"/>
              <w:suppressLineNumbers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p>
        </w:tc>
      </w:tr>
      <w:tr w14:paraId="1FF75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23" w:type="pct"/>
            <w:tcBorders>
              <w:tl2br w:val="nil"/>
              <w:tr2bl w:val="nil"/>
            </w:tcBorders>
            <w:noWrap w:val="0"/>
            <w:vAlign w:val="center"/>
          </w:tcPr>
          <w:p w14:paraId="515E6973">
            <w:pPr>
              <w:pStyle w:val="146"/>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000000" w:themeColor="text1"/>
                <w:kern w:val="10"/>
                <w:sz w:val="21"/>
                <w:szCs w:val="21"/>
                <w:highlight w:val="none"/>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D7</w:t>
            </w:r>
          </w:p>
        </w:tc>
        <w:tc>
          <w:tcPr>
            <w:tcW w:w="2428" w:type="pct"/>
            <w:vMerge w:val="continue"/>
            <w:tcBorders>
              <w:tl2br w:val="nil"/>
              <w:tr2bl w:val="nil"/>
            </w:tcBorders>
            <w:noWrap w:val="0"/>
            <w:vAlign w:val="center"/>
          </w:tcPr>
          <w:p w14:paraId="768CB6D0">
            <w:pPr>
              <w:pStyle w:val="146"/>
              <w:keepNext w:val="0"/>
              <w:keepLines w:val="0"/>
              <w:suppressLineNumbers w:val="0"/>
              <w:spacing w:before="0" w:beforeAutospacing="0" w:after="0" w:afterAutospacing="0"/>
              <w:ind w:left="0" w:right="0"/>
              <w:rPr>
                <w:rFonts w:hint="eastAsia"/>
                <w:color w:val="000000" w:themeColor="text1"/>
                <w:sz w:val="21"/>
                <w:szCs w:val="21"/>
                <w:highlight w:val="yellow"/>
                <w:lang w:val="en-US" w:eastAsia="zh-CN"/>
                <w14:textFill>
                  <w14:solidFill>
                    <w14:schemeClr w14:val="tx1"/>
                  </w14:solidFill>
                </w14:textFill>
              </w:rPr>
            </w:pPr>
          </w:p>
        </w:tc>
        <w:tc>
          <w:tcPr>
            <w:tcW w:w="647" w:type="pct"/>
            <w:vMerge w:val="continue"/>
            <w:tcBorders>
              <w:tl2br w:val="nil"/>
              <w:tr2bl w:val="nil"/>
            </w:tcBorders>
            <w:noWrap w:val="0"/>
            <w:vAlign w:val="center"/>
          </w:tcPr>
          <w:p w14:paraId="31D4A118">
            <w:pPr>
              <w:pStyle w:val="146"/>
              <w:keepNext w:val="0"/>
              <w:keepLines w:val="0"/>
              <w:suppressLineNumbers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p>
        </w:tc>
      </w:tr>
      <w:tr w14:paraId="213EE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23" w:type="pct"/>
            <w:tcBorders>
              <w:tl2br w:val="nil"/>
              <w:tr2bl w:val="nil"/>
            </w:tcBorders>
            <w:noWrap w:val="0"/>
            <w:vAlign w:val="center"/>
          </w:tcPr>
          <w:p w14:paraId="137199DA">
            <w:pPr>
              <w:pStyle w:val="146"/>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000000" w:themeColor="text1"/>
                <w:kern w:val="10"/>
                <w:sz w:val="21"/>
                <w:szCs w:val="21"/>
                <w:highlight w:val="none"/>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D8</w:t>
            </w:r>
          </w:p>
        </w:tc>
        <w:tc>
          <w:tcPr>
            <w:tcW w:w="2428" w:type="pct"/>
            <w:vMerge w:val="continue"/>
            <w:tcBorders>
              <w:tl2br w:val="nil"/>
              <w:tr2bl w:val="nil"/>
            </w:tcBorders>
            <w:noWrap w:val="0"/>
            <w:vAlign w:val="center"/>
          </w:tcPr>
          <w:p w14:paraId="43C77CA5">
            <w:pPr>
              <w:pStyle w:val="146"/>
              <w:keepNext w:val="0"/>
              <w:keepLines w:val="0"/>
              <w:suppressLineNumbers w:val="0"/>
              <w:spacing w:before="0" w:beforeAutospacing="0" w:after="0" w:afterAutospacing="0"/>
              <w:ind w:left="0" w:right="0"/>
              <w:rPr>
                <w:rFonts w:hint="eastAsia"/>
                <w:color w:val="000000" w:themeColor="text1"/>
                <w:sz w:val="21"/>
                <w:szCs w:val="21"/>
                <w:highlight w:val="yellow"/>
                <w:lang w:val="en-US" w:eastAsia="zh-CN"/>
                <w14:textFill>
                  <w14:solidFill>
                    <w14:schemeClr w14:val="tx1"/>
                  </w14:solidFill>
                </w14:textFill>
              </w:rPr>
            </w:pPr>
          </w:p>
        </w:tc>
        <w:tc>
          <w:tcPr>
            <w:tcW w:w="647" w:type="pct"/>
            <w:vMerge w:val="continue"/>
            <w:tcBorders>
              <w:tl2br w:val="nil"/>
              <w:tr2bl w:val="nil"/>
            </w:tcBorders>
            <w:noWrap w:val="0"/>
            <w:vAlign w:val="center"/>
          </w:tcPr>
          <w:p w14:paraId="56B65F5D">
            <w:pPr>
              <w:pStyle w:val="146"/>
              <w:keepNext w:val="0"/>
              <w:keepLines w:val="0"/>
              <w:suppressLineNumbers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p>
        </w:tc>
      </w:tr>
      <w:tr w14:paraId="1F13A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23" w:type="pct"/>
            <w:tcBorders>
              <w:tl2br w:val="nil"/>
              <w:tr2bl w:val="nil"/>
            </w:tcBorders>
            <w:noWrap w:val="0"/>
            <w:vAlign w:val="center"/>
          </w:tcPr>
          <w:p w14:paraId="000D68EB">
            <w:pPr>
              <w:pStyle w:val="146"/>
              <w:keepNext w:val="0"/>
              <w:keepLines w:val="0"/>
              <w:suppressLineNumbers w:val="0"/>
              <w:spacing w:before="0" w:beforeAutospacing="0" w:after="0" w:afterAutospacing="0" w:line="240" w:lineRule="auto"/>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D</w:t>
            </w:r>
            <w:r>
              <w:rPr>
                <w:rFonts w:hint="eastAsia"/>
                <w:color w:val="000000" w:themeColor="text1"/>
                <w:sz w:val="21"/>
                <w:szCs w:val="21"/>
                <w:lang w:val="en-US" w:eastAsia="zh-CN"/>
                <w14:textFill>
                  <w14:solidFill>
                    <w14:schemeClr w14:val="tx1"/>
                  </w14:solidFill>
                </w14:textFill>
              </w:rPr>
              <w:t>9</w:t>
            </w:r>
          </w:p>
        </w:tc>
        <w:tc>
          <w:tcPr>
            <w:tcW w:w="2428" w:type="pct"/>
            <w:vMerge w:val="continue"/>
            <w:tcBorders>
              <w:tl2br w:val="nil"/>
              <w:tr2bl w:val="nil"/>
            </w:tcBorders>
            <w:noWrap w:val="0"/>
            <w:vAlign w:val="center"/>
          </w:tcPr>
          <w:p w14:paraId="52631DE8">
            <w:pPr>
              <w:pStyle w:val="146"/>
              <w:keepNext w:val="0"/>
              <w:keepLines w:val="0"/>
              <w:suppressLineNumbers w:val="0"/>
              <w:spacing w:before="0" w:beforeAutospacing="0" w:after="0" w:afterAutospacing="0"/>
              <w:ind w:left="0" w:right="0"/>
              <w:rPr>
                <w:rFonts w:hint="eastAsia"/>
                <w:color w:val="000000" w:themeColor="text1"/>
                <w:sz w:val="21"/>
                <w:szCs w:val="21"/>
                <w:highlight w:val="yellow"/>
                <w:lang w:val="en-US" w:eastAsia="zh-CN"/>
                <w14:textFill>
                  <w14:solidFill>
                    <w14:schemeClr w14:val="tx1"/>
                  </w14:solidFill>
                </w14:textFill>
              </w:rPr>
            </w:pPr>
          </w:p>
        </w:tc>
        <w:tc>
          <w:tcPr>
            <w:tcW w:w="647" w:type="pct"/>
            <w:vMerge w:val="continue"/>
            <w:tcBorders>
              <w:tl2br w:val="nil"/>
              <w:tr2bl w:val="nil"/>
            </w:tcBorders>
            <w:noWrap w:val="0"/>
            <w:vAlign w:val="center"/>
          </w:tcPr>
          <w:p w14:paraId="1C9F138F">
            <w:pPr>
              <w:pStyle w:val="146"/>
              <w:keepNext w:val="0"/>
              <w:keepLines w:val="0"/>
              <w:suppressLineNumbers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p>
        </w:tc>
      </w:tr>
      <w:tr w14:paraId="0DA8C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23" w:type="pct"/>
            <w:tcBorders>
              <w:tl2br w:val="nil"/>
              <w:tr2bl w:val="nil"/>
            </w:tcBorders>
            <w:noWrap w:val="0"/>
            <w:vAlign w:val="center"/>
          </w:tcPr>
          <w:p w14:paraId="434FF8E6">
            <w:pPr>
              <w:pStyle w:val="146"/>
              <w:keepNext w:val="0"/>
              <w:keepLines w:val="0"/>
              <w:suppressLineNumbers w:val="0"/>
              <w:spacing w:before="0" w:beforeAutospacing="0" w:after="0" w:afterAutospacing="0" w:line="240" w:lineRule="auto"/>
              <w:ind w:left="0" w:right="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金山社区自来水厂</w:t>
            </w:r>
          </w:p>
        </w:tc>
        <w:tc>
          <w:tcPr>
            <w:tcW w:w="2428" w:type="pct"/>
            <w:vMerge w:val="continue"/>
            <w:tcBorders>
              <w:tl2br w:val="nil"/>
              <w:tr2bl w:val="nil"/>
            </w:tcBorders>
            <w:noWrap w:val="0"/>
            <w:vAlign w:val="center"/>
          </w:tcPr>
          <w:p w14:paraId="6BBCB7C8">
            <w:pPr>
              <w:pStyle w:val="146"/>
              <w:keepNext w:val="0"/>
              <w:keepLines w:val="0"/>
              <w:suppressLineNumbers w:val="0"/>
              <w:spacing w:before="0" w:beforeAutospacing="0" w:after="0" w:afterAutospacing="0"/>
              <w:ind w:left="0" w:right="0"/>
              <w:rPr>
                <w:rFonts w:hint="eastAsia"/>
                <w:color w:val="000000" w:themeColor="text1"/>
                <w:sz w:val="21"/>
                <w:szCs w:val="21"/>
                <w:highlight w:val="yellow"/>
                <w:lang w:val="en-US" w:eastAsia="zh-CN"/>
                <w14:textFill>
                  <w14:solidFill>
                    <w14:schemeClr w14:val="tx1"/>
                  </w14:solidFill>
                </w14:textFill>
              </w:rPr>
            </w:pPr>
          </w:p>
        </w:tc>
        <w:tc>
          <w:tcPr>
            <w:tcW w:w="647" w:type="pct"/>
            <w:vMerge w:val="continue"/>
            <w:tcBorders>
              <w:tl2br w:val="nil"/>
              <w:tr2bl w:val="nil"/>
            </w:tcBorders>
            <w:noWrap w:val="0"/>
            <w:vAlign w:val="center"/>
          </w:tcPr>
          <w:p w14:paraId="3EB78656">
            <w:pPr>
              <w:pStyle w:val="146"/>
              <w:keepNext w:val="0"/>
              <w:keepLines w:val="0"/>
              <w:suppressLineNumbers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p>
        </w:tc>
      </w:tr>
    </w:tbl>
    <w:p w14:paraId="3FC87F29">
      <w:pPr>
        <w:pStyle w:val="194"/>
        <w:spacing w:line="240" w:lineRule="auto"/>
        <w:rPr>
          <w:rFonts w:hint="default" w:ascii="Times New Roman" w:hAnsi="Times New Roman" w:eastAsia="宋体" w:cs="Times New Roman"/>
          <w:color w:val="000000" w:themeColor="text1"/>
          <w:sz w:val="24"/>
          <w:szCs w:val="24"/>
          <w:highlight w:val="none"/>
          <w:u w:val="wav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u w:val="wave" w:color="auto"/>
          <w:lang w:val="en-US" w:eastAsia="zh-CN" w:bidi="ar-SA"/>
          <w14:textFill>
            <w14:solidFill>
              <w14:schemeClr w14:val="tx1"/>
            </w14:solidFill>
          </w14:textFill>
        </w:rPr>
        <w:t>表4.2-7 地下水水位监测结果一览表</w:t>
      </w:r>
    </w:p>
    <w:tbl>
      <w:tblPr>
        <w:tblStyle w:val="77"/>
        <w:tblW w:w="88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424"/>
        <w:gridCol w:w="1328"/>
        <w:gridCol w:w="1239"/>
        <w:gridCol w:w="1209"/>
        <w:gridCol w:w="1428"/>
        <w:gridCol w:w="1429"/>
      </w:tblGrid>
      <w:tr w14:paraId="35C81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4" w:hRule="exact"/>
          <w:jc w:val="center"/>
        </w:trPr>
        <w:tc>
          <w:tcPr>
            <w:tcW w:w="2224" w:type="dxa"/>
            <w:gridSpan w:val="2"/>
            <w:tcBorders>
              <w:tl2br w:val="nil"/>
              <w:tr2bl w:val="nil"/>
            </w:tcBorders>
            <w:noWrap w:val="0"/>
            <w:vAlign w:val="center"/>
          </w:tcPr>
          <w:p w14:paraId="5750E106">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lang w:val="en-US" w:eastAsia="zh-CN"/>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点位</w:t>
            </w:r>
          </w:p>
        </w:tc>
        <w:tc>
          <w:tcPr>
            <w:tcW w:w="1328" w:type="dxa"/>
            <w:tcBorders>
              <w:tl2br w:val="nil"/>
              <w:tr2bl w:val="nil"/>
            </w:tcBorders>
            <w:noWrap w:val="0"/>
            <w:vAlign w:val="center"/>
          </w:tcPr>
          <w:p w14:paraId="23A8A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D1</w:t>
            </w:r>
          </w:p>
        </w:tc>
        <w:tc>
          <w:tcPr>
            <w:tcW w:w="1239" w:type="dxa"/>
            <w:tcBorders>
              <w:tl2br w:val="nil"/>
              <w:tr2bl w:val="nil"/>
            </w:tcBorders>
            <w:noWrap w:val="0"/>
            <w:vAlign w:val="center"/>
          </w:tcPr>
          <w:p w14:paraId="6BABF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D2</w:t>
            </w:r>
          </w:p>
        </w:tc>
        <w:tc>
          <w:tcPr>
            <w:tcW w:w="1209" w:type="dxa"/>
            <w:tcBorders>
              <w:tl2br w:val="nil"/>
              <w:tr2bl w:val="nil"/>
            </w:tcBorders>
            <w:noWrap w:val="0"/>
            <w:vAlign w:val="center"/>
          </w:tcPr>
          <w:p w14:paraId="344D009C">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0"/>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D3</w:t>
            </w:r>
          </w:p>
        </w:tc>
        <w:tc>
          <w:tcPr>
            <w:tcW w:w="1428" w:type="dxa"/>
            <w:tcBorders>
              <w:tl2br w:val="nil"/>
              <w:tr2bl w:val="nil"/>
            </w:tcBorders>
            <w:noWrap w:val="0"/>
            <w:vAlign w:val="center"/>
          </w:tcPr>
          <w:p w14:paraId="4C75FB32">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0"/>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D4</w:t>
            </w:r>
          </w:p>
        </w:tc>
        <w:tc>
          <w:tcPr>
            <w:tcW w:w="1429" w:type="dxa"/>
            <w:tcBorders>
              <w:tl2br w:val="nil"/>
              <w:tr2bl w:val="nil"/>
            </w:tcBorders>
            <w:noWrap w:val="0"/>
            <w:vAlign w:val="center"/>
          </w:tcPr>
          <w:p w14:paraId="7C0AD7E2">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0"/>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D5</w:t>
            </w:r>
          </w:p>
        </w:tc>
      </w:tr>
      <w:tr w14:paraId="61EC7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2224" w:type="dxa"/>
            <w:gridSpan w:val="2"/>
            <w:tcBorders>
              <w:tl2br w:val="nil"/>
              <w:tr2bl w:val="nil"/>
            </w:tcBorders>
            <w:noWrap w:val="0"/>
            <w:vAlign w:val="center"/>
          </w:tcPr>
          <w:p w14:paraId="35F6EAA1">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时间</w:t>
            </w:r>
          </w:p>
        </w:tc>
        <w:tc>
          <w:tcPr>
            <w:tcW w:w="1328" w:type="dxa"/>
            <w:tcBorders>
              <w:tl2br w:val="nil"/>
              <w:tr2bl w:val="nil"/>
            </w:tcBorders>
            <w:noWrap w:val="0"/>
            <w:vAlign w:val="center"/>
          </w:tcPr>
          <w:p w14:paraId="7B5F99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2025.10.18</w:t>
            </w:r>
          </w:p>
        </w:tc>
        <w:tc>
          <w:tcPr>
            <w:tcW w:w="1239" w:type="dxa"/>
            <w:tcBorders>
              <w:tl2br w:val="nil"/>
              <w:tr2bl w:val="nil"/>
            </w:tcBorders>
            <w:noWrap w:val="0"/>
            <w:vAlign w:val="center"/>
          </w:tcPr>
          <w:p w14:paraId="4D021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2025.10.18</w:t>
            </w:r>
          </w:p>
        </w:tc>
        <w:tc>
          <w:tcPr>
            <w:tcW w:w="1209" w:type="dxa"/>
            <w:tcBorders>
              <w:tl2br w:val="nil"/>
              <w:tr2bl w:val="nil"/>
            </w:tcBorders>
            <w:noWrap w:val="0"/>
            <w:vAlign w:val="center"/>
          </w:tcPr>
          <w:p w14:paraId="59C89956">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2025.10.18</w:t>
            </w:r>
          </w:p>
        </w:tc>
        <w:tc>
          <w:tcPr>
            <w:tcW w:w="1428" w:type="dxa"/>
            <w:tcBorders>
              <w:tl2br w:val="nil"/>
              <w:tr2bl w:val="nil"/>
            </w:tcBorders>
            <w:noWrap w:val="0"/>
            <w:vAlign w:val="center"/>
          </w:tcPr>
          <w:p w14:paraId="3360C764">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2025.10.18</w:t>
            </w:r>
          </w:p>
        </w:tc>
        <w:tc>
          <w:tcPr>
            <w:tcW w:w="1429" w:type="dxa"/>
            <w:tcBorders>
              <w:tl2br w:val="nil"/>
              <w:tr2bl w:val="nil"/>
            </w:tcBorders>
            <w:noWrap w:val="0"/>
            <w:vAlign w:val="center"/>
          </w:tcPr>
          <w:p w14:paraId="33089944">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2025.10.18</w:t>
            </w:r>
          </w:p>
        </w:tc>
      </w:tr>
      <w:tr w14:paraId="3D167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2224" w:type="dxa"/>
            <w:gridSpan w:val="2"/>
            <w:tcBorders>
              <w:tl2br w:val="nil"/>
              <w:tr2bl w:val="nil"/>
            </w:tcBorders>
            <w:noWrap w:val="0"/>
            <w:vAlign w:val="center"/>
          </w:tcPr>
          <w:p w14:paraId="4EF8ED3F">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样品状态</w:t>
            </w:r>
          </w:p>
        </w:tc>
        <w:tc>
          <w:tcPr>
            <w:tcW w:w="6633" w:type="dxa"/>
            <w:gridSpan w:val="5"/>
            <w:tcBorders>
              <w:tl2br w:val="nil"/>
              <w:tr2bl w:val="nil"/>
            </w:tcBorders>
            <w:noWrap w:val="0"/>
            <w:vAlign w:val="center"/>
          </w:tcPr>
          <w:p w14:paraId="4CD01984">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无色、透明、无异味、无浮油</w:t>
            </w:r>
          </w:p>
        </w:tc>
      </w:tr>
      <w:tr w14:paraId="176A9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800" w:type="dxa"/>
            <w:vMerge w:val="restart"/>
            <w:tcBorders>
              <w:tl2br w:val="nil"/>
              <w:tr2bl w:val="nil"/>
            </w:tcBorders>
            <w:noWrap w:val="0"/>
            <w:vAlign w:val="center"/>
          </w:tcPr>
          <w:p w14:paraId="59BA3499">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现场记录</w:t>
            </w:r>
          </w:p>
        </w:tc>
        <w:tc>
          <w:tcPr>
            <w:tcW w:w="1424" w:type="dxa"/>
            <w:tcBorders>
              <w:tl2br w:val="nil"/>
              <w:tr2bl w:val="nil"/>
            </w:tcBorders>
            <w:noWrap w:val="0"/>
            <w:vAlign w:val="center"/>
          </w:tcPr>
          <w:p w14:paraId="1F3D0392">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海拔（m）</w:t>
            </w:r>
          </w:p>
        </w:tc>
        <w:tc>
          <w:tcPr>
            <w:tcW w:w="1328" w:type="dxa"/>
            <w:tcBorders>
              <w:tl2br w:val="nil"/>
              <w:tr2bl w:val="nil"/>
            </w:tcBorders>
            <w:noWrap w:val="0"/>
            <w:vAlign w:val="center"/>
          </w:tcPr>
          <w:p w14:paraId="20155D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25.76</w:t>
            </w:r>
          </w:p>
        </w:tc>
        <w:tc>
          <w:tcPr>
            <w:tcW w:w="1239" w:type="dxa"/>
            <w:tcBorders>
              <w:tl2br w:val="nil"/>
              <w:tr2bl w:val="nil"/>
            </w:tcBorders>
            <w:noWrap w:val="0"/>
            <w:vAlign w:val="center"/>
          </w:tcPr>
          <w:p w14:paraId="6DCFF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26.13</w:t>
            </w:r>
          </w:p>
        </w:tc>
        <w:tc>
          <w:tcPr>
            <w:tcW w:w="1209" w:type="dxa"/>
            <w:tcBorders>
              <w:tl2br w:val="nil"/>
              <w:tr2bl w:val="nil"/>
            </w:tcBorders>
            <w:noWrap w:val="0"/>
            <w:vAlign w:val="center"/>
          </w:tcPr>
          <w:p w14:paraId="79067484">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28.27</w:t>
            </w:r>
          </w:p>
        </w:tc>
        <w:tc>
          <w:tcPr>
            <w:tcW w:w="1428" w:type="dxa"/>
            <w:tcBorders>
              <w:tl2br w:val="nil"/>
              <w:tr2bl w:val="nil"/>
            </w:tcBorders>
            <w:noWrap w:val="0"/>
            <w:vAlign w:val="center"/>
          </w:tcPr>
          <w:p w14:paraId="47CAB84D">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24.10</w:t>
            </w:r>
          </w:p>
        </w:tc>
        <w:tc>
          <w:tcPr>
            <w:tcW w:w="1429" w:type="dxa"/>
            <w:tcBorders>
              <w:tl2br w:val="nil"/>
              <w:tr2bl w:val="nil"/>
            </w:tcBorders>
            <w:noWrap w:val="0"/>
            <w:vAlign w:val="center"/>
          </w:tcPr>
          <w:p w14:paraId="1BCDE56C">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25.22</w:t>
            </w:r>
          </w:p>
        </w:tc>
      </w:tr>
      <w:tr w14:paraId="6EB02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800" w:type="dxa"/>
            <w:vMerge w:val="continue"/>
            <w:tcBorders>
              <w:tl2br w:val="nil"/>
              <w:tr2bl w:val="nil"/>
            </w:tcBorders>
            <w:noWrap w:val="0"/>
            <w:vAlign w:val="center"/>
          </w:tcPr>
          <w:p w14:paraId="3DF3C727">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p>
        </w:tc>
        <w:tc>
          <w:tcPr>
            <w:tcW w:w="1424" w:type="dxa"/>
            <w:tcBorders>
              <w:tl2br w:val="nil"/>
              <w:tr2bl w:val="nil"/>
            </w:tcBorders>
            <w:noWrap w:val="0"/>
            <w:vAlign w:val="center"/>
          </w:tcPr>
          <w:p w14:paraId="5FF1964D">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埋深（m）</w:t>
            </w:r>
          </w:p>
        </w:tc>
        <w:tc>
          <w:tcPr>
            <w:tcW w:w="1328" w:type="dxa"/>
            <w:tcBorders>
              <w:tl2br w:val="nil"/>
              <w:tr2bl w:val="nil"/>
            </w:tcBorders>
            <w:noWrap w:val="0"/>
            <w:vAlign w:val="center"/>
          </w:tcPr>
          <w:p w14:paraId="44EF8F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7.26</w:t>
            </w:r>
          </w:p>
        </w:tc>
        <w:tc>
          <w:tcPr>
            <w:tcW w:w="1239" w:type="dxa"/>
            <w:tcBorders>
              <w:tl2br w:val="nil"/>
              <w:tr2bl w:val="nil"/>
            </w:tcBorders>
            <w:noWrap w:val="0"/>
            <w:vAlign w:val="center"/>
          </w:tcPr>
          <w:p w14:paraId="0E1F5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6.15</w:t>
            </w:r>
          </w:p>
        </w:tc>
        <w:tc>
          <w:tcPr>
            <w:tcW w:w="1209" w:type="dxa"/>
            <w:tcBorders>
              <w:tl2br w:val="nil"/>
              <w:tr2bl w:val="nil"/>
            </w:tcBorders>
            <w:noWrap w:val="0"/>
            <w:vAlign w:val="center"/>
          </w:tcPr>
          <w:p w14:paraId="0A45B6CD">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7.38</w:t>
            </w:r>
          </w:p>
        </w:tc>
        <w:tc>
          <w:tcPr>
            <w:tcW w:w="1428" w:type="dxa"/>
            <w:tcBorders>
              <w:tl2br w:val="nil"/>
              <w:tr2bl w:val="nil"/>
            </w:tcBorders>
            <w:noWrap w:val="0"/>
            <w:vAlign w:val="center"/>
          </w:tcPr>
          <w:p w14:paraId="62CC1272">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8.10</w:t>
            </w:r>
          </w:p>
        </w:tc>
        <w:tc>
          <w:tcPr>
            <w:tcW w:w="1429" w:type="dxa"/>
            <w:tcBorders>
              <w:tl2br w:val="nil"/>
              <w:tr2bl w:val="nil"/>
            </w:tcBorders>
            <w:noWrap w:val="0"/>
            <w:vAlign w:val="center"/>
          </w:tcPr>
          <w:p w14:paraId="01A63523">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8.27</w:t>
            </w:r>
          </w:p>
        </w:tc>
      </w:tr>
      <w:tr w14:paraId="5C75A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800" w:type="dxa"/>
            <w:vMerge w:val="continue"/>
            <w:tcBorders>
              <w:tl2br w:val="nil"/>
              <w:tr2bl w:val="nil"/>
            </w:tcBorders>
            <w:noWrap w:val="0"/>
            <w:vAlign w:val="center"/>
          </w:tcPr>
          <w:p w14:paraId="783C4926">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p>
        </w:tc>
        <w:tc>
          <w:tcPr>
            <w:tcW w:w="1424" w:type="dxa"/>
            <w:tcBorders>
              <w:tl2br w:val="nil"/>
              <w:tr2bl w:val="nil"/>
            </w:tcBorders>
            <w:noWrap w:val="0"/>
            <w:vAlign w:val="center"/>
          </w:tcPr>
          <w:p w14:paraId="5D5D0911">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水位（m）</w:t>
            </w:r>
          </w:p>
        </w:tc>
        <w:tc>
          <w:tcPr>
            <w:tcW w:w="1328" w:type="dxa"/>
            <w:tcBorders>
              <w:tl2br w:val="nil"/>
              <w:tr2bl w:val="nil"/>
            </w:tcBorders>
            <w:noWrap w:val="0"/>
            <w:vAlign w:val="center"/>
          </w:tcPr>
          <w:p w14:paraId="6B864C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18.5</w:t>
            </w:r>
          </w:p>
        </w:tc>
        <w:tc>
          <w:tcPr>
            <w:tcW w:w="1239" w:type="dxa"/>
            <w:tcBorders>
              <w:tl2br w:val="nil"/>
              <w:tr2bl w:val="nil"/>
            </w:tcBorders>
            <w:noWrap w:val="0"/>
            <w:vAlign w:val="center"/>
          </w:tcPr>
          <w:p w14:paraId="39FC1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19.98</w:t>
            </w:r>
          </w:p>
        </w:tc>
        <w:tc>
          <w:tcPr>
            <w:tcW w:w="1209" w:type="dxa"/>
            <w:tcBorders>
              <w:tl2br w:val="nil"/>
              <w:tr2bl w:val="nil"/>
            </w:tcBorders>
            <w:noWrap w:val="0"/>
            <w:vAlign w:val="center"/>
          </w:tcPr>
          <w:p w14:paraId="255548D0">
            <w:pPr>
              <w:keepNext w:val="0"/>
              <w:keepLines w:val="0"/>
              <w:suppressLineNumbers w:val="0"/>
              <w:autoSpaceDE/>
              <w:autoSpaceDN/>
              <w:spacing w:before="0" w:beforeAutospacing="0" w:after="0" w:afterAutospacing="0" w:line="240" w:lineRule="auto"/>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20.98</w:t>
            </w:r>
          </w:p>
        </w:tc>
        <w:tc>
          <w:tcPr>
            <w:tcW w:w="1428" w:type="dxa"/>
            <w:tcBorders>
              <w:tl2br w:val="nil"/>
              <w:tr2bl w:val="nil"/>
            </w:tcBorders>
            <w:noWrap w:val="0"/>
            <w:vAlign w:val="center"/>
          </w:tcPr>
          <w:p w14:paraId="470AEE97">
            <w:pPr>
              <w:keepNext w:val="0"/>
              <w:keepLines w:val="0"/>
              <w:suppressLineNumbers w:val="0"/>
              <w:autoSpaceDE/>
              <w:autoSpaceDN/>
              <w:spacing w:before="0" w:beforeAutospacing="0" w:after="0" w:afterAutospacing="0" w:line="240" w:lineRule="auto"/>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16.00</w:t>
            </w:r>
          </w:p>
        </w:tc>
        <w:tc>
          <w:tcPr>
            <w:tcW w:w="1429" w:type="dxa"/>
            <w:tcBorders>
              <w:tl2br w:val="nil"/>
              <w:tr2bl w:val="nil"/>
            </w:tcBorders>
            <w:noWrap w:val="0"/>
            <w:vAlign w:val="center"/>
          </w:tcPr>
          <w:p w14:paraId="79510CAE">
            <w:pPr>
              <w:keepNext w:val="0"/>
              <w:keepLines w:val="0"/>
              <w:suppressLineNumbers w:val="0"/>
              <w:autoSpaceDE/>
              <w:autoSpaceDN/>
              <w:spacing w:before="0" w:beforeAutospacing="0" w:after="0" w:afterAutospacing="0" w:line="240" w:lineRule="auto"/>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16.95</w:t>
            </w:r>
          </w:p>
        </w:tc>
      </w:tr>
      <w:tr w14:paraId="7156E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1" w:hRule="exact"/>
          <w:jc w:val="center"/>
        </w:trPr>
        <w:tc>
          <w:tcPr>
            <w:tcW w:w="2224" w:type="dxa"/>
            <w:gridSpan w:val="2"/>
            <w:tcBorders>
              <w:tl2br w:val="nil"/>
              <w:tr2bl w:val="nil"/>
            </w:tcBorders>
            <w:noWrap w:val="0"/>
            <w:vAlign w:val="center"/>
          </w:tcPr>
          <w:p w14:paraId="3737A5FD">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点位</w:t>
            </w:r>
          </w:p>
        </w:tc>
        <w:tc>
          <w:tcPr>
            <w:tcW w:w="1328" w:type="dxa"/>
            <w:tcBorders>
              <w:tl2br w:val="nil"/>
              <w:tr2bl w:val="nil"/>
            </w:tcBorders>
            <w:noWrap w:val="0"/>
            <w:vAlign w:val="center"/>
          </w:tcPr>
          <w:p w14:paraId="2C8C9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D6</w:t>
            </w:r>
          </w:p>
        </w:tc>
        <w:tc>
          <w:tcPr>
            <w:tcW w:w="1239" w:type="dxa"/>
            <w:tcBorders>
              <w:tl2br w:val="nil"/>
              <w:tr2bl w:val="nil"/>
            </w:tcBorders>
            <w:noWrap w:val="0"/>
            <w:vAlign w:val="center"/>
          </w:tcPr>
          <w:p w14:paraId="547709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D7</w:t>
            </w:r>
          </w:p>
        </w:tc>
        <w:tc>
          <w:tcPr>
            <w:tcW w:w="1209" w:type="dxa"/>
            <w:tcBorders>
              <w:tl2br w:val="nil"/>
              <w:tr2bl w:val="nil"/>
            </w:tcBorders>
            <w:noWrap w:val="0"/>
            <w:vAlign w:val="center"/>
          </w:tcPr>
          <w:p w14:paraId="6BF7AE99">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D8</w:t>
            </w:r>
          </w:p>
        </w:tc>
        <w:tc>
          <w:tcPr>
            <w:tcW w:w="1428" w:type="dxa"/>
            <w:tcBorders>
              <w:tl2br w:val="nil"/>
              <w:tr2bl w:val="nil"/>
            </w:tcBorders>
            <w:noWrap w:val="0"/>
            <w:vAlign w:val="center"/>
          </w:tcPr>
          <w:p w14:paraId="598EB546">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D9</w:t>
            </w:r>
          </w:p>
        </w:tc>
        <w:tc>
          <w:tcPr>
            <w:tcW w:w="1429" w:type="dxa"/>
            <w:tcBorders>
              <w:tl2br w:val="nil"/>
              <w:tr2bl w:val="nil"/>
            </w:tcBorders>
            <w:noWrap w:val="0"/>
            <w:vAlign w:val="center"/>
          </w:tcPr>
          <w:p w14:paraId="49A0B2D5">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金银山社区自来水厂</w:t>
            </w:r>
          </w:p>
        </w:tc>
      </w:tr>
      <w:tr w14:paraId="3945A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2224" w:type="dxa"/>
            <w:gridSpan w:val="2"/>
            <w:tcBorders>
              <w:tl2br w:val="nil"/>
              <w:tr2bl w:val="nil"/>
            </w:tcBorders>
            <w:noWrap w:val="0"/>
            <w:vAlign w:val="center"/>
          </w:tcPr>
          <w:p w14:paraId="7B7C4016">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时间</w:t>
            </w:r>
          </w:p>
        </w:tc>
        <w:tc>
          <w:tcPr>
            <w:tcW w:w="1328" w:type="dxa"/>
            <w:tcBorders>
              <w:tl2br w:val="nil"/>
              <w:tr2bl w:val="nil"/>
            </w:tcBorders>
            <w:noWrap w:val="0"/>
            <w:vAlign w:val="center"/>
          </w:tcPr>
          <w:p w14:paraId="17683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2025.10.18</w:t>
            </w:r>
          </w:p>
        </w:tc>
        <w:tc>
          <w:tcPr>
            <w:tcW w:w="1239" w:type="dxa"/>
            <w:tcBorders>
              <w:tl2br w:val="nil"/>
              <w:tr2bl w:val="nil"/>
            </w:tcBorders>
            <w:noWrap w:val="0"/>
            <w:vAlign w:val="center"/>
          </w:tcPr>
          <w:p w14:paraId="2FEDE1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2025.10.18</w:t>
            </w:r>
          </w:p>
        </w:tc>
        <w:tc>
          <w:tcPr>
            <w:tcW w:w="1209" w:type="dxa"/>
            <w:tcBorders>
              <w:tl2br w:val="nil"/>
              <w:tr2bl w:val="nil"/>
            </w:tcBorders>
            <w:noWrap w:val="0"/>
            <w:vAlign w:val="center"/>
          </w:tcPr>
          <w:p w14:paraId="66D0070C">
            <w:pPr>
              <w:keepNext w:val="0"/>
              <w:keepLines w:val="0"/>
              <w:suppressLineNumbers w:val="0"/>
              <w:autoSpaceDE/>
              <w:autoSpaceDN/>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2025.10.18</w:t>
            </w:r>
          </w:p>
        </w:tc>
        <w:tc>
          <w:tcPr>
            <w:tcW w:w="1428" w:type="dxa"/>
            <w:tcBorders>
              <w:tl2br w:val="nil"/>
              <w:tr2bl w:val="nil"/>
            </w:tcBorders>
            <w:noWrap w:val="0"/>
            <w:vAlign w:val="center"/>
          </w:tcPr>
          <w:p w14:paraId="4EAC527B">
            <w:pPr>
              <w:keepNext w:val="0"/>
              <w:keepLines w:val="0"/>
              <w:suppressLineNumbers w:val="0"/>
              <w:autoSpaceDE/>
              <w:autoSpaceDN/>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2025.10.18</w:t>
            </w:r>
          </w:p>
        </w:tc>
        <w:tc>
          <w:tcPr>
            <w:tcW w:w="1429" w:type="dxa"/>
            <w:tcBorders>
              <w:tl2br w:val="nil"/>
              <w:tr2bl w:val="nil"/>
            </w:tcBorders>
            <w:noWrap w:val="0"/>
            <w:vAlign w:val="center"/>
          </w:tcPr>
          <w:p w14:paraId="2F5BC1E2">
            <w:pPr>
              <w:keepNext w:val="0"/>
              <w:keepLines w:val="0"/>
              <w:suppressLineNumbers w:val="0"/>
              <w:autoSpaceDE/>
              <w:autoSpaceDN/>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2025.10.18</w:t>
            </w:r>
          </w:p>
        </w:tc>
      </w:tr>
      <w:tr w14:paraId="3B96B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2224" w:type="dxa"/>
            <w:gridSpan w:val="2"/>
            <w:tcBorders>
              <w:tl2br w:val="nil"/>
              <w:tr2bl w:val="nil"/>
            </w:tcBorders>
            <w:noWrap w:val="0"/>
            <w:vAlign w:val="center"/>
          </w:tcPr>
          <w:p w14:paraId="377D7C78">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样品状态</w:t>
            </w:r>
          </w:p>
        </w:tc>
        <w:tc>
          <w:tcPr>
            <w:tcW w:w="6633" w:type="dxa"/>
            <w:gridSpan w:val="5"/>
            <w:tcBorders>
              <w:tl2br w:val="nil"/>
              <w:tr2bl w:val="nil"/>
            </w:tcBorders>
            <w:noWrap w:val="0"/>
            <w:vAlign w:val="center"/>
          </w:tcPr>
          <w:p w14:paraId="7F2C3C8D">
            <w:pPr>
              <w:keepNext w:val="0"/>
              <w:keepLines w:val="0"/>
              <w:suppressLineNumbers w:val="0"/>
              <w:autoSpaceDE/>
              <w:autoSpaceDN/>
              <w:spacing w:before="0" w:beforeAutospacing="0" w:after="0" w:afterAutospacing="0" w:line="240" w:lineRule="auto"/>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无色、透明、无异味、无浮油</w:t>
            </w:r>
          </w:p>
        </w:tc>
      </w:tr>
      <w:tr w14:paraId="75483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800" w:type="dxa"/>
            <w:vMerge w:val="restart"/>
            <w:tcBorders>
              <w:tl2br w:val="nil"/>
              <w:tr2bl w:val="nil"/>
            </w:tcBorders>
            <w:noWrap w:val="0"/>
            <w:vAlign w:val="center"/>
          </w:tcPr>
          <w:p w14:paraId="54F4C67F">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现场记录</w:t>
            </w:r>
          </w:p>
        </w:tc>
        <w:tc>
          <w:tcPr>
            <w:tcW w:w="1424" w:type="dxa"/>
            <w:tcBorders>
              <w:tl2br w:val="nil"/>
              <w:tr2bl w:val="nil"/>
            </w:tcBorders>
            <w:noWrap w:val="0"/>
            <w:vAlign w:val="center"/>
          </w:tcPr>
          <w:p w14:paraId="6D193053">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海拔（m）</w:t>
            </w:r>
          </w:p>
        </w:tc>
        <w:tc>
          <w:tcPr>
            <w:tcW w:w="1328" w:type="dxa"/>
            <w:tcBorders>
              <w:tl2br w:val="nil"/>
              <w:tr2bl w:val="nil"/>
            </w:tcBorders>
            <w:noWrap w:val="0"/>
            <w:vAlign w:val="center"/>
          </w:tcPr>
          <w:p w14:paraId="2CD5A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29.30</w:t>
            </w:r>
          </w:p>
        </w:tc>
        <w:tc>
          <w:tcPr>
            <w:tcW w:w="1239" w:type="dxa"/>
            <w:tcBorders>
              <w:tl2br w:val="nil"/>
              <w:tr2bl w:val="nil"/>
            </w:tcBorders>
            <w:noWrap w:val="0"/>
            <w:vAlign w:val="center"/>
          </w:tcPr>
          <w:p w14:paraId="738BCE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21.49</w:t>
            </w:r>
          </w:p>
        </w:tc>
        <w:tc>
          <w:tcPr>
            <w:tcW w:w="1209" w:type="dxa"/>
            <w:tcBorders>
              <w:tl2br w:val="nil"/>
              <w:tr2bl w:val="nil"/>
            </w:tcBorders>
            <w:noWrap w:val="0"/>
            <w:vAlign w:val="center"/>
          </w:tcPr>
          <w:p w14:paraId="26AD8EBE">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25.22</w:t>
            </w:r>
          </w:p>
        </w:tc>
        <w:tc>
          <w:tcPr>
            <w:tcW w:w="1428" w:type="dxa"/>
            <w:tcBorders>
              <w:tl2br w:val="nil"/>
              <w:tr2bl w:val="nil"/>
            </w:tcBorders>
            <w:noWrap w:val="0"/>
            <w:vAlign w:val="center"/>
          </w:tcPr>
          <w:p w14:paraId="08DE31FF">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26.17</w:t>
            </w:r>
          </w:p>
        </w:tc>
        <w:tc>
          <w:tcPr>
            <w:tcW w:w="1429" w:type="dxa"/>
            <w:tcBorders>
              <w:tl2br w:val="nil"/>
              <w:tr2bl w:val="nil"/>
            </w:tcBorders>
            <w:noWrap w:val="0"/>
            <w:vAlign w:val="center"/>
          </w:tcPr>
          <w:p w14:paraId="2F2BBCD1">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24.20</w:t>
            </w:r>
          </w:p>
        </w:tc>
      </w:tr>
      <w:tr w14:paraId="04D41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800" w:type="dxa"/>
            <w:vMerge w:val="continue"/>
            <w:tcBorders>
              <w:tl2br w:val="nil"/>
              <w:tr2bl w:val="nil"/>
            </w:tcBorders>
            <w:noWrap w:val="0"/>
            <w:vAlign w:val="center"/>
          </w:tcPr>
          <w:p w14:paraId="2255088D">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p>
        </w:tc>
        <w:tc>
          <w:tcPr>
            <w:tcW w:w="1424" w:type="dxa"/>
            <w:tcBorders>
              <w:tl2br w:val="nil"/>
              <w:tr2bl w:val="nil"/>
            </w:tcBorders>
            <w:noWrap w:val="0"/>
            <w:vAlign w:val="center"/>
          </w:tcPr>
          <w:p w14:paraId="226D215A">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埋深（m）</w:t>
            </w:r>
          </w:p>
        </w:tc>
        <w:tc>
          <w:tcPr>
            <w:tcW w:w="1328" w:type="dxa"/>
            <w:tcBorders>
              <w:tl2br w:val="nil"/>
              <w:tr2bl w:val="nil"/>
            </w:tcBorders>
            <w:noWrap w:val="0"/>
            <w:vAlign w:val="center"/>
          </w:tcPr>
          <w:p w14:paraId="6196F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9.15</w:t>
            </w:r>
          </w:p>
        </w:tc>
        <w:tc>
          <w:tcPr>
            <w:tcW w:w="1239" w:type="dxa"/>
            <w:tcBorders>
              <w:tl2br w:val="nil"/>
              <w:tr2bl w:val="nil"/>
            </w:tcBorders>
            <w:noWrap w:val="0"/>
            <w:vAlign w:val="center"/>
          </w:tcPr>
          <w:p w14:paraId="3355D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6.30</w:t>
            </w:r>
          </w:p>
        </w:tc>
        <w:tc>
          <w:tcPr>
            <w:tcW w:w="1209" w:type="dxa"/>
            <w:tcBorders>
              <w:tl2br w:val="nil"/>
              <w:tr2bl w:val="nil"/>
            </w:tcBorders>
            <w:noWrap w:val="0"/>
            <w:vAlign w:val="center"/>
          </w:tcPr>
          <w:p w14:paraId="12C39010">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6.77</w:t>
            </w:r>
          </w:p>
        </w:tc>
        <w:tc>
          <w:tcPr>
            <w:tcW w:w="1428" w:type="dxa"/>
            <w:tcBorders>
              <w:tl2br w:val="nil"/>
              <w:tr2bl w:val="nil"/>
            </w:tcBorders>
            <w:noWrap w:val="0"/>
            <w:vAlign w:val="center"/>
          </w:tcPr>
          <w:p w14:paraId="7AC3F6EE">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7.53</w:t>
            </w:r>
          </w:p>
        </w:tc>
        <w:tc>
          <w:tcPr>
            <w:tcW w:w="1429" w:type="dxa"/>
            <w:tcBorders>
              <w:tl2br w:val="nil"/>
              <w:tr2bl w:val="nil"/>
            </w:tcBorders>
            <w:noWrap w:val="0"/>
            <w:vAlign w:val="center"/>
          </w:tcPr>
          <w:p w14:paraId="7E23C1DE">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8.21</w:t>
            </w:r>
          </w:p>
        </w:tc>
      </w:tr>
      <w:tr w14:paraId="6B727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00" w:type="dxa"/>
            <w:vMerge w:val="continue"/>
            <w:tcBorders>
              <w:tl2br w:val="nil"/>
              <w:tr2bl w:val="nil"/>
            </w:tcBorders>
            <w:noWrap w:val="0"/>
            <w:vAlign w:val="center"/>
          </w:tcPr>
          <w:p w14:paraId="20A17B49">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p>
        </w:tc>
        <w:tc>
          <w:tcPr>
            <w:tcW w:w="1424" w:type="dxa"/>
            <w:tcBorders>
              <w:tl2br w:val="nil"/>
              <w:tr2bl w:val="nil"/>
            </w:tcBorders>
            <w:noWrap w:val="0"/>
            <w:vAlign w:val="center"/>
          </w:tcPr>
          <w:p w14:paraId="19466AE7">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水位（m）</w:t>
            </w:r>
          </w:p>
        </w:tc>
        <w:tc>
          <w:tcPr>
            <w:tcW w:w="1328" w:type="dxa"/>
            <w:tcBorders>
              <w:tl2br w:val="nil"/>
              <w:tr2bl w:val="nil"/>
            </w:tcBorders>
            <w:noWrap w:val="0"/>
            <w:vAlign w:val="center"/>
          </w:tcPr>
          <w:p w14:paraId="4F135A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20.15</w:t>
            </w:r>
          </w:p>
        </w:tc>
        <w:tc>
          <w:tcPr>
            <w:tcW w:w="1239" w:type="dxa"/>
            <w:tcBorders>
              <w:tl2br w:val="nil"/>
              <w:tr2bl w:val="nil"/>
            </w:tcBorders>
            <w:noWrap w:val="0"/>
            <w:vAlign w:val="center"/>
          </w:tcPr>
          <w:p w14:paraId="5A6E0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15.19</w:t>
            </w:r>
          </w:p>
        </w:tc>
        <w:tc>
          <w:tcPr>
            <w:tcW w:w="1209" w:type="dxa"/>
            <w:tcBorders>
              <w:tl2br w:val="nil"/>
              <w:tr2bl w:val="nil"/>
            </w:tcBorders>
            <w:noWrap w:val="0"/>
            <w:vAlign w:val="center"/>
          </w:tcPr>
          <w:p w14:paraId="41BAD91B">
            <w:pPr>
              <w:keepNext w:val="0"/>
              <w:keepLines w:val="0"/>
              <w:suppressLineNumbers w:val="0"/>
              <w:autoSpaceDE/>
              <w:autoSpaceDN/>
              <w:spacing w:before="0" w:beforeAutospacing="0" w:after="0" w:afterAutospacing="0" w:line="240" w:lineRule="auto"/>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18.45</w:t>
            </w:r>
          </w:p>
        </w:tc>
        <w:tc>
          <w:tcPr>
            <w:tcW w:w="1428" w:type="dxa"/>
            <w:tcBorders>
              <w:tl2br w:val="nil"/>
              <w:tr2bl w:val="nil"/>
            </w:tcBorders>
            <w:noWrap w:val="0"/>
            <w:vAlign w:val="center"/>
          </w:tcPr>
          <w:p w14:paraId="3EB77EE3">
            <w:pPr>
              <w:keepNext w:val="0"/>
              <w:keepLines w:val="0"/>
              <w:suppressLineNumbers w:val="0"/>
              <w:autoSpaceDE/>
              <w:autoSpaceDN/>
              <w:spacing w:before="0" w:beforeAutospacing="0" w:after="0" w:afterAutospacing="0" w:line="240" w:lineRule="auto"/>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18.64</w:t>
            </w:r>
          </w:p>
        </w:tc>
        <w:tc>
          <w:tcPr>
            <w:tcW w:w="1429" w:type="dxa"/>
            <w:tcBorders>
              <w:tl2br w:val="nil"/>
              <w:tr2bl w:val="nil"/>
            </w:tcBorders>
            <w:noWrap w:val="0"/>
            <w:vAlign w:val="center"/>
          </w:tcPr>
          <w:p w14:paraId="1C6E5DE5">
            <w:pPr>
              <w:keepNext w:val="0"/>
              <w:keepLines w:val="0"/>
              <w:suppressLineNumbers w:val="0"/>
              <w:autoSpaceDE/>
              <w:autoSpaceDN/>
              <w:spacing w:before="0" w:beforeAutospacing="0" w:after="0" w:afterAutospacing="0" w:line="240" w:lineRule="auto"/>
              <w:ind w:left="0" w:leftChars="0" w:right="0" w:rightChars="0" w:firstLine="0" w:firstLineChars="0"/>
              <w:jc w:val="center"/>
              <w:textAlignment w:val="baseline"/>
              <w:rPr>
                <w:rFonts w:hint="eastAsia" w:cs="Times New Roman"/>
                <w:color w:val="000000" w:themeColor="text1"/>
                <w:sz w:val="21"/>
                <w:szCs w:val="21"/>
                <w:highlight w:val="none"/>
                <w:u w:val="wave"/>
                <w:lang w:val="en-US" w:eastAsia="zh-CN" w:bidi="ar-SA"/>
                <w14:textFill>
                  <w14:solidFill>
                    <w14:schemeClr w14:val="tx1"/>
                  </w14:solidFill>
                </w14:textFill>
              </w:rPr>
            </w:pPr>
            <w:r>
              <w:rPr>
                <w:rFonts w:hint="eastAsia" w:cs="Times New Roman"/>
                <w:color w:val="000000" w:themeColor="text1"/>
                <w:sz w:val="21"/>
                <w:szCs w:val="21"/>
                <w:highlight w:val="none"/>
                <w:u w:val="wave"/>
                <w:lang w:val="en-US" w:eastAsia="zh-CN" w:bidi="ar-SA"/>
                <w14:textFill>
                  <w14:solidFill>
                    <w14:schemeClr w14:val="tx1"/>
                  </w14:solidFill>
                </w14:textFill>
              </w:rPr>
              <w:t>15.99</w:t>
            </w:r>
          </w:p>
        </w:tc>
      </w:tr>
    </w:tbl>
    <w:p w14:paraId="7CAC90AE">
      <w:pPr>
        <w:spacing w:line="240" w:lineRule="auto"/>
        <w:ind w:left="0" w:leftChars="0" w:firstLine="0" w:firstLineChars="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 xml:space="preserve">表 </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4.2</w:t>
      </w:r>
      <w:r>
        <w:rPr>
          <w:rFonts w:hint="default" w:ascii="Times New Roman" w:hAnsi="Times New Roman" w:cs="Times New Roman"/>
          <w:b/>
          <w:bCs/>
          <w:color w:val="000000" w:themeColor="text1"/>
          <w:highlight w:val="none"/>
          <w:u w:val="none" w:color="auto"/>
          <w14:textFill>
            <w14:solidFill>
              <w14:schemeClr w14:val="tx1"/>
            </w14:solidFill>
          </w14:textFill>
        </w:rPr>
        <w:noBreakHyphen/>
      </w:r>
      <w:r>
        <w:rPr>
          <w:rFonts w:hint="eastAsia" w:cs="Times New Roman"/>
          <w:b/>
          <w:bCs/>
          <w:color w:val="000000" w:themeColor="text1"/>
          <w:highlight w:val="none"/>
          <w:u w:val="none" w:color="auto"/>
          <w:lang w:val="en-US" w:eastAsia="zh-CN"/>
          <w14:textFill>
            <w14:solidFill>
              <w14:schemeClr w14:val="tx1"/>
            </w14:solidFill>
          </w14:textFill>
        </w:rPr>
        <w:t>8</w:t>
      </w:r>
      <w:r>
        <w:rPr>
          <w:rFonts w:hint="default" w:ascii="Times New Roman" w:hAnsi="Times New Roman" w:cs="Times New Roman"/>
          <w:b/>
          <w:bCs/>
          <w:color w:val="000000" w:themeColor="text1"/>
          <w:highlight w:val="none"/>
          <w:u w:val="none" w:color="auto"/>
          <w14:textFill>
            <w14:solidFill>
              <w14:schemeClr w14:val="tx1"/>
            </w14:solidFill>
          </w14:textFill>
        </w:rPr>
        <w:t xml:space="preserve">  地下水水质现状监测结果统计一览表</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 xml:space="preserve"> </w:t>
      </w:r>
      <w:r>
        <w:rPr>
          <w:rFonts w:hint="default" w:ascii="Times New Roman" w:hAnsi="Times New Roman" w:cs="Times New Roman"/>
          <w:b/>
          <w:bCs/>
          <w:color w:val="000000" w:themeColor="text1"/>
          <w:highlight w:val="none"/>
          <w:u w:val="none" w:color="auto"/>
          <w14:textFill>
            <w14:solidFill>
              <w14:schemeClr w14:val="tx1"/>
            </w14:solidFill>
          </w14:textFill>
        </w:rPr>
        <w:t>单位 mg/L</w:t>
      </w:r>
    </w:p>
    <w:tbl>
      <w:tblPr>
        <w:tblStyle w:val="77"/>
        <w:tblW w:w="92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1134"/>
        <w:gridCol w:w="1058"/>
        <w:gridCol w:w="1033"/>
        <w:gridCol w:w="1220"/>
        <w:gridCol w:w="1221"/>
        <w:gridCol w:w="866"/>
        <w:gridCol w:w="812"/>
      </w:tblGrid>
      <w:tr w14:paraId="13484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exact"/>
          <w:tblHeader/>
          <w:jc w:val="center"/>
        </w:trPr>
        <w:tc>
          <w:tcPr>
            <w:tcW w:w="1899" w:type="dxa"/>
            <w:vMerge w:val="restart"/>
            <w:tcBorders>
              <w:tl2br w:val="nil"/>
              <w:tr2bl w:val="nil"/>
            </w:tcBorders>
            <w:noWrap w:val="0"/>
            <w:vAlign w:val="center"/>
          </w:tcPr>
          <w:p w14:paraId="1FDB4BD2">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eastAsia="zh-CN"/>
                <w14:textFill>
                  <w14:solidFill>
                    <w14:schemeClr w14:val="tx1"/>
                  </w14:solidFill>
                </w14:textFill>
              </w:rPr>
              <w:t>检测项目</w:t>
            </w:r>
          </w:p>
        </w:tc>
        <w:tc>
          <w:tcPr>
            <w:tcW w:w="5666" w:type="dxa"/>
            <w:gridSpan w:val="5"/>
            <w:tcBorders>
              <w:tl2br w:val="nil"/>
              <w:tr2bl w:val="nil"/>
            </w:tcBorders>
            <w:noWrap w:val="0"/>
            <w:vAlign w:val="center"/>
          </w:tcPr>
          <w:p w14:paraId="41D1A1A8">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采样点位及检测结果</w:t>
            </w:r>
          </w:p>
        </w:tc>
        <w:tc>
          <w:tcPr>
            <w:tcW w:w="866" w:type="dxa"/>
            <w:vMerge w:val="restart"/>
            <w:tcBorders>
              <w:tl2br w:val="nil"/>
              <w:tr2bl w:val="nil"/>
            </w:tcBorders>
            <w:noWrap w:val="0"/>
            <w:vAlign w:val="center"/>
          </w:tcPr>
          <w:p w14:paraId="788844EC">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参考</w:t>
            </w:r>
          </w:p>
          <w:p w14:paraId="695006AB">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snapToGrid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限值</w:t>
            </w:r>
          </w:p>
        </w:tc>
        <w:tc>
          <w:tcPr>
            <w:tcW w:w="812" w:type="dxa"/>
            <w:vMerge w:val="restart"/>
            <w:tcBorders>
              <w:tl2br w:val="nil"/>
              <w:tr2bl w:val="nil"/>
            </w:tcBorders>
            <w:noWrap w:val="0"/>
            <w:vAlign w:val="center"/>
          </w:tcPr>
          <w:p w14:paraId="00685C5B">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达标情况</w:t>
            </w:r>
          </w:p>
        </w:tc>
      </w:tr>
      <w:tr w14:paraId="43DF8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tblHeader/>
          <w:jc w:val="center"/>
        </w:trPr>
        <w:tc>
          <w:tcPr>
            <w:tcW w:w="1899" w:type="dxa"/>
            <w:vMerge w:val="continue"/>
            <w:tcBorders>
              <w:tl2br w:val="nil"/>
              <w:tr2bl w:val="nil"/>
            </w:tcBorders>
            <w:noWrap w:val="0"/>
            <w:vAlign w:val="center"/>
          </w:tcPr>
          <w:p w14:paraId="66090AC6">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z w:val="21"/>
                <w:szCs w:val="21"/>
                <w:highlight w:val="none"/>
                <w:lang w:eastAsia="zh-CN"/>
                <w14:textFill>
                  <w14:solidFill>
                    <w14:schemeClr w14:val="tx1"/>
                  </w14:solidFill>
                </w14:textFill>
              </w:rPr>
            </w:pPr>
          </w:p>
        </w:tc>
        <w:tc>
          <w:tcPr>
            <w:tcW w:w="1134" w:type="dxa"/>
            <w:tcBorders>
              <w:tl2br w:val="nil"/>
              <w:tr2bl w:val="nil"/>
            </w:tcBorders>
            <w:noWrap w:val="0"/>
            <w:vAlign w:val="center"/>
          </w:tcPr>
          <w:p w14:paraId="370A927D">
            <w:pPr>
              <w:keepNext w:val="0"/>
              <w:keepLines w:val="0"/>
              <w:widowControl w:val="0"/>
              <w:suppressLineNumbers w:val="0"/>
              <w:adjustRightInd w:val="0"/>
              <w:spacing w:before="0" w:beforeAutospacing="0" w:after="0" w:afterAutospacing="0" w:line="312" w:lineRule="atLeast"/>
              <w:ind w:left="0" w:leftChars="0" w:right="0" w:firstLine="0" w:firstLineChars="0"/>
              <w:jc w:val="center"/>
              <w:textAlignment w:val="baseline"/>
              <w:rPr>
                <w:rFonts w:hint="default" w:ascii="Times New Roman" w:hAnsi="Times New Roman" w:eastAsia="宋体" w:cs="Times New Roman"/>
                <w:b/>
                <w:bCs/>
                <w:snapToGrid w:val="0"/>
                <w:color w:val="000000" w:themeColor="text1"/>
                <w:spacing w:val="-1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D1</w:t>
            </w:r>
          </w:p>
        </w:tc>
        <w:tc>
          <w:tcPr>
            <w:tcW w:w="1058" w:type="dxa"/>
            <w:tcBorders>
              <w:tl2br w:val="nil"/>
              <w:tr2bl w:val="nil"/>
            </w:tcBorders>
            <w:noWrap w:val="0"/>
            <w:vAlign w:val="center"/>
          </w:tcPr>
          <w:p w14:paraId="5E0D6799">
            <w:pPr>
              <w:keepNext w:val="0"/>
              <w:keepLines w:val="0"/>
              <w:widowControl w:val="0"/>
              <w:suppressLineNumbers w:val="0"/>
              <w:adjustRightInd w:val="0"/>
              <w:spacing w:before="0" w:beforeAutospacing="0" w:after="0" w:afterAutospacing="0" w:line="312" w:lineRule="atLeast"/>
              <w:ind w:left="0" w:leftChars="0" w:right="0" w:firstLine="0" w:firstLineChars="0"/>
              <w:jc w:val="center"/>
              <w:textAlignment w:val="baseline"/>
              <w:rPr>
                <w:rFonts w:hint="default" w:ascii="Times New Roman" w:hAnsi="Times New Roman" w:eastAsia="宋体" w:cs="Times New Roman"/>
                <w:b/>
                <w:bCs/>
                <w:snapToGrid w:val="0"/>
                <w:color w:val="000000" w:themeColor="text1"/>
                <w:spacing w:val="-1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D2</w:t>
            </w:r>
          </w:p>
        </w:tc>
        <w:tc>
          <w:tcPr>
            <w:tcW w:w="1033" w:type="dxa"/>
            <w:tcBorders>
              <w:tl2br w:val="nil"/>
              <w:tr2bl w:val="nil"/>
            </w:tcBorders>
            <w:noWrap w:val="0"/>
            <w:vAlign w:val="center"/>
          </w:tcPr>
          <w:p w14:paraId="77CA1DFC">
            <w:pPr>
              <w:keepNext w:val="0"/>
              <w:keepLines w:val="0"/>
              <w:widowControl w:val="0"/>
              <w:suppressLineNumbers w:val="0"/>
              <w:adjustRightInd w:val="0"/>
              <w:spacing w:before="0" w:beforeAutospacing="0" w:after="0" w:afterAutospacing="0" w:line="312" w:lineRule="atLeast"/>
              <w:ind w:left="0" w:leftChars="0" w:right="0" w:firstLine="0" w:firstLineChars="0"/>
              <w:jc w:val="center"/>
              <w:textAlignment w:val="baseline"/>
              <w:rPr>
                <w:rFonts w:hint="default" w:ascii="Times New Roman" w:hAnsi="Times New Roman" w:eastAsia="宋体" w:cs="Times New Roman"/>
                <w:b/>
                <w:bCs/>
                <w:snapToGrid w:val="0"/>
                <w:color w:val="000000" w:themeColor="text1"/>
                <w:spacing w:val="-1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D3</w:t>
            </w:r>
          </w:p>
        </w:tc>
        <w:tc>
          <w:tcPr>
            <w:tcW w:w="1220" w:type="dxa"/>
            <w:tcBorders>
              <w:tl2br w:val="nil"/>
              <w:tr2bl w:val="nil"/>
            </w:tcBorders>
            <w:noWrap w:val="0"/>
            <w:vAlign w:val="center"/>
          </w:tcPr>
          <w:p w14:paraId="147E26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spacing w:val="-1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D4</w:t>
            </w:r>
          </w:p>
        </w:tc>
        <w:tc>
          <w:tcPr>
            <w:tcW w:w="1221" w:type="dxa"/>
            <w:tcBorders>
              <w:tl2br w:val="nil"/>
              <w:tr2bl w:val="nil"/>
            </w:tcBorders>
            <w:noWrap w:val="0"/>
            <w:vAlign w:val="center"/>
          </w:tcPr>
          <w:p w14:paraId="3EC49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金银山社区自来水厂</w:t>
            </w:r>
          </w:p>
        </w:tc>
        <w:tc>
          <w:tcPr>
            <w:tcW w:w="866" w:type="dxa"/>
            <w:vMerge w:val="continue"/>
            <w:tcBorders>
              <w:tl2br w:val="nil"/>
              <w:tr2bl w:val="nil"/>
            </w:tcBorders>
            <w:noWrap w:val="0"/>
            <w:vAlign w:val="center"/>
          </w:tcPr>
          <w:p w14:paraId="31265C5B">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p>
        </w:tc>
        <w:tc>
          <w:tcPr>
            <w:tcW w:w="812" w:type="dxa"/>
            <w:vMerge w:val="continue"/>
            <w:tcBorders>
              <w:tl2br w:val="nil"/>
              <w:tr2bl w:val="nil"/>
            </w:tcBorders>
            <w:noWrap w:val="0"/>
            <w:vAlign w:val="center"/>
          </w:tcPr>
          <w:p w14:paraId="29B18E9C">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p>
        </w:tc>
      </w:tr>
      <w:tr w14:paraId="5C982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899" w:type="dxa"/>
            <w:tcBorders>
              <w:tl2br w:val="nil"/>
              <w:tr2bl w:val="nil"/>
            </w:tcBorders>
            <w:noWrap w:val="0"/>
            <w:vAlign w:val="center"/>
          </w:tcPr>
          <w:p w14:paraId="0E733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*钾离子（mg/L）</w:t>
            </w:r>
          </w:p>
        </w:tc>
        <w:tc>
          <w:tcPr>
            <w:tcW w:w="1134" w:type="dxa"/>
            <w:tcBorders>
              <w:tl2br w:val="nil"/>
              <w:tr2bl w:val="nil"/>
            </w:tcBorders>
            <w:noWrap w:val="0"/>
            <w:vAlign w:val="center"/>
          </w:tcPr>
          <w:p w14:paraId="300D0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t>1.08</w:t>
            </w:r>
          </w:p>
        </w:tc>
        <w:tc>
          <w:tcPr>
            <w:tcW w:w="1058" w:type="dxa"/>
            <w:tcBorders>
              <w:tl2br w:val="nil"/>
              <w:tr2bl w:val="nil"/>
            </w:tcBorders>
            <w:noWrap w:val="0"/>
            <w:vAlign w:val="center"/>
          </w:tcPr>
          <w:p w14:paraId="3422E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t>2.90</w:t>
            </w:r>
          </w:p>
        </w:tc>
        <w:tc>
          <w:tcPr>
            <w:tcW w:w="1033" w:type="dxa"/>
            <w:tcBorders>
              <w:tl2br w:val="nil"/>
              <w:tr2bl w:val="nil"/>
            </w:tcBorders>
            <w:noWrap w:val="0"/>
            <w:vAlign w:val="center"/>
          </w:tcPr>
          <w:p w14:paraId="01DB07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t>5.83</w:t>
            </w:r>
          </w:p>
        </w:tc>
        <w:tc>
          <w:tcPr>
            <w:tcW w:w="1220" w:type="dxa"/>
            <w:tcBorders>
              <w:tl2br w:val="nil"/>
              <w:tr2bl w:val="nil"/>
            </w:tcBorders>
            <w:noWrap w:val="0"/>
            <w:vAlign w:val="center"/>
          </w:tcPr>
          <w:p w14:paraId="19947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5.22</w:t>
            </w:r>
          </w:p>
        </w:tc>
        <w:tc>
          <w:tcPr>
            <w:tcW w:w="1221" w:type="dxa"/>
            <w:tcBorders>
              <w:tl2br w:val="nil"/>
              <w:tr2bl w:val="nil"/>
            </w:tcBorders>
            <w:noWrap w:val="0"/>
            <w:vAlign w:val="center"/>
          </w:tcPr>
          <w:p w14:paraId="25345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866" w:type="dxa"/>
            <w:tcBorders>
              <w:tl2br w:val="nil"/>
              <w:tr2bl w:val="nil"/>
            </w:tcBorders>
            <w:noWrap w:val="0"/>
            <w:vAlign w:val="center"/>
          </w:tcPr>
          <w:p w14:paraId="1633C2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c>
          <w:tcPr>
            <w:tcW w:w="812" w:type="dxa"/>
            <w:tcBorders>
              <w:tl2br w:val="nil"/>
              <w:tr2bl w:val="nil"/>
            </w:tcBorders>
            <w:noWrap w:val="0"/>
            <w:vAlign w:val="center"/>
          </w:tcPr>
          <w:p w14:paraId="085E5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w:t>
            </w:r>
          </w:p>
        </w:tc>
      </w:tr>
      <w:tr w14:paraId="4AEF0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6338D0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*钙离子（mg/L）</w:t>
            </w:r>
          </w:p>
        </w:tc>
        <w:tc>
          <w:tcPr>
            <w:tcW w:w="1134" w:type="dxa"/>
            <w:tcBorders>
              <w:tl2br w:val="nil"/>
              <w:tr2bl w:val="nil"/>
            </w:tcBorders>
            <w:noWrap w:val="0"/>
            <w:vAlign w:val="center"/>
          </w:tcPr>
          <w:p w14:paraId="3A8CC9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t>8.52</w:t>
            </w:r>
          </w:p>
        </w:tc>
        <w:tc>
          <w:tcPr>
            <w:tcW w:w="1058" w:type="dxa"/>
            <w:tcBorders>
              <w:tl2br w:val="nil"/>
              <w:tr2bl w:val="nil"/>
            </w:tcBorders>
            <w:noWrap w:val="0"/>
            <w:vAlign w:val="center"/>
          </w:tcPr>
          <w:p w14:paraId="5CA81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t>54.1</w:t>
            </w:r>
          </w:p>
        </w:tc>
        <w:tc>
          <w:tcPr>
            <w:tcW w:w="1033" w:type="dxa"/>
            <w:tcBorders>
              <w:tl2br w:val="nil"/>
              <w:tr2bl w:val="nil"/>
            </w:tcBorders>
            <w:noWrap w:val="0"/>
            <w:vAlign w:val="center"/>
          </w:tcPr>
          <w:p w14:paraId="52363E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t>19.0</w:t>
            </w:r>
          </w:p>
        </w:tc>
        <w:tc>
          <w:tcPr>
            <w:tcW w:w="1220" w:type="dxa"/>
            <w:tcBorders>
              <w:tl2br w:val="nil"/>
              <w:tr2bl w:val="nil"/>
            </w:tcBorders>
            <w:noWrap w:val="0"/>
            <w:vAlign w:val="center"/>
          </w:tcPr>
          <w:p w14:paraId="132184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5.78</w:t>
            </w:r>
          </w:p>
        </w:tc>
        <w:tc>
          <w:tcPr>
            <w:tcW w:w="1221" w:type="dxa"/>
            <w:tcBorders>
              <w:tl2br w:val="nil"/>
              <w:tr2bl w:val="nil"/>
            </w:tcBorders>
            <w:noWrap w:val="0"/>
            <w:vAlign w:val="center"/>
          </w:tcPr>
          <w:p w14:paraId="35E86B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66" w:type="dxa"/>
            <w:tcBorders>
              <w:tl2br w:val="nil"/>
              <w:tr2bl w:val="nil"/>
            </w:tcBorders>
            <w:noWrap w:val="0"/>
            <w:vAlign w:val="center"/>
          </w:tcPr>
          <w:p w14:paraId="4B858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12" w:type="dxa"/>
            <w:tcBorders>
              <w:tl2br w:val="nil"/>
              <w:tr2bl w:val="nil"/>
            </w:tcBorders>
            <w:noWrap w:val="0"/>
            <w:vAlign w:val="center"/>
          </w:tcPr>
          <w:p w14:paraId="0358E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6C503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67456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*钠离子（mg/L）</w:t>
            </w:r>
          </w:p>
        </w:tc>
        <w:tc>
          <w:tcPr>
            <w:tcW w:w="1134" w:type="dxa"/>
            <w:tcBorders>
              <w:tl2br w:val="nil"/>
              <w:tr2bl w:val="nil"/>
            </w:tcBorders>
            <w:noWrap w:val="0"/>
            <w:vAlign w:val="center"/>
          </w:tcPr>
          <w:p w14:paraId="2B5DD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t>13.1</w:t>
            </w:r>
          </w:p>
        </w:tc>
        <w:tc>
          <w:tcPr>
            <w:tcW w:w="1058" w:type="dxa"/>
            <w:tcBorders>
              <w:tl2br w:val="nil"/>
              <w:tr2bl w:val="nil"/>
            </w:tcBorders>
            <w:noWrap w:val="0"/>
            <w:vAlign w:val="center"/>
          </w:tcPr>
          <w:p w14:paraId="3217BA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t>9.23</w:t>
            </w:r>
          </w:p>
        </w:tc>
        <w:tc>
          <w:tcPr>
            <w:tcW w:w="1033" w:type="dxa"/>
            <w:tcBorders>
              <w:tl2br w:val="nil"/>
              <w:tr2bl w:val="nil"/>
            </w:tcBorders>
            <w:noWrap w:val="0"/>
            <w:vAlign w:val="center"/>
          </w:tcPr>
          <w:p w14:paraId="4BEFFC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t>6.46</w:t>
            </w:r>
          </w:p>
        </w:tc>
        <w:tc>
          <w:tcPr>
            <w:tcW w:w="1220" w:type="dxa"/>
            <w:tcBorders>
              <w:tl2br w:val="nil"/>
              <w:tr2bl w:val="nil"/>
            </w:tcBorders>
            <w:noWrap w:val="0"/>
            <w:vAlign w:val="center"/>
          </w:tcPr>
          <w:p w14:paraId="21CF51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19.2</w:t>
            </w:r>
          </w:p>
        </w:tc>
        <w:tc>
          <w:tcPr>
            <w:tcW w:w="1221" w:type="dxa"/>
            <w:tcBorders>
              <w:tl2br w:val="nil"/>
              <w:tr2bl w:val="nil"/>
            </w:tcBorders>
            <w:noWrap w:val="0"/>
            <w:vAlign w:val="center"/>
          </w:tcPr>
          <w:p w14:paraId="76A56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866" w:type="dxa"/>
            <w:tcBorders>
              <w:tl2br w:val="nil"/>
              <w:tr2bl w:val="nil"/>
            </w:tcBorders>
            <w:noWrap w:val="0"/>
            <w:vAlign w:val="center"/>
          </w:tcPr>
          <w:p w14:paraId="15EB62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812" w:type="dxa"/>
            <w:tcBorders>
              <w:tl2br w:val="nil"/>
              <w:tr2bl w:val="nil"/>
            </w:tcBorders>
            <w:noWrap w:val="0"/>
            <w:vAlign w:val="center"/>
          </w:tcPr>
          <w:p w14:paraId="69F2F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010E0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4D843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*镁离子（mg/L）</w:t>
            </w:r>
          </w:p>
        </w:tc>
        <w:tc>
          <w:tcPr>
            <w:tcW w:w="1134" w:type="dxa"/>
            <w:tcBorders>
              <w:tl2br w:val="nil"/>
              <w:tr2bl w:val="nil"/>
            </w:tcBorders>
            <w:noWrap w:val="0"/>
            <w:vAlign w:val="center"/>
          </w:tcPr>
          <w:p w14:paraId="20E28D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14:textFill>
                  <w14:solidFill>
                    <w14:schemeClr w14:val="tx1"/>
                  </w14:solidFill>
                </w14:textFill>
              </w:rPr>
              <w:t>4.72</w:t>
            </w:r>
          </w:p>
        </w:tc>
        <w:tc>
          <w:tcPr>
            <w:tcW w:w="1058" w:type="dxa"/>
            <w:tcBorders>
              <w:tl2br w:val="nil"/>
              <w:tr2bl w:val="nil"/>
            </w:tcBorders>
            <w:noWrap w:val="0"/>
            <w:vAlign w:val="center"/>
          </w:tcPr>
          <w:p w14:paraId="3D8D0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14:textFill>
                  <w14:solidFill>
                    <w14:schemeClr w14:val="tx1"/>
                  </w14:solidFill>
                </w14:textFill>
              </w:rPr>
              <w:t>13.7</w:t>
            </w:r>
          </w:p>
        </w:tc>
        <w:tc>
          <w:tcPr>
            <w:tcW w:w="1033" w:type="dxa"/>
            <w:tcBorders>
              <w:tl2br w:val="nil"/>
              <w:tr2bl w:val="nil"/>
            </w:tcBorders>
            <w:noWrap w:val="0"/>
            <w:vAlign w:val="center"/>
          </w:tcPr>
          <w:p w14:paraId="2BEB42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right="0" w:firstLine="0" w:firstLineChars="0"/>
              <w:jc w:val="center"/>
              <w:textAlignment w:val="auto"/>
              <w:rPr>
                <w:rFonts w:hint="default" w:ascii="Times New Roman" w:hAnsi="Times New Roman" w:eastAsia="仿宋"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highlight w:val="none"/>
                <w:lang w:val="en-US" w:eastAsia="zh-CN"/>
                <w14:textFill>
                  <w14:solidFill>
                    <w14:schemeClr w14:val="tx1"/>
                  </w14:solidFill>
                </w14:textFill>
              </w:rPr>
              <w:t>5.20</w:t>
            </w:r>
          </w:p>
        </w:tc>
        <w:tc>
          <w:tcPr>
            <w:tcW w:w="1220" w:type="dxa"/>
            <w:tcBorders>
              <w:tl2br w:val="nil"/>
              <w:tr2bl w:val="nil"/>
            </w:tcBorders>
            <w:noWrap w:val="0"/>
            <w:vAlign w:val="center"/>
          </w:tcPr>
          <w:p w14:paraId="796E7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5.47</w:t>
            </w:r>
          </w:p>
        </w:tc>
        <w:tc>
          <w:tcPr>
            <w:tcW w:w="1221" w:type="dxa"/>
            <w:tcBorders>
              <w:tl2br w:val="nil"/>
              <w:tr2bl w:val="nil"/>
            </w:tcBorders>
            <w:noWrap w:val="0"/>
            <w:vAlign w:val="center"/>
          </w:tcPr>
          <w:p w14:paraId="5F578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866" w:type="dxa"/>
            <w:tcBorders>
              <w:tl2br w:val="nil"/>
              <w:tr2bl w:val="nil"/>
            </w:tcBorders>
            <w:noWrap w:val="0"/>
            <w:vAlign w:val="center"/>
          </w:tcPr>
          <w:p w14:paraId="48B4C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812" w:type="dxa"/>
            <w:tcBorders>
              <w:tl2br w:val="nil"/>
              <w:tr2bl w:val="nil"/>
            </w:tcBorders>
            <w:noWrap w:val="0"/>
            <w:vAlign w:val="center"/>
          </w:tcPr>
          <w:p w14:paraId="4E097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24942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1" w:hRule="exact"/>
          <w:jc w:val="center"/>
        </w:trPr>
        <w:tc>
          <w:tcPr>
            <w:tcW w:w="1899" w:type="dxa"/>
            <w:tcBorders>
              <w:tl2br w:val="nil"/>
              <w:tr2bl w:val="nil"/>
            </w:tcBorders>
            <w:noWrap w:val="0"/>
            <w:vAlign w:val="center"/>
          </w:tcPr>
          <w:p w14:paraId="5A75D5CD">
            <w:pPr>
              <w:keepNext w:val="0"/>
              <w:keepLines w:val="0"/>
              <w:pageBreakBefore w:val="0"/>
              <w:widowControl/>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碳酸根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1134" w:type="dxa"/>
            <w:tcBorders>
              <w:tl2br w:val="nil"/>
              <w:tr2bl w:val="nil"/>
            </w:tcBorders>
            <w:noWrap w:val="0"/>
            <w:vAlign w:val="center"/>
          </w:tcPr>
          <w:p w14:paraId="07CBBC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5L</w:t>
            </w:r>
          </w:p>
        </w:tc>
        <w:tc>
          <w:tcPr>
            <w:tcW w:w="1058" w:type="dxa"/>
            <w:tcBorders>
              <w:tl2br w:val="nil"/>
              <w:tr2bl w:val="nil"/>
            </w:tcBorders>
            <w:noWrap w:val="0"/>
            <w:vAlign w:val="center"/>
          </w:tcPr>
          <w:p w14:paraId="2E89CE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5L</w:t>
            </w:r>
          </w:p>
        </w:tc>
        <w:tc>
          <w:tcPr>
            <w:tcW w:w="1033" w:type="dxa"/>
            <w:tcBorders>
              <w:tl2br w:val="nil"/>
              <w:tr2bl w:val="nil"/>
            </w:tcBorders>
            <w:noWrap w:val="0"/>
            <w:vAlign w:val="center"/>
          </w:tcPr>
          <w:p w14:paraId="75859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5L</w:t>
            </w:r>
          </w:p>
        </w:tc>
        <w:tc>
          <w:tcPr>
            <w:tcW w:w="1220" w:type="dxa"/>
            <w:tcBorders>
              <w:tl2br w:val="nil"/>
              <w:tr2bl w:val="nil"/>
            </w:tcBorders>
            <w:noWrap w:val="0"/>
            <w:vAlign w:val="center"/>
          </w:tcPr>
          <w:p w14:paraId="7DC16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5L</w:t>
            </w:r>
          </w:p>
        </w:tc>
        <w:tc>
          <w:tcPr>
            <w:tcW w:w="1221" w:type="dxa"/>
            <w:tcBorders>
              <w:tl2br w:val="nil"/>
              <w:tr2bl w:val="nil"/>
            </w:tcBorders>
            <w:noWrap w:val="0"/>
            <w:vAlign w:val="center"/>
          </w:tcPr>
          <w:p w14:paraId="081FD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866" w:type="dxa"/>
            <w:tcBorders>
              <w:tl2br w:val="nil"/>
              <w:tr2bl w:val="nil"/>
            </w:tcBorders>
            <w:noWrap w:val="0"/>
            <w:vAlign w:val="center"/>
          </w:tcPr>
          <w:p w14:paraId="0471A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812" w:type="dxa"/>
            <w:tcBorders>
              <w:tl2br w:val="nil"/>
              <w:tr2bl w:val="nil"/>
            </w:tcBorders>
            <w:noWrap w:val="0"/>
            <w:vAlign w:val="center"/>
          </w:tcPr>
          <w:p w14:paraId="398AD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17416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48DA8703">
            <w:pPr>
              <w:keepNext w:val="0"/>
              <w:keepLines w:val="0"/>
              <w:pageBreakBefore w:val="0"/>
              <w:widowControl/>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0"/>
                <w:highlight w:val="none"/>
                <w:lang w:val="en-US" w:eastAsia="zh-CN"/>
              </w:rPr>
              <w:t>重碳酸根</w:t>
            </w:r>
            <w:r>
              <w:rPr>
                <w:rFonts w:hint="default" w:ascii="Times New Roman" w:hAnsi="Times New Roman" w:eastAsia="宋体" w:cs="Times New Roman"/>
                <w:color w:val="auto"/>
                <w:sz w:val="21"/>
                <w:szCs w:val="21"/>
                <w:highlight w:val="none"/>
                <w:lang w:val="en-US" w:eastAsia="zh-CN"/>
              </w:rPr>
              <w:t>（mg/L）</w:t>
            </w:r>
          </w:p>
        </w:tc>
        <w:tc>
          <w:tcPr>
            <w:tcW w:w="1134" w:type="dxa"/>
            <w:tcBorders>
              <w:tl2br w:val="nil"/>
              <w:tr2bl w:val="nil"/>
            </w:tcBorders>
            <w:noWrap w:val="0"/>
            <w:vAlign w:val="center"/>
          </w:tcPr>
          <w:p w14:paraId="1BFAB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48</w:t>
            </w:r>
          </w:p>
        </w:tc>
        <w:tc>
          <w:tcPr>
            <w:tcW w:w="1058" w:type="dxa"/>
            <w:tcBorders>
              <w:tl2br w:val="nil"/>
              <w:tr2bl w:val="nil"/>
            </w:tcBorders>
            <w:noWrap w:val="0"/>
            <w:vAlign w:val="center"/>
          </w:tcPr>
          <w:p w14:paraId="58FAA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24</w:t>
            </w:r>
          </w:p>
        </w:tc>
        <w:tc>
          <w:tcPr>
            <w:tcW w:w="1033" w:type="dxa"/>
            <w:tcBorders>
              <w:tl2br w:val="nil"/>
              <w:tr2bl w:val="nil"/>
            </w:tcBorders>
            <w:noWrap w:val="0"/>
            <w:vAlign w:val="center"/>
          </w:tcPr>
          <w:p w14:paraId="438FE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76</w:t>
            </w:r>
          </w:p>
        </w:tc>
        <w:tc>
          <w:tcPr>
            <w:tcW w:w="1220" w:type="dxa"/>
            <w:tcBorders>
              <w:tl2br w:val="nil"/>
              <w:tr2bl w:val="nil"/>
            </w:tcBorders>
            <w:noWrap w:val="0"/>
            <w:vAlign w:val="center"/>
          </w:tcPr>
          <w:p w14:paraId="76AB3F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72</w:t>
            </w:r>
          </w:p>
        </w:tc>
        <w:tc>
          <w:tcPr>
            <w:tcW w:w="1221" w:type="dxa"/>
            <w:tcBorders>
              <w:tl2br w:val="nil"/>
              <w:tr2bl w:val="nil"/>
            </w:tcBorders>
            <w:noWrap w:val="0"/>
            <w:vAlign w:val="center"/>
          </w:tcPr>
          <w:p w14:paraId="30251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866" w:type="dxa"/>
            <w:tcBorders>
              <w:tl2br w:val="nil"/>
              <w:tr2bl w:val="nil"/>
            </w:tcBorders>
            <w:noWrap w:val="0"/>
            <w:vAlign w:val="center"/>
          </w:tcPr>
          <w:p w14:paraId="2106FA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812" w:type="dxa"/>
            <w:tcBorders>
              <w:tl2br w:val="nil"/>
              <w:tr2bl w:val="nil"/>
            </w:tcBorders>
            <w:noWrap w:val="0"/>
            <w:vAlign w:val="center"/>
          </w:tcPr>
          <w:p w14:paraId="618F4B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14:paraId="68615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0B7C4654">
            <w:pPr>
              <w:keepNext w:val="0"/>
              <w:keepLines w:val="0"/>
              <w:widowControl/>
              <w:suppressLineNumbers w:val="0"/>
              <w:autoSpaceDE/>
              <w:autoSpaceDN/>
              <w:spacing w:before="0" w:beforeAutospacing="0" w:after="0" w:afterAutospacing="0" w:line="300" w:lineRule="exact"/>
              <w:ind w:left="0" w:right="0" w:firstLine="0" w:firstLineChars="0"/>
              <w:jc w:val="center"/>
              <w:textAlignment w:val="baseline"/>
              <w:rPr>
                <w:rFonts w:hint="default" w:ascii="Times New Roman" w:hAnsi="Times New Roman" w:eastAsia="宋体" w:cs="Times New Roman"/>
                <w:b w:val="0"/>
                <w:bCs w:val="0"/>
                <w:color w:val="000000"/>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氯离子</w:t>
            </w:r>
            <w:r>
              <w:rPr>
                <w:rFonts w:hint="default" w:ascii="Times New Roman" w:hAnsi="Times New Roman" w:eastAsia="宋体" w:cs="Times New Roman"/>
                <w:color w:val="auto"/>
                <w:sz w:val="21"/>
                <w:szCs w:val="21"/>
                <w:highlight w:val="none"/>
                <w:lang w:val="en-US" w:eastAsia="zh-CN"/>
              </w:rPr>
              <w:t>（mg/L）</w:t>
            </w:r>
          </w:p>
        </w:tc>
        <w:tc>
          <w:tcPr>
            <w:tcW w:w="1134" w:type="dxa"/>
            <w:tcBorders>
              <w:tl2br w:val="nil"/>
              <w:tr2bl w:val="nil"/>
            </w:tcBorders>
            <w:noWrap w:val="0"/>
            <w:vAlign w:val="center"/>
          </w:tcPr>
          <w:p w14:paraId="2AAC8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sz w:val="21"/>
                <w:szCs w:val="21"/>
                <w:highlight w:val="none"/>
                <w:lang w:val="en-US" w:eastAsia="zh-CN" w:bidi="ar-SA"/>
              </w:rPr>
            </w:pPr>
            <w:r>
              <w:rPr>
                <w:rFonts w:hint="default" w:ascii="Times New Roman" w:hAnsi="Times New Roman" w:eastAsia="仿宋" w:cs="Times New Roman"/>
                <w:b w:val="0"/>
                <w:bCs w:val="0"/>
                <w:sz w:val="21"/>
                <w:szCs w:val="21"/>
                <w:highlight w:val="none"/>
                <w:lang w:val="en-US" w:eastAsia="zh-CN" w:bidi="ar-SA"/>
              </w:rPr>
              <w:t>26.1</w:t>
            </w:r>
          </w:p>
        </w:tc>
        <w:tc>
          <w:tcPr>
            <w:tcW w:w="1058" w:type="dxa"/>
            <w:tcBorders>
              <w:tl2br w:val="nil"/>
              <w:tr2bl w:val="nil"/>
            </w:tcBorders>
            <w:noWrap w:val="0"/>
            <w:vAlign w:val="center"/>
          </w:tcPr>
          <w:p w14:paraId="21C97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sz w:val="21"/>
                <w:szCs w:val="21"/>
                <w:highlight w:val="none"/>
                <w:lang w:val="en-US" w:eastAsia="zh-CN" w:bidi="ar-SA"/>
              </w:rPr>
            </w:pPr>
            <w:r>
              <w:rPr>
                <w:rFonts w:hint="default" w:ascii="Times New Roman" w:hAnsi="Times New Roman" w:eastAsia="仿宋" w:cs="Times New Roman"/>
                <w:b w:val="0"/>
                <w:bCs w:val="0"/>
                <w:sz w:val="21"/>
                <w:szCs w:val="21"/>
                <w:highlight w:val="none"/>
                <w:lang w:val="en-US" w:eastAsia="zh-CN" w:bidi="ar-SA"/>
              </w:rPr>
              <w:t>2.88</w:t>
            </w:r>
          </w:p>
        </w:tc>
        <w:tc>
          <w:tcPr>
            <w:tcW w:w="1033" w:type="dxa"/>
            <w:tcBorders>
              <w:tl2br w:val="nil"/>
              <w:tr2bl w:val="nil"/>
            </w:tcBorders>
            <w:noWrap w:val="0"/>
            <w:vAlign w:val="center"/>
          </w:tcPr>
          <w:p w14:paraId="579A2C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sz w:val="21"/>
                <w:szCs w:val="21"/>
                <w:highlight w:val="none"/>
                <w:lang w:val="en-US" w:eastAsia="zh-CN" w:bidi="ar-SA"/>
              </w:rPr>
            </w:pPr>
            <w:r>
              <w:rPr>
                <w:rFonts w:hint="default" w:ascii="Times New Roman" w:hAnsi="Times New Roman" w:eastAsia="仿宋" w:cs="Times New Roman"/>
                <w:b w:val="0"/>
                <w:bCs w:val="0"/>
                <w:sz w:val="21"/>
                <w:szCs w:val="21"/>
                <w:highlight w:val="none"/>
                <w:lang w:val="en-US" w:eastAsia="zh-CN" w:bidi="ar-SA"/>
              </w:rPr>
              <w:t>5.01</w:t>
            </w:r>
          </w:p>
        </w:tc>
        <w:tc>
          <w:tcPr>
            <w:tcW w:w="1220" w:type="dxa"/>
            <w:tcBorders>
              <w:tl2br w:val="nil"/>
              <w:tr2bl w:val="nil"/>
            </w:tcBorders>
            <w:noWrap w:val="0"/>
            <w:vAlign w:val="center"/>
          </w:tcPr>
          <w:p w14:paraId="1AEA7C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5.10</w:t>
            </w:r>
          </w:p>
        </w:tc>
        <w:tc>
          <w:tcPr>
            <w:tcW w:w="1221" w:type="dxa"/>
            <w:tcBorders>
              <w:tl2br w:val="nil"/>
              <w:tr2bl w:val="nil"/>
            </w:tcBorders>
            <w:noWrap w:val="0"/>
            <w:vAlign w:val="center"/>
          </w:tcPr>
          <w:p w14:paraId="7E14D0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866" w:type="dxa"/>
            <w:tcBorders>
              <w:tl2br w:val="nil"/>
              <w:tr2bl w:val="nil"/>
            </w:tcBorders>
            <w:noWrap w:val="0"/>
            <w:vAlign w:val="center"/>
          </w:tcPr>
          <w:p w14:paraId="14D2C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12" w:type="dxa"/>
            <w:tcBorders>
              <w:tl2br w:val="nil"/>
              <w:tr2bl w:val="nil"/>
            </w:tcBorders>
            <w:noWrap w:val="0"/>
            <w:vAlign w:val="center"/>
          </w:tcPr>
          <w:p w14:paraId="41511E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AAA9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268AE6D6">
            <w:pPr>
              <w:keepNext w:val="0"/>
              <w:keepLines w:val="0"/>
              <w:widowControl/>
              <w:suppressLineNumbers w:val="0"/>
              <w:autoSpaceDE/>
              <w:autoSpaceDN/>
              <w:spacing w:before="0" w:beforeAutospacing="0" w:after="0" w:afterAutospacing="0" w:line="300" w:lineRule="exact"/>
              <w:ind w:left="0" w:right="0" w:firstLine="0" w:firstLineChars="0"/>
              <w:jc w:val="center"/>
              <w:textAlignment w:val="baseline"/>
              <w:rPr>
                <w:rFonts w:hint="default" w:ascii="Times New Roman" w:hAnsi="Times New Roman" w:eastAsia="宋体" w:cs="Times New Roman"/>
                <w:b w:val="0"/>
                <w:bCs w:val="0"/>
                <w:color w:val="000000"/>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硫酸根</w:t>
            </w:r>
            <w:r>
              <w:rPr>
                <w:rFonts w:hint="default" w:ascii="Times New Roman" w:hAnsi="Times New Roman" w:eastAsia="宋体" w:cs="Times New Roman"/>
                <w:color w:val="auto"/>
                <w:sz w:val="21"/>
                <w:szCs w:val="21"/>
                <w:highlight w:val="none"/>
                <w:lang w:val="en-US" w:eastAsia="zh-CN"/>
              </w:rPr>
              <w:t>（mg/L）</w:t>
            </w:r>
          </w:p>
        </w:tc>
        <w:tc>
          <w:tcPr>
            <w:tcW w:w="1134" w:type="dxa"/>
            <w:tcBorders>
              <w:tl2br w:val="nil"/>
              <w:tr2bl w:val="nil"/>
            </w:tcBorders>
            <w:noWrap w:val="0"/>
            <w:vAlign w:val="center"/>
          </w:tcPr>
          <w:p w14:paraId="59AE8B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bidi="ar-SA"/>
              </w:rPr>
            </w:pPr>
            <w:r>
              <w:rPr>
                <w:rFonts w:hint="default" w:ascii="Times New Roman" w:hAnsi="Times New Roman" w:eastAsia="仿宋" w:cs="Times New Roman"/>
                <w:b w:val="0"/>
                <w:bCs w:val="0"/>
                <w:color w:val="auto"/>
                <w:sz w:val="21"/>
                <w:szCs w:val="21"/>
                <w:highlight w:val="none"/>
                <w:lang w:val="en-US" w:eastAsia="zh-CN" w:bidi="ar-SA"/>
              </w:rPr>
              <w:t>1.33</w:t>
            </w:r>
          </w:p>
        </w:tc>
        <w:tc>
          <w:tcPr>
            <w:tcW w:w="1058" w:type="dxa"/>
            <w:tcBorders>
              <w:tl2br w:val="nil"/>
              <w:tr2bl w:val="nil"/>
            </w:tcBorders>
            <w:noWrap w:val="0"/>
            <w:vAlign w:val="center"/>
          </w:tcPr>
          <w:p w14:paraId="30C878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bidi="ar-SA"/>
              </w:rPr>
            </w:pPr>
            <w:r>
              <w:rPr>
                <w:rFonts w:hint="default" w:ascii="Times New Roman" w:hAnsi="Times New Roman" w:eastAsia="仿宋" w:cs="Times New Roman"/>
                <w:b w:val="0"/>
                <w:bCs w:val="0"/>
                <w:color w:val="auto"/>
                <w:sz w:val="21"/>
                <w:szCs w:val="21"/>
                <w:highlight w:val="none"/>
                <w:lang w:val="en-US" w:eastAsia="zh-CN" w:bidi="ar-SA"/>
              </w:rPr>
              <w:t>3.57</w:t>
            </w:r>
          </w:p>
        </w:tc>
        <w:tc>
          <w:tcPr>
            <w:tcW w:w="1033" w:type="dxa"/>
            <w:tcBorders>
              <w:tl2br w:val="nil"/>
              <w:tr2bl w:val="nil"/>
            </w:tcBorders>
            <w:noWrap w:val="0"/>
            <w:vAlign w:val="center"/>
          </w:tcPr>
          <w:p w14:paraId="0DDE3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bidi="ar-SA"/>
              </w:rPr>
            </w:pPr>
            <w:r>
              <w:rPr>
                <w:rFonts w:hint="default" w:ascii="Times New Roman" w:hAnsi="Times New Roman" w:eastAsia="仿宋" w:cs="Times New Roman"/>
                <w:b w:val="0"/>
                <w:bCs w:val="0"/>
                <w:color w:val="auto"/>
                <w:sz w:val="21"/>
                <w:szCs w:val="21"/>
                <w:highlight w:val="none"/>
                <w:lang w:val="en-US" w:eastAsia="zh-CN" w:bidi="ar-SA"/>
              </w:rPr>
              <w:t>4.61</w:t>
            </w:r>
          </w:p>
        </w:tc>
        <w:tc>
          <w:tcPr>
            <w:tcW w:w="1220" w:type="dxa"/>
            <w:tcBorders>
              <w:tl2br w:val="nil"/>
              <w:tr2bl w:val="nil"/>
            </w:tcBorders>
            <w:noWrap w:val="0"/>
            <w:vAlign w:val="center"/>
          </w:tcPr>
          <w:p w14:paraId="6F163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23.9</w:t>
            </w:r>
          </w:p>
        </w:tc>
        <w:tc>
          <w:tcPr>
            <w:tcW w:w="1221" w:type="dxa"/>
            <w:tcBorders>
              <w:tl2br w:val="nil"/>
              <w:tr2bl w:val="nil"/>
            </w:tcBorders>
            <w:noWrap w:val="0"/>
            <w:vAlign w:val="center"/>
          </w:tcPr>
          <w:p w14:paraId="04A8A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866" w:type="dxa"/>
            <w:tcBorders>
              <w:tl2br w:val="nil"/>
              <w:tr2bl w:val="nil"/>
            </w:tcBorders>
            <w:noWrap w:val="0"/>
            <w:vAlign w:val="center"/>
          </w:tcPr>
          <w:p w14:paraId="5E475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812" w:type="dxa"/>
            <w:tcBorders>
              <w:tl2br w:val="nil"/>
              <w:tr2bl w:val="nil"/>
            </w:tcBorders>
            <w:noWrap w:val="0"/>
            <w:vAlign w:val="center"/>
          </w:tcPr>
          <w:p w14:paraId="5CC70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14:paraId="6A786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2344C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pH值（无量纲）</w:t>
            </w:r>
          </w:p>
        </w:tc>
        <w:tc>
          <w:tcPr>
            <w:tcW w:w="1134" w:type="dxa"/>
            <w:tcBorders>
              <w:tl2br w:val="nil"/>
              <w:tr2bl w:val="nil"/>
            </w:tcBorders>
            <w:noWrap w:val="0"/>
            <w:vAlign w:val="center"/>
          </w:tcPr>
          <w:p w14:paraId="5EF1B0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7.7</w:t>
            </w:r>
          </w:p>
        </w:tc>
        <w:tc>
          <w:tcPr>
            <w:tcW w:w="1058" w:type="dxa"/>
            <w:tcBorders>
              <w:tl2br w:val="nil"/>
              <w:tr2bl w:val="nil"/>
            </w:tcBorders>
            <w:noWrap w:val="0"/>
            <w:vAlign w:val="center"/>
          </w:tcPr>
          <w:p w14:paraId="0BBF51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7.4</w:t>
            </w:r>
          </w:p>
        </w:tc>
        <w:tc>
          <w:tcPr>
            <w:tcW w:w="1033" w:type="dxa"/>
            <w:tcBorders>
              <w:tl2br w:val="nil"/>
              <w:tr2bl w:val="nil"/>
            </w:tcBorders>
            <w:noWrap w:val="0"/>
            <w:vAlign w:val="center"/>
          </w:tcPr>
          <w:p w14:paraId="564A1B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7.3</w:t>
            </w:r>
          </w:p>
        </w:tc>
        <w:tc>
          <w:tcPr>
            <w:tcW w:w="1220" w:type="dxa"/>
            <w:tcBorders>
              <w:tl2br w:val="nil"/>
              <w:tr2bl w:val="nil"/>
            </w:tcBorders>
            <w:noWrap w:val="0"/>
            <w:vAlign w:val="center"/>
          </w:tcPr>
          <w:p w14:paraId="49DFE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c>
          <w:tcPr>
            <w:tcW w:w="1221" w:type="dxa"/>
            <w:tcBorders>
              <w:tl2br w:val="nil"/>
              <w:tr2bl w:val="nil"/>
            </w:tcBorders>
            <w:noWrap w:val="0"/>
            <w:vAlign w:val="center"/>
          </w:tcPr>
          <w:p w14:paraId="53BFC3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w:t>
            </w:r>
          </w:p>
        </w:tc>
        <w:tc>
          <w:tcPr>
            <w:tcW w:w="866" w:type="dxa"/>
            <w:tcBorders>
              <w:tl2br w:val="nil"/>
              <w:tr2bl w:val="nil"/>
            </w:tcBorders>
            <w:noWrap w:val="0"/>
            <w:vAlign w:val="center"/>
          </w:tcPr>
          <w:p w14:paraId="5A17C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6.5~8.5</w:t>
            </w:r>
          </w:p>
        </w:tc>
        <w:tc>
          <w:tcPr>
            <w:tcW w:w="812" w:type="dxa"/>
            <w:tcBorders>
              <w:tl2br w:val="nil"/>
              <w:tr2bl w:val="nil"/>
            </w:tcBorders>
            <w:noWrap w:val="0"/>
            <w:vAlign w:val="center"/>
          </w:tcPr>
          <w:p w14:paraId="1B4CC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达标</w:t>
            </w:r>
          </w:p>
        </w:tc>
      </w:tr>
      <w:tr w14:paraId="3D405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6C19A675">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总硬度（mg/L）</w:t>
            </w:r>
          </w:p>
        </w:tc>
        <w:tc>
          <w:tcPr>
            <w:tcW w:w="1134" w:type="dxa"/>
            <w:tcBorders>
              <w:tl2br w:val="nil"/>
              <w:tr2bl w:val="nil"/>
            </w:tcBorders>
            <w:noWrap w:val="0"/>
            <w:vAlign w:val="center"/>
          </w:tcPr>
          <w:p w14:paraId="762346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bidi="ar-SA"/>
              </w:rPr>
            </w:pPr>
            <w:r>
              <w:rPr>
                <w:rFonts w:hint="default" w:ascii="Times New Roman" w:hAnsi="Times New Roman" w:eastAsia="仿宋" w:cs="Times New Roman"/>
                <w:b w:val="0"/>
                <w:bCs w:val="0"/>
                <w:color w:val="auto"/>
                <w:sz w:val="21"/>
                <w:szCs w:val="21"/>
                <w:highlight w:val="none"/>
                <w:lang w:val="en-US" w:eastAsia="zh-CN" w:bidi="ar-SA"/>
              </w:rPr>
              <w:t>78</w:t>
            </w:r>
          </w:p>
        </w:tc>
        <w:tc>
          <w:tcPr>
            <w:tcW w:w="1058" w:type="dxa"/>
            <w:tcBorders>
              <w:tl2br w:val="nil"/>
              <w:tr2bl w:val="nil"/>
            </w:tcBorders>
            <w:noWrap w:val="0"/>
            <w:vAlign w:val="center"/>
          </w:tcPr>
          <w:p w14:paraId="48D07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bidi="ar-SA"/>
              </w:rPr>
            </w:pPr>
            <w:r>
              <w:rPr>
                <w:rFonts w:hint="default" w:ascii="Times New Roman" w:hAnsi="Times New Roman" w:eastAsia="仿宋" w:cs="Times New Roman"/>
                <w:b w:val="0"/>
                <w:bCs w:val="0"/>
                <w:color w:val="auto"/>
                <w:sz w:val="21"/>
                <w:szCs w:val="21"/>
                <w:highlight w:val="none"/>
                <w:lang w:val="en-US" w:eastAsia="zh-CN" w:bidi="ar-SA"/>
              </w:rPr>
              <w:t>64</w:t>
            </w:r>
          </w:p>
        </w:tc>
        <w:tc>
          <w:tcPr>
            <w:tcW w:w="1033" w:type="dxa"/>
            <w:tcBorders>
              <w:tl2br w:val="nil"/>
              <w:tr2bl w:val="nil"/>
            </w:tcBorders>
            <w:noWrap w:val="0"/>
            <w:vAlign w:val="center"/>
          </w:tcPr>
          <w:p w14:paraId="40AAE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bidi="ar-SA"/>
              </w:rPr>
            </w:pPr>
            <w:r>
              <w:rPr>
                <w:rFonts w:hint="default" w:ascii="Times New Roman" w:hAnsi="Times New Roman" w:eastAsia="仿宋" w:cs="Times New Roman"/>
                <w:b w:val="0"/>
                <w:bCs w:val="0"/>
                <w:color w:val="auto"/>
                <w:sz w:val="21"/>
                <w:szCs w:val="21"/>
                <w:highlight w:val="none"/>
                <w:lang w:val="en-US" w:eastAsia="zh-CN" w:bidi="ar-SA"/>
              </w:rPr>
              <w:t>61</w:t>
            </w:r>
          </w:p>
        </w:tc>
        <w:tc>
          <w:tcPr>
            <w:tcW w:w="1220" w:type="dxa"/>
            <w:tcBorders>
              <w:tl2br w:val="nil"/>
              <w:tr2bl w:val="nil"/>
            </w:tcBorders>
            <w:noWrap w:val="0"/>
            <w:vAlign w:val="center"/>
          </w:tcPr>
          <w:p w14:paraId="0373E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73</w:t>
            </w:r>
          </w:p>
        </w:tc>
        <w:tc>
          <w:tcPr>
            <w:tcW w:w="1221" w:type="dxa"/>
            <w:tcBorders>
              <w:tl2br w:val="nil"/>
              <w:tr2bl w:val="nil"/>
            </w:tcBorders>
            <w:noWrap w:val="0"/>
            <w:vAlign w:val="center"/>
          </w:tcPr>
          <w:p w14:paraId="2E2D24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107</w:t>
            </w:r>
          </w:p>
        </w:tc>
        <w:tc>
          <w:tcPr>
            <w:tcW w:w="866" w:type="dxa"/>
            <w:tcBorders>
              <w:tl2br w:val="nil"/>
              <w:tr2bl w:val="nil"/>
            </w:tcBorders>
            <w:noWrap w:val="0"/>
            <w:vAlign w:val="center"/>
          </w:tcPr>
          <w:p w14:paraId="7C5087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w:t>
            </w:r>
          </w:p>
        </w:tc>
        <w:tc>
          <w:tcPr>
            <w:tcW w:w="812" w:type="dxa"/>
            <w:tcBorders>
              <w:tl2br w:val="nil"/>
              <w:tr2bl w:val="nil"/>
            </w:tcBorders>
            <w:noWrap w:val="0"/>
            <w:vAlign w:val="center"/>
          </w:tcPr>
          <w:p w14:paraId="1874E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75C8E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1899" w:type="dxa"/>
            <w:tcBorders>
              <w:tl2br w:val="nil"/>
              <w:tr2bl w:val="nil"/>
            </w:tcBorders>
            <w:noWrap w:val="0"/>
            <w:vAlign w:val="center"/>
          </w:tcPr>
          <w:p w14:paraId="3D56A055">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溶解性总固体（mg/L）</w:t>
            </w:r>
          </w:p>
        </w:tc>
        <w:tc>
          <w:tcPr>
            <w:tcW w:w="1134" w:type="dxa"/>
            <w:tcBorders>
              <w:tl2br w:val="nil"/>
              <w:tr2bl w:val="nil"/>
            </w:tcBorders>
            <w:noWrap w:val="0"/>
            <w:vAlign w:val="center"/>
          </w:tcPr>
          <w:p w14:paraId="6C61C1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bidi="ar-SA"/>
              </w:rPr>
            </w:pPr>
            <w:r>
              <w:rPr>
                <w:rFonts w:hint="default" w:ascii="Times New Roman" w:hAnsi="Times New Roman" w:eastAsia="仿宋" w:cs="Times New Roman"/>
                <w:b w:val="0"/>
                <w:bCs w:val="0"/>
                <w:color w:val="auto"/>
                <w:sz w:val="21"/>
                <w:szCs w:val="21"/>
                <w:highlight w:val="none"/>
                <w:lang w:val="en-US" w:eastAsia="zh-CN" w:bidi="ar-SA"/>
              </w:rPr>
              <w:t>173</w:t>
            </w:r>
          </w:p>
        </w:tc>
        <w:tc>
          <w:tcPr>
            <w:tcW w:w="1058" w:type="dxa"/>
            <w:tcBorders>
              <w:tl2br w:val="nil"/>
              <w:tr2bl w:val="nil"/>
            </w:tcBorders>
            <w:noWrap w:val="0"/>
            <w:vAlign w:val="center"/>
          </w:tcPr>
          <w:p w14:paraId="54E09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bidi="ar-SA"/>
              </w:rPr>
            </w:pPr>
            <w:r>
              <w:rPr>
                <w:rFonts w:hint="default" w:ascii="Times New Roman" w:hAnsi="Times New Roman" w:eastAsia="仿宋" w:cs="Times New Roman"/>
                <w:b w:val="0"/>
                <w:bCs w:val="0"/>
                <w:color w:val="auto"/>
                <w:sz w:val="21"/>
                <w:szCs w:val="21"/>
                <w:highlight w:val="none"/>
                <w:lang w:val="en-US" w:eastAsia="zh-CN" w:bidi="ar-SA"/>
              </w:rPr>
              <w:t>148</w:t>
            </w:r>
          </w:p>
        </w:tc>
        <w:tc>
          <w:tcPr>
            <w:tcW w:w="1033" w:type="dxa"/>
            <w:tcBorders>
              <w:tl2br w:val="nil"/>
              <w:tr2bl w:val="nil"/>
            </w:tcBorders>
            <w:noWrap w:val="0"/>
            <w:vAlign w:val="center"/>
          </w:tcPr>
          <w:p w14:paraId="1F1EF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tLeast"/>
              <w:ind w:left="0" w:leftChars="0" w:right="0" w:firstLine="0" w:firstLineChars="0"/>
              <w:jc w:val="center"/>
              <w:textAlignment w:val="auto"/>
              <w:rPr>
                <w:rFonts w:hint="default" w:ascii="Times New Roman" w:hAnsi="Times New Roman" w:eastAsia="仿宋" w:cs="Times New Roman"/>
                <w:b w:val="0"/>
                <w:bCs w:val="0"/>
                <w:color w:val="auto"/>
                <w:sz w:val="21"/>
                <w:szCs w:val="21"/>
                <w:highlight w:val="none"/>
                <w:lang w:val="en-US" w:eastAsia="zh-CN" w:bidi="ar-SA"/>
              </w:rPr>
            </w:pPr>
            <w:r>
              <w:rPr>
                <w:rFonts w:hint="default" w:ascii="Times New Roman" w:hAnsi="Times New Roman" w:eastAsia="仿宋" w:cs="Times New Roman"/>
                <w:b w:val="0"/>
                <w:bCs w:val="0"/>
                <w:color w:val="auto"/>
                <w:sz w:val="21"/>
                <w:szCs w:val="21"/>
                <w:highlight w:val="none"/>
                <w:lang w:val="en-US" w:eastAsia="zh-CN" w:bidi="ar-SA"/>
              </w:rPr>
              <w:t>140</w:t>
            </w:r>
          </w:p>
        </w:tc>
        <w:tc>
          <w:tcPr>
            <w:tcW w:w="1220" w:type="dxa"/>
            <w:tcBorders>
              <w:tl2br w:val="nil"/>
              <w:tr2bl w:val="nil"/>
            </w:tcBorders>
            <w:noWrap w:val="0"/>
            <w:vAlign w:val="center"/>
          </w:tcPr>
          <w:p w14:paraId="27CC5F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160</w:t>
            </w:r>
          </w:p>
        </w:tc>
        <w:tc>
          <w:tcPr>
            <w:tcW w:w="1221" w:type="dxa"/>
            <w:tcBorders>
              <w:tl2br w:val="nil"/>
              <w:tr2bl w:val="nil"/>
            </w:tcBorders>
            <w:noWrap w:val="0"/>
            <w:vAlign w:val="center"/>
          </w:tcPr>
          <w:p w14:paraId="34AE7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180</w:t>
            </w:r>
          </w:p>
        </w:tc>
        <w:tc>
          <w:tcPr>
            <w:tcW w:w="866" w:type="dxa"/>
            <w:tcBorders>
              <w:tl2br w:val="nil"/>
              <w:tr2bl w:val="nil"/>
            </w:tcBorders>
            <w:noWrap w:val="0"/>
            <w:vAlign w:val="center"/>
          </w:tcPr>
          <w:p w14:paraId="2C7669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≤1000</w:t>
            </w:r>
          </w:p>
        </w:tc>
        <w:tc>
          <w:tcPr>
            <w:tcW w:w="812" w:type="dxa"/>
            <w:tcBorders>
              <w:tl2br w:val="nil"/>
              <w:tr2bl w:val="nil"/>
            </w:tcBorders>
            <w:noWrap w:val="0"/>
            <w:vAlign w:val="center"/>
          </w:tcPr>
          <w:p w14:paraId="769BB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52D06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4CB8FFFF">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铁（mg/L）</w:t>
            </w:r>
          </w:p>
        </w:tc>
        <w:tc>
          <w:tcPr>
            <w:tcW w:w="1134" w:type="dxa"/>
            <w:tcBorders>
              <w:tl2br w:val="nil"/>
              <w:tr2bl w:val="nil"/>
            </w:tcBorders>
            <w:noWrap w:val="0"/>
            <w:vAlign w:val="center"/>
          </w:tcPr>
          <w:p w14:paraId="48254F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0.02L</w:t>
            </w:r>
          </w:p>
        </w:tc>
        <w:tc>
          <w:tcPr>
            <w:tcW w:w="1058" w:type="dxa"/>
            <w:tcBorders>
              <w:tl2br w:val="nil"/>
              <w:tr2bl w:val="nil"/>
            </w:tcBorders>
            <w:noWrap w:val="0"/>
            <w:vAlign w:val="center"/>
          </w:tcPr>
          <w:p w14:paraId="74E5C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0.02L</w:t>
            </w:r>
          </w:p>
        </w:tc>
        <w:tc>
          <w:tcPr>
            <w:tcW w:w="1033" w:type="dxa"/>
            <w:tcBorders>
              <w:tl2br w:val="nil"/>
              <w:tr2bl w:val="nil"/>
            </w:tcBorders>
            <w:noWrap w:val="0"/>
            <w:vAlign w:val="center"/>
          </w:tcPr>
          <w:p w14:paraId="67B1FF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0.02L</w:t>
            </w:r>
          </w:p>
        </w:tc>
        <w:tc>
          <w:tcPr>
            <w:tcW w:w="1220" w:type="dxa"/>
            <w:tcBorders>
              <w:tl2br w:val="nil"/>
              <w:tr2bl w:val="nil"/>
            </w:tcBorders>
            <w:noWrap w:val="0"/>
            <w:vAlign w:val="center"/>
          </w:tcPr>
          <w:p w14:paraId="480D2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0.02L</w:t>
            </w:r>
          </w:p>
        </w:tc>
        <w:tc>
          <w:tcPr>
            <w:tcW w:w="1221" w:type="dxa"/>
            <w:tcBorders>
              <w:tl2br w:val="nil"/>
              <w:tr2bl w:val="nil"/>
            </w:tcBorders>
            <w:noWrap w:val="0"/>
            <w:vAlign w:val="center"/>
          </w:tcPr>
          <w:p w14:paraId="1BAE1B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0.02L</w:t>
            </w:r>
          </w:p>
        </w:tc>
        <w:tc>
          <w:tcPr>
            <w:tcW w:w="866" w:type="dxa"/>
            <w:tcBorders>
              <w:tl2br w:val="nil"/>
              <w:tr2bl w:val="nil"/>
            </w:tcBorders>
            <w:noWrap w:val="0"/>
            <w:vAlign w:val="center"/>
          </w:tcPr>
          <w:p w14:paraId="316F69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≤0.3</w:t>
            </w:r>
          </w:p>
        </w:tc>
        <w:tc>
          <w:tcPr>
            <w:tcW w:w="812" w:type="dxa"/>
            <w:tcBorders>
              <w:tl2br w:val="nil"/>
              <w:tr2bl w:val="nil"/>
            </w:tcBorders>
            <w:noWrap w:val="0"/>
            <w:vAlign w:val="center"/>
          </w:tcPr>
          <w:p w14:paraId="05D96A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525AE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05FB5870">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锰</w:t>
            </w:r>
            <w:r>
              <w:rPr>
                <w:rFonts w:hint="default" w:ascii="Times New Roman" w:hAnsi="Times New Roman" w:eastAsia="宋体" w:cs="Times New Roman"/>
                <w:color w:val="auto"/>
                <w:sz w:val="21"/>
                <w:szCs w:val="21"/>
                <w:highlight w:val="none"/>
                <w:lang w:val="en-US" w:eastAsia="zh-CN"/>
              </w:rPr>
              <w:t>（mg/L）</w:t>
            </w:r>
          </w:p>
        </w:tc>
        <w:tc>
          <w:tcPr>
            <w:tcW w:w="1134" w:type="dxa"/>
            <w:tcBorders>
              <w:tl2br w:val="nil"/>
              <w:tr2bl w:val="nil"/>
            </w:tcBorders>
            <w:noWrap w:val="0"/>
            <w:vAlign w:val="center"/>
          </w:tcPr>
          <w:p w14:paraId="51450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0.004L</w:t>
            </w:r>
          </w:p>
        </w:tc>
        <w:tc>
          <w:tcPr>
            <w:tcW w:w="1058" w:type="dxa"/>
            <w:tcBorders>
              <w:tl2br w:val="nil"/>
              <w:tr2bl w:val="nil"/>
            </w:tcBorders>
            <w:noWrap w:val="0"/>
            <w:vAlign w:val="center"/>
          </w:tcPr>
          <w:p w14:paraId="77BBC3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0.004L</w:t>
            </w:r>
          </w:p>
        </w:tc>
        <w:tc>
          <w:tcPr>
            <w:tcW w:w="1033" w:type="dxa"/>
            <w:tcBorders>
              <w:tl2br w:val="nil"/>
              <w:tr2bl w:val="nil"/>
            </w:tcBorders>
            <w:noWrap w:val="0"/>
            <w:vAlign w:val="center"/>
          </w:tcPr>
          <w:p w14:paraId="2F0AE5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0.004L</w:t>
            </w:r>
          </w:p>
        </w:tc>
        <w:tc>
          <w:tcPr>
            <w:tcW w:w="1220" w:type="dxa"/>
            <w:tcBorders>
              <w:tl2br w:val="nil"/>
              <w:tr2bl w:val="nil"/>
            </w:tcBorders>
            <w:noWrap w:val="0"/>
            <w:vAlign w:val="center"/>
          </w:tcPr>
          <w:p w14:paraId="02DE20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0.004L</w:t>
            </w:r>
          </w:p>
        </w:tc>
        <w:tc>
          <w:tcPr>
            <w:tcW w:w="1221" w:type="dxa"/>
            <w:tcBorders>
              <w:tl2br w:val="nil"/>
              <w:tr2bl w:val="nil"/>
            </w:tcBorders>
            <w:noWrap w:val="0"/>
            <w:vAlign w:val="center"/>
          </w:tcPr>
          <w:p w14:paraId="70CA3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0.004L</w:t>
            </w:r>
          </w:p>
        </w:tc>
        <w:tc>
          <w:tcPr>
            <w:tcW w:w="866" w:type="dxa"/>
            <w:tcBorders>
              <w:tl2br w:val="nil"/>
              <w:tr2bl w:val="nil"/>
            </w:tcBorders>
            <w:noWrap w:val="0"/>
            <w:vAlign w:val="center"/>
          </w:tcPr>
          <w:p w14:paraId="3046A5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≤0.10</w:t>
            </w:r>
          </w:p>
        </w:tc>
        <w:tc>
          <w:tcPr>
            <w:tcW w:w="812" w:type="dxa"/>
            <w:tcBorders>
              <w:tl2br w:val="nil"/>
              <w:tr2bl w:val="nil"/>
            </w:tcBorders>
            <w:noWrap w:val="0"/>
            <w:vAlign w:val="center"/>
          </w:tcPr>
          <w:p w14:paraId="37E9B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0978A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5469D3ED">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挥发酚（mg/L）</w:t>
            </w:r>
          </w:p>
        </w:tc>
        <w:tc>
          <w:tcPr>
            <w:tcW w:w="1134" w:type="dxa"/>
            <w:tcBorders>
              <w:tl2br w:val="nil"/>
              <w:tr2bl w:val="nil"/>
            </w:tcBorders>
            <w:noWrap w:val="0"/>
            <w:vAlign w:val="center"/>
          </w:tcPr>
          <w:p w14:paraId="0D8DDFEC">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0.003L</w:t>
            </w:r>
          </w:p>
        </w:tc>
        <w:tc>
          <w:tcPr>
            <w:tcW w:w="1058" w:type="dxa"/>
            <w:tcBorders>
              <w:tl2br w:val="nil"/>
              <w:tr2bl w:val="nil"/>
            </w:tcBorders>
            <w:noWrap w:val="0"/>
            <w:vAlign w:val="center"/>
          </w:tcPr>
          <w:p w14:paraId="63B5C9C4">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0.003L</w:t>
            </w:r>
          </w:p>
        </w:tc>
        <w:tc>
          <w:tcPr>
            <w:tcW w:w="1033" w:type="dxa"/>
            <w:tcBorders>
              <w:tl2br w:val="nil"/>
              <w:tr2bl w:val="nil"/>
            </w:tcBorders>
            <w:noWrap w:val="0"/>
            <w:vAlign w:val="center"/>
          </w:tcPr>
          <w:p w14:paraId="62D12317">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0.003L</w:t>
            </w:r>
          </w:p>
        </w:tc>
        <w:tc>
          <w:tcPr>
            <w:tcW w:w="1220" w:type="dxa"/>
            <w:tcBorders>
              <w:tl2br w:val="nil"/>
              <w:tr2bl w:val="nil"/>
            </w:tcBorders>
            <w:noWrap w:val="0"/>
            <w:vAlign w:val="center"/>
          </w:tcPr>
          <w:p w14:paraId="32D1B336">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0.003L</w:t>
            </w:r>
          </w:p>
        </w:tc>
        <w:tc>
          <w:tcPr>
            <w:tcW w:w="1221" w:type="dxa"/>
            <w:tcBorders>
              <w:tl2br w:val="nil"/>
              <w:tr2bl w:val="nil"/>
            </w:tcBorders>
            <w:noWrap w:val="0"/>
            <w:vAlign w:val="center"/>
          </w:tcPr>
          <w:p w14:paraId="107106B3">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0.003L</w:t>
            </w:r>
          </w:p>
        </w:tc>
        <w:tc>
          <w:tcPr>
            <w:tcW w:w="866" w:type="dxa"/>
            <w:tcBorders>
              <w:tl2br w:val="nil"/>
              <w:tr2bl w:val="nil"/>
            </w:tcBorders>
            <w:noWrap w:val="0"/>
            <w:vAlign w:val="center"/>
          </w:tcPr>
          <w:p w14:paraId="298F8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≤0.002</w:t>
            </w:r>
          </w:p>
        </w:tc>
        <w:tc>
          <w:tcPr>
            <w:tcW w:w="812" w:type="dxa"/>
            <w:tcBorders>
              <w:tl2br w:val="nil"/>
              <w:tr2bl w:val="nil"/>
            </w:tcBorders>
            <w:noWrap w:val="0"/>
            <w:vAlign w:val="center"/>
          </w:tcPr>
          <w:p w14:paraId="3D618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7F88C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335ECB36">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耗氧量（mg/L）</w:t>
            </w:r>
          </w:p>
        </w:tc>
        <w:tc>
          <w:tcPr>
            <w:tcW w:w="1134" w:type="dxa"/>
            <w:tcBorders>
              <w:tl2br w:val="nil"/>
              <w:tr2bl w:val="nil"/>
            </w:tcBorders>
            <w:noWrap w:val="0"/>
            <w:vAlign w:val="center"/>
          </w:tcPr>
          <w:p w14:paraId="47F83F1A">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0.8</w:t>
            </w:r>
          </w:p>
        </w:tc>
        <w:tc>
          <w:tcPr>
            <w:tcW w:w="1058" w:type="dxa"/>
            <w:tcBorders>
              <w:tl2br w:val="nil"/>
              <w:tr2bl w:val="nil"/>
            </w:tcBorders>
            <w:noWrap w:val="0"/>
            <w:vAlign w:val="center"/>
          </w:tcPr>
          <w:p w14:paraId="703C3E1C">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0.7</w:t>
            </w:r>
          </w:p>
        </w:tc>
        <w:tc>
          <w:tcPr>
            <w:tcW w:w="1033" w:type="dxa"/>
            <w:tcBorders>
              <w:tl2br w:val="nil"/>
              <w:tr2bl w:val="nil"/>
            </w:tcBorders>
            <w:noWrap w:val="0"/>
            <w:vAlign w:val="center"/>
          </w:tcPr>
          <w:p w14:paraId="439304C2">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0.5</w:t>
            </w:r>
          </w:p>
        </w:tc>
        <w:tc>
          <w:tcPr>
            <w:tcW w:w="1220" w:type="dxa"/>
            <w:tcBorders>
              <w:tl2br w:val="nil"/>
              <w:tr2bl w:val="nil"/>
            </w:tcBorders>
            <w:noWrap w:val="0"/>
            <w:vAlign w:val="center"/>
          </w:tcPr>
          <w:p w14:paraId="5024ABC5">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0.6</w:t>
            </w:r>
          </w:p>
        </w:tc>
        <w:tc>
          <w:tcPr>
            <w:tcW w:w="1221" w:type="dxa"/>
            <w:tcBorders>
              <w:tl2br w:val="nil"/>
              <w:tr2bl w:val="nil"/>
            </w:tcBorders>
            <w:noWrap w:val="0"/>
            <w:vAlign w:val="center"/>
          </w:tcPr>
          <w:p w14:paraId="53BC7E89">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0.81</w:t>
            </w:r>
          </w:p>
        </w:tc>
        <w:tc>
          <w:tcPr>
            <w:tcW w:w="866" w:type="dxa"/>
            <w:tcBorders>
              <w:tl2br w:val="nil"/>
              <w:tr2bl w:val="nil"/>
            </w:tcBorders>
            <w:noWrap w:val="0"/>
            <w:vAlign w:val="center"/>
          </w:tcPr>
          <w:p w14:paraId="7D45F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w:t>
            </w:r>
          </w:p>
        </w:tc>
        <w:tc>
          <w:tcPr>
            <w:tcW w:w="812" w:type="dxa"/>
            <w:tcBorders>
              <w:tl2br w:val="nil"/>
              <w:tr2bl w:val="nil"/>
            </w:tcBorders>
            <w:noWrap w:val="0"/>
            <w:vAlign w:val="center"/>
          </w:tcPr>
          <w:p w14:paraId="08CC20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365F6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02E56684">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氨氮（mg/L）</w:t>
            </w:r>
          </w:p>
        </w:tc>
        <w:tc>
          <w:tcPr>
            <w:tcW w:w="1134" w:type="dxa"/>
            <w:tcBorders>
              <w:tl2br w:val="nil"/>
              <w:tr2bl w:val="nil"/>
            </w:tcBorders>
            <w:noWrap w:val="0"/>
            <w:vAlign w:val="center"/>
          </w:tcPr>
          <w:p w14:paraId="22400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0.213</w:t>
            </w:r>
          </w:p>
        </w:tc>
        <w:tc>
          <w:tcPr>
            <w:tcW w:w="1058" w:type="dxa"/>
            <w:tcBorders>
              <w:tl2br w:val="nil"/>
              <w:tr2bl w:val="nil"/>
            </w:tcBorders>
            <w:noWrap w:val="0"/>
            <w:vAlign w:val="center"/>
          </w:tcPr>
          <w:p w14:paraId="68678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0.238</w:t>
            </w:r>
          </w:p>
        </w:tc>
        <w:tc>
          <w:tcPr>
            <w:tcW w:w="1033" w:type="dxa"/>
            <w:tcBorders>
              <w:tl2br w:val="nil"/>
              <w:tr2bl w:val="nil"/>
            </w:tcBorders>
            <w:noWrap w:val="0"/>
            <w:vAlign w:val="center"/>
          </w:tcPr>
          <w:p w14:paraId="4E8769C0">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0.278</w:t>
            </w:r>
          </w:p>
        </w:tc>
        <w:tc>
          <w:tcPr>
            <w:tcW w:w="1220" w:type="dxa"/>
            <w:tcBorders>
              <w:tl2br w:val="nil"/>
              <w:tr2bl w:val="nil"/>
            </w:tcBorders>
            <w:noWrap w:val="0"/>
            <w:vAlign w:val="center"/>
          </w:tcPr>
          <w:p w14:paraId="6A5588F2">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0.318</w:t>
            </w:r>
          </w:p>
        </w:tc>
        <w:tc>
          <w:tcPr>
            <w:tcW w:w="1221" w:type="dxa"/>
            <w:tcBorders>
              <w:tl2br w:val="nil"/>
              <w:tr2bl w:val="nil"/>
            </w:tcBorders>
            <w:noWrap w:val="0"/>
            <w:vAlign w:val="center"/>
          </w:tcPr>
          <w:p w14:paraId="03FC8518">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0.074</w:t>
            </w:r>
          </w:p>
        </w:tc>
        <w:tc>
          <w:tcPr>
            <w:tcW w:w="866" w:type="dxa"/>
            <w:tcBorders>
              <w:tl2br w:val="nil"/>
              <w:tr2bl w:val="nil"/>
            </w:tcBorders>
            <w:noWrap w:val="0"/>
            <w:vAlign w:val="center"/>
          </w:tcPr>
          <w:p w14:paraId="2BA8F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w:t>
            </w:r>
          </w:p>
        </w:tc>
        <w:tc>
          <w:tcPr>
            <w:tcW w:w="812" w:type="dxa"/>
            <w:tcBorders>
              <w:tl2br w:val="nil"/>
              <w:tr2bl w:val="nil"/>
            </w:tcBorders>
            <w:noWrap w:val="0"/>
            <w:vAlign w:val="center"/>
          </w:tcPr>
          <w:p w14:paraId="4831C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3E48E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1899" w:type="dxa"/>
            <w:tcBorders>
              <w:tl2br w:val="nil"/>
              <w:tr2bl w:val="nil"/>
            </w:tcBorders>
            <w:noWrap w:val="0"/>
            <w:vAlign w:val="center"/>
          </w:tcPr>
          <w:p w14:paraId="29F3A515">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亚硝酸盐（以N计）（mg/L）</w:t>
            </w:r>
          </w:p>
        </w:tc>
        <w:tc>
          <w:tcPr>
            <w:tcW w:w="1134" w:type="dxa"/>
            <w:tcBorders>
              <w:tl2br w:val="nil"/>
              <w:tr2bl w:val="nil"/>
            </w:tcBorders>
            <w:noWrap w:val="0"/>
            <w:vAlign w:val="center"/>
          </w:tcPr>
          <w:p w14:paraId="1C44D9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2.64</w:t>
            </w:r>
          </w:p>
        </w:tc>
        <w:tc>
          <w:tcPr>
            <w:tcW w:w="1058" w:type="dxa"/>
            <w:tcBorders>
              <w:tl2br w:val="nil"/>
              <w:tr2bl w:val="nil"/>
            </w:tcBorders>
            <w:noWrap w:val="0"/>
            <w:vAlign w:val="center"/>
          </w:tcPr>
          <w:p w14:paraId="612E3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2.06</w:t>
            </w:r>
          </w:p>
        </w:tc>
        <w:tc>
          <w:tcPr>
            <w:tcW w:w="1033" w:type="dxa"/>
            <w:tcBorders>
              <w:tl2br w:val="nil"/>
              <w:tr2bl w:val="nil"/>
            </w:tcBorders>
            <w:noWrap w:val="0"/>
            <w:vAlign w:val="center"/>
          </w:tcPr>
          <w:p w14:paraId="73CA7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2.18</w:t>
            </w:r>
          </w:p>
        </w:tc>
        <w:tc>
          <w:tcPr>
            <w:tcW w:w="1220" w:type="dxa"/>
            <w:tcBorders>
              <w:tl2br w:val="nil"/>
              <w:tr2bl w:val="nil"/>
            </w:tcBorders>
            <w:noWrap w:val="0"/>
            <w:vAlign w:val="center"/>
          </w:tcPr>
          <w:p w14:paraId="648CE7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2.17</w:t>
            </w:r>
          </w:p>
        </w:tc>
        <w:tc>
          <w:tcPr>
            <w:tcW w:w="1221" w:type="dxa"/>
            <w:tcBorders>
              <w:tl2br w:val="nil"/>
              <w:tr2bl w:val="nil"/>
            </w:tcBorders>
            <w:noWrap w:val="0"/>
            <w:vAlign w:val="center"/>
          </w:tcPr>
          <w:p w14:paraId="2EF77C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0.005L</w:t>
            </w:r>
          </w:p>
        </w:tc>
        <w:tc>
          <w:tcPr>
            <w:tcW w:w="866" w:type="dxa"/>
            <w:tcBorders>
              <w:tl2br w:val="nil"/>
              <w:tr2bl w:val="nil"/>
            </w:tcBorders>
            <w:noWrap w:val="0"/>
            <w:vAlign w:val="center"/>
          </w:tcPr>
          <w:p w14:paraId="10E52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w:t>
            </w:r>
          </w:p>
        </w:tc>
        <w:tc>
          <w:tcPr>
            <w:tcW w:w="812" w:type="dxa"/>
            <w:tcBorders>
              <w:tl2br w:val="nil"/>
              <w:tr2bl w:val="nil"/>
            </w:tcBorders>
            <w:noWrap w:val="0"/>
            <w:vAlign w:val="center"/>
          </w:tcPr>
          <w:p w14:paraId="4FDD7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7509A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1899" w:type="dxa"/>
            <w:tcBorders>
              <w:tl2br w:val="nil"/>
              <w:tr2bl w:val="nil"/>
            </w:tcBorders>
            <w:noWrap w:val="0"/>
            <w:vAlign w:val="center"/>
          </w:tcPr>
          <w:p w14:paraId="1DBF96C2">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硝酸盐（以N计）（mg/L）</w:t>
            </w:r>
          </w:p>
        </w:tc>
        <w:tc>
          <w:tcPr>
            <w:tcW w:w="1134" w:type="dxa"/>
            <w:tcBorders>
              <w:tl2br w:val="nil"/>
              <w:tr2bl w:val="nil"/>
            </w:tcBorders>
            <w:noWrap w:val="0"/>
            <w:vAlign w:val="center"/>
          </w:tcPr>
          <w:p w14:paraId="49E5D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0.003L</w:t>
            </w:r>
          </w:p>
        </w:tc>
        <w:tc>
          <w:tcPr>
            <w:tcW w:w="1058" w:type="dxa"/>
            <w:tcBorders>
              <w:tl2br w:val="nil"/>
              <w:tr2bl w:val="nil"/>
            </w:tcBorders>
            <w:noWrap w:val="0"/>
            <w:vAlign w:val="center"/>
          </w:tcPr>
          <w:p w14:paraId="5E00F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0.003L</w:t>
            </w:r>
          </w:p>
        </w:tc>
        <w:tc>
          <w:tcPr>
            <w:tcW w:w="1033" w:type="dxa"/>
            <w:tcBorders>
              <w:tl2br w:val="nil"/>
              <w:tr2bl w:val="nil"/>
            </w:tcBorders>
            <w:noWrap w:val="0"/>
            <w:vAlign w:val="center"/>
          </w:tcPr>
          <w:p w14:paraId="6CACD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0.003L</w:t>
            </w:r>
          </w:p>
        </w:tc>
        <w:tc>
          <w:tcPr>
            <w:tcW w:w="1220" w:type="dxa"/>
            <w:tcBorders>
              <w:tl2br w:val="nil"/>
              <w:tr2bl w:val="nil"/>
            </w:tcBorders>
            <w:noWrap w:val="0"/>
            <w:vAlign w:val="center"/>
          </w:tcPr>
          <w:p w14:paraId="768861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0.003L</w:t>
            </w:r>
          </w:p>
        </w:tc>
        <w:tc>
          <w:tcPr>
            <w:tcW w:w="1221" w:type="dxa"/>
            <w:tcBorders>
              <w:tl2br w:val="nil"/>
              <w:tr2bl w:val="nil"/>
            </w:tcBorders>
            <w:noWrap w:val="0"/>
            <w:vAlign w:val="center"/>
          </w:tcPr>
          <w:p w14:paraId="5CBEF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0.711</w:t>
            </w:r>
          </w:p>
        </w:tc>
        <w:tc>
          <w:tcPr>
            <w:tcW w:w="866" w:type="dxa"/>
            <w:tcBorders>
              <w:tl2br w:val="nil"/>
              <w:tr2bl w:val="nil"/>
            </w:tcBorders>
            <w:noWrap w:val="0"/>
            <w:vAlign w:val="center"/>
          </w:tcPr>
          <w:p w14:paraId="073B5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w:t>
            </w:r>
          </w:p>
        </w:tc>
        <w:tc>
          <w:tcPr>
            <w:tcW w:w="812" w:type="dxa"/>
            <w:tcBorders>
              <w:tl2br w:val="nil"/>
              <w:tr2bl w:val="nil"/>
            </w:tcBorders>
            <w:noWrap w:val="0"/>
            <w:vAlign w:val="center"/>
          </w:tcPr>
          <w:p w14:paraId="5717F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5F35F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6C765D40">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氰化物（mg/L）</w:t>
            </w:r>
          </w:p>
        </w:tc>
        <w:tc>
          <w:tcPr>
            <w:tcW w:w="1134" w:type="dxa"/>
            <w:tcBorders>
              <w:tl2br w:val="nil"/>
              <w:tr2bl w:val="nil"/>
            </w:tcBorders>
            <w:noWrap w:val="0"/>
            <w:vAlign w:val="center"/>
          </w:tcPr>
          <w:p w14:paraId="1D635CD7">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0.002L</w:t>
            </w:r>
          </w:p>
        </w:tc>
        <w:tc>
          <w:tcPr>
            <w:tcW w:w="1058" w:type="dxa"/>
            <w:tcBorders>
              <w:tl2br w:val="nil"/>
              <w:tr2bl w:val="nil"/>
            </w:tcBorders>
            <w:noWrap w:val="0"/>
            <w:vAlign w:val="center"/>
          </w:tcPr>
          <w:p w14:paraId="7CF84638">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0.002L</w:t>
            </w:r>
          </w:p>
        </w:tc>
        <w:tc>
          <w:tcPr>
            <w:tcW w:w="1033" w:type="dxa"/>
            <w:tcBorders>
              <w:tl2br w:val="nil"/>
              <w:tr2bl w:val="nil"/>
            </w:tcBorders>
            <w:noWrap w:val="0"/>
            <w:vAlign w:val="center"/>
          </w:tcPr>
          <w:p w14:paraId="2FB2CB65">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0.002L</w:t>
            </w:r>
          </w:p>
        </w:tc>
        <w:tc>
          <w:tcPr>
            <w:tcW w:w="1220" w:type="dxa"/>
            <w:tcBorders>
              <w:tl2br w:val="nil"/>
              <w:tr2bl w:val="nil"/>
            </w:tcBorders>
            <w:noWrap w:val="0"/>
            <w:vAlign w:val="center"/>
          </w:tcPr>
          <w:p w14:paraId="3AD83717">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0.002L</w:t>
            </w:r>
          </w:p>
        </w:tc>
        <w:tc>
          <w:tcPr>
            <w:tcW w:w="1221" w:type="dxa"/>
            <w:tcBorders>
              <w:tl2br w:val="nil"/>
              <w:tr2bl w:val="nil"/>
            </w:tcBorders>
            <w:noWrap w:val="0"/>
            <w:vAlign w:val="center"/>
          </w:tcPr>
          <w:p w14:paraId="491B1457">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0.002L</w:t>
            </w:r>
          </w:p>
        </w:tc>
        <w:tc>
          <w:tcPr>
            <w:tcW w:w="866" w:type="dxa"/>
            <w:tcBorders>
              <w:tl2br w:val="nil"/>
              <w:tr2bl w:val="nil"/>
            </w:tcBorders>
            <w:noWrap w:val="0"/>
            <w:vAlign w:val="center"/>
          </w:tcPr>
          <w:p w14:paraId="47A26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≤0.05</w:t>
            </w:r>
          </w:p>
        </w:tc>
        <w:tc>
          <w:tcPr>
            <w:tcW w:w="812" w:type="dxa"/>
            <w:tcBorders>
              <w:tl2br w:val="nil"/>
              <w:tr2bl w:val="nil"/>
            </w:tcBorders>
            <w:noWrap w:val="0"/>
            <w:vAlign w:val="center"/>
          </w:tcPr>
          <w:p w14:paraId="55628D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3751F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6DB048E4">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氟化物（mg/L）</w:t>
            </w:r>
          </w:p>
        </w:tc>
        <w:tc>
          <w:tcPr>
            <w:tcW w:w="1134" w:type="dxa"/>
            <w:tcBorders>
              <w:tl2br w:val="nil"/>
              <w:tr2bl w:val="nil"/>
            </w:tcBorders>
            <w:noWrap w:val="0"/>
            <w:vAlign w:val="center"/>
          </w:tcPr>
          <w:p w14:paraId="084521B7">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0.05L</w:t>
            </w:r>
          </w:p>
        </w:tc>
        <w:tc>
          <w:tcPr>
            <w:tcW w:w="1058" w:type="dxa"/>
            <w:tcBorders>
              <w:tl2br w:val="nil"/>
              <w:tr2bl w:val="nil"/>
            </w:tcBorders>
            <w:noWrap w:val="0"/>
            <w:vAlign w:val="center"/>
          </w:tcPr>
          <w:p w14:paraId="25AC05EE">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0.05L</w:t>
            </w:r>
          </w:p>
        </w:tc>
        <w:tc>
          <w:tcPr>
            <w:tcW w:w="1033" w:type="dxa"/>
            <w:tcBorders>
              <w:tl2br w:val="nil"/>
              <w:tr2bl w:val="nil"/>
            </w:tcBorders>
            <w:noWrap w:val="0"/>
            <w:vAlign w:val="center"/>
          </w:tcPr>
          <w:p w14:paraId="2E35EB7B">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0.05L</w:t>
            </w:r>
          </w:p>
        </w:tc>
        <w:tc>
          <w:tcPr>
            <w:tcW w:w="1220" w:type="dxa"/>
            <w:tcBorders>
              <w:tl2br w:val="nil"/>
              <w:tr2bl w:val="nil"/>
            </w:tcBorders>
            <w:noWrap w:val="0"/>
            <w:vAlign w:val="center"/>
          </w:tcPr>
          <w:p w14:paraId="6961FF5C">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0.05L</w:t>
            </w:r>
          </w:p>
        </w:tc>
        <w:tc>
          <w:tcPr>
            <w:tcW w:w="1221" w:type="dxa"/>
            <w:tcBorders>
              <w:tl2br w:val="nil"/>
              <w:tr2bl w:val="nil"/>
            </w:tcBorders>
            <w:noWrap w:val="0"/>
            <w:vAlign w:val="center"/>
          </w:tcPr>
          <w:p w14:paraId="35026C46">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0.190</w:t>
            </w:r>
          </w:p>
        </w:tc>
        <w:tc>
          <w:tcPr>
            <w:tcW w:w="866" w:type="dxa"/>
            <w:tcBorders>
              <w:tl2br w:val="nil"/>
              <w:tr2bl w:val="nil"/>
            </w:tcBorders>
            <w:noWrap w:val="0"/>
            <w:vAlign w:val="center"/>
          </w:tcPr>
          <w:p w14:paraId="7F0B8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812" w:type="dxa"/>
            <w:tcBorders>
              <w:tl2br w:val="nil"/>
              <w:tr2bl w:val="nil"/>
            </w:tcBorders>
            <w:noWrap w:val="0"/>
            <w:vAlign w:val="center"/>
          </w:tcPr>
          <w:p w14:paraId="58708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126D7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708C86F4">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0"/>
                <w:highlight w:val="none"/>
              </w:rPr>
              <w:t>汞</w:t>
            </w:r>
            <w:r>
              <w:rPr>
                <w:rFonts w:hint="default" w:ascii="Times New Roman" w:hAnsi="Times New Roman" w:eastAsia="宋体" w:cs="Times New Roman"/>
                <w:color w:val="auto"/>
                <w:sz w:val="21"/>
                <w:szCs w:val="21"/>
                <w:highlight w:val="none"/>
                <w:lang w:val="en-US" w:eastAsia="zh-CN"/>
              </w:rPr>
              <w:t>（mg/L）</w:t>
            </w:r>
          </w:p>
        </w:tc>
        <w:tc>
          <w:tcPr>
            <w:tcW w:w="1134" w:type="dxa"/>
            <w:tcBorders>
              <w:tl2br w:val="nil"/>
              <w:tr2bl w:val="nil"/>
            </w:tcBorders>
            <w:noWrap w:val="0"/>
            <w:vAlign w:val="center"/>
          </w:tcPr>
          <w:p w14:paraId="737462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0.00004L</w:t>
            </w:r>
          </w:p>
        </w:tc>
        <w:tc>
          <w:tcPr>
            <w:tcW w:w="1058" w:type="dxa"/>
            <w:tcBorders>
              <w:tl2br w:val="nil"/>
              <w:tr2bl w:val="nil"/>
            </w:tcBorders>
            <w:noWrap w:val="0"/>
            <w:vAlign w:val="center"/>
          </w:tcPr>
          <w:p w14:paraId="11287C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0.00004L</w:t>
            </w:r>
          </w:p>
        </w:tc>
        <w:tc>
          <w:tcPr>
            <w:tcW w:w="1033" w:type="dxa"/>
            <w:tcBorders>
              <w:tl2br w:val="nil"/>
              <w:tr2bl w:val="nil"/>
            </w:tcBorders>
            <w:noWrap w:val="0"/>
            <w:vAlign w:val="center"/>
          </w:tcPr>
          <w:p w14:paraId="537FD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0.00004L</w:t>
            </w:r>
          </w:p>
        </w:tc>
        <w:tc>
          <w:tcPr>
            <w:tcW w:w="1220" w:type="dxa"/>
            <w:tcBorders>
              <w:tl2br w:val="nil"/>
              <w:tr2bl w:val="nil"/>
            </w:tcBorders>
            <w:noWrap w:val="0"/>
            <w:vAlign w:val="center"/>
          </w:tcPr>
          <w:p w14:paraId="370ABDB6">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0.00004L</w:t>
            </w:r>
          </w:p>
        </w:tc>
        <w:tc>
          <w:tcPr>
            <w:tcW w:w="1221" w:type="dxa"/>
            <w:tcBorders>
              <w:tl2br w:val="nil"/>
              <w:tr2bl w:val="nil"/>
            </w:tcBorders>
            <w:shd w:val="clear" w:color="auto" w:fill="auto"/>
            <w:noWrap w:val="0"/>
            <w:vAlign w:val="center"/>
          </w:tcPr>
          <w:p w14:paraId="4A748EF8">
            <w:pPr>
              <w:keepNext w:val="0"/>
              <w:keepLines w:val="0"/>
              <w:suppressLineNumbers w:val="0"/>
              <w:autoSpaceDE/>
              <w:autoSpaceDN/>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0.00004L</w:t>
            </w:r>
          </w:p>
        </w:tc>
        <w:tc>
          <w:tcPr>
            <w:tcW w:w="866" w:type="dxa"/>
            <w:tcBorders>
              <w:tl2br w:val="nil"/>
              <w:tr2bl w:val="nil"/>
            </w:tcBorders>
            <w:noWrap w:val="0"/>
            <w:vAlign w:val="center"/>
          </w:tcPr>
          <w:p w14:paraId="09086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≤0.001</w:t>
            </w:r>
          </w:p>
        </w:tc>
        <w:tc>
          <w:tcPr>
            <w:tcW w:w="812" w:type="dxa"/>
            <w:tcBorders>
              <w:tl2br w:val="nil"/>
              <w:tr2bl w:val="nil"/>
            </w:tcBorders>
            <w:noWrap w:val="0"/>
            <w:vAlign w:val="center"/>
          </w:tcPr>
          <w:p w14:paraId="5D187D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4BD47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4A597943">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0"/>
                <w:highlight w:val="none"/>
              </w:rPr>
              <w:t>砷</w:t>
            </w:r>
            <w:r>
              <w:rPr>
                <w:rFonts w:hint="default" w:ascii="Times New Roman" w:hAnsi="Times New Roman" w:eastAsia="宋体" w:cs="Times New Roman"/>
                <w:color w:val="auto"/>
                <w:sz w:val="21"/>
                <w:szCs w:val="21"/>
                <w:highlight w:val="none"/>
                <w:lang w:val="en-US" w:eastAsia="zh-CN"/>
              </w:rPr>
              <w:t>（mg/L）</w:t>
            </w:r>
          </w:p>
        </w:tc>
        <w:tc>
          <w:tcPr>
            <w:tcW w:w="1134" w:type="dxa"/>
            <w:tcBorders>
              <w:tl2br w:val="nil"/>
              <w:tr2bl w:val="nil"/>
            </w:tcBorders>
            <w:noWrap w:val="0"/>
            <w:vAlign w:val="center"/>
          </w:tcPr>
          <w:p w14:paraId="79916AA0">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0.00091</w:t>
            </w:r>
          </w:p>
        </w:tc>
        <w:tc>
          <w:tcPr>
            <w:tcW w:w="1058" w:type="dxa"/>
            <w:tcBorders>
              <w:tl2br w:val="nil"/>
              <w:tr2bl w:val="nil"/>
            </w:tcBorders>
            <w:noWrap w:val="0"/>
            <w:vAlign w:val="center"/>
          </w:tcPr>
          <w:p w14:paraId="31EAEA02">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0.00113</w:t>
            </w:r>
          </w:p>
        </w:tc>
        <w:tc>
          <w:tcPr>
            <w:tcW w:w="1033" w:type="dxa"/>
            <w:tcBorders>
              <w:tl2br w:val="nil"/>
              <w:tr2bl w:val="nil"/>
            </w:tcBorders>
            <w:noWrap w:val="0"/>
            <w:vAlign w:val="center"/>
          </w:tcPr>
          <w:p w14:paraId="1D8FBD64">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0.00162</w:t>
            </w:r>
          </w:p>
        </w:tc>
        <w:tc>
          <w:tcPr>
            <w:tcW w:w="1220" w:type="dxa"/>
            <w:tcBorders>
              <w:tl2br w:val="nil"/>
              <w:tr2bl w:val="nil"/>
            </w:tcBorders>
            <w:noWrap w:val="0"/>
            <w:vAlign w:val="center"/>
          </w:tcPr>
          <w:p w14:paraId="4F0DAF2B">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0.00153</w:t>
            </w:r>
          </w:p>
        </w:tc>
        <w:tc>
          <w:tcPr>
            <w:tcW w:w="1221" w:type="dxa"/>
            <w:tcBorders>
              <w:tl2br w:val="nil"/>
              <w:tr2bl w:val="nil"/>
            </w:tcBorders>
            <w:noWrap w:val="0"/>
            <w:vAlign w:val="center"/>
          </w:tcPr>
          <w:p w14:paraId="1E347A02">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0.00097</w:t>
            </w:r>
          </w:p>
        </w:tc>
        <w:tc>
          <w:tcPr>
            <w:tcW w:w="866" w:type="dxa"/>
            <w:tcBorders>
              <w:tl2br w:val="nil"/>
              <w:tr2bl w:val="nil"/>
            </w:tcBorders>
            <w:noWrap w:val="0"/>
            <w:vAlign w:val="center"/>
          </w:tcPr>
          <w:p w14:paraId="66DB6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w:t>
            </w:r>
          </w:p>
        </w:tc>
        <w:tc>
          <w:tcPr>
            <w:tcW w:w="812" w:type="dxa"/>
            <w:tcBorders>
              <w:tl2br w:val="nil"/>
              <w:tr2bl w:val="nil"/>
            </w:tcBorders>
            <w:noWrap w:val="0"/>
            <w:vAlign w:val="center"/>
          </w:tcPr>
          <w:p w14:paraId="385635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23696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7943AB7B">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0"/>
                <w:highlight w:val="none"/>
              </w:rPr>
              <w:t>镉</w:t>
            </w:r>
            <w:r>
              <w:rPr>
                <w:rFonts w:hint="default" w:ascii="Times New Roman" w:hAnsi="Times New Roman" w:eastAsia="宋体" w:cs="Times New Roman"/>
                <w:color w:val="auto"/>
                <w:sz w:val="21"/>
                <w:szCs w:val="21"/>
                <w:highlight w:val="none"/>
                <w:lang w:val="en-US" w:eastAsia="zh-CN"/>
              </w:rPr>
              <w:t>（mg/L）</w:t>
            </w:r>
          </w:p>
        </w:tc>
        <w:tc>
          <w:tcPr>
            <w:tcW w:w="1134" w:type="dxa"/>
            <w:tcBorders>
              <w:tl2br w:val="nil"/>
              <w:tr2bl w:val="nil"/>
            </w:tcBorders>
            <w:noWrap w:val="0"/>
            <w:vAlign w:val="center"/>
          </w:tcPr>
          <w:p w14:paraId="6C488004">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0.00009L</w:t>
            </w:r>
          </w:p>
        </w:tc>
        <w:tc>
          <w:tcPr>
            <w:tcW w:w="1058" w:type="dxa"/>
            <w:tcBorders>
              <w:tl2br w:val="nil"/>
              <w:tr2bl w:val="nil"/>
            </w:tcBorders>
            <w:noWrap w:val="0"/>
            <w:vAlign w:val="center"/>
          </w:tcPr>
          <w:p w14:paraId="0ACFA5AC">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0.00009L</w:t>
            </w:r>
          </w:p>
        </w:tc>
        <w:tc>
          <w:tcPr>
            <w:tcW w:w="1033" w:type="dxa"/>
            <w:tcBorders>
              <w:tl2br w:val="nil"/>
              <w:tr2bl w:val="nil"/>
            </w:tcBorders>
            <w:noWrap w:val="0"/>
            <w:vAlign w:val="center"/>
          </w:tcPr>
          <w:p w14:paraId="4C7EB4F4">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0.00009L</w:t>
            </w:r>
          </w:p>
        </w:tc>
        <w:tc>
          <w:tcPr>
            <w:tcW w:w="1220" w:type="dxa"/>
            <w:tcBorders>
              <w:tl2br w:val="nil"/>
              <w:tr2bl w:val="nil"/>
            </w:tcBorders>
            <w:noWrap w:val="0"/>
            <w:vAlign w:val="center"/>
          </w:tcPr>
          <w:p w14:paraId="7B6693B3">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0.00009L</w:t>
            </w:r>
          </w:p>
        </w:tc>
        <w:tc>
          <w:tcPr>
            <w:tcW w:w="1221" w:type="dxa"/>
            <w:tcBorders>
              <w:tl2br w:val="nil"/>
              <w:tr2bl w:val="nil"/>
            </w:tcBorders>
            <w:noWrap w:val="0"/>
            <w:vAlign w:val="center"/>
          </w:tcPr>
          <w:p w14:paraId="2748407F">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0.00009L</w:t>
            </w:r>
          </w:p>
        </w:tc>
        <w:tc>
          <w:tcPr>
            <w:tcW w:w="866" w:type="dxa"/>
            <w:tcBorders>
              <w:tl2br w:val="nil"/>
              <w:tr2bl w:val="nil"/>
            </w:tcBorders>
            <w:noWrap w:val="0"/>
            <w:vAlign w:val="center"/>
          </w:tcPr>
          <w:p w14:paraId="28F0E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w:t>
            </w:r>
          </w:p>
        </w:tc>
        <w:tc>
          <w:tcPr>
            <w:tcW w:w="812" w:type="dxa"/>
            <w:tcBorders>
              <w:tl2br w:val="nil"/>
              <w:tr2bl w:val="nil"/>
            </w:tcBorders>
            <w:noWrap w:val="0"/>
            <w:vAlign w:val="center"/>
          </w:tcPr>
          <w:p w14:paraId="0C31D1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477B7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37569140">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0"/>
                <w:highlight w:val="none"/>
              </w:rPr>
              <w:t>铬</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0"/>
                <w:highlight w:val="none"/>
              </w:rPr>
              <w:t>六价</w:t>
            </w:r>
            <w:r>
              <w:rPr>
                <w:rFonts w:hint="default" w:ascii="Times New Roman" w:hAnsi="Times New Roman" w:eastAsia="宋体" w:cs="Times New Roman"/>
                <w:color w:val="auto"/>
                <w:sz w:val="21"/>
                <w:szCs w:val="20"/>
                <w:highlight w:val="none"/>
                <w:lang w:eastAsia="zh-CN"/>
              </w:rPr>
              <w:t>）</w:t>
            </w:r>
            <w:r>
              <w:rPr>
                <w:rFonts w:hint="default" w:ascii="Times New Roman" w:hAnsi="Times New Roman" w:eastAsia="宋体" w:cs="Times New Roman"/>
                <w:color w:val="auto"/>
                <w:sz w:val="21"/>
                <w:szCs w:val="21"/>
                <w:highlight w:val="none"/>
                <w:lang w:val="en-US" w:eastAsia="zh-CN"/>
              </w:rPr>
              <w:t>（mg/L）</w:t>
            </w:r>
          </w:p>
        </w:tc>
        <w:tc>
          <w:tcPr>
            <w:tcW w:w="1134" w:type="dxa"/>
            <w:tcBorders>
              <w:tl2br w:val="nil"/>
              <w:tr2bl w:val="nil"/>
            </w:tcBorders>
            <w:noWrap w:val="0"/>
            <w:vAlign w:val="center"/>
          </w:tcPr>
          <w:p w14:paraId="0F4E9B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0.004L</w:t>
            </w:r>
          </w:p>
        </w:tc>
        <w:tc>
          <w:tcPr>
            <w:tcW w:w="1058" w:type="dxa"/>
            <w:tcBorders>
              <w:tl2br w:val="nil"/>
              <w:tr2bl w:val="nil"/>
            </w:tcBorders>
            <w:noWrap w:val="0"/>
            <w:vAlign w:val="center"/>
          </w:tcPr>
          <w:p w14:paraId="7BD02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0.004L</w:t>
            </w:r>
          </w:p>
        </w:tc>
        <w:tc>
          <w:tcPr>
            <w:tcW w:w="1033" w:type="dxa"/>
            <w:tcBorders>
              <w:tl2br w:val="nil"/>
              <w:tr2bl w:val="nil"/>
            </w:tcBorders>
            <w:noWrap w:val="0"/>
            <w:vAlign w:val="center"/>
          </w:tcPr>
          <w:p w14:paraId="1CA4B7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0.004L</w:t>
            </w:r>
          </w:p>
        </w:tc>
        <w:tc>
          <w:tcPr>
            <w:tcW w:w="1220" w:type="dxa"/>
            <w:tcBorders>
              <w:tl2br w:val="nil"/>
              <w:tr2bl w:val="nil"/>
            </w:tcBorders>
            <w:noWrap w:val="0"/>
            <w:vAlign w:val="center"/>
          </w:tcPr>
          <w:p w14:paraId="5723DE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0.004L</w:t>
            </w:r>
          </w:p>
        </w:tc>
        <w:tc>
          <w:tcPr>
            <w:tcW w:w="1221" w:type="dxa"/>
            <w:tcBorders>
              <w:tl2br w:val="nil"/>
              <w:tr2bl w:val="nil"/>
            </w:tcBorders>
            <w:noWrap w:val="0"/>
            <w:vAlign w:val="center"/>
          </w:tcPr>
          <w:p w14:paraId="25293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0.004L</w:t>
            </w:r>
          </w:p>
        </w:tc>
        <w:tc>
          <w:tcPr>
            <w:tcW w:w="866" w:type="dxa"/>
            <w:tcBorders>
              <w:tl2br w:val="nil"/>
              <w:tr2bl w:val="nil"/>
            </w:tcBorders>
            <w:noWrap w:val="0"/>
            <w:vAlign w:val="center"/>
          </w:tcPr>
          <w:p w14:paraId="78F155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12" w:type="dxa"/>
            <w:tcBorders>
              <w:tl2br w:val="nil"/>
              <w:tr2bl w:val="nil"/>
            </w:tcBorders>
            <w:noWrap w:val="0"/>
            <w:vAlign w:val="center"/>
          </w:tcPr>
          <w:p w14:paraId="4DD0F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5C8F3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1899" w:type="dxa"/>
            <w:tcBorders>
              <w:tl2br w:val="nil"/>
              <w:tr2bl w:val="nil"/>
            </w:tcBorders>
            <w:noWrap w:val="0"/>
            <w:vAlign w:val="center"/>
          </w:tcPr>
          <w:p w14:paraId="4D2EC44F">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铅（mg/L）</w:t>
            </w:r>
          </w:p>
        </w:tc>
        <w:tc>
          <w:tcPr>
            <w:tcW w:w="1134" w:type="dxa"/>
            <w:tcBorders>
              <w:tl2br w:val="nil"/>
              <w:tr2bl w:val="nil"/>
            </w:tcBorders>
            <w:noWrap w:val="0"/>
            <w:vAlign w:val="center"/>
          </w:tcPr>
          <w:p w14:paraId="0D738301">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0.00009L</w:t>
            </w:r>
          </w:p>
        </w:tc>
        <w:tc>
          <w:tcPr>
            <w:tcW w:w="1058" w:type="dxa"/>
            <w:tcBorders>
              <w:tl2br w:val="nil"/>
              <w:tr2bl w:val="nil"/>
            </w:tcBorders>
            <w:noWrap w:val="0"/>
            <w:vAlign w:val="center"/>
          </w:tcPr>
          <w:p w14:paraId="03450745">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0.00009L</w:t>
            </w:r>
          </w:p>
        </w:tc>
        <w:tc>
          <w:tcPr>
            <w:tcW w:w="1033" w:type="dxa"/>
            <w:tcBorders>
              <w:tl2br w:val="nil"/>
              <w:tr2bl w:val="nil"/>
            </w:tcBorders>
            <w:noWrap w:val="0"/>
            <w:vAlign w:val="center"/>
          </w:tcPr>
          <w:p w14:paraId="03DC91FD">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0.00009L</w:t>
            </w:r>
          </w:p>
        </w:tc>
        <w:tc>
          <w:tcPr>
            <w:tcW w:w="1220" w:type="dxa"/>
            <w:tcBorders>
              <w:tl2br w:val="nil"/>
              <w:tr2bl w:val="nil"/>
            </w:tcBorders>
            <w:noWrap w:val="0"/>
            <w:vAlign w:val="center"/>
          </w:tcPr>
          <w:p w14:paraId="2203EBDB">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0.00009L</w:t>
            </w:r>
          </w:p>
        </w:tc>
        <w:tc>
          <w:tcPr>
            <w:tcW w:w="1221" w:type="dxa"/>
            <w:tcBorders>
              <w:tl2br w:val="nil"/>
              <w:tr2bl w:val="nil"/>
            </w:tcBorders>
            <w:noWrap w:val="0"/>
            <w:vAlign w:val="center"/>
          </w:tcPr>
          <w:p w14:paraId="6A2D21CF">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0.00009L</w:t>
            </w:r>
          </w:p>
        </w:tc>
        <w:tc>
          <w:tcPr>
            <w:tcW w:w="866" w:type="dxa"/>
            <w:tcBorders>
              <w:tl2br w:val="nil"/>
              <w:tr2bl w:val="nil"/>
            </w:tcBorders>
            <w:noWrap w:val="0"/>
            <w:vAlign w:val="center"/>
          </w:tcPr>
          <w:p w14:paraId="471E38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812" w:type="dxa"/>
            <w:tcBorders>
              <w:tl2br w:val="nil"/>
              <w:tr2bl w:val="nil"/>
            </w:tcBorders>
            <w:noWrap w:val="0"/>
            <w:vAlign w:val="center"/>
          </w:tcPr>
          <w:p w14:paraId="1A9CB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3AE07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exact"/>
          <w:jc w:val="center"/>
        </w:trPr>
        <w:tc>
          <w:tcPr>
            <w:tcW w:w="1899" w:type="dxa"/>
            <w:tcBorders>
              <w:tl2br w:val="nil"/>
              <w:tr2bl w:val="nil"/>
            </w:tcBorders>
            <w:noWrap w:val="0"/>
            <w:vAlign w:val="center"/>
          </w:tcPr>
          <w:p w14:paraId="490794CE">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总大肠菌群</w:t>
            </w:r>
            <w:r>
              <w:rPr>
                <w:rFonts w:hint="default" w:ascii="Times New Roman" w:hAnsi="Times New Roman" w:eastAsia="宋体" w:cs="Times New Roman"/>
                <w:color w:val="auto"/>
                <w:spacing w:val="-11"/>
                <w:sz w:val="21"/>
                <w:szCs w:val="21"/>
                <w:highlight w:val="none"/>
                <w:lang w:val="en-US" w:eastAsia="zh-CN"/>
              </w:rPr>
              <w:t>（MPN/100mL）</w:t>
            </w:r>
          </w:p>
        </w:tc>
        <w:tc>
          <w:tcPr>
            <w:tcW w:w="1134" w:type="dxa"/>
            <w:tcBorders>
              <w:tl2br w:val="nil"/>
              <w:tr2bl w:val="nil"/>
            </w:tcBorders>
            <w:noWrap w:val="0"/>
            <w:vAlign w:val="center"/>
          </w:tcPr>
          <w:p w14:paraId="7A758D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2L</w:t>
            </w:r>
          </w:p>
        </w:tc>
        <w:tc>
          <w:tcPr>
            <w:tcW w:w="1058" w:type="dxa"/>
            <w:tcBorders>
              <w:tl2br w:val="nil"/>
              <w:tr2bl w:val="nil"/>
            </w:tcBorders>
            <w:noWrap w:val="0"/>
            <w:vAlign w:val="center"/>
          </w:tcPr>
          <w:p w14:paraId="76856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2L</w:t>
            </w:r>
          </w:p>
        </w:tc>
        <w:tc>
          <w:tcPr>
            <w:tcW w:w="1033" w:type="dxa"/>
            <w:tcBorders>
              <w:tl2br w:val="nil"/>
              <w:tr2bl w:val="nil"/>
            </w:tcBorders>
            <w:noWrap w:val="0"/>
            <w:vAlign w:val="center"/>
          </w:tcPr>
          <w:p w14:paraId="0EC8B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2L</w:t>
            </w:r>
          </w:p>
        </w:tc>
        <w:tc>
          <w:tcPr>
            <w:tcW w:w="1220" w:type="dxa"/>
            <w:tcBorders>
              <w:tl2br w:val="nil"/>
              <w:tr2bl w:val="nil"/>
            </w:tcBorders>
            <w:noWrap w:val="0"/>
            <w:vAlign w:val="center"/>
          </w:tcPr>
          <w:p w14:paraId="496EC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2L</w:t>
            </w:r>
          </w:p>
        </w:tc>
        <w:tc>
          <w:tcPr>
            <w:tcW w:w="1221" w:type="dxa"/>
            <w:tcBorders>
              <w:tl2br w:val="nil"/>
              <w:tr2bl w:val="nil"/>
            </w:tcBorders>
            <w:noWrap w:val="0"/>
            <w:vAlign w:val="center"/>
          </w:tcPr>
          <w:p w14:paraId="222A1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2L</w:t>
            </w:r>
          </w:p>
        </w:tc>
        <w:tc>
          <w:tcPr>
            <w:tcW w:w="866" w:type="dxa"/>
            <w:tcBorders>
              <w:tl2br w:val="nil"/>
              <w:tr2bl w:val="nil"/>
            </w:tcBorders>
            <w:noWrap w:val="0"/>
            <w:vAlign w:val="center"/>
          </w:tcPr>
          <w:p w14:paraId="686085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812" w:type="dxa"/>
            <w:tcBorders>
              <w:tl2br w:val="nil"/>
              <w:tr2bl w:val="nil"/>
            </w:tcBorders>
            <w:noWrap w:val="0"/>
            <w:vAlign w:val="center"/>
          </w:tcPr>
          <w:p w14:paraId="60B05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01CF6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25" w:hRule="exact"/>
          <w:jc w:val="center"/>
        </w:trPr>
        <w:tc>
          <w:tcPr>
            <w:tcW w:w="1899" w:type="dxa"/>
            <w:tcBorders>
              <w:tl2br w:val="nil"/>
              <w:tr2bl w:val="nil"/>
            </w:tcBorders>
            <w:noWrap w:val="0"/>
            <w:vAlign w:val="center"/>
          </w:tcPr>
          <w:p w14:paraId="0D6F37F5">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菌落总数（CFU/ml）</w:t>
            </w:r>
          </w:p>
        </w:tc>
        <w:tc>
          <w:tcPr>
            <w:tcW w:w="1134" w:type="dxa"/>
            <w:tcBorders>
              <w:tl2br w:val="nil"/>
              <w:tr2bl w:val="nil"/>
            </w:tcBorders>
            <w:noWrap w:val="0"/>
            <w:vAlign w:val="center"/>
          </w:tcPr>
          <w:p w14:paraId="21A21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48</w:t>
            </w:r>
          </w:p>
        </w:tc>
        <w:tc>
          <w:tcPr>
            <w:tcW w:w="1058" w:type="dxa"/>
            <w:tcBorders>
              <w:tl2br w:val="nil"/>
              <w:tr2bl w:val="nil"/>
            </w:tcBorders>
            <w:noWrap w:val="0"/>
            <w:vAlign w:val="center"/>
          </w:tcPr>
          <w:p w14:paraId="2EE3B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46</w:t>
            </w:r>
          </w:p>
        </w:tc>
        <w:tc>
          <w:tcPr>
            <w:tcW w:w="1033" w:type="dxa"/>
            <w:tcBorders>
              <w:tl2br w:val="nil"/>
              <w:tr2bl w:val="nil"/>
            </w:tcBorders>
            <w:noWrap w:val="0"/>
            <w:vAlign w:val="center"/>
          </w:tcPr>
          <w:p w14:paraId="1D2B50EE">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bidi="ar-SA"/>
              </w:rPr>
              <w:t>46</w:t>
            </w:r>
          </w:p>
        </w:tc>
        <w:tc>
          <w:tcPr>
            <w:tcW w:w="1220" w:type="dxa"/>
            <w:tcBorders>
              <w:tl2br w:val="nil"/>
              <w:tr2bl w:val="nil"/>
            </w:tcBorders>
            <w:noWrap w:val="0"/>
            <w:vAlign w:val="center"/>
          </w:tcPr>
          <w:p w14:paraId="79554AF0">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0"/>
                <w:highlight w:val="none"/>
                <w:lang w:val="en-US" w:eastAsia="zh-CN" w:bidi="ar-SA"/>
              </w:rPr>
              <w:t>50</w:t>
            </w:r>
          </w:p>
        </w:tc>
        <w:tc>
          <w:tcPr>
            <w:tcW w:w="1221" w:type="dxa"/>
            <w:tcBorders>
              <w:tl2br w:val="nil"/>
              <w:tr2bl w:val="nil"/>
            </w:tcBorders>
            <w:noWrap w:val="0"/>
            <w:vAlign w:val="center"/>
          </w:tcPr>
          <w:p w14:paraId="191939FE">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cs="Times New Roman"/>
                <w:color w:val="auto"/>
                <w:sz w:val="21"/>
                <w:szCs w:val="20"/>
                <w:highlight w:val="none"/>
                <w:lang w:val="en-US" w:eastAsia="zh-CN" w:bidi="ar-SA"/>
              </w:rPr>
              <w:t>18</w:t>
            </w:r>
          </w:p>
        </w:tc>
        <w:tc>
          <w:tcPr>
            <w:tcW w:w="866" w:type="dxa"/>
            <w:tcBorders>
              <w:tl2br w:val="nil"/>
              <w:tr2bl w:val="nil"/>
            </w:tcBorders>
            <w:noWrap w:val="0"/>
            <w:vAlign w:val="center"/>
          </w:tcPr>
          <w:p w14:paraId="2683C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812" w:type="dxa"/>
            <w:tcBorders>
              <w:tl2br w:val="nil"/>
              <w:tr2bl w:val="nil"/>
            </w:tcBorders>
            <w:noWrap w:val="0"/>
            <w:vAlign w:val="center"/>
          </w:tcPr>
          <w:p w14:paraId="4C5B1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r w14:paraId="3CA76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exact"/>
          <w:jc w:val="center"/>
        </w:trPr>
        <w:tc>
          <w:tcPr>
            <w:tcW w:w="1899" w:type="dxa"/>
            <w:tcBorders>
              <w:tl2br w:val="nil"/>
              <w:tr2bl w:val="nil"/>
            </w:tcBorders>
            <w:noWrap w:val="0"/>
            <w:vAlign w:val="center"/>
          </w:tcPr>
          <w:p w14:paraId="09605677">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硒</w:t>
            </w:r>
            <w:r>
              <w:rPr>
                <w:rFonts w:hint="default" w:ascii="Times New Roman" w:hAnsi="Times New Roman" w:eastAsia="宋体" w:cs="Times New Roman"/>
                <w:b w:val="0"/>
                <w:bCs w:val="0"/>
                <w:color w:val="auto"/>
                <w:sz w:val="21"/>
                <w:szCs w:val="21"/>
                <w:highlight w:val="none"/>
                <w:lang w:val="en-US" w:eastAsia="zh-CN"/>
              </w:rPr>
              <w:t>（mg/L）</w:t>
            </w:r>
          </w:p>
        </w:tc>
        <w:tc>
          <w:tcPr>
            <w:tcW w:w="1134" w:type="dxa"/>
            <w:tcBorders>
              <w:tl2br w:val="nil"/>
              <w:tr2bl w:val="nil"/>
            </w:tcBorders>
            <w:noWrap w:val="0"/>
            <w:vAlign w:val="center"/>
          </w:tcPr>
          <w:p w14:paraId="485E09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0.00041L</w:t>
            </w:r>
          </w:p>
        </w:tc>
        <w:tc>
          <w:tcPr>
            <w:tcW w:w="1058" w:type="dxa"/>
            <w:tcBorders>
              <w:tl2br w:val="nil"/>
              <w:tr2bl w:val="nil"/>
            </w:tcBorders>
            <w:noWrap w:val="0"/>
            <w:vAlign w:val="center"/>
          </w:tcPr>
          <w:p w14:paraId="2F684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0.00041L</w:t>
            </w:r>
          </w:p>
        </w:tc>
        <w:tc>
          <w:tcPr>
            <w:tcW w:w="1033" w:type="dxa"/>
            <w:tcBorders>
              <w:tl2br w:val="nil"/>
              <w:tr2bl w:val="nil"/>
            </w:tcBorders>
            <w:noWrap w:val="0"/>
            <w:vAlign w:val="center"/>
          </w:tcPr>
          <w:p w14:paraId="72D8F33E">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0.00041L</w:t>
            </w:r>
          </w:p>
        </w:tc>
        <w:tc>
          <w:tcPr>
            <w:tcW w:w="1220" w:type="dxa"/>
            <w:tcBorders>
              <w:tl2br w:val="nil"/>
              <w:tr2bl w:val="nil"/>
            </w:tcBorders>
            <w:noWrap w:val="0"/>
            <w:vAlign w:val="center"/>
          </w:tcPr>
          <w:p w14:paraId="77DB2107">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0.00041L</w:t>
            </w:r>
          </w:p>
        </w:tc>
        <w:tc>
          <w:tcPr>
            <w:tcW w:w="1221" w:type="dxa"/>
            <w:tcBorders>
              <w:tl2br w:val="nil"/>
              <w:tr2bl w:val="nil"/>
            </w:tcBorders>
            <w:noWrap w:val="0"/>
            <w:vAlign w:val="center"/>
          </w:tcPr>
          <w:p w14:paraId="3A9A6D02">
            <w:pPr>
              <w:keepNext w:val="0"/>
              <w:keepLines w:val="0"/>
              <w:suppressLineNumbers w:val="0"/>
              <w:autoSpaceDE/>
              <w:autoSpaceDN/>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0.00041L</w:t>
            </w:r>
          </w:p>
        </w:tc>
        <w:tc>
          <w:tcPr>
            <w:tcW w:w="866" w:type="dxa"/>
            <w:tcBorders>
              <w:tl2br w:val="nil"/>
              <w:tr2bl w:val="nil"/>
            </w:tcBorders>
            <w:noWrap w:val="0"/>
            <w:vAlign w:val="center"/>
          </w:tcPr>
          <w:p w14:paraId="4C1F9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812" w:type="dxa"/>
            <w:tcBorders>
              <w:tl2br w:val="nil"/>
              <w:tr2bl w:val="nil"/>
            </w:tcBorders>
            <w:noWrap w:val="0"/>
            <w:vAlign w:val="center"/>
          </w:tcPr>
          <w:p w14:paraId="4211D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SA"/>
              </w:rPr>
              <w:t>达标</w:t>
            </w:r>
          </w:p>
        </w:tc>
      </w:tr>
    </w:tbl>
    <w:p w14:paraId="0E7D4961">
      <w:pPr>
        <w:ind w:left="0" w:leftChars="0" w:firstLine="720" w:firstLineChars="30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由表可知，</w:t>
      </w:r>
      <w:bookmarkStart w:id="100" w:name="_Hlk33550248"/>
      <w:r>
        <w:rPr>
          <w:rFonts w:hint="default" w:ascii="Times New Roman" w:hAnsi="Times New Roman" w:cs="Times New Roman"/>
          <w:color w:val="000000" w:themeColor="text1"/>
          <w:highlight w:val="none"/>
          <w:u w:val="none" w:color="auto"/>
          <w14:textFill>
            <w14:solidFill>
              <w14:schemeClr w14:val="tx1"/>
            </w14:solidFill>
          </w14:textFill>
        </w:rPr>
        <w:t>地下水各水质监测点位各项监测因子均达到《地下水环境质量标准》（GB14848-2017）Ⅲ类标准，区域内地下水环境质量较好。</w:t>
      </w:r>
      <w:bookmarkEnd w:id="100"/>
    </w:p>
    <w:p w14:paraId="07CFEEC8">
      <w:pPr>
        <w:ind w:left="0" w:leftChars="0" w:firstLine="720" w:firstLineChars="300"/>
        <w:rPr>
          <w:rFonts w:hint="default" w:ascii="Times New Roman" w:hAnsi="Times New Roman" w:cs="Times New Roman"/>
          <w:color w:val="000000" w:themeColor="text1"/>
          <w:highlight w:val="none"/>
          <w:u w:val="none" w:color="auto"/>
          <w14:textFill>
            <w14:solidFill>
              <w14:schemeClr w14:val="tx1"/>
            </w14:solidFill>
          </w14:textFill>
        </w:rPr>
      </w:pPr>
      <w:r>
        <w:rPr>
          <w:rFonts w:hint="eastAsia" w:cs="Times New Roman"/>
          <w:color w:val="000000" w:themeColor="text1"/>
          <w:highlight w:val="none"/>
          <w:u w:val="wave" w:color="auto"/>
          <w:lang w:val="en-US" w:eastAsia="zh-CN"/>
          <w14:textFill>
            <w14:solidFill>
              <w14:schemeClr w14:val="tx1"/>
            </w14:solidFill>
          </w14:textFill>
        </w:rPr>
        <w:t>项目运行至今未发生管道泄漏池壁破损等可能对场地包气带造成污染的事故。</w:t>
      </w:r>
      <w:r>
        <w:rPr>
          <w:rFonts w:hint="default" w:ascii="Times New Roman" w:hAnsi="Times New Roman" w:cs="Times New Roman"/>
          <w:color w:val="000000" w:themeColor="text1"/>
          <w:highlight w:val="none"/>
          <w:u w:val="wave" w:color="auto"/>
          <w14:textFill>
            <w14:solidFill>
              <w14:schemeClr w14:val="tx1"/>
            </w14:solidFill>
          </w14:textFill>
        </w:rPr>
        <w:t>在本次现状调查中，厂区内污水处理构筑物（调节池等）因底部及侧壁已完成防渗硬化处理，不具备直接钻孔采样的条件。根据《环境影响评价技术导则 地下水环境》（HJ 610）的要求，现场调查工作应遵循可行性原则。本次调查通过</w:t>
      </w:r>
      <w:r>
        <w:rPr>
          <w:rFonts w:hint="eastAsia" w:cs="Times New Roman"/>
          <w:color w:val="000000" w:themeColor="text1"/>
          <w:highlight w:val="none"/>
          <w:u w:val="wave" w:color="auto"/>
          <w:lang w:val="en-US" w:eastAsia="zh-CN"/>
          <w14:textFill>
            <w14:solidFill>
              <w14:schemeClr w14:val="tx1"/>
            </w14:solidFill>
          </w14:textFill>
        </w:rPr>
        <w:t>对占地范围内的</w:t>
      </w:r>
      <w:r>
        <w:rPr>
          <w:rFonts w:hint="default" w:ascii="Times New Roman" w:hAnsi="Times New Roman" w:cs="Times New Roman"/>
          <w:color w:val="000000" w:themeColor="text1"/>
          <w:highlight w:val="none"/>
          <w:u w:val="wave" w:color="auto"/>
          <w14:textFill>
            <w14:solidFill>
              <w14:schemeClr w14:val="tx1"/>
            </w14:solidFill>
          </w14:textFill>
        </w:rPr>
        <w:t>土壤</w:t>
      </w:r>
      <w:r>
        <w:rPr>
          <w:rFonts w:hint="eastAsia" w:cs="Times New Roman"/>
          <w:color w:val="000000" w:themeColor="text1"/>
          <w:highlight w:val="none"/>
          <w:u w:val="wave" w:color="auto"/>
          <w:lang w:val="en-US" w:eastAsia="zh-CN"/>
          <w14:textFill>
            <w14:solidFill>
              <w14:schemeClr w14:val="tx1"/>
            </w14:solidFill>
          </w14:textFill>
        </w:rPr>
        <w:t>及周边</w:t>
      </w:r>
      <w:r>
        <w:rPr>
          <w:rFonts w:hint="default" w:ascii="Times New Roman" w:hAnsi="Times New Roman" w:cs="Times New Roman"/>
          <w:color w:val="000000" w:themeColor="text1"/>
          <w:highlight w:val="none"/>
          <w:u w:val="wave" w:color="auto"/>
          <w14:textFill>
            <w14:solidFill>
              <w14:schemeClr w14:val="tx1"/>
            </w14:solidFill>
          </w14:textFill>
        </w:rPr>
        <w:t>地下水进行系统取样，</w:t>
      </w:r>
      <w:r>
        <w:rPr>
          <w:rFonts w:hint="eastAsia" w:cs="Times New Roman"/>
          <w:color w:val="000000" w:themeColor="text1"/>
          <w:highlight w:val="none"/>
          <w:u w:val="wave" w:color="auto"/>
          <w:lang w:val="en-US" w:eastAsia="zh-CN"/>
          <w14:textFill>
            <w14:solidFill>
              <w14:schemeClr w14:val="tx1"/>
            </w14:solidFill>
          </w14:textFill>
        </w:rPr>
        <w:t>根据土壤及地下水现状监测数据，</w:t>
      </w:r>
      <w:r>
        <w:rPr>
          <w:rFonts w:hint="default" w:ascii="Times New Roman" w:hAnsi="Times New Roman" w:cs="Times New Roman"/>
          <w:color w:val="000000" w:themeColor="text1"/>
          <w:highlight w:val="none"/>
          <w:u w:val="none" w:color="auto"/>
          <w14:textFill>
            <w14:solidFill>
              <w14:schemeClr w14:val="tx1"/>
            </w14:solidFill>
          </w14:textFill>
        </w:rPr>
        <w:t>该区域</w:t>
      </w:r>
      <w:r>
        <w:rPr>
          <w:rFonts w:hint="eastAsia" w:cs="Times New Roman"/>
          <w:color w:val="000000" w:themeColor="text1"/>
          <w:highlight w:val="none"/>
          <w:u w:val="none" w:color="auto"/>
          <w:lang w:val="en-US" w:eastAsia="zh-CN"/>
          <w14:textFill>
            <w14:solidFill>
              <w14:schemeClr w14:val="tx1"/>
            </w14:solidFill>
          </w14:textFill>
        </w:rPr>
        <w:t>不</w:t>
      </w:r>
      <w:r>
        <w:rPr>
          <w:rFonts w:hint="default" w:ascii="Times New Roman" w:hAnsi="Times New Roman" w:cs="Times New Roman"/>
          <w:color w:val="000000" w:themeColor="text1"/>
          <w:highlight w:val="none"/>
          <w:u w:val="none" w:color="auto"/>
          <w14:textFill>
            <w14:solidFill>
              <w14:schemeClr w14:val="tx1"/>
            </w14:solidFill>
          </w14:textFill>
        </w:rPr>
        <w:t>存在污染包气带影响。</w:t>
      </w:r>
    </w:p>
    <w:p w14:paraId="16E866B4">
      <w:pPr>
        <w:pStyle w:val="4"/>
        <w:numPr>
          <w:ilvl w:val="1"/>
          <w:numId w:val="0"/>
        </w:numPr>
        <w:ind w:leftChars="0"/>
        <w:outlineLvl w:val="2"/>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t>4.2.</w:t>
      </w:r>
      <w:r>
        <w:rPr>
          <w:rFonts w:hint="eastAsia" w:cs="Times New Roman"/>
          <w:b/>
          <w:bCs/>
          <w:color w:val="000000" w:themeColor="text1"/>
          <w:sz w:val="28"/>
          <w:szCs w:val="32"/>
          <w:highlight w:val="none"/>
          <w:u w:val="none" w:color="auto"/>
          <w:lang w:val="en-US" w:eastAsia="zh-CN" w:bidi="ar-SA"/>
          <w14:textFill>
            <w14:solidFill>
              <w14:schemeClr w14:val="tx1"/>
            </w14:solidFill>
          </w14:textFill>
        </w:rPr>
        <w:t>6</w:t>
      </w:r>
      <w:r>
        <w:rPr>
          <w:rFonts w:hint="default" w:ascii="Times New Roman" w:hAnsi="Times New Roman" w:eastAsia="宋体" w:cs="Times New Roman"/>
          <w:b/>
          <w:bCs/>
          <w:color w:val="000000" w:themeColor="text1"/>
          <w:sz w:val="28"/>
          <w:szCs w:val="32"/>
          <w:highlight w:val="none"/>
          <w:u w:val="none" w:color="auto"/>
          <w:lang w:val="en-US" w:eastAsia="zh-CN" w:bidi="ar-SA"/>
          <w14:textFill>
            <w14:solidFill>
              <w14:schemeClr w14:val="tx1"/>
            </w14:solidFill>
          </w14:textFill>
        </w:rPr>
        <w:t xml:space="preserve"> 声环境环境质量现状调查与评价</w:t>
      </w:r>
    </w:p>
    <w:p w14:paraId="37A68948">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为了解区域声环境质量现状</w:t>
      </w:r>
      <w:r>
        <w:rPr>
          <w:rFonts w:hint="default" w:ascii="Times New Roman" w:hAnsi="Times New Roman" w:cs="Times New Roman"/>
          <w:color w:val="000000" w:themeColor="text1"/>
          <w:highlight w:val="none"/>
          <w:u w:val="none" w:color="auto"/>
          <w14:textFill>
            <w14:solidFill>
              <w14:schemeClr w14:val="tx1"/>
            </w14:solidFill>
          </w14:textFill>
        </w:rPr>
        <w:t>，本次</w:t>
      </w:r>
      <w:r>
        <w:rPr>
          <w:rFonts w:hint="default" w:ascii="Times New Roman" w:hAnsi="Times New Roman" w:cs="Times New Roman"/>
          <w:color w:val="000000" w:themeColor="text1"/>
          <w:highlight w:val="none"/>
          <w:u w:val="none" w:color="auto"/>
          <w:lang w:eastAsia="zh-CN"/>
          <w14:textFill>
            <w14:solidFill>
              <w14:schemeClr w14:val="tx1"/>
            </w14:solidFill>
          </w14:textFill>
        </w:rPr>
        <w:t>评价</w:t>
      </w:r>
      <w:r>
        <w:rPr>
          <w:rFonts w:hint="default" w:ascii="Times New Roman" w:hAnsi="Times New Roman" w:cs="Times New Roman"/>
          <w:color w:val="000000" w:themeColor="text1"/>
          <w:highlight w:val="none"/>
          <w:u w:val="none" w:color="auto"/>
          <w14:textFill>
            <w14:solidFill>
              <w14:schemeClr w14:val="tx1"/>
            </w14:solidFill>
          </w14:textFill>
        </w:rPr>
        <w:t>委托</w:t>
      </w:r>
      <w:r>
        <w:rPr>
          <w:rFonts w:hint="default" w:ascii="Times New Roman" w:hAnsi="Times New Roman" w:cs="Times New Roman"/>
          <w:color w:val="000000" w:themeColor="text1"/>
          <w:highlight w:val="none"/>
          <w:u w:val="none" w:color="auto"/>
          <w:lang w:eastAsia="zh-CN"/>
          <w14:textFill>
            <w14:solidFill>
              <w14:schemeClr w14:val="tx1"/>
            </w14:solidFill>
          </w14:textFill>
        </w:rPr>
        <w:t>湖南瑞鉴检测有限公司于</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2025年10月18日-19日于项目所在地</w:t>
      </w:r>
      <w:r>
        <w:rPr>
          <w:rFonts w:hint="default" w:ascii="Times New Roman" w:hAnsi="Times New Roman" w:cs="Times New Roman"/>
          <w:color w:val="000000" w:themeColor="text1"/>
          <w:highlight w:val="none"/>
          <w:u w:val="none" w:color="auto"/>
          <w14:textFill>
            <w14:solidFill>
              <w14:schemeClr w14:val="tx1"/>
            </w14:solidFill>
          </w14:textFill>
        </w:rPr>
        <w:t>共设噪声监测点位</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t>个，具体布置详见</w:t>
      </w:r>
      <w:r>
        <w:rPr>
          <w:rFonts w:hint="default" w:ascii="Times New Roman" w:hAnsi="Times New Roman" w:cs="Times New Roman"/>
          <w:color w:val="000000" w:themeColor="text1"/>
          <w:highlight w:val="none"/>
          <w:u w:val="none" w:color="auto"/>
          <w:lang w:eastAsia="zh-CN"/>
          <w14:textFill>
            <w14:solidFill>
              <w14:schemeClr w14:val="tx1"/>
            </w14:solidFill>
          </w14:textFill>
        </w:rPr>
        <w:t>表</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4.2-</w:t>
      </w:r>
      <w:r>
        <w:rPr>
          <w:rFonts w:hint="eastAsia" w:cs="Times New Roman"/>
          <w:color w:val="000000" w:themeColor="text1"/>
          <w:highlight w:val="none"/>
          <w:u w:val="none" w:color="auto"/>
          <w:lang w:val="en-US" w:eastAsia="zh-CN"/>
          <w14:textFill>
            <w14:solidFill>
              <w14:schemeClr w14:val="tx1"/>
            </w14:solidFill>
          </w14:textFill>
        </w:rPr>
        <w:t>9</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，噪声监测结果详见表4.2-</w:t>
      </w:r>
      <w:r>
        <w:rPr>
          <w:rFonts w:hint="eastAsia"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w:t>
      </w:r>
    </w:p>
    <w:p w14:paraId="2995875C">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4.2-</w:t>
      </w:r>
      <w:r>
        <w:rPr>
          <w:rFonts w:hint="eastAsia" w:cs="Times New Roman"/>
          <w:color w:val="000000" w:themeColor="text1"/>
          <w:highlight w:val="none"/>
          <w:u w:val="none" w:color="auto"/>
          <w:lang w:val="en-US" w:eastAsia="zh-CN"/>
          <w14:textFill>
            <w14:solidFill>
              <w14:schemeClr w14:val="tx1"/>
            </w14:solidFill>
          </w14:textFill>
        </w:rPr>
        <w:t>9</w:t>
      </w:r>
      <w:r>
        <w:rPr>
          <w:rFonts w:hint="default" w:ascii="Times New Roman" w:hAnsi="Times New Roman" w:cs="Times New Roman"/>
          <w:color w:val="000000" w:themeColor="text1"/>
          <w:highlight w:val="none"/>
          <w:u w:val="none" w:color="auto"/>
          <w14:textFill>
            <w14:solidFill>
              <w14:schemeClr w14:val="tx1"/>
            </w14:solidFill>
          </w14:textFill>
        </w:rPr>
        <w:t xml:space="preserve"> 项目噪声现状监测点位及特征</w:t>
      </w:r>
    </w:p>
    <w:tbl>
      <w:tblPr>
        <w:tblStyle w:val="76"/>
        <w:tblW w:w="496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359"/>
        <w:gridCol w:w="2848"/>
        <w:gridCol w:w="4820"/>
      </w:tblGrid>
      <w:tr w14:paraId="5A6FC4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1355" w:type="dxa"/>
            <w:vAlign w:val="center"/>
          </w:tcPr>
          <w:p w14:paraId="266AE055">
            <w:pPr>
              <w:pStyle w:val="192"/>
              <w:keepNext w:val="0"/>
              <w:keepLines w:val="0"/>
              <w:suppressLineNumbers w:val="0"/>
              <w:spacing w:before="0" w:beforeAutospacing="0" w:after="0" w:afterAutospacing="0"/>
              <w:ind w:left="0" w:right="0"/>
              <w:jc w:val="center"/>
              <w:rPr>
                <w:rFonts w:hint="default" w:ascii="Times New Roman" w:hAnsi="Times New Roman" w:eastAsia="Times New Roman" w:cs="Times New Roman"/>
                <w:b/>
                <w:color w:val="000000" w:themeColor="text1"/>
                <w:sz w:val="28"/>
                <w:szCs w:val="22"/>
                <w:highlight w:val="none"/>
                <w:u w:val="none" w:color="auto"/>
                <w14:textFill>
                  <w14:solidFill>
                    <w14:schemeClr w14:val="tx1"/>
                  </w14:solidFill>
                </w14:textFill>
              </w:rPr>
            </w:pPr>
            <w:r>
              <w:rPr>
                <w:rFonts w:hint="default" w:ascii="Times New Roman" w:hAnsi="Times New Roman" w:cs="Times New Roman"/>
                <w:b/>
                <w:color w:val="000000" w:themeColor="text1"/>
                <w:sz w:val="22"/>
                <w:szCs w:val="22"/>
                <w:highlight w:val="none"/>
                <w:u w:val="none" w:color="auto"/>
                <w14:textFill>
                  <w14:solidFill>
                    <w14:schemeClr w14:val="tx1"/>
                  </w14:solidFill>
                </w14:textFill>
              </w:rPr>
              <w:t>监测</w:t>
            </w:r>
            <w:r>
              <w:rPr>
                <w:rFonts w:hint="default" w:ascii="Times New Roman" w:hAnsi="Times New Roman" w:cs="Times New Roman"/>
                <w:b/>
                <w:color w:val="000000" w:themeColor="text1"/>
                <w:spacing w:val="-3"/>
                <w:sz w:val="22"/>
                <w:szCs w:val="22"/>
                <w:highlight w:val="none"/>
                <w:u w:val="none" w:color="auto"/>
                <w14:textFill>
                  <w14:solidFill>
                    <w14:schemeClr w14:val="tx1"/>
                  </w14:solidFill>
                </w14:textFill>
              </w:rPr>
              <w:t>点</w:t>
            </w:r>
            <w:r>
              <w:rPr>
                <w:rFonts w:hint="default" w:ascii="Times New Roman" w:hAnsi="Times New Roman" w:cs="Times New Roman"/>
                <w:b/>
                <w:color w:val="000000" w:themeColor="text1"/>
                <w:sz w:val="22"/>
                <w:szCs w:val="22"/>
                <w:highlight w:val="none"/>
                <w:u w:val="none" w:color="auto"/>
                <w14:textFill>
                  <w14:solidFill>
                    <w14:schemeClr w14:val="tx1"/>
                  </w14:solidFill>
                </w14:textFill>
              </w:rPr>
              <w:t>位</w:t>
            </w:r>
          </w:p>
        </w:tc>
        <w:tc>
          <w:tcPr>
            <w:tcW w:w="2839" w:type="dxa"/>
            <w:vAlign w:val="center"/>
          </w:tcPr>
          <w:p w14:paraId="0549761F">
            <w:pPr>
              <w:pStyle w:val="192"/>
              <w:keepNext w:val="0"/>
              <w:keepLines w:val="0"/>
              <w:suppressLineNumbers w:val="0"/>
              <w:spacing w:before="0" w:beforeAutospacing="0" w:after="0" w:afterAutospacing="0"/>
              <w:ind w:left="0" w:right="0"/>
              <w:jc w:val="center"/>
              <w:rPr>
                <w:rFonts w:hint="default" w:ascii="Times New Roman" w:hAnsi="Times New Roman" w:eastAsia="Times New Roman" w:cs="Times New Roman"/>
                <w:b/>
                <w:color w:val="000000" w:themeColor="text1"/>
                <w:sz w:val="28"/>
                <w:szCs w:val="22"/>
                <w:highlight w:val="none"/>
                <w:u w:val="none" w:color="auto"/>
                <w14:textFill>
                  <w14:solidFill>
                    <w14:schemeClr w14:val="tx1"/>
                  </w14:solidFill>
                </w14:textFill>
              </w:rPr>
            </w:pPr>
            <w:r>
              <w:rPr>
                <w:rFonts w:hint="default" w:ascii="Times New Roman" w:hAnsi="Times New Roman" w:cs="Times New Roman"/>
                <w:b/>
                <w:color w:val="000000" w:themeColor="text1"/>
                <w:sz w:val="22"/>
                <w:szCs w:val="22"/>
                <w:highlight w:val="none"/>
                <w:u w:val="none" w:color="auto"/>
                <w14:textFill>
                  <w14:solidFill>
                    <w14:schemeClr w14:val="tx1"/>
                  </w14:solidFill>
                </w14:textFill>
              </w:rPr>
              <w:t>点位</w:t>
            </w:r>
            <w:r>
              <w:rPr>
                <w:rFonts w:hint="default" w:ascii="Times New Roman" w:hAnsi="Times New Roman" w:cs="Times New Roman"/>
                <w:b/>
                <w:color w:val="000000" w:themeColor="text1"/>
                <w:spacing w:val="-3"/>
                <w:sz w:val="22"/>
                <w:szCs w:val="22"/>
                <w:highlight w:val="none"/>
                <w:u w:val="none" w:color="auto"/>
                <w14:textFill>
                  <w14:solidFill>
                    <w14:schemeClr w14:val="tx1"/>
                  </w14:solidFill>
                </w14:textFill>
              </w:rPr>
              <w:t>位</w:t>
            </w:r>
            <w:r>
              <w:rPr>
                <w:rFonts w:hint="default" w:ascii="Times New Roman" w:hAnsi="Times New Roman" w:cs="Times New Roman"/>
                <w:b/>
                <w:color w:val="000000" w:themeColor="text1"/>
                <w:sz w:val="22"/>
                <w:szCs w:val="22"/>
                <w:highlight w:val="none"/>
                <w:u w:val="none" w:color="auto"/>
                <w14:textFill>
                  <w14:solidFill>
                    <w14:schemeClr w14:val="tx1"/>
                  </w14:solidFill>
                </w14:textFill>
              </w:rPr>
              <w:t>置</w:t>
            </w:r>
          </w:p>
        </w:tc>
        <w:tc>
          <w:tcPr>
            <w:tcW w:w="4805" w:type="dxa"/>
            <w:vAlign w:val="center"/>
          </w:tcPr>
          <w:p w14:paraId="4DDF5F2A">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2"/>
                <w:szCs w:val="22"/>
                <w:highlight w:val="none"/>
                <w:u w:val="none" w:color="auto"/>
                <w14:textFill>
                  <w14:solidFill>
                    <w14:schemeClr w14:val="tx1"/>
                  </w14:solidFill>
                </w14:textFill>
              </w:rPr>
            </w:pPr>
            <w:r>
              <w:rPr>
                <w:rFonts w:hint="default" w:ascii="Times New Roman" w:hAnsi="Times New Roman" w:cs="Times New Roman"/>
                <w:b/>
                <w:color w:val="000000" w:themeColor="text1"/>
                <w:sz w:val="22"/>
                <w:szCs w:val="22"/>
                <w:highlight w:val="none"/>
                <w:u w:val="none" w:color="auto"/>
                <w14:textFill>
                  <w14:solidFill>
                    <w14:schemeClr w14:val="tx1"/>
                  </w14:solidFill>
                </w14:textFill>
              </w:rPr>
              <w:t>数据来源</w:t>
            </w:r>
          </w:p>
        </w:tc>
      </w:tr>
      <w:tr w14:paraId="02982A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2" w:hRule="atLeast"/>
          <w:jc w:val="center"/>
        </w:trPr>
        <w:tc>
          <w:tcPr>
            <w:tcW w:w="1355" w:type="dxa"/>
            <w:vAlign w:val="center"/>
          </w:tcPr>
          <w:p w14:paraId="64D27CE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r>
              <w:rPr>
                <w:rFonts w:hint="default" w:ascii="Times New Roman" w:hAnsi="Times New Roman" w:cs="Times New Roman"/>
                <w:color w:val="000000" w:themeColor="text1"/>
                <w:sz w:val="22"/>
                <w:szCs w:val="22"/>
                <w:highlight w:val="none"/>
                <w:u w:val="none" w:color="auto"/>
                <w14:textFill>
                  <w14:solidFill>
                    <w14:schemeClr w14:val="tx1"/>
                  </w14:solidFill>
                </w14:textFill>
              </w:rPr>
              <w:t>N1</w:t>
            </w:r>
          </w:p>
        </w:tc>
        <w:tc>
          <w:tcPr>
            <w:tcW w:w="2839" w:type="dxa"/>
            <w:vAlign w:val="center"/>
          </w:tcPr>
          <w:p w14:paraId="078F217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r>
              <w:rPr>
                <w:rFonts w:hint="default" w:ascii="Times New Roman" w:hAnsi="Times New Roman" w:cs="Times New Roman"/>
                <w:color w:val="000000" w:themeColor="text1"/>
                <w:sz w:val="22"/>
                <w:szCs w:val="22"/>
                <w:highlight w:val="none"/>
                <w:u w:val="none" w:color="auto"/>
                <w14:textFill>
                  <w14:solidFill>
                    <w14:schemeClr w14:val="tx1"/>
                  </w14:solidFill>
                </w14:textFill>
              </w:rPr>
              <w:t>项目东厂界外侧 1m</w:t>
            </w:r>
          </w:p>
        </w:tc>
        <w:tc>
          <w:tcPr>
            <w:tcW w:w="4805" w:type="dxa"/>
            <w:vMerge w:val="restart"/>
            <w:vAlign w:val="center"/>
          </w:tcPr>
          <w:p w14:paraId="41AFA4F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r>
              <w:rPr>
                <w:rFonts w:hint="default" w:ascii="Times New Roman" w:hAnsi="Times New Roman" w:cs="Times New Roman"/>
                <w:color w:val="000000" w:themeColor="text1"/>
                <w:sz w:val="22"/>
                <w:szCs w:val="22"/>
                <w:highlight w:val="none"/>
                <w:u w:val="none" w:color="auto"/>
                <w14:textFill>
                  <w14:solidFill>
                    <w14:schemeClr w14:val="tx1"/>
                  </w14:solidFill>
                </w14:textFill>
              </w:rPr>
              <w:t>本次实测，监测时间为2025年10月18日-19日，昼夜检测，连续2天。</w:t>
            </w:r>
          </w:p>
        </w:tc>
      </w:tr>
      <w:tr w14:paraId="6DBDCE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2" w:hRule="atLeast"/>
          <w:jc w:val="center"/>
        </w:trPr>
        <w:tc>
          <w:tcPr>
            <w:tcW w:w="1355" w:type="dxa"/>
            <w:vAlign w:val="center"/>
          </w:tcPr>
          <w:p w14:paraId="07EA0B9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r>
              <w:rPr>
                <w:rFonts w:hint="default" w:ascii="Times New Roman" w:hAnsi="Times New Roman" w:cs="Times New Roman"/>
                <w:color w:val="000000" w:themeColor="text1"/>
                <w:sz w:val="22"/>
                <w:szCs w:val="22"/>
                <w:highlight w:val="none"/>
                <w:u w:val="none" w:color="auto"/>
                <w14:textFill>
                  <w14:solidFill>
                    <w14:schemeClr w14:val="tx1"/>
                  </w14:solidFill>
                </w14:textFill>
              </w:rPr>
              <w:t>N2</w:t>
            </w:r>
          </w:p>
        </w:tc>
        <w:tc>
          <w:tcPr>
            <w:tcW w:w="2839" w:type="dxa"/>
            <w:vAlign w:val="center"/>
          </w:tcPr>
          <w:p w14:paraId="5917424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r>
              <w:rPr>
                <w:rFonts w:hint="default" w:ascii="Times New Roman" w:hAnsi="Times New Roman" w:cs="Times New Roman"/>
                <w:color w:val="000000" w:themeColor="text1"/>
                <w:sz w:val="22"/>
                <w:szCs w:val="22"/>
                <w:highlight w:val="none"/>
                <w:u w:val="none" w:color="auto"/>
                <w14:textFill>
                  <w14:solidFill>
                    <w14:schemeClr w14:val="tx1"/>
                  </w14:solidFill>
                </w14:textFill>
              </w:rPr>
              <w:t>项目南厂界外侧 1m</w:t>
            </w:r>
          </w:p>
        </w:tc>
        <w:tc>
          <w:tcPr>
            <w:tcW w:w="4805" w:type="dxa"/>
            <w:vMerge w:val="continue"/>
            <w:vAlign w:val="center"/>
          </w:tcPr>
          <w:p w14:paraId="2B1C39B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p>
        </w:tc>
      </w:tr>
      <w:tr w14:paraId="1DEE88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72" w:hRule="atLeast"/>
          <w:jc w:val="center"/>
        </w:trPr>
        <w:tc>
          <w:tcPr>
            <w:tcW w:w="1355" w:type="dxa"/>
            <w:vAlign w:val="center"/>
          </w:tcPr>
          <w:p w14:paraId="0F45736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r>
              <w:rPr>
                <w:rFonts w:hint="default" w:ascii="Times New Roman" w:hAnsi="Times New Roman" w:cs="Times New Roman"/>
                <w:color w:val="000000" w:themeColor="text1"/>
                <w:sz w:val="22"/>
                <w:szCs w:val="22"/>
                <w:highlight w:val="none"/>
                <w:u w:val="none" w:color="auto"/>
                <w14:textFill>
                  <w14:solidFill>
                    <w14:schemeClr w14:val="tx1"/>
                  </w14:solidFill>
                </w14:textFill>
              </w:rPr>
              <w:t>N3</w:t>
            </w:r>
          </w:p>
        </w:tc>
        <w:tc>
          <w:tcPr>
            <w:tcW w:w="2839" w:type="dxa"/>
            <w:vAlign w:val="center"/>
          </w:tcPr>
          <w:p w14:paraId="6B2B492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r>
              <w:rPr>
                <w:rFonts w:hint="default" w:ascii="Times New Roman" w:hAnsi="Times New Roman" w:cs="Times New Roman"/>
                <w:color w:val="000000" w:themeColor="text1"/>
                <w:sz w:val="22"/>
                <w:szCs w:val="22"/>
                <w:highlight w:val="none"/>
                <w:u w:val="none" w:color="auto"/>
                <w14:textFill>
                  <w14:solidFill>
                    <w14:schemeClr w14:val="tx1"/>
                  </w14:solidFill>
                </w14:textFill>
              </w:rPr>
              <w:t>项目西厂界外侧 1m</w:t>
            </w:r>
          </w:p>
        </w:tc>
        <w:tc>
          <w:tcPr>
            <w:tcW w:w="4805" w:type="dxa"/>
            <w:vMerge w:val="continue"/>
            <w:vAlign w:val="center"/>
          </w:tcPr>
          <w:p w14:paraId="539C647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p>
        </w:tc>
      </w:tr>
      <w:tr w14:paraId="209DC4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2" w:hRule="atLeast"/>
          <w:jc w:val="center"/>
        </w:trPr>
        <w:tc>
          <w:tcPr>
            <w:tcW w:w="1355" w:type="dxa"/>
            <w:vAlign w:val="center"/>
          </w:tcPr>
          <w:p w14:paraId="11AE2FA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r>
              <w:rPr>
                <w:rFonts w:hint="default" w:ascii="Times New Roman" w:hAnsi="Times New Roman" w:cs="Times New Roman"/>
                <w:color w:val="000000" w:themeColor="text1"/>
                <w:sz w:val="22"/>
                <w:szCs w:val="22"/>
                <w:highlight w:val="none"/>
                <w:u w:val="none" w:color="auto"/>
                <w14:textFill>
                  <w14:solidFill>
                    <w14:schemeClr w14:val="tx1"/>
                  </w14:solidFill>
                </w14:textFill>
              </w:rPr>
              <w:t>N4</w:t>
            </w:r>
          </w:p>
        </w:tc>
        <w:tc>
          <w:tcPr>
            <w:tcW w:w="2839" w:type="dxa"/>
            <w:vAlign w:val="center"/>
          </w:tcPr>
          <w:p w14:paraId="2D28337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r>
              <w:rPr>
                <w:rFonts w:hint="default" w:ascii="Times New Roman" w:hAnsi="Times New Roman" w:cs="Times New Roman"/>
                <w:color w:val="000000" w:themeColor="text1"/>
                <w:sz w:val="22"/>
                <w:szCs w:val="22"/>
                <w:highlight w:val="none"/>
                <w:u w:val="none" w:color="auto"/>
                <w14:textFill>
                  <w14:solidFill>
                    <w14:schemeClr w14:val="tx1"/>
                  </w14:solidFill>
                </w14:textFill>
              </w:rPr>
              <w:t>项目北厂界外侧 1m</w:t>
            </w:r>
          </w:p>
        </w:tc>
        <w:tc>
          <w:tcPr>
            <w:tcW w:w="4805" w:type="dxa"/>
            <w:vMerge w:val="continue"/>
            <w:vAlign w:val="center"/>
          </w:tcPr>
          <w:p w14:paraId="76B0BA3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p>
        </w:tc>
      </w:tr>
      <w:tr w14:paraId="188100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614" w:hRule="atLeast"/>
          <w:jc w:val="center"/>
        </w:trPr>
        <w:tc>
          <w:tcPr>
            <w:tcW w:w="1355" w:type="dxa"/>
            <w:vAlign w:val="center"/>
          </w:tcPr>
          <w:p w14:paraId="192910F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2"/>
                <w:szCs w:val="22"/>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u w:val="none" w:color="auto"/>
                <w:lang w:val="en-US" w:eastAsia="zh-CN"/>
                <w14:textFill>
                  <w14:solidFill>
                    <w14:schemeClr w14:val="tx1"/>
                  </w14:solidFill>
                </w14:textFill>
              </w:rPr>
              <w:t>N5</w:t>
            </w:r>
          </w:p>
        </w:tc>
        <w:tc>
          <w:tcPr>
            <w:tcW w:w="2839" w:type="dxa"/>
            <w:vAlign w:val="center"/>
          </w:tcPr>
          <w:p w14:paraId="5D47985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2"/>
                <w:szCs w:val="22"/>
                <w:highlight w:val="none"/>
                <w:u w:val="none" w:color="auto"/>
                <w14:textFill>
                  <w14:solidFill>
                    <w14:schemeClr w14:val="tx1"/>
                  </w14:solidFill>
                </w14:textFill>
              </w:rPr>
            </w:pPr>
            <w:r>
              <w:rPr>
                <w:rFonts w:hint="default" w:ascii="Times New Roman" w:hAnsi="Times New Roman" w:eastAsia="宋体" w:cs="Times New Roman"/>
                <w:color w:val="000000" w:themeColor="text1"/>
                <w:sz w:val="22"/>
                <w:szCs w:val="22"/>
                <w:highlight w:val="none"/>
                <w:u w:val="none" w:color="auto"/>
                <w:lang w:val="en-US" w:eastAsia="zh-CN"/>
                <w14:textFill>
                  <w14:solidFill>
                    <w14:schemeClr w14:val="tx1"/>
                  </w14:solidFill>
                </w14:textFill>
              </w:rPr>
              <w:t>项目</w:t>
            </w:r>
            <w:r>
              <w:rPr>
                <w:rFonts w:hint="default" w:ascii="Times New Roman" w:hAnsi="Times New Roman" w:eastAsia="宋体" w:cs="Times New Roman"/>
                <w:color w:val="000000" w:themeColor="text1"/>
                <w:sz w:val="22"/>
                <w:szCs w:val="22"/>
                <w:highlight w:val="none"/>
                <w:u w:val="none" w:color="auto"/>
                <w14:textFill>
                  <w14:solidFill>
                    <w14:schemeClr w14:val="tx1"/>
                  </w14:solidFill>
                </w14:textFill>
              </w:rPr>
              <w:t>项目场界</w:t>
            </w:r>
          </w:p>
          <w:p w14:paraId="3256898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2"/>
                <w:szCs w:val="22"/>
                <w:highlight w:val="none"/>
                <w:u w:val="none" w:color="auto"/>
                <w14:textFill>
                  <w14:solidFill>
                    <w14:schemeClr w14:val="tx1"/>
                  </w14:solidFill>
                </w14:textFill>
              </w:rPr>
            </w:pPr>
            <w:r>
              <w:rPr>
                <w:rFonts w:hint="default" w:ascii="Times New Roman" w:hAnsi="Times New Roman" w:eastAsia="宋体" w:cs="Times New Roman"/>
                <w:color w:val="000000" w:themeColor="text1"/>
                <w:sz w:val="22"/>
                <w:szCs w:val="22"/>
                <w:highlight w:val="none"/>
                <w:u w:val="none" w:color="auto"/>
                <w:lang w:val="en-US" w:eastAsia="zh-CN"/>
                <w14:textFill>
                  <w14:solidFill>
                    <w14:schemeClr w14:val="tx1"/>
                  </w14:solidFill>
                </w14:textFill>
              </w:rPr>
              <w:t>西</w:t>
            </w:r>
            <w:r>
              <w:rPr>
                <w:rFonts w:hint="default" w:ascii="Times New Roman" w:hAnsi="Times New Roman" w:eastAsia="宋体" w:cs="Times New Roman"/>
                <w:color w:val="000000" w:themeColor="text1"/>
                <w:sz w:val="22"/>
                <w:szCs w:val="22"/>
                <w:highlight w:val="none"/>
                <w:u w:val="none" w:color="auto"/>
                <w14:textFill>
                  <w14:solidFill>
                    <w14:schemeClr w14:val="tx1"/>
                  </w14:solidFill>
                </w14:textFill>
              </w:rPr>
              <w:t>侧</w:t>
            </w:r>
            <w:r>
              <w:rPr>
                <w:rFonts w:hint="default" w:ascii="Times New Roman" w:hAnsi="Times New Roman" w:eastAsia="宋体" w:cs="Times New Roman"/>
                <w:color w:val="000000" w:themeColor="text1"/>
                <w:sz w:val="22"/>
                <w:szCs w:val="22"/>
                <w:highlight w:val="none"/>
                <w:u w:val="none" w:color="auto"/>
                <w:lang w:val="en-US" w:eastAsia="zh-CN"/>
                <w14:textFill>
                  <w14:solidFill>
                    <w14:schemeClr w14:val="tx1"/>
                  </w14:solidFill>
                </w14:textFill>
              </w:rPr>
              <w:t>40</w:t>
            </w:r>
            <w:r>
              <w:rPr>
                <w:rFonts w:hint="default" w:ascii="Times New Roman" w:hAnsi="Times New Roman" w:eastAsia="宋体" w:cs="Times New Roman"/>
                <w:color w:val="000000" w:themeColor="text1"/>
                <w:sz w:val="22"/>
                <w:szCs w:val="22"/>
                <w:highlight w:val="none"/>
                <w:u w:val="none" w:color="auto"/>
                <w14:textFill>
                  <w14:solidFill>
                    <w14:schemeClr w14:val="tx1"/>
                  </w14:solidFill>
                </w14:textFill>
              </w:rPr>
              <w:t>m处</w:t>
            </w:r>
            <w:r>
              <w:rPr>
                <w:rFonts w:hint="default" w:ascii="Times New Roman" w:hAnsi="Times New Roman" w:eastAsia="宋体" w:cs="Times New Roman"/>
                <w:color w:val="000000" w:themeColor="text1"/>
                <w:sz w:val="22"/>
                <w:szCs w:val="22"/>
                <w:highlight w:val="none"/>
                <w:u w:val="none" w:color="auto"/>
                <w:lang w:val="en-US" w:eastAsia="zh-CN"/>
                <w14:textFill>
                  <w14:solidFill>
                    <w14:schemeClr w14:val="tx1"/>
                  </w14:solidFill>
                </w14:textFill>
              </w:rPr>
              <w:t>居民点</w:t>
            </w:r>
          </w:p>
        </w:tc>
        <w:tc>
          <w:tcPr>
            <w:tcW w:w="4805" w:type="dxa"/>
            <w:vMerge w:val="continue"/>
            <w:vAlign w:val="center"/>
          </w:tcPr>
          <w:p w14:paraId="55CF39B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2"/>
                <w:szCs w:val="22"/>
                <w:highlight w:val="none"/>
                <w:u w:val="none" w:color="auto"/>
                <w14:textFill>
                  <w14:solidFill>
                    <w14:schemeClr w14:val="tx1"/>
                  </w14:solidFill>
                </w14:textFill>
              </w:rPr>
            </w:pPr>
          </w:p>
        </w:tc>
      </w:tr>
    </w:tbl>
    <w:p w14:paraId="6B3B8FB6">
      <w:pPr>
        <w:pStyle w:val="194"/>
        <w:spacing w:line="240" w:lineRule="auto"/>
        <w:rPr>
          <w:rFonts w:hint="default" w:ascii="Times New Roman" w:hAnsi="Times New Roman" w:cs="Times New Roman"/>
          <w:color w:val="000000" w:themeColor="text1"/>
          <w:sz w:val="21"/>
          <w:szCs w:val="20"/>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表</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4.2-</w:t>
      </w:r>
      <w:r>
        <w:rPr>
          <w:rFonts w:hint="eastAsia" w:cs="Times New Roman"/>
          <w:color w:val="000000" w:themeColor="text1"/>
          <w:highlight w:val="none"/>
          <w:u w:val="non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 xml:space="preserve"> 噪声监测结果</w:t>
      </w:r>
      <w:r>
        <w:rPr>
          <w:rFonts w:hint="default" w:ascii="Times New Roman" w:hAnsi="Times New Roman" w:cs="Times New Roman"/>
          <w:color w:val="000000" w:themeColor="text1"/>
          <w:highlight w:val="none"/>
          <w:u w:val="none" w:color="auto"/>
          <w14:textFill>
            <w14:solidFill>
              <w14:schemeClr w14:val="tx1"/>
            </w14:solidFill>
          </w14:textFill>
        </w:rPr>
        <w:tab/>
      </w:r>
      <w:r>
        <w:rPr>
          <w:rFonts w:hint="default" w:ascii="Times New Roman" w:hAnsi="Times New Roman" w:cs="Times New Roman"/>
          <w:color w:val="000000" w:themeColor="text1"/>
          <w:highlight w:val="none"/>
          <w:u w:val="none" w:color="auto"/>
          <w14:textFill>
            <w14:solidFill>
              <w14:schemeClr w14:val="tx1"/>
            </w14:solidFill>
          </w14:textFill>
        </w:rPr>
        <w:t>单位：dB</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A</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p>
    <w:tbl>
      <w:tblPr>
        <w:tblStyle w:val="76"/>
        <w:tblW w:w="913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073"/>
        <w:gridCol w:w="2179"/>
        <w:gridCol w:w="1969"/>
        <w:gridCol w:w="1964"/>
        <w:gridCol w:w="1954"/>
      </w:tblGrid>
      <w:tr w14:paraId="5856C9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9" w:hRule="atLeast"/>
          <w:jc w:val="center"/>
        </w:trPr>
        <w:tc>
          <w:tcPr>
            <w:tcW w:w="1073" w:type="dxa"/>
            <w:vMerge w:val="restart"/>
            <w:vAlign w:val="center"/>
          </w:tcPr>
          <w:p w14:paraId="2BE281F6">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序号</w:t>
            </w:r>
          </w:p>
        </w:tc>
        <w:tc>
          <w:tcPr>
            <w:tcW w:w="2179" w:type="dxa"/>
            <w:vMerge w:val="restart"/>
            <w:vAlign w:val="center"/>
          </w:tcPr>
          <w:p w14:paraId="7A5D8D71">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检测点位</w:t>
            </w:r>
          </w:p>
        </w:tc>
        <w:tc>
          <w:tcPr>
            <w:tcW w:w="1969" w:type="dxa"/>
            <w:vMerge w:val="restart"/>
            <w:vAlign w:val="center"/>
          </w:tcPr>
          <w:p w14:paraId="48B66490">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检测时间</w:t>
            </w:r>
          </w:p>
        </w:tc>
        <w:tc>
          <w:tcPr>
            <w:tcW w:w="3918" w:type="dxa"/>
            <w:gridSpan w:val="2"/>
            <w:vAlign w:val="center"/>
          </w:tcPr>
          <w:p w14:paraId="125F1774">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检测结果</w:t>
            </w:r>
            <w:r>
              <w:rPr>
                <w:rFonts w:hint="default" w:ascii="Times New Roman" w:hAnsi="Times New Roman" w:cs="Times New Roman"/>
                <w:b/>
                <w:bCs/>
                <w:color w:val="000000" w:themeColor="text1"/>
                <w:highlight w:val="none"/>
                <w:u w:val="none" w:color="auto"/>
                <w14:textFill>
                  <w14:solidFill>
                    <w14:schemeClr w14:val="tx1"/>
                  </w14:solidFill>
                </w14:textFill>
              </w:rPr>
              <w:tab/>
            </w:r>
            <w:r>
              <w:rPr>
                <w:rFonts w:hint="default" w:ascii="Times New Roman" w:hAnsi="Times New Roman" w:cs="Times New Roman"/>
                <w:b/>
                <w:bCs/>
                <w:color w:val="000000" w:themeColor="text1"/>
                <w:highlight w:val="none"/>
                <w:u w:val="none" w:color="auto"/>
                <w14:textFill>
                  <w14:solidFill>
                    <w14:schemeClr w14:val="tx1"/>
                  </w14:solidFill>
                </w14:textFill>
              </w:rPr>
              <w:t>LeqdB(A)</w:t>
            </w:r>
          </w:p>
        </w:tc>
      </w:tr>
      <w:tr w14:paraId="27F1D3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1073" w:type="dxa"/>
            <w:vMerge w:val="continue"/>
            <w:vAlign w:val="center"/>
          </w:tcPr>
          <w:p w14:paraId="1DC057E7">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2179" w:type="dxa"/>
            <w:vMerge w:val="continue"/>
            <w:vAlign w:val="center"/>
          </w:tcPr>
          <w:p w14:paraId="6621C667">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1969" w:type="dxa"/>
            <w:vMerge w:val="continue"/>
            <w:vAlign w:val="center"/>
          </w:tcPr>
          <w:p w14:paraId="3A0B8635">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1964" w:type="dxa"/>
            <w:vAlign w:val="center"/>
          </w:tcPr>
          <w:p w14:paraId="7A938A2A">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昼间</w:t>
            </w:r>
          </w:p>
        </w:tc>
        <w:tc>
          <w:tcPr>
            <w:tcW w:w="1954" w:type="dxa"/>
            <w:vAlign w:val="center"/>
          </w:tcPr>
          <w:p w14:paraId="151CCD3F">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夜间</w:t>
            </w:r>
          </w:p>
        </w:tc>
      </w:tr>
      <w:tr w14:paraId="4724B7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73" w:type="dxa"/>
            <w:vMerge w:val="restart"/>
            <w:vAlign w:val="center"/>
          </w:tcPr>
          <w:p w14:paraId="1A35F631">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N1</w:t>
            </w:r>
          </w:p>
        </w:tc>
        <w:tc>
          <w:tcPr>
            <w:tcW w:w="2179" w:type="dxa"/>
            <w:vMerge w:val="restart"/>
            <w:vAlign w:val="center"/>
          </w:tcPr>
          <w:p w14:paraId="783A1DA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项目东厂界外侧 1m</w:t>
            </w:r>
          </w:p>
        </w:tc>
        <w:tc>
          <w:tcPr>
            <w:tcW w:w="1969" w:type="dxa"/>
            <w:vAlign w:val="center"/>
          </w:tcPr>
          <w:p w14:paraId="191FB00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5.10.18</w:t>
            </w:r>
          </w:p>
        </w:tc>
        <w:tc>
          <w:tcPr>
            <w:tcW w:w="1964" w:type="dxa"/>
            <w:vAlign w:val="center"/>
          </w:tcPr>
          <w:p w14:paraId="579A51F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954" w:type="dxa"/>
            <w:vAlign w:val="center"/>
          </w:tcPr>
          <w:p w14:paraId="4FE4AED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44</w:t>
            </w:r>
          </w:p>
        </w:tc>
      </w:tr>
      <w:tr w14:paraId="5C2208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73" w:type="dxa"/>
            <w:vMerge w:val="continue"/>
            <w:vAlign w:val="center"/>
          </w:tcPr>
          <w:p w14:paraId="6251A543">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2179" w:type="dxa"/>
            <w:vMerge w:val="continue"/>
            <w:vAlign w:val="center"/>
          </w:tcPr>
          <w:p w14:paraId="0E1C99B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969" w:type="dxa"/>
            <w:vAlign w:val="center"/>
          </w:tcPr>
          <w:p w14:paraId="47730D6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5.10.19</w:t>
            </w:r>
          </w:p>
        </w:tc>
        <w:tc>
          <w:tcPr>
            <w:tcW w:w="1964" w:type="dxa"/>
            <w:vAlign w:val="center"/>
          </w:tcPr>
          <w:p w14:paraId="23E05886">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954" w:type="dxa"/>
            <w:vAlign w:val="center"/>
          </w:tcPr>
          <w:p w14:paraId="7501904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r>
      <w:tr w14:paraId="23FD65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73" w:type="dxa"/>
            <w:vMerge w:val="restart"/>
            <w:vAlign w:val="center"/>
          </w:tcPr>
          <w:p w14:paraId="49B3316D">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N2</w:t>
            </w:r>
          </w:p>
        </w:tc>
        <w:tc>
          <w:tcPr>
            <w:tcW w:w="2179" w:type="dxa"/>
            <w:vMerge w:val="restart"/>
            <w:vAlign w:val="center"/>
          </w:tcPr>
          <w:p w14:paraId="331BB3C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项目南厂界外侧 1m</w:t>
            </w:r>
          </w:p>
        </w:tc>
        <w:tc>
          <w:tcPr>
            <w:tcW w:w="1969" w:type="dxa"/>
            <w:vAlign w:val="center"/>
          </w:tcPr>
          <w:p w14:paraId="1A69865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5.10.18</w:t>
            </w:r>
          </w:p>
        </w:tc>
        <w:tc>
          <w:tcPr>
            <w:tcW w:w="1964" w:type="dxa"/>
            <w:vAlign w:val="center"/>
          </w:tcPr>
          <w:p w14:paraId="06748FA8">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53</w:t>
            </w:r>
          </w:p>
        </w:tc>
        <w:tc>
          <w:tcPr>
            <w:tcW w:w="1954" w:type="dxa"/>
            <w:vAlign w:val="center"/>
          </w:tcPr>
          <w:p w14:paraId="7BF53C2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42</w:t>
            </w:r>
          </w:p>
        </w:tc>
      </w:tr>
      <w:tr w14:paraId="31504F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73" w:type="dxa"/>
            <w:vMerge w:val="continue"/>
            <w:vAlign w:val="center"/>
          </w:tcPr>
          <w:p w14:paraId="313DEA8E">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2179" w:type="dxa"/>
            <w:vMerge w:val="continue"/>
            <w:vAlign w:val="center"/>
          </w:tcPr>
          <w:p w14:paraId="51C0867B">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1969" w:type="dxa"/>
            <w:vAlign w:val="center"/>
          </w:tcPr>
          <w:p w14:paraId="5DEBE2C4">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5.10.19</w:t>
            </w:r>
          </w:p>
        </w:tc>
        <w:tc>
          <w:tcPr>
            <w:tcW w:w="1964" w:type="dxa"/>
            <w:vAlign w:val="center"/>
          </w:tcPr>
          <w:p w14:paraId="44B9332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53</w:t>
            </w:r>
          </w:p>
        </w:tc>
        <w:tc>
          <w:tcPr>
            <w:tcW w:w="1954" w:type="dxa"/>
            <w:vAlign w:val="center"/>
          </w:tcPr>
          <w:p w14:paraId="455103A4">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42</w:t>
            </w:r>
          </w:p>
        </w:tc>
      </w:tr>
      <w:tr w14:paraId="2EEF15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73" w:type="dxa"/>
            <w:vMerge w:val="restart"/>
            <w:vAlign w:val="center"/>
          </w:tcPr>
          <w:p w14:paraId="7929BB66">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N3</w:t>
            </w:r>
          </w:p>
        </w:tc>
        <w:tc>
          <w:tcPr>
            <w:tcW w:w="2179" w:type="dxa"/>
            <w:vMerge w:val="restart"/>
            <w:vAlign w:val="center"/>
          </w:tcPr>
          <w:p w14:paraId="77430F0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项目西厂界外侧 1m</w:t>
            </w:r>
          </w:p>
        </w:tc>
        <w:tc>
          <w:tcPr>
            <w:tcW w:w="1969" w:type="dxa"/>
            <w:vAlign w:val="center"/>
          </w:tcPr>
          <w:p w14:paraId="14431DA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5.10.18</w:t>
            </w:r>
          </w:p>
        </w:tc>
        <w:tc>
          <w:tcPr>
            <w:tcW w:w="1964" w:type="dxa"/>
            <w:vAlign w:val="center"/>
          </w:tcPr>
          <w:p w14:paraId="4784C28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54</w:t>
            </w:r>
          </w:p>
        </w:tc>
        <w:tc>
          <w:tcPr>
            <w:tcW w:w="1954" w:type="dxa"/>
            <w:vAlign w:val="center"/>
          </w:tcPr>
          <w:p w14:paraId="1FAC0C44">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r>
      <w:tr w14:paraId="4A10E7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73" w:type="dxa"/>
            <w:vMerge w:val="continue"/>
            <w:vAlign w:val="center"/>
          </w:tcPr>
          <w:p w14:paraId="3321ABC9">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2179" w:type="dxa"/>
            <w:vMerge w:val="continue"/>
            <w:vAlign w:val="center"/>
          </w:tcPr>
          <w:p w14:paraId="0B9B877F">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1969" w:type="dxa"/>
            <w:vAlign w:val="center"/>
          </w:tcPr>
          <w:p w14:paraId="3946DCB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5.10.19</w:t>
            </w:r>
          </w:p>
        </w:tc>
        <w:tc>
          <w:tcPr>
            <w:tcW w:w="1964" w:type="dxa"/>
            <w:vAlign w:val="center"/>
          </w:tcPr>
          <w:p w14:paraId="0FBD5C1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55</w:t>
            </w:r>
          </w:p>
        </w:tc>
        <w:tc>
          <w:tcPr>
            <w:tcW w:w="1954" w:type="dxa"/>
            <w:vAlign w:val="center"/>
          </w:tcPr>
          <w:p w14:paraId="2AC71442">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44</w:t>
            </w:r>
          </w:p>
        </w:tc>
      </w:tr>
      <w:tr w14:paraId="68A75F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73" w:type="dxa"/>
            <w:vMerge w:val="restart"/>
            <w:vAlign w:val="center"/>
          </w:tcPr>
          <w:p w14:paraId="1C4EBABF">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N4</w:t>
            </w:r>
          </w:p>
        </w:tc>
        <w:tc>
          <w:tcPr>
            <w:tcW w:w="2179" w:type="dxa"/>
            <w:vMerge w:val="restart"/>
            <w:vAlign w:val="center"/>
          </w:tcPr>
          <w:p w14:paraId="5A934E6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项目北厂界外侧 1m</w:t>
            </w:r>
          </w:p>
        </w:tc>
        <w:tc>
          <w:tcPr>
            <w:tcW w:w="1969" w:type="dxa"/>
            <w:vAlign w:val="center"/>
          </w:tcPr>
          <w:p w14:paraId="41E4FFC0">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5.10.18</w:t>
            </w:r>
          </w:p>
        </w:tc>
        <w:tc>
          <w:tcPr>
            <w:tcW w:w="1964" w:type="dxa"/>
            <w:vAlign w:val="center"/>
          </w:tcPr>
          <w:p w14:paraId="01C02F0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954" w:type="dxa"/>
            <w:vAlign w:val="center"/>
          </w:tcPr>
          <w:p w14:paraId="464C6A3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r>
      <w:tr w14:paraId="2446D9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73" w:type="dxa"/>
            <w:vMerge w:val="continue"/>
            <w:vAlign w:val="center"/>
          </w:tcPr>
          <w:p w14:paraId="5A57ECD8">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2179" w:type="dxa"/>
            <w:vMerge w:val="continue"/>
            <w:vAlign w:val="center"/>
          </w:tcPr>
          <w:p w14:paraId="1AE7D5B3">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1969" w:type="dxa"/>
            <w:vAlign w:val="center"/>
          </w:tcPr>
          <w:p w14:paraId="078DB7BC">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5.10.19</w:t>
            </w:r>
          </w:p>
        </w:tc>
        <w:tc>
          <w:tcPr>
            <w:tcW w:w="1964" w:type="dxa"/>
            <w:vAlign w:val="center"/>
          </w:tcPr>
          <w:p w14:paraId="6F82C32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55</w:t>
            </w:r>
          </w:p>
        </w:tc>
        <w:tc>
          <w:tcPr>
            <w:tcW w:w="1954" w:type="dxa"/>
            <w:vAlign w:val="center"/>
          </w:tcPr>
          <w:p w14:paraId="5BFDF8BC">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44</w:t>
            </w:r>
          </w:p>
        </w:tc>
      </w:tr>
      <w:tr w14:paraId="04BEB3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1" w:type="dxa"/>
            <w:gridSpan w:val="3"/>
            <w:vAlign w:val="center"/>
          </w:tcPr>
          <w:p w14:paraId="467339E4">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参考限值</w:t>
            </w:r>
          </w:p>
        </w:tc>
        <w:tc>
          <w:tcPr>
            <w:tcW w:w="1964" w:type="dxa"/>
            <w:vAlign w:val="center"/>
          </w:tcPr>
          <w:p w14:paraId="11DAB70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65</w:t>
            </w:r>
          </w:p>
        </w:tc>
        <w:tc>
          <w:tcPr>
            <w:tcW w:w="1954" w:type="dxa"/>
            <w:vAlign w:val="center"/>
          </w:tcPr>
          <w:p w14:paraId="1B982397">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55</w:t>
            </w:r>
          </w:p>
        </w:tc>
      </w:tr>
      <w:tr w14:paraId="7247FF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73" w:type="dxa"/>
            <w:vMerge w:val="restart"/>
            <w:vAlign w:val="center"/>
          </w:tcPr>
          <w:p w14:paraId="1419B636">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N5</w:t>
            </w:r>
          </w:p>
        </w:tc>
        <w:tc>
          <w:tcPr>
            <w:tcW w:w="2179" w:type="dxa"/>
            <w:vMerge w:val="restart"/>
            <w:vAlign w:val="center"/>
          </w:tcPr>
          <w:p w14:paraId="2C3B9F6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项目</w:t>
            </w:r>
            <w:r>
              <w:rPr>
                <w:rFonts w:hint="default" w:ascii="Times New Roman" w:hAnsi="Times New Roman" w:eastAsia="宋体" w:cs="Times New Roman"/>
                <w:color w:val="000000" w:themeColor="text1"/>
                <w:highlight w:val="none"/>
                <w:u w:val="none" w:color="auto"/>
                <w14:textFill>
                  <w14:solidFill>
                    <w14:schemeClr w14:val="tx1"/>
                  </w14:solidFill>
                </w14:textFill>
              </w:rPr>
              <w:t>项目场界</w:t>
            </w:r>
          </w:p>
          <w:p w14:paraId="6A89EE3B">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西</w:t>
            </w:r>
            <w:r>
              <w:rPr>
                <w:rFonts w:hint="default" w:ascii="Times New Roman" w:hAnsi="Times New Roman" w:eastAsia="宋体" w:cs="Times New Roman"/>
                <w:color w:val="000000" w:themeColor="text1"/>
                <w:highlight w:val="none"/>
                <w:u w:val="none" w:color="auto"/>
                <w14:textFill>
                  <w14:solidFill>
                    <w14:schemeClr w14:val="tx1"/>
                  </w14:solidFill>
                </w14:textFill>
              </w:rPr>
              <w:t>侧</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40</w:t>
            </w:r>
            <w:r>
              <w:rPr>
                <w:rFonts w:hint="default" w:ascii="Times New Roman" w:hAnsi="Times New Roman" w:eastAsia="宋体" w:cs="Times New Roman"/>
                <w:color w:val="000000" w:themeColor="text1"/>
                <w:highlight w:val="none"/>
                <w:u w:val="none" w:color="auto"/>
                <w14:textFill>
                  <w14:solidFill>
                    <w14:schemeClr w14:val="tx1"/>
                  </w14:solidFill>
                </w14:textFill>
              </w:rPr>
              <w:t>m处</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居民点</w:t>
            </w:r>
          </w:p>
        </w:tc>
        <w:tc>
          <w:tcPr>
            <w:tcW w:w="1969" w:type="dxa"/>
            <w:vAlign w:val="center"/>
          </w:tcPr>
          <w:p w14:paraId="7F03920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5.10.18</w:t>
            </w:r>
          </w:p>
        </w:tc>
        <w:tc>
          <w:tcPr>
            <w:tcW w:w="1964" w:type="dxa"/>
            <w:vAlign w:val="center"/>
          </w:tcPr>
          <w:p w14:paraId="5AB1102F">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53</w:t>
            </w:r>
          </w:p>
        </w:tc>
        <w:tc>
          <w:tcPr>
            <w:tcW w:w="1954" w:type="dxa"/>
            <w:vAlign w:val="center"/>
          </w:tcPr>
          <w:p w14:paraId="0D81CEF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w:t>
            </w:r>
          </w:p>
        </w:tc>
      </w:tr>
      <w:tr w14:paraId="44991A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73" w:type="dxa"/>
            <w:vMerge w:val="continue"/>
            <w:vAlign w:val="center"/>
          </w:tcPr>
          <w:p w14:paraId="707254F1">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2179" w:type="dxa"/>
            <w:vMerge w:val="continue"/>
            <w:vAlign w:val="center"/>
          </w:tcPr>
          <w:p w14:paraId="521E764E">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tc>
        <w:tc>
          <w:tcPr>
            <w:tcW w:w="1969" w:type="dxa"/>
            <w:vAlign w:val="center"/>
          </w:tcPr>
          <w:p w14:paraId="546CD91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5.10.19</w:t>
            </w:r>
          </w:p>
        </w:tc>
        <w:tc>
          <w:tcPr>
            <w:tcW w:w="1964" w:type="dxa"/>
            <w:vAlign w:val="center"/>
          </w:tcPr>
          <w:p w14:paraId="4752FFD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53</w:t>
            </w:r>
          </w:p>
        </w:tc>
        <w:tc>
          <w:tcPr>
            <w:tcW w:w="1954" w:type="dxa"/>
            <w:vAlign w:val="center"/>
          </w:tcPr>
          <w:p w14:paraId="2441486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r>
      <w:tr w14:paraId="7D8CB9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5" w:hRule="atLeast"/>
          <w:jc w:val="center"/>
        </w:trPr>
        <w:tc>
          <w:tcPr>
            <w:tcW w:w="5221" w:type="dxa"/>
            <w:gridSpan w:val="3"/>
            <w:vAlign w:val="center"/>
          </w:tcPr>
          <w:p w14:paraId="25B4DF6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参考限值</w:t>
            </w:r>
          </w:p>
        </w:tc>
        <w:tc>
          <w:tcPr>
            <w:tcW w:w="1964" w:type="dxa"/>
            <w:vAlign w:val="center"/>
          </w:tcPr>
          <w:p w14:paraId="17B87B3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60</w:t>
            </w:r>
          </w:p>
        </w:tc>
        <w:tc>
          <w:tcPr>
            <w:tcW w:w="1954" w:type="dxa"/>
            <w:vAlign w:val="center"/>
          </w:tcPr>
          <w:p w14:paraId="5AD8C4C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50</w:t>
            </w:r>
          </w:p>
        </w:tc>
      </w:tr>
    </w:tbl>
    <w:p w14:paraId="0A2181A2">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由监测结果可知：</w:t>
      </w:r>
      <w:bookmarkStart w:id="101" w:name="_Hlk33550288"/>
      <w:r>
        <w:rPr>
          <w:rFonts w:hint="default" w:ascii="Times New Roman" w:hAnsi="Times New Roman" w:cs="Times New Roman"/>
          <w:color w:val="000000" w:themeColor="text1"/>
          <w:highlight w:val="none"/>
          <w:u w:val="none" w:color="auto"/>
          <w14:textFill>
            <w14:solidFill>
              <w14:schemeClr w14:val="tx1"/>
            </w14:solidFill>
          </w14:textFill>
        </w:rPr>
        <w:t>本项目各厂界昼、夜间噪声现状监测结果均符合《声环境质量标准》(GB3096-2008)</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3类标准</w:t>
      </w:r>
      <w:r>
        <w:rPr>
          <w:rFonts w:hint="default" w:ascii="Times New Roman" w:hAnsi="Times New Roman" w:cs="Times New Roman"/>
          <w:color w:val="000000" w:themeColor="text1"/>
          <w:highlight w:val="none"/>
          <w:u w:val="none" w:color="auto"/>
          <w14:textFill>
            <w14:solidFill>
              <w14:schemeClr w14:val="tx1"/>
            </w14:solidFill>
          </w14:textFill>
        </w:rPr>
        <w:t>的要求</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敏感点</w:t>
      </w:r>
      <w:r>
        <w:rPr>
          <w:rFonts w:hint="default" w:ascii="Times New Roman" w:hAnsi="Times New Roman" w:cs="Times New Roman"/>
          <w:color w:val="000000" w:themeColor="text1"/>
          <w:highlight w:val="none"/>
          <w:u w:val="none" w:color="auto"/>
          <w14:textFill>
            <w14:solidFill>
              <w14:schemeClr w14:val="tx1"/>
            </w14:solidFill>
          </w14:textFill>
        </w:rPr>
        <w:t>昼、夜间噪声现状监测结果均符合《声环境质量标准》(GB3096-2008)</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2类标准</w:t>
      </w:r>
      <w:r>
        <w:rPr>
          <w:rFonts w:hint="default" w:ascii="Times New Roman" w:hAnsi="Times New Roman" w:cs="Times New Roman"/>
          <w:color w:val="000000" w:themeColor="text1"/>
          <w:highlight w:val="none"/>
          <w:u w:val="none" w:color="auto"/>
          <w14:textFill>
            <w14:solidFill>
              <w14:schemeClr w14:val="tx1"/>
            </w14:solidFill>
          </w14:textFill>
        </w:rPr>
        <w:t>的要求，区域声环境质量较好。</w:t>
      </w:r>
      <w:bookmarkEnd w:id="101"/>
    </w:p>
    <w:p w14:paraId="3502DC59">
      <w:pPr>
        <w:widowControl w:val="0"/>
        <w:numPr>
          <w:ilvl w:val="0"/>
          <w:numId w:val="0"/>
        </w:numPr>
        <w:adjustRightInd w:val="0"/>
        <w:snapToGrid w:val="0"/>
        <w:spacing w:line="336" w:lineRule="auto"/>
        <w:ind w:leftChars="0"/>
        <w:jc w:val="left"/>
        <w:outlineLvl w:val="1"/>
        <w:rPr>
          <w:rFonts w:hint="default" w:ascii="Times New Roman" w:hAnsi="Times New Roman" w:eastAsia="宋体" w:cs="Times New Roman"/>
          <w:b/>
          <w:kern w:val="0"/>
          <w:sz w:val="28"/>
          <w:szCs w:val="24"/>
          <w:highlight w:val="none"/>
          <w:lang w:val="en-US" w:eastAsia="zh-CN" w:bidi="ar-SA"/>
        </w:rPr>
      </w:pPr>
      <w:bookmarkStart w:id="102" w:name="_Toc1108"/>
      <w:bookmarkStart w:id="103" w:name="_Toc517390730"/>
      <w:bookmarkStart w:id="104" w:name="_Toc131434269"/>
      <w:bookmarkStart w:id="105" w:name="_Toc493231046"/>
      <w:bookmarkStart w:id="106" w:name="_Toc227822044"/>
      <w:bookmarkStart w:id="107" w:name="_Toc182"/>
      <w:bookmarkStart w:id="108" w:name="_Toc214253731"/>
      <w:bookmarkStart w:id="109" w:name="_Toc15707"/>
      <w:bookmarkStart w:id="110" w:name="_Toc517390729"/>
      <w:r>
        <w:rPr>
          <w:rFonts w:hint="default" w:ascii="Times New Roman" w:hAnsi="Times New Roman" w:eastAsia="宋体" w:cs="Times New Roman"/>
          <w:b/>
          <w:kern w:val="0"/>
          <w:sz w:val="28"/>
          <w:szCs w:val="24"/>
          <w:highlight w:val="none"/>
          <w:lang w:val="en-US" w:eastAsia="zh-CN" w:bidi="ar-SA"/>
        </w:rPr>
        <w:t>4.3</w:t>
      </w:r>
      <w:r>
        <w:rPr>
          <w:rFonts w:hint="default" w:ascii="Times New Roman" w:hAnsi="Times New Roman" w:cs="Times New Roman"/>
          <w:b/>
          <w:kern w:val="0"/>
          <w:sz w:val="28"/>
          <w:szCs w:val="24"/>
          <w:highlight w:val="none"/>
          <w:lang w:val="en-US" w:eastAsia="zh-CN" w:bidi="ar-SA"/>
        </w:rPr>
        <w:t xml:space="preserve"> </w:t>
      </w:r>
      <w:r>
        <w:rPr>
          <w:rFonts w:hint="default" w:ascii="Times New Roman" w:hAnsi="Times New Roman" w:eastAsia="宋体" w:cs="Times New Roman"/>
          <w:b/>
          <w:kern w:val="0"/>
          <w:sz w:val="28"/>
          <w:szCs w:val="24"/>
          <w:highlight w:val="none"/>
          <w:lang w:val="en-US" w:eastAsia="zh-CN" w:bidi="ar-SA"/>
        </w:rPr>
        <w:t>湖南大通湖产业开发区规划概况</w:t>
      </w:r>
      <w:bookmarkEnd w:id="102"/>
      <w:bookmarkEnd w:id="103"/>
      <w:bookmarkEnd w:id="104"/>
      <w:bookmarkEnd w:id="105"/>
      <w:bookmarkEnd w:id="106"/>
      <w:bookmarkEnd w:id="107"/>
      <w:bookmarkEnd w:id="108"/>
      <w:bookmarkEnd w:id="109"/>
    </w:p>
    <w:p w14:paraId="13EB9F08">
      <w:pPr>
        <w:widowControl w:val="0"/>
        <w:numPr>
          <w:ilvl w:val="0"/>
          <w:numId w:val="0"/>
        </w:numPr>
        <w:adjustRightInd w:val="0"/>
        <w:snapToGrid w:val="0"/>
        <w:spacing w:line="360" w:lineRule="auto"/>
        <w:ind w:leftChars="0"/>
        <w:jc w:val="both"/>
        <w:outlineLvl w:val="2"/>
        <w:rPr>
          <w:rFonts w:hint="default" w:ascii="Times New Roman" w:hAnsi="Times New Roman" w:eastAsia="宋体" w:cs="Times New Roman"/>
          <w:b/>
          <w:kern w:val="0"/>
          <w:sz w:val="24"/>
          <w:szCs w:val="24"/>
          <w:highlight w:val="none"/>
          <w:lang w:val="zh-CN" w:eastAsia="zh-CN" w:bidi="ar-SA"/>
        </w:rPr>
      </w:pPr>
      <w:r>
        <w:rPr>
          <w:rFonts w:hint="default" w:ascii="Times New Roman" w:hAnsi="Times New Roman" w:eastAsia="宋体" w:cs="Times New Roman"/>
          <w:b/>
          <w:kern w:val="0"/>
          <w:sz w:val="24"/>
          <w:szCs w:val="24"/>
          <w:highlight w:val="none"/>
          <w:lang w:val="en-US" w:eastAsia="zh-CN" w:bidi="ar-SA"/>
        </w:rPr>
        <w:t>4.3.1</w:t>
      </w:r>
      <w:r>
        <w:rPr>
          <w:rFonts w:hint="default" w:ascii="Times New Roman" w:hAnsi="Times New Roman" w:cs="Times New Roman"/>
          <w:b/>
          <w:kern w:val="0"/>
          <w:sz w:val="24"/>
          <w:szCs w:val="24"/>
          <w:highlight w:val="none"/>
          <w:lang w:val="en-US" w:eastAsia="zh-CN" w:bidi="ar-SA"/>
        </w:rPr>
        <w:t xml:space="preserve"> </w:t>
      </w:r>
      <w:r>
        <w:rPr>
          <w:rFonts w:hint="default" w:ascii="Times New Roman" w:hAnsi="Times New Roman" w:eastAsia="宋体" w:cs="Times New Roman"/>
          <w:b/>
          <w:kern w:val="0"/>
          <w:sz w:val="24"/>
          <w:szCs w:val="24"/>
          <w:highlight w:val="none"/>
          <w:lang w:val="zh-CN" w:eastAsia="zh-CN" w:bidi="ar-SA"/>
        </w:rPr>
        <w:t>规划范围、期限与产业定位</w:t>
      </w:r>
    </w:p>
    <w:p w14:paraId="2CC095B7">
      <w:pPr>
        <w:widowControl w:val="0"/>
        <w:adjustRightInd/>
        <w:snapToGrid w:val="0"/>
        <w:spacing w:line="360" w:lineRule="auto"/>
        <w:ind w:firstLine="480" w:firstLineChars="200"/>
        <w:jc w:val="both"/>
        <w:textAlignment w:val="baseline"/>
        <w:rPr>
          <w:rFonts w:hint="default" w:ascii="Times New Roman" w:hAnsi="Times New Roman" w:eastAsia="宋体" w:cs="Times New Roman"/>
          <w:snapToGrid w:val="0"/>
          <w:kern w:val="24"/>
          <w:sz w:val="24"/>
          <w:szCs w:val="24"/>
          <w:highlight w:val="none"/>
          <w:lang w:val="en-US" w:eastAsia="zh-CN" w:bidi="ar-SA"/>
        </w:rPr>
      </w:pPr>
      <w:r>
        <w:rPr>
          <w:rFonts w:hint="default" w:ascii="Times New Roman" w:hAnsi="Times New Roman" w:eastAsia="宋体" w:cs="Times New Roman"/>
          <w:snapToGrid w:val="0"/>
          <w:kern w:val="24"/>
          <w:sz w:val="24"/>
          <w:szCs w:val="24"/>
          <w:highlight w:val="none"/>
          <w:lang w:val="en-US" w:eastAsia="zh-CN" w:bidi="ar-SA"/>
        </w:rPr>
        <w:t>湖南大通湖产业开发区，规划区范围面积共计约344平方公倾，具体详见下表，本项目位于湖南大通湖产业开发区地块一。</w:t>
      </w:r>
    </w:p>
    <w:p w14:paraId="7B1D77D3">
      <w:pPr>
        <w:widowControl w:val="0"/>
        <w:numPr>
          <w:ilvl w:val="4"/>
          <w:numId w:val="0"/>
        </w:numPr>
        <w:bidi w:val="0"/>
        <w:adjustRightInd w:val="0"/>
        <w:snapToGrid w:val="0"/>
        <w:spacing w:line="240" w:lineRule="auto"/>
        <w:ind w:left="0" w:leftChars="0" w:firstLine="0" w:firstLineChars="0"/>
        <w:jc w:val="center"/>
        <w:outlineLvl w:val="9"/>
        <w:rPr>
          <w:rFonts w:hint="default" w:ascii="Times New Roman" w:hAnsi="Times New Roman" w:eastAsia="宋体" w:cs="Times New Roman"/>
          <w:b/>
          <w:kern w:val="0"/>
          <w:sz w:val="24"/>
          <w:szCs w:val="24"/>
          <w:highlight w:val="none"/>
          <w:lang w:val="en-US" w:eastAsia="zh-CN" w:bidi="ar-SA"/>
        </w:rPr>
      </w:pP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 xml:space="preserve">表4.3-1 </w:t>
      </w:r>
      <w:r>
        <w:rPr>
          <w:rFonts w:hint="default" w:ascii="Times New Roman" w:hAnsi="Times New Roman" w:eastAsia="宋体" w:cs="Times New Roman"/>
          <w:b/>
          <w:kern w:val="0"/>
          <w:sz w:val="24"/>
          <w:szCs w:val="24"/>
          <w:highlight w:val="none"/>
          <w:lang w:val="en-US" w:eastAsia="zh-CN" w:bidi="ar-SA"/>
        </w:rPr>
        <w:t>大通湖产业开发区调区扩区后发展方向区方案四至范围表</w:t>
      </w:r>
    </w:p>
    <w:tbl>
      <w:tblPr>
        <w:tblStyle w:val="76"/>
        <w:tblW w:w="5018" w:type="pct"/>
        <w:tblInd w:w="-15"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104"/>
        <w:gridCol w:w="2134"/>
        <w:gridCol w:w="4691"/>
        <w:gridCol w:w="1204"/>
      </w:tblGrid>
      <w:tr w14:paraId="43466D1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70" w:hRule="exact"/>
        </w:trPr>
        <w:tc>
          <w:tcPr>
            <w:tcW w:w="604" w:type="pct"/>
            <w:shd w:val="clear" w:color="auto" w:fill="auto"/>
            <w:vAlign w:val="center"/>
          </w:tcPr>
          <w:p w14:paraId="13C6DC3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开发区名称</w:t>
            </w:r>
          </w:p>
        </w:tc>
        <w:tc>
          <w:tcPr>
            <w:tcW w:w="1168" w:type="pct"/>
            <w:shd w:val="clear" w:color="auto" w:fill="auto"/>
            <w:vAlign w:val="center"/>
          </w:tcPr>
          <w:p w14:paraId="714A3E59">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区块名称</w:t>
            </w:r>
          </w:p>
        </w:tc>
        <w:tc>
          <w:tcPr>
            <w:tcW w:w="2567" w:type="pct"/>
            <w:shd w:val="clear" w:color="auto" w:fill="auto"/>
            <w:vAlign w:val="center"/>
          </w:tcPr>
          <w:p w14:paraId="0FB7D77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四至范围</w:t>
            </w:r>
          </w:p>
        </w:tc>
        <w:tc>
          <w:tcPr>
            <w:tcW w:w="659" w:type="pct"/>
            <w:shd w:val="clear" w:color="auto" w:fill="auto"/>
            <w:vAlign w:val="center"/>
          </w:tcPr>
          <w:p w14:paraId="3215731F">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面积</w:t>
            </w:r>
          </w:p>
          <w:p w14:paraId="618EAF6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（公顷）</w:t>
            </w:r>
          </w:p>
        </w:tc>
      </w:tr>
      <w:tr w14:paraId="1389175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69" w:hRule="exact"/>
        </w:trPr>
        <w:tc>
          <w:tcPr>
            <w:tcW w:w="604" w:type="pct"/>
            <w:vMerge w:val="restart"/>
            <w:shd w:val="clear" w:color="auto" w:fill="auto"/>
            <w:vAlign w:val="center"/>
          </w:tcPr>
          <w:p w14:paraId="116FBB3C">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湖南大通湖产业开发区</w:t>
            </w:r>
          </w:p>
        </w:tc>
        <w:tc>
          <w:tcPr>
            <w:tcW w:w="1168" w:type="pct"/>
            <w:shd w:val="clear" w:color="auto" w:fill="auto"/>
            <w:vAlign w:val="center"/>
          </w:tcPr>
          <w:p w14:paraId="1EDB01C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区块一</w:t>
            </w:r>
          </w:p>
        </w:tc>
        <w:tc>
          <w:tcPr>
            <w:tcW w:w="2567" w:type="pct"/>
            <w:shd w:val="clear" w:color="auto" w:fill="auto"/>
            <w:vAlign w:val="center"/>
          </w:tcPr>
          <w:p w14:paraId="46ECDBE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东至文化路，南至沿海北路，西至秀水路，北至大通湖大道。</w:t>
            </w:r>
          </w:p>
        </w:tc>
        <w:tc>
          <w:tcPr>
            <w:tcW w:w="659" w:type="pct"/>
            <w:shd w:val="clear" w:color="auto" w:fill="auto"/>
            <w:vAlign w:val="center"/>
          </w:tcPr>
          <w:p w14:paraId="6EAE35E4">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333.26</w:t>
            </w:r>
          </w:p>
        </w:tc>
      </w:tr>
      <w:tr w14:paraId="0241C58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38" w:hRule="exact"/>
        </w:trPr>
        <w:tc>
          <w:tcPr>
            <w:tcW w:w="604" w:type="pct"/>
            <w:vMerge w:val="continue"/>
            <w:shd w:val="clear" w:color="auto" w:fill="auto"/>
            <w:vAlign w:val="center"/>
          </w:tcPr>
          <w:p w14:paraId="022A1783">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p>
        </w:tc>
        <w:tc>
          <w:tcPr>
            <w:tcW w:w="1168" w:type="pct"/>
            <w:shd w:val="clear" w:color="auto" w:fill="auto"/>
            <w:vAlign w:val="center"/>
          </w:tcPr>
          <w:p w14:paraId="4641F67D">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区块二</w:t>
            </w:r>
          </w:p>
        </w:tc>
        <w:tc>
          <w:tcPr>
            <w:tcW w:w="2567" w:type="pct"/>
            <w:shd w:val="clear" w:color="auto" w:fill="auto"/>
            <w:vAlign w:val="center"/>
          </w:tcPr>
          <w:p w14:paraId="2F55BFDA">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东至Y405，南至Y405，西至金山社区，北至Y405。</w:t>
            </w:r>
          </w:p>
        </w:tc>
        <w:tc>
          <w:tcPr>
            <w:tcW w:w="659" w:type="pct"/>
            <w:shd w:val="clear" w:color="auto" w:fill="auto"/>
            <w:vAlign w:val="center"/>
          </w:tcPr>
          <w:p w14:paraId="7FCA23B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10.05</w:t>
            </w:r>
          </w:p>
        </w:tc>
      </w:tr>
      <w:tr w14:paraId="76AD5F5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70" w:hRule="exact"/>
        </w:trPr>
        <w:tc>
          <w:tcPr>
            <w:tcW w:w="604" w:type="pct"/>
            <w:vMerge w:val="continue"/>
            <w:shd w:val="clear" w:color="auto" w:fill="auto"/>
            <w:vAlign w:val="center"/>
          </w:tcPr>
          <w:p w14:paraId="00D4284A">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p>
        </w:tc>
        <w:tc>
          <w:tcPr>
            <w:tcW w:w="1168" w:type="pct"/>
            <w:shd w:val="clear" w:color="auto" w:fill="auto"/>
            <w:vAlign w:val="center"/>
          </w:tcPr>
          <w:p w14:paraId="4677C4EE">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区块三</w:t>
            </w:r>
          </w:p>
        </w:tc>
        <w:tc>
          <w:tcPr>
            <w:tcW w:w="2567" w:type="pct"/>
            <w:shd w:val="clear" w:color="auto" w:fill="auto"/>
            <w:vAlign w:val="center"/>
          </w:tcPr>
          <w:p w14:paraId="26AFAA2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东至千山红医院，南至Y408，西至Y408，北至大通湖第二中学。</w:t>
            </w:r>
          </w:p>
        </w:tc>
        <w:tc>
          <w:tcPr>
            <w:tcW w:w="659" w:type="pct"/>
            <w:shd w:val="clear" w:color="auto" w:fill="auto"/>
            <w:vAlign w:val="center"/>
          </w:tcPr>
          <w:p w14:paraId="58CF94B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10.13</w:t>
            </w:r>
          </w:p>
        </w:tc>
      </w:tr>
    </w:tbl>
    <w:p w14:paraId="00894D92">
      <w:pPr>
        <w:widowControl w:val="0"/>
        <w:adjustRightInd w:val="0"/>
        <w:snapToGrid w:val="0"/>
        <w:spacing w:line="360" w:lineRule="auto"/>
        <w:ind w:firstLine="480" w:firstLineChars="200"/>
        <w:jc w:val="both"/>
        <w:rPr>
          <w:rFonts w:hint="default" w:ascii="Times New Roman" w:hAnsi="Times New Roman" w:eastAsia="宋体" w:cs="Times New Roman"/>
          <w:kern w:val="2"/>
          <w:sz w:val="24"/>
          <w:szCs w:val="20"/>
          <w:highlight w:val="none"/>
          <w:lang w:val="zh-CN" w:eastAsia="zh-CN" w:bidi="ar-SA"/>
        </w:rPr>
      </w:pPr>
      <w:r>
        <w:rPr>
          <w:rFonts w:hint="default" w:ascii="Times New Roman" w:hAnsi="Times New Roman" w:eastAsia="宋体" w:cs="Times New Roman"/>
          <w:kern w:val="2"/>
          <w:sz w:val="24"/>
          <w:szCs w:val="20"/>
          <w:highlight w:val="none"/>
          <w:lang w:val="zh-CN" w:eastAsia="zh-CN" w:bidi="ar-SA"/>
        </w:rPr>
        <w:t>规划期限：201</w:t>
      </w:r>
      <w:r>
        <w:rPr>
          <w:rFonts w:hint="default" w:ascii="Times New Roman" w:hAnsi="Times New Roman" w:eastAsia="宋体" w:cs="Times New Roman"/>
          <w:kern w:val="2"/>
          <w:sz w:val="24"/>
          <w:szCs w:val="20"/>
          <w:highlight w:val="none"/>
          <w:lang w:val="en-US" w:eastAsia="zh-CN" w:bidi="ar-SA"/>
        </w:rPr>
        <w:t>5</w:t>
      </w:r>
      <w:r>
        <w:rPr>
          <w:rFonts w:hint="default" w:ascii="Times New Roman" w:hAnsi="Times New Roman" w:eastAsia="宋体" w:cs="Times New Roman"/>
          <w:kern w:val="2"/>
          <w:sz w:val="24"/>
          <w:szCs w:val="20"/>
          <w:highlight w:val="none"/>
          <w:lang w:val="zh-CN" w:eastAsia="zh-CN" w:bidi="ar-SA"/>
        </w:rPr>
        <w:t>-202</w:t>
      </w:r>
      <w:r>
        <w:rPr>
          <w:rFonts w:hint="default" w:ascii="Times New Roman" w:hAnsi="Times New Roman" w:eastAsia="宋体" w:cs="Times New Roman"/>
          <w:kern w:val="2"/>
          <w:sz w:val="24"/>
          <w:szCs w:val="20"/>
          <w:highlight w:val="none"/>
          <w:lang w:val="en-US" w:eastAsia="zh-CN" w:bidi="ar-SA"/>
        </w:rPr>
        <w:t>0</w:t>
      </w:r>
      <w:r>
        <w:rPr>
          <w:rFonts w:hint="default" w:ascii="Times New Roman" w:hAnsi="Times New Roman" w:eastAsia="宋体" w:cs="Times New Roman"/>
          <w:kern w:val="2"/>
          <w:sz w:val="24"/>
          <w:szCs w:val="20"/>
          <w:highlight w:val="none"/>
          <w:lang w:val="zh-CN" w:eastAsia="zh-CN" w:bidi="ar-SA"/>
        </w:rPr>
        <w:t>年。</w:t>
      </w:r>
    </w:p>
    <w:p w14:paraId="659D9A0E">
      <w:pPr>
        <w:widowControl w:val="0"/>
        <w:adjustRightInd w:val="0"/>
        <w:snapToGrid w:val="0"/>
        <w:spacing w:line="360" w:lineRule="auto"/>
        <w:ind w:firstLine="480" w:firstLineChars="200"/>
        <w:jc w:val="both"/>
        <w:rPr>
          <w:rFonts w:hint="default" w:ascii="Times New Roman" w:hAnsi="Times New Roman" w:eastAsia="宋体" w:cs="Times New Roman"/>
          <w:kern w:val="2"/>
          <w:sz w:val="24"/>
          <w:szCs w:val="20"/>
          <w:highlight w:val="none"/>
          <w:lang w:val="zh-CN" w:eastAsia="zh-CN" w:bidi="ar-SA"/>
        </w:rPr>
      </w:pPr>
      <w:r>
        <w:rPr>
          <w:rFonts w:hint="default" w:ascii="Times New Roman" w:hAnsi="Times New Roman" w:eastAsia="宋体" w:cs="Times New Roman"/>
          <w:kern w:val="2"/>
          <w:sz w:val="24"/>
          <w:szCs w:val="20"/>
          <w:highlight w:val="none"/>
          <w:lang w:val="zh-CN" w:eastAsia="zh-CN" w:bidi="ar-SA"/>
        </w:rPr>
        <w:t>产业定位：根据《湖南大通湖区洞庭食品工业园环境影响报告书》批复，园区规划主导产业为粮食加工、水产品加工、果蔬加工及粮食仓储物流，规划工业用地</w:t>
      </w:r>
      <w:r>
        <w:rPr>
          <w:rFonts w:hint="default" w:ascii="Times New Roman" w:hAnsi="Times New Roman" w:eastAsia="Times New Roman" w:cs="Times New Roman"/>
          <w:kern w:val="2"/>
          <w:sz w:val="24"/>
          <w:szCs w:val="20"/>
          <w:highlight w:val="none"/>
          <w:lang w:val="zh-CN" w:eastAsia="zh-CN" w:bidi="ar-SA"/>
        </w:rPr>
        <w:t>61.6%</w:t>
      </w:r>
      <w:r>
        <w:rPr>
          <w:rFonts w:hint="default" w:ascii="Times New Roman" w:hAnsi="Times New Roman" w:eastAsia="宋体" w:cs="Times New Roman"/>
          <w:kern w:val="2"/>
          <w:sz w:val="24"/>
          <w:szCs w:val="20"/>
          <w:highlight w:val="none"/>
          <w:lang w:val="zh-CN" w:eastAsia="zh-CN" w:bidi="ar-SA"/>
        </w:rPr>
        <w:t>，以二类工业为主，适当布置</w:t>
      </w:r>
      <w:r>
        <w:rPr>
          <w:rFonts w:hint="default" w:ascii="Times New Roman" w:hAnsi="Times New Roman" w:eastAsia="宋体" w:cs="Times New Roman"/>
          <w:spacing w:val="-6"/>
          <w:kern w:val="2"/>
          <w:sz w:val="24"/>
          <w:szCs w:val="20"/>
          <w:highlight w:val="none"/>
          <w:lang w:val="zh-CN" w:eastAsia="zh-CN" w:bidi="ar-SA"/>
        </w:rPr>
        <w:t>一类工业。</w:t>
      </w:r>
      <w:r>
        <w:rPr>
          <w:rFonts w:hint="default" w:ascii="Times New Roman" w:hAnsi="Times New Roman" w:eastAsia="宋体" w:cs="Times New Roman"/>
          <w:kern w:val="2"/>
          <w:sz w:val="24"/>
          <w:szCs w:val="20"/>
          <w:highlight w:val="none"/>
          <w:lang w:val="zh-CN" w:eastAsia="zh-CN" w:bidi="ar-SA"/>
        </w:rPr>
        <w:t>根据《大通湖工业集中区环境影响跟踪评价报告书》审查意见的函（湘环评函[2020]40号），《湖南省省级及以上产业园区目录》（湘政办函〔2014]66号），大通湖工业集中区核准面积344hm</w:t>
      </w:r>
      <w:r>
        <w:rPr>
          <w:rFonts w:hint="default" w:ascii="Times New Roman" w:hAnsi="Times New Roman" w:eastAsia="宋体" w:cs="Times New Roman"/>
          <w:kern w:val="2"/>
          <w:sz w:val="24"/>
          <w:szCs w:val="20"/>
          <w:highlight w:val="none"/>
          <w:vertAlign w:val="superscript"/>
          <w:lang w:val="zh-CN" w:eastAsia="zh-CN" w:bidi="ar-SA"/>
        </w:rPr>
        <w:t>2</w:t>
      </w:r>
      <w:r>
        <w:rPr>
          <w:rFonts w:hint="default" w:ascii="Times New Roman" w:hAnsi="Times New Roman" w:eastAsia="宋体" w:cs="Times New Roman"/>
          <w:kern w:val="2"/>
          <w:sz w:val="24"/>
          <w:szCs w:val="20"/>
          <w:highlight w:val="none"/>
          <w:lang w:val="zh-CN" w:eastAsia="zh-CN" w:bidi="ar-SA"/>
        </w:rPr>
        <w:t>，主导产业为纺织业、农副食品加工业；《2016年全省产业园区主导产业指导目录（修订）》（湘园区）[2016]4号），集中区主导产业为农副食品深加工产业，根据湘发改地区〔湘发改地区〔2021〕〕394号，其主导产业为食品加工。</w:t>
      </w:r>
    </w:p>
    <w:p w14:paraId="5B344740">
      <w:pPr>
        <w:widowControl w:val="0"/>
        <w:numPr>
          <w:ilvl w:val="2"/>
          <w:numId w:val="0"/>
        </w:numPr>
        <w:adjustRightInd w:val="0"/>
        <w:snapToGrid w:val="0"/>
        <w:spacing w:line="360" w:lineRule="auto"/>
        <w:ind w:left="0" w:leftChars="0" w:firstLine="0" w:firstLineChars="0"/>
        <w:jc w:val="both"/>
        <w:outlineLvl w:val="2"/>
        <w:rPr>
          <w:rFonts w:hint="default" w:ascii="Times New Roman" w:hAnsi="Times New Roman" w:eastAsia="宋体" w:cs="Times New Roman"/>
          <w:b/>
          <w:kern w:val="0"/>
          <w:sz w:val="24"/>
          <w:szCs w:val="24"/>
          <w:highlight w:val="none"/>
          <w:lang w:val="zh-CN" w:eastAsia="zh-CN" w:bidi="ar-SA"/>
        </w:rPr>
      </w:pPr>
      <w:r>
        <w:rPr>
          <w:rFonts w:hint="default" w:ascii="Times New Roman" w:hAnsi="Times New Roman" w:eastAsia="宋体" w:cs="Times New Roman"/>
          <w:b/>
          <w:kern w:val="0"/>
          <w:sz w:val="24"/>
          <w:szCs w:val="24"/>
          <w:highlight w:val="none"/>
          <w:lang w:val="en-US" w:eastAsia="zh-CN" w:bidi="ar-SA"/>
        </w:rPr>
        <w:t>4.3.2</w:t>
      </w:r>
      <w:r>
        <w:rPr>
          <w:rFonts w:hint="default" w:ascii="Times New Roman" w:hAnsi="Times New Roman" w:eastAsia="宋体" w:cs="Times New Roman"/>
          <w:b/>
          <w:kern w:val="0"/>
          <w:sz w:val="24"/>
          <w:szCs w:val="24"/>
          <w:highlight w:val="none"/>
          <w:lang w:val="zh-CN" w:eastAsia="zh-CN" w:bidi="ar-SA"/>
        </w:rPr>
        <w:t>发展目标</w:t>
      </w:r>
    </w:p>
    <w:p w14:paraId="514746CC">
      <w:pPr>
        <w:widowControl w:val="0"/>
        <w:adjustRightInd/>
        <w:snapToGrid w:val="0"/>
        <w:spacing w:line="360" w:lineRule="auto"/>
        <w:ind w:firstLine="480" w:firstLineChars="200"/>
        <w:jc w:val="both"/>
        <w:textAlignment w:val="baseline"/>
        <w:rPr>
          <w:rFonts w:hint="default" w:ascii="Times New Roman" w:hAnsi="Times New Roman" w:eastAsia="宋体" w:cs="Times New Roman"/>
          <w:snapToGrid w:val="0"/>
          <w:kern w:val="24"/>
          <w:sz w:val="24"/>
          <w:szCs w:val="24"/>
          <w:highlight w:val="none"/>
          <w:lang w:val="en-US" w:eastAsia="zh-CN" w:bidi="ar-SA"/>
        </w:rPr>
      </w:pPr>
      <w:r>
        <w:rPr>
          <w:rFonts w:hint="default" w:ascii="Times New Roman" w:hAnsi="Times New Roman" w:eastAsia="宋体" w:cs="Times New Roman"/>
          <w:snapToGrid w:val="0"/>
          <w:kern w:val="24"/>
          <w:sz w:val="24"/>
          <w:szCs w:val="24"/>
          <w:highlight w:val="none"/>
          <w:lang w:val="en-US" w:eastAsia="zh-CN" w:bidi="ar-SA"/>
        </w:rPr>
        <w:t>以提升工业集中区综合经济竞争力和区域经济发展水平为导向，坚持农业产业化为基础，坚持低碳经济和循环经济发展模式，不断加大主导产业培育力度，实现产业结构的战略性调整，争取在“十二五”或更长一段时间内，形成以粮油、水产、棉麻加工为主导的农产品精深加工产业和高新技术产业相结合的新型工业化产业格局。工业集中区实现工业产值 100 亿元，综合经济水平居湖南省集中区中等。</w:t>
      </w:r>
    </w:p>
    <w:p w14:paraId="3D9B0F15">
      <w:pPr>
        <w:widowControl w:val="0"/>
        <w:numPr>
          <w:ilvl w:val="2"/>
          <w:numId w:val="0"/>
        </w:numPr>
        <w:adjustRightInd w:val="0"/>
        <w:snapToGrid w:val="0"/>
        <w:spacing w:line="360" w:lineRule="auto"/>
        <w:ind w:left="0" w:leftChars="0" w:firstLine="0" w:firstLineChars="0"/>
        <w:jc w:val="both"/>
        <w:outlineLvl w:val="2"/>
        <w:rPr>
          <w:rFonts w:hint="default" w:ascii="Times New Roman" w:hAnsi="Times New Roman" w:eastAsia="宋体" w:cs="Times New Roman"/>
          <w:b/>
          <w:kern w:val="0"/>
          <w:sz w:val="24"/>
          <w:szCs w:val="24"/>
          <w:highlight w:val="none"/>
          <w:lang w:val="zh-CN" w:eastAsia="zh-CN" w:bidi="ar-SA"/>
        </w:rPr>
      </w:pPr>
      <w:r>
        <w:rPr>
          <w:rFonts w:hint="default" w:ascii="Times New Roman" w:hAnsi="Times New Roman" w:eastAsia="宋体" w:cs="Times New Roman"/>
          <w:b/>
          <w:kern w:val="0"/>
          <w:sz w:val="24"/>
          <w:szCs w:val="24"/>
          <w:highlight w:val="none"/>
          <w:lang w:val="en-US" w:eastAsia="zh-CN" w:bidi="ar-SA"/>
        </w:rPr>
        <w:t>4.3.3</w:t>
      </w:r>
      <w:r>
        <w:rPr>
          <w:rFonts w:hint="default" w:ascii="Times New Roman" w:hAnsi="Times New Roman" w:eastAsia="宋体" w:cs="Times New Roman"/>
          <w:b/>
          <w:kern w:val="0"/>
          <w:sz w:val="24"/>
          <w:szCs w:val="24"/>
          <w:highlight w:val="none"/>
          <w:lang w:val="zh-CN" w:eastAsia="zh-CN" w:bidi="ar-SA"/>
        </w:rPr>
        <w:t>企业准入条件一览表</w:t>
      </w:r>
    </w:p>
    <w:p w14:paraId="23060421">
      <w:pPr>
        <w:widowControl w:val="0"/>
        <w:adjustRightInd/>
        <w:snapToGrid w:val="0"/>
        <w:spacing w:line="360" w:lineRule="auto"/>
        <w:ind w:firstLine="480" w:firstLineChars="200"/>
        <w:jc w:val="both"/>
        <w:textAlignment w:val="baseline"/>
        <w:rPr>
          <w:rFonts w:hint="default" w:ascii="Times New Roman" w:hAnsi="Times New Roman" w:eastAsia="宋体" w:cs="Times New Roman"/>
          <w:snapToGrid w:val="0"/>
          <w:kern w:val="24"/>
          <w:sz w:val="24"/>
          <w:szCs w:val="24"/>
          <w:highlight w:val="none"/>
          <w:lang w:val="en-US" w:eastAsia="zh-CN" w:bidi="ar-SA"/>
        </w:rPr>
      </w:pPr>
      <w:r>
        <w:rPr>
          <w:rFonts w:hint="default" w:ascii="Times New Roman" w:hAnsi="Times New Roman" w:eastAsia="宋体" w:cs="Times New Roman"/>
          <w:snapToGrid w:val="0"/>
          <w:kern w:val="24"/>
          <w:sz w:val="24"/>
          <w:szCs w:val="24"/>
          <w:highlight w:val="none"/>
          <w:lang w:val="en-US" w:eastAsia="zh-CN" w:bidi="ar-SA"/>
        </w:rPr>
        <w:t>根据《大通湖工业集中区环境影响跟踪评价报告书》（报批稿），环境准入行业正面清单见下表。</w:t>
      </w:r>
    </w:p>
    <w:p w14:paraId="205FA7C3">
      <w:pPr>
        <w:widowControl w:val="0"/>
        <w:numPr>
          <w:ilvl w:val="4"/>
          <w:numId w:val="0"/>
        </w:numPr>
        <w:bidi w:val="0"/>
        <w:adjustRightInd w:val="0"/>
        <w:snapToGrid w:val="0"/>
        <w:spacing w:line="240" w:lineRule="auto"/>
        <w:ind w:left="0" w:leftChars="0" w:firstLine="0" w:firstLineChars="0"/>
        <w:jc w:val="center"/>
        <w:outlineLvl w:val="9"/>
        <w:rPr>
          <w:rFonts w:hint="default" w:ascii="Times New Roman" w:hAnsi="Times New Roman" w:eastAsia="宋体" w:cs="Times New Roman"/>
          <w:b/>
          <w:kern w:val="0"/>
          <w:sz w:val="24"/>
          <w:szCs w:val="24"/>
          <w:highlight w:val="none"/>
          <w:lang w:val="en-US" w:eastAsia="zh-CN" w:bidi="ar-SA"/>
        </w:rPr>
      </w:pP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 xml:space="preserve">表4.3-2 </w:t>
      </w:r>
      <w:r>
        <w:rPr>
          <w:rFonts w:hint="default" w:ascii="Times New Roman" w:hAnsi="Times New Roman" w:eastAsia="宋体" w:cs="Times New Roman"/>
          <w:b/>
          <w:kern w:val="0"/>
          <w:sz w:val="24"/>
          <w:szCs w:val="24"/>
          <w:highlight w:val="none"/>
          <w:lang w:val="en-US" w:eastAsia="zh-CN" w:bidi="ar-SA"/>
        </w:rPr>
        <w:t>环境准入行业正面清单一览表</w:t>
      </w:r>
    </w:p>
    <w:tbl>
      <w:tblPr>
        <w:tblStyle w:val="7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2"/>
      </w:tblGrid>
      <w:tr w14:paraId="60C94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000" w:type="pct"/>
            <w:vAlign w:val="center"/>
          </w:tcPr>
          <w:p w14:paraId="054927E3">
            <w:pPr>
              <w:keepNext w:val="0"/>
              <w:keepLines w:val="0"/>
              <w:suppressLineNumbers w:val="0"/>
              <w:autoSpaceDE/>
              <w:autoSpaceDN/>
              <w:snapToGrid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0"/>
                <w:szCs w:val="20"/>
                <w:highlight w:val="none"/>
              </w:rPr>
            </w:pPr>
            <w:r>
              <w:rPr>
                <w:rFonts w:hint="default" w:ascii="Times New Roman" w:hAnsi="Times New Roman" w:eastAsia="宋体" w:cs="Times New Roman"/>
                <w:kern w:val="2"/>
                <w:sz w:val="21"/>
                <w:szCs w:val="20"/>
                <w:highlight w:val="none"/>
              </w:rPr>
              <w:t>行业</w:t>
            </w:r>
          </w:p>
        </w:tc>
      </w:tr>
      <w:tr w14:paraId="08241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vAlign w:val="center"/>
          </w:tcPr>
          <w:p w14:paraId="34765731">
            <w:pPr>
              <w:keepNext w:val="0"/>
              <w:keepLines w:val="0"/>
              <w:widowControl/>
              <w:suppressLineNumbers w:val="0"/>
              <w:autoSpaceDE/>
              <w:autoSpaceDN/>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2"/>
                <w:sz w:val="21"/>
                <w:highlight w:val="none"/>
              </w:rPr>
            </w:pPr>
            <w:r>
              <w:rPr>
                <w:rFonts w:hint="default" w:ascii="Times New Roman" w:hAnsi="Times New Roman" w:eastAsia="瀹嬩綋" w:cs="Times New Roman"/>
                <w:color w:val="000000"/>
                <w:kern w:val="0"/>
                <w:sz w:val="21"/>
                <w:szCs w:val="21"/>
                <w:highlight w:val="none"/>
                <w:lang w:val="en-US" w:eastAsia="zh-CN" w:bidi="ar"/>
              </w:rPr>
              <w:t xml:space="preserve">农副食品加工业： </w:t>
            </w:r>
          </w:p>
          <w:p w14:paraId="24ED1DF3">
            <w:pPr>
              <w:keepNext w:val="0"/>
              <w:keepLines w:val="0"/>
              <w:widowControl/>
              <w:suppressLineNumbers w:val="0"/>
              <w:autoSpaceDE/>
              <w:autoSpaceDN/>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2"/>
                <w:sz w:val="21"/>
                <w:highlight w:val="none"/>
              </w:rPr>
            </w:pPr>
            <w:r>
              <w:rPr>
                <w:rFonts w:hint="default" w:ascii="Times New Roman" w:hAnsi="Times New Roman" w:eastAsia="瀹嬩綋" w:cs="Times New Roman"/>
                <w:color w:val="000000"/>
                <w:kern w:val="0"/>
                <w:sz w:val="21"/>
                <w:szCs w:val="21"/>
                <w:highlight w:val="none"/>
                <w:lang w:val="en-US" w:eastAsia="zh-CN" w:bidi="ar"/>
              </w:rPr>
              <w:t xml:space="preserve">谷物磨制、饲料加工、植物油加工（食用植物油加工、非食用植物油加工）、屠宰及肉类加工（畜禽屠宰、肉制品及副产品加工）、水产品冷冻加工（鱼糜制品及水产品干腌制加工、水产饲料制造、鱼油提取及制品的制造、其他水产品加工）、蔬菜、水果和坚果加工、其他农副食品加工（淀粉及淀粉制品的制造、豆制品制造、蛋品加工、其他未列明的农副食品加工）。 </w:t>
            </w:r>
          </w:p>
          <w:p w14:paraId="6B064585">
            <w:pPr>
              <w:keepNext w:val="0"/>
              <w:keepLines w:val="0"/>
              <w:widowControl/>
              <w:suppressLineNumbers w:val="0"/>
              <w:autoSpaceDE/>
              <w:autoSpaceDN/>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2"/>
                <w:sz w:val="21"/>
                <w:highlight w:val="none"/>
              </w:rPr>
            </w:pPr>
            <w:r>
              <w:rPr>
                <w:rFonts w:hint="default" w:ascii="Times New Roman" w:hAnsi="Times New Roman" w:eastAsia="瀹嬩綋" w:cs="Times New Roman"/>
                <w:color w:val="000000"/>
                <w:kern w:val="0"/>
                <w:sz w:val="21"/>
                <w:szCs w:val="21"/>
                <w:highlight w:val="none"/>
                <w:lang w:val="en-US" w:eastAsia="zh-CN" w:bidi="ar"/>
              </w:rPr>
              <w:t xml:space="preserve">食品制造业： </w:t>
            </w:r>
          </w:p>
          <w:p w14:paraId="1FEBEA70">
            <w:pPr>
              <w:keepNext w:val="0"/>
              <w:keepLines w:val="0"/>
              <w:widowControl/>
              <w:suppressLineNumbers w:val="0"/>
              <w:autoSpaceDE/>
              <w:autoSpaceDN/>
              <w:snapToGrid w:val="0"/>
              <w:spacing w:before="0" w:beforeAutospacing="0" w:after="0" w:afterAutospacing="0" w:line="240" w:lineRule="auto"/>
              <w:ind w:left="0" w:right="0" w:firstLine="0" w:firstLineChars="0"/>
              <w:jc w:val="left"/>
              <w:rPr>
                <w:rFonts w:hint="default" w:ascii="Times New Roman" w:hAnsi="Times New Roman" w:eastAsia="瀹嬩綋" w:cs="Times New Roman"/>
                <w:color w:val="000000"/>
                <w:kern w:val="0"/>
                <w:sz w:val="21"/>
                <w:szCs w:val="21"/>
                <w:highlight w:val="none"/>
                <w:lang w:val="en-US" w:eastAsia="zh-CN" w:bidi="ar"/>
              </w:rPr>
            </w:pPr>
            <w:r>
              <w:rPr>
                <w:rFonts w:hint="default" w:ascii="Times New Roman" w:hAnsi="Times New Roman" w:eastAsia="瀹嬩綋" w:cs="Times New Roman"/>
                <w:color w:val="000000"/>
                <w:kern w:val="0"/>
                <w:sz w:val="21"/>
                <w:szCs w:val="21"/>
                <w:highlight w:val="none"/>
                <w:lang w:val="en-US" w:eastAsia="zh-CN" w:bidi="ar"/>
              </w:rPr>
              <w:t>焙烤食品制造（糕点、面包制造、饼干及其他焙烤食品制造）、糖果、巧克力及蜜饯制造（糖果、巧克力制造、蜜饯制作）方便食品制造（米、面制品制造、速冻食品制造、方便面及其他方便食品制造）、调味品、发酵制品制造（酱油、食醋及类似制品的制造、其他调味品、发酵制品制造）、其他食品制造（营养、保健食品制造、冷冻饮品及食用冰制造、食品及饲料添加剂制造、其他未列明的食品制造）</w:t>
            </w:r>
          </w:p>
          <w:p w14:paraId="51413BEE">
            <w:pPr>
              <w:keepNext w:val="0"/>
              <w:keepLines w:val="0"/>
              <w:widowControl/>
              <w:suppressLineNumbers w:val="0"/>
              <w:autoSpaceDE/>
              <w:autoSpaceDN/>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lang w:val="en-US" w:eastAsia="zh-CN"/>
              </w:rPr>
              <w:t xml:space="preserve">饮料制造业： </w:t>
            </w:r>
          </w:p>
          <w:p w14:paraId="586A1A60">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lang w:val="en-US" w:eastAsia="zh-CN"/>
              </w:rPr>
              <w:t xml:space="preserve">软饮料制造（碳酸饮料制造、瓶（罐）装饮用水制造、果菜汁及果菜汁饮料制造、含乳饮料和植物蛋白饮料制造、固体饮料制造、茶饮料及其他软饮料制造）、精制茶加工。 </w:t>
            </w:r>
          </w:p>
          <w:p w14:paraId="6CA58EE7">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Times New Roman" w:hAnsi="Times New Roman" w:eastAsia="宋体" w:cs="Times New Roman"/>
                <w:kern w:val="2"/>
                <w:sz w:val="20"/>
                <w:szCs w:val="20"/>
                <w:highlight w:val="none"/>
              </w:rPr>
            </w:pPr>
            <w:r>
              <w:rPr>
                <w:rFonts w:hint="default" w:ascii="Times New Roman" w:hAnsi="Times New Roman" w:eastAsia="宋体" w:cs="Times New Roman"/>
                <w:kern w:val="2"/>
                <w:sz w:val="21"/>
                <w:szCs w:val="21"/>
                <w:highlight w:val="none"/>
                <w:lang w:val="en-US" w:eastAsia="zh-CN"/>
              </w:rPr>
              <w:t>仓储业：谷物、棉花等农产品仓储、其他仓储</w:t>
            </w:r>
            <w:r>
              <w:rPr>
                <w:rFonts w:hint="default" w:ascii="Times New Roman" w:hAnsi="Times New Roman" w:eastAsia="宋体" w:cs="Times New Roman"/>
                <w:kern w:val="2"/>
                <w:sz w:val="21"/>
                <w:szCs w:val="21"/>
                <w:highlight w:val="none"/>
              </w:rPr>
              <w:t>。</w:t>
            </w:r>
          </w:p>
        </w:tc>
      </w:tr>
    </w:tbl>
    <w:p w14:paraId="1314BA5D">
      <w:pPr>
        <w:widowControl w:val="0"/>
        <w:adjustRightInd w:val="0"/>
        <w:snapToGrid w:val="0"/>
        <w:spacing w:line="360" w:lineRule="auto"/>
        <w:ind w:firstLine="480" w:firstLineChars="200"/>
        <w:jc w:val="both"/>
        <w:rPr>
          <w:rFonts w:hint="default" w:ascii="Times New Roman" w:hAnsi="Times New Roman" w:eastAsia="宋体" w:cs="Times New Roman"/>
          <w:kern w:val="2"/>
          <w:sz w:val="24"/>
          <w:szCs w:val="20"/>
          <w:highlight w:val="none"/>
          <w:lang w:val="zh-CN" w:eastAsia="zh-CN" w:bidi="ar-SA"/>
        </w:rPr>
      </w:pPr>
      <w:r>
        <w:rPr>
          <w:rFonts w:hint="default" w:ascii="Times New Roman" w:hAnsi="Times New Roman" w:eastAsia="宋体" w:cs="Times New Roman"/>
          <w:kern w:val="2"/>
          <w:sz w:val="24"/>
          <w:szCs w:val="20"/>
          <w:highlight w:val="none"/>
          <w:lang w:val="zh-CN" w:eastAsia="zh-CN" w:bidi="ar-SA"/>
        </w:rPr>
        <w:t>环境准入行业负面清单见下表。</w:t>
      </w:r>
    </w:p>
    <w:p w14:paraId="41B6BCD5">
      <w:pPr>
        <w:widowControl w:val="0"/>
        <w:numPr>
          <w:ilvl w:val="4"/>
          <w:numId w:val="0"/>
        </w:numPr>
        <w:bidi w:val="0"/>
        <w:adjustRightInd w:val="0"/>
        <w:snapToGrid w:val="0"/>
        <w:spacing w:line="240" w:lineRule="auto"/>
        <w:ind w:left="0" w:leftChars="0" w:firstLine="0" w:firstLineChars="0"/>
        <w:jc w:val="center"/>
        <w:outlineLvl w:val="9"/>
        <w:rPr>
          <w:rFonts w:hint="default" w:ascii="Times New Roman" w:hAnsi="Times New Roman" w:eastAsia="宋体" w:cs="Times New Roman"/>
          <w:b/>
          <w:kern w:val="0"/>
          <w:sz w:val="24"/>
          <w:szCs w:val="24"/>
          <w:highlight w:val="none"/>
          <w:lang w:val="en-US" w:eastAsia="zh-CN" w:bidi="ar-SA"/>
        </w:rPr>
      </w:pP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 xml:space="preserve">表4.3-3 </w:t>
      </w:r>
      <w:r>
        <w:rPr>
          <w:rFonts w:hint="default" w:ascii="Times New Roman" w:hAnsi="Times New Roman" w:eastAsia="宋体" w:cs="Times New Roman"/>
          <w:b/>
          <w:kern w:val="0"/>
          <w:sz w:val="24"/>
          <w:szCs w:val="24"/>
          <w:highlight w:val="none"/>
          <w:lang w:val="en-US" w:eastAsia="zh-CN" w:bidi="ar-SA"/>
        </w:rPr>
        <w:t>环境准入行业负面清单</w:t>
      </w:r>
    </w:p>
    <w:tbl>
      <w:tblPr>
        <w:tblStyle w:val="7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771"/>
        <w:gridCol w:w="6339"/>
        <w:gridCol w:w="1448"/>
      </w:tblGrid>
      <w:tr w14:paraId="1F226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blHeader/>
          <w:jc w:val="center"/>
        </w:trPr>
        <w:tc>
          <w:tcPr>
            <w:tcW w:w="390" w:type="pct"/>
            <w:tcBorders>
              <w:top w:val="single" w:color="auto" w:sz="12" w:space="0"/>
              <w:left w:val="single" w:color="auto" w:sz="12" w:space="0"/>
              <w:bottom w:val="single" w:color="auto" w:sz="6" w:space="0"/>
              <w:right w:val="single" w:color="auto" w:sz="6" w:space="0"/>
            </w:tcBorders>
            <w:shd w:val="clear" w:color="auto" w:fill="auto"/>
            <w:vAlign w:val="center"/>
          </w:tcPr>
          <w:p w14:paraId="6C007678">
            <w:pPr>
              <w:keepNext w:val="0"/>
              <w:keepLines w:val="0"/>
              <w:widowControl/>
              <w:suppressLineNumbers w:val="0"/>
              <w:autoSpaceDE/>
              <w:autoSpaceDN/>
              <w:snapToGrid w:val="0"/>
              <w:spacing w:before="0" w:beforeAutospacing="0" w:after="0" w:afterAutospacing="0" w:line="240" w:lineRule="exact"/>
              <w:ind w:left="0" w:right="0"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园区</w:t>
            </w:r>
          </w:p>
        </w:tc>
        <w:tc>
          <w:tcPr>
            <w:tcW w:w="415" w:type="pct"/>
            <w:tcBorders>
              <w:top w:val="single" w:color="auto" w:sz="12" w:space="0"/>
              <w:left w:val="single" w:color="auto" w:sz="6" w:space="0"/>
              <w:bottom w:val="single" w:color="auto" w:sz="6" w:space="0"/>
              <w:right w:val="single" w:color="auto" w:sz="6" w:space="0"/>
            </w:tcBorders>
            <w:shd w:val="clear" w:color="auto" w:fill="auto"/>
            <w:vAlign w:val="center"/>
          </w:tcPr>
          <w:p w14:paraId="6F3D4E45">
            <w:pPr>
              <w:keepNext w:val="0"/>
              <w:keepLines w:val="0"/>
              <w:widowControl/>
              <w:suppressLineNumbers w:val="0"/>
              <w:autoSpaceDE/>
              <w:autoSpaceDN/>
              <w:snapToGrid w:val="0"/>
              <w:spacing w:before="0" w:beforeAutospacing="0" w:after="0" w:afterAutospacing="0" w:line="240" w:lineRule="exact"/>
              <w:ind w:left="0" w:right="0"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类别</w:t>
            </w:r>
          </w:p>
        </w:tc>
        <w:tc>
          <w:tcPr>
            <w:tcW w:w="3414" w:type="pct"/>
            <w:tcBorders>
              <w:top w:val="single" w:color="auto" w:sz="12" w:space="0"/>
              <w:left w:val="single" w:color="auto" w:sz="6" w:space="0"/>
              <w:bottom w:val="single" w:color="auto" w:sz="6" w:space="0"/>
              <w:right w:val="single" w:color="auto" w:sz="6" w:space="0"/>
            </w:tcBorders>
            <w:shd w:val="clear" w:color="auto" w:fill="auto"/>
            <w:vAlign w:val="center"/>
          </w:tcPr>
          <w:p w14:paraId="25A9A86A">
            <w:pPr>
              <w:keepNext w:val="0"/>
              <w:keepLines w:val="0"/>
              <w:widowControl/>
              <w:suppressLineNumbers w:val="0"/>
              <w:autoSpaceDE/>
              <w:autoSpaceDN/>
              <w:snapToGrid w:val="0"/>
              <w:spacing w:before="0" w:beforeAutospacing="0" w:after="0" w:afterAutospacing="0" w:line="240" w:lineRule="exact"/>
              <w:ind w:left="0" w:right="0"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行业</w:t>
            </w:r>
          </w:p>
        </w:tc>
        <w:tc>
          <w:tcPr>
            <w:tcW w:w="780" w:type="pct"/>
            <w:tcBorders>
              <w:top w:val="single" w:color="auto" w:sz="12" w:space="0"/>
              <w:left w:val="single" w:color="auto" w:sz="6" w:space="0"/>
              <w:bottom w:val="single" w:color="auto" w:sz="6" w:space="0"/>
              <w:right w:val="single" w:color="auto" w:sz="12" w:space="0"/>
            </w:tcBorders>
            <w:shd w:val="clear" w:color="auto" w:fill="auto"/>
            <w:vAlign w:val="center"/>
          </w:tcPr>
          <w:p w14:paraId="4924EE68">
            <w:pPr>
              <w:keepNext w:val="0"/>
              <w:keepLines w:val="0"/>
              <w:widowControl/>
              <w:suppressLineNumbers w:val="0"/>
              <w:autoSpaceDE/>
              <w:autoSpaceDN/>
              <w:snapToGrid w:val="0"/>
              <w:spacing w:before="0" w:beforeAutospacing="0" w:after="0" w:afterAutospacing="0" w:line="240" w:lineRule="exact"/>
              <w:ind w:left="0" w:right="0"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依据</w:t>
            </w:r>
          </w:p>
        </w:tc>
      </w:tr>
      <w:tr w14:paraId="775B2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restart"/>
            <w:tcBorders>
              <w:top w:val="single" w:color="auto" w:sz="6" w:space="0"/>
              <w:left w:val="single" w:color="auto" w:sz="12" w:space="0"/>
              <w:bottom w:val="single" w:color="auto" w:sz="6" w:space="0"/>
              <w:right w:val="single" w:color="auto" w:sz="6" w:space="0"/>
            </w:tcBorders>
            <w:shd w:val="clear" w:color="auto" w:fill="auto"/>
            <w:vAlign w:val="center"/>
          </w:tcPr>
          <w:p w14:paraId="15F76316">
            <w:pPr>
              <w:keepNext w:val="0"/>
              <w:keepLines w:val="0"/>
              <w:widowControl/>
              <w:suppressLineNumbers w:val="0"/>
              <w:autoSpaceDE/>
              <w:autoSpaceDN/>
              <w:snapToGrid w:val="0"/>
              <w:spacing w:before="0" w:beforeAutospacing="0" w:after="0" w:afterAutospacing="0" w:line="240" w:lineRule="exact"/>
              <w:ind w:left="0" w:right="0"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大通湖产业开发区</w:t>
            </w:r>
          </w:p>
        </w:tc>
        <w:tc>
          <w:tcPr>
            <w:tcW w:w="415" w:type="pct"/>
            <w:tcBorders>
              <w:top w:val="single" w:color="auto" w:sz="6" w:space="0"/>
              <w:left w:val="single" w:color="auto" w:sz="6" w:space="0"/>
              <w:bottom w:val="single" w:color="auto" w:sz="6" w:space="0"/>
              <w:right w:val="single" w:color="auto" w:sz="6" w:space="0"/>
            </w:tcBorders>
            <w:shd w:val="clear" w:color="auto" w:fill="auto"/>
            <w:vAlign w:val="center"/>
          </w:tcPr>
          <w:p w14:paraId="4946D614">
            <w:pPr>
              <w:keepNext w:val="0"/>
              <w:keepLines w:val="0"/>
              <w:widowControl/>
              <w:suppressLineNumbers w:val="0"/>
              <w:autoSpaceDE/>
              <w:autoSpaceDN/>
              <w:snapToGrid w:val="0"/>
              <w:spacing w:before="0" w:beforeAutospacing="0" w:after="0" w:afterAutospacing="0" w:line="240" w:lineRule="exact"/>
              <w:ind w:left="0" w:right="0"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禁止类</w:t>
            </w:r>
          </w:p>
        </w:tc>
        <w:tc>
          <w:tcPr>
            <w:tcW w:w="3414" w:type="pct"/>
            <w:tcBorders>
              <w:top w:val="single" w:color="auto" w:sz="6" w:space="0"/>
              <w:left w:val="single" w:color="auto" w:sz="6" w:space="0"/>
              <w:bottom w:val="single" w:color="auto" w:sz="6" w:space="0"/>
              <w:right w:val="single" w:color="auto" w:sz="6" w:space="0"/>
            </w:tcBorders>
            <w:shd w:val="clear" w:color="auto" w:fill="auto"/>
            <w:vAlign w:val="center"/>
          </w:tcPr>
          <w:p w14:paraId="336849EC">
            <w:pPr>
              <w:keepNext w:val="0"/>
              <w:keepLines w:val="0"/>
              <w:widowControl/>
              <w:suppressLineNumbers w:val="0"/>
              <w:autoSpaceDE/>
              <w:autoSpaceDN/>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2"/>
                <w:sz w:val="21"/>
                <w:highlight w:val="none"/>
              </w:rPr>
            </w:pPr>
            <w:r>
              <w:rPr>
                <w:rFonts w:hint="default" w:ascii="Times New Roman" w:hAnsi="Times New Roman" w:eastAsia="宋体" w:cs="Times New Roman"/>
                <w:color w:val="000000"/>
                <w:kern w:val="0"/>
                <w:sz w:val="21"/>
                <w:szCs w:val="21"/>
                <w:highlight w:val="none"/>
                <w:lang w:val="en-US" w:eastAsia="zh-CN" w:bidi="ar"/>
              </w:rPr>
              <w:t>1</w:t>
            </w:r>
            <w:r>
              <w:rPr>
                <w:rFonts w:hint="default" w:ascii="Times New Roman" w:hAnsi="Times New Roman" w:eastAsia="瀹嬩綋" w:cs="Times New Roman"/>
                <w:color w:val="000000"/>
                <w:kern w:val="0"/>
                <w:sz w:val="21"/>
                <w:szCs w:val="21"/>
                <w:highlight w:val="none"/>
                <w:lang w:val="en-US" w:eastAsia="zh-CN" w:bidi="ar"/>
              </w:rPr>
              <w:t xml:space="preserve">、集中区规划的主导产业中禁止类：原糖生产项目；南方海盐新建盐场项目；矿（井）盐 </w:t>
            </w:r>
            <w:r>
              <w:rPr>
                <w:rFonts w:hint="default" w:ascii="Times New Roman" w:hAnsi="Times New Roman" w:eastAsia="宋体" w:cs="Times New Roman"/>
                <w:color w:val="000000"/>
                <w:kern w:val="0"/>
                <w:sz w:val="21"/>
                <w:szCs w:val="21"/>
                <w:highlight w:val="none"/>
                <w:lang w:val="en-US" w:eastAsia="zh-CN" w:bidi="ar"/>
              </w:rPr>
              <w:t xml:space="preserve">60 </w:t>
            </w:r>
            <w:r>
              <w:rPr>
                <w:rFonts w:hint="default" w:ascii="Times New Roman" w:hAnsi="Times New Roman" w:eastAsia="瀹嬩綋" w:cs="Times New Roman"/>
                <w:color w:val="000000"/>
                <w:kern w:val="0"/>
                <w:sz w:val="21"/>
                <w:szCs w:val="21"/>
                <w:highlight w:val="none"/>
                <w:lang w:val="en-US" w:eastAsia="zh-CN" w:bidi="ar"/>
              </w:rPr>
              <w:t>万吨</w:t>
            </w:r>
            <w:r>
              <w:rPr>
                <w:rFonts w:hint="default"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瀹嬩綋" w:cs="Times New Roman"/>
                <w:color w:val="000000"/>
                <w:kern w:val="0"/>
                <w:sz w:val="21"/>
                <w:szCs w:val="21"/>
                <w:highlight w:val="none"/>
                <w:lang w:val="en-US" w:eastAsia="zh-CN" w:bidi="ar"/>
              </w:rPr>
              <w:t xml:space="preserve">年以下的项目；湖盐 </w:t>
            </w:r>
            <w:r>
              <w:rPr>
                <w:rFonts w:hint="default" w:ascii="Times New Roman" w:hAnsi="Times New Roman" w:eastAsia="宋体" w:cs="Times New Roman"/>
                <w:color w:val="000000"/>
                <w:kern w:val="0"/>
                <w:sz w:val="21"/>
                <w:szCs w:val="21"/>
                <w:highlight w:val="none"/>
                <w:lang w:val="en-US" w:eastAsia="zh-CN" w:bidi="ar"/>
              </w:rPr>
              <w:t xml:space="preserve">20 </w:t>
            </w:r>
            <w:r>
              <w:rPr>
                <w:rFonts w:hint="default" w:ascii="Times New Roman" w:hAnsi="Times New Roman" w:eastAsia="瀹嬩綋" w:cs="Times New Roman"/>
                <w:color w:val="000000"/>
                <w:kern w:val="0"/>
                <w:sz w:val="21"/>
                <w:szCs w:val="21"/>
                <w:highlight w:val="none"/>
                <w:lang w:val="en-US" w:eastAsia="zh-CN" w:bidi="ar"/>
              </w:rPr>
              <w:t>万吨</w:t>
            </w:r>
            <w:r>
              <w:rPr>
                <w:rFonts w:hint="default"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瀹嬩綋" w:cs="Times New Roman"/>
                <w:color w:val="000000"/>
                <w:kern w:val="0"/>
                <w:sz w:val="21"/>
                <w:szCs w:val="21"/>
                <w:highlight w:val="none"/>
                <w:lang w:val="en-US" w:eastAsia="zh-CN" w:bidi="ar"/>
              </w:rPr>
              <w:t>年以下的项目、白酒生产线、酒精生产线（燃料乙醇项目除外）、使用传统工艺、技术的味精生产线、糖精等化学合成甜味剂生产线；</w:t>
            </w:r>
            <w:r>
              <w:rPr>
                <w:rFonts w:hint="default" w:ascii="Times New Roman" w:hAnsi="Times New Roman" w:eastAsia="宋体" w:cs="Times New Roman"/>
                <w:color w:val="000000"/>
                <w:kern w:val="0"/>
                <w:sz w:val="21"/>
                <w:szCs w:val="21"/>
                <w:highlight w:val="none"/>
                <w:lang w:val="en-US" w:eastAsia="zh-CN" w:bidi="ar"/>
              </w:rPr>
              <w:t>2</w:t>
            </w:r>
            <w:r>
              <w:rPr>
                <w:rFonts w:hint="default" w:ascii="Times New Roman" w:hAnsi="Times New Roman" w:eastAsia="瀹嬩綋" w:cs="Times New Roman"/>
                <w:color w:val="000000"/>
                <w:kern w:val="0"/>
                <w:sz w:val="21"/>
                <w:szCs w:val="21"/>
                <w:highlight w:val="none"/>
                <w:lang w:val="en-US" w:eastAsia="zh-CN" w:bidi="ar"/>
              </w:rPr>
              <w:t xml:space="preserve">、生产、销售和使用含磷洗涤用品的行业； </w:t>
            </w:r>
          </w:p>
          <w:p w14:paraId="7A94C441">
            <w:pPr>
              <w:keepNext w:val="0"/>
              <w:keepLines w:val="0"/>
              <w:widowControl/>
              <w:suppressLineNumbers w:val="0"/>
              <w:autoSpaceDE/>
              <w:autoSpaceDN/>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3</w:t>
            </w:r>
            <w:r>
              <w:rPr>
                <w:rFonts w:hint="default" w:ascii="Times New Roman" w:hAnsi="Times New Roman" w:eastAsia="瀹嬩綋" w:cs="Times New Roman"/>
                <w:color w:val="000000"/>
                <w:kern w:val="0"/>
                <w:sz w:val="21"/>
                <w:szCs w:val="21"/>
                <w:highlight w:val="none"/>
                <w:lang w:val="en-US" w:eastAsia="zh-CN" w:bidi="ar"/>
              </w:rPr>
              <w:t>、主导产业以外的《国民经济行业分类》（</w:t>
            </w:r>
            <w:r>
              <w:rPr>
                <w:rFonts w:hint="default" w:ascii="Times New Roman" w:hAnsi="Times New Roman" w:eastAsia="宋体" w:cs="Times New Roman"/>
                <w:color w:val="000000"/>
                <w:kern w:val="0"/>
                <w:sz w:val="21"/>
                <w:szCs w:val="21"/>
                <w:highlight w:val="none"/>
                <w:lang w:val="en-US" w:eastAsia="zh-CN" w:bidi="ar"/>
              </w:rPr>
              <w:t>GB/T 4754-2017</w:t>
            </w:r>
            <w:r>
              <w:rPr>
                <w:rFonts w:hint="default" w:ascii="Times New Roman" w:hAnsi="Times New Roman" w:eastAsia="瀹嬩綋" w:cs="Times New Roman"/>
                <w:color w:val="000000"/>
                <w:kern w:val="0"/>
                <w:sz w:val="21"/>
                <w:szCs w:val="21"/>
                <w:highlight w:val="none"/>
                <w:lang w:val="en-US" w:eastAsia="zh-CN" w:bidi="ar"/>
              </w:rPr>
              <w:t>）中：采矿业；黑色金属冶炼；有色金属冶炼；石油、煤炭及其他燃料加工业；化学原料和化学制品制造业；皮革鞣制加工；毛皮鞣制加工；纸浆制造业；涉及染整工艺的纺织业；涉及水泥熟料制造的建材产业；化学纤维制造业；涉及废旧橡胶再生、废旧金属冶炼、废纸造纸、废旧电子产品回收利用、废旧汽车拆解的废弃资源综合利用业；含线路板蚀刻、电镀等印刷线路板的电子信息产业；涉及铸造、锻造、电镀、电泳和大规模的磷化、酸化等表面处理工艺的装备制造业；以及排放第一类重金属污染物为特征污染物的行业；</w:t>
            </w:r>
            <w:r>
              <w:rPr>
                <w:rFonts w:hint="default" w:ascii="Times New Roman" w:hAnsi="Times New Roman" w:eastAsia="宋体" w:cs="Times New Roman"/>
                <w:color w:val="000000"/>
                <w:kern w:val="0"/>
                <w:sz w:val="21"/>
                <w:szCs w:val="21"/>
                <w:highlight w:val="none"/>
                <w:lang w:val="en-US" w:eastAsia="zh-CN" w:bidi="ar"/>
              </w:rPr>
              <w:t>4</w:t>
            </w:r>
            <w:r>
              <w:rPr>
                <w:rFonts w:hint="default" w:ascii="Times New Roman" w:hAnsi="Times New Roman" w:eastAsia="瀹嬩綋" w:cs="Times New Roman"/>
                <w:color w:val="000000"/>
                <w:kern w:val="0"/>
                <w:sz w:val="21"/>
                <w:szCs w:val="21"/>
                <w:highlight w:val="none"/>
                <w:lang w:val="en-US" w:eastAsia="zh-CN" w:bidi="ar"/>
              </w:rPr>
              <w:t>、采用的生产工艺、设备或生产规模不符合国家相关产业政策或行业规范的项目。</w:t>
            </w:r>
          </w:p>
        </w:tc>
        <w:tc>
          <w:tcPr>
            <w:tcW w:w="780" w:type="pct"/>
            <w:tcBorders>
              <w:top w:val="single" w:color="auto" w:sz="6" w:space="0"/>
              <w:left w:val="single" w:color="auto" w:sz="6" w:space="0"/>
              <w:bottom w:val="single" w:color="auto" w:sz="6" w:space="0"/>
              <w:right w:val="single" w:color="auto" w:sz="12" w:space="0"/>
            </w:tcBorders>
            <w:shd w:val="clear" w:color="auto" w:fill="auto"/>
            <w:vAlign w:val="center"/>
          </w:tcPr>
          <w:p w14:paraId="65040CC5">
            <w:pPr>
              <w:keepNext w:val="0"/>
              <w:keepLines w:val="0"/>
              <w:widowControl/>
              <w:suppressLineNumbers w:val="0"/>
              <w:autoSpaceDE/>
              <w:autoSpaceDN/>
              <w:snapToGrid w:val="0"/>
              <w:spacing w:before="0" w:beforeAutospacing="0" w:after="0" w:afterAutospacing="0" w:line="240" w:lineRule="exact"/>
              <w:ind w:left="0" w:right="0"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 xml:space="preserve">①不符合工业集中区产业定位；② </w:t>
            </w:r>
          </w:p>
          <w:p w14:paraId="428E58D8">
            <w:pPr>
              <w:keepNext w:val="0"/>
              <w:keepLines w:val="0"/>
              <w:widowControl/>
              <w:suppressLineNumbers w:val="0"/>
              <w:autoSpaceDE/>
              <w:autoSpaceDN/>
              <w:snapToGrid w:val="0"/>
              <w:spacing w:before="0" w:beforeAutospacing="0" w:after="0" w:afterAutospacing="0" w:line="240" w:lineRule="exact"/>
              <w:ind w:left="0" w:right="0"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 xml:space="preserve">淘汰落后和化解过剩产能；③不符合国家相关产业政策或行业规范； </w:t>
            </w:r>
          </w:p>
          <w:p w14:paraId="0ED51D02">
            <w:pPr>
              <w:keepNext w:val="0"/>
              <w:keepLines w:val="0"/>
              <w:widowControl/>
              <w:suppressLineNumbers w:val="0"/>
              <w:autoSpaceDE/>
              <w:autoSpaceDN/>
              <w:snapToGrid w:val="0"/>
              <w:spacing w:before="0" w:beforeAutospacing="0" w:after="0" w:afterAutospacing="0" w:line="240" w:lineRule="exact"/>
              <w:ind w:left="0" w:right="0"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 xml:space="preserve">④区域水环境敏感，水环境容量有 </w:t>
            </w:r>
          </w:p>
          <w:p w14:paraId="63B92391">
            <w:pPr>
              <w:keepNext w:val="0"/>
              <w:keepLines w:val="0"/>
              <w:widowControl/>
              <w:suppressLineNumbers w:val="0"/>
              <w:autoSpaceDE/>
              <w:autoSpaceDN/>
              <w:snapToGrid w:val="0"/>
              <w:spacing w:before="0" w:beforeAutospacing="0" w:after="0" w:afterAutospacing="0" w:line="240" w:lineRule="exact"/>
              <w:ind w:left="0" w:right="0"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限，水体富营养化严重。</w:t>
            </w:r>
          </w:p>
        </w:tc>
      </w:tr>
      <w:tr w14:paraId="438EB0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0" w:type="pct"/>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6BAF4614">
            <w:pPr>
              <w:keepNext w:val="0"/>
              <w:keepLines w:val="0"/>
              <w:widowControl/>
              <w:suppressLineNumbers w:val="0"/>
              <w:autoSpaceDE/>
              <w:autoSpaceDN/>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0"/>
                <w:sz w:val="21"/>
                <w:szCs w:val="21"/>
                <w:highlight w:val="none"/>
              </w:rPr>
            </w:pPr>
          </w:p>
        </w:tc>
        <w:tc>
          <w:tcPr>
            <w:tcW w:w="415" w:type="pct"/>
            <w:tcBorders>
              <w:top w:val="single" w:color="auto" w:sz="6" w:space="0"/>
              <w:left w:val="single" w:color="auto" w:sz="6" w:space="0"/>
              <w:bottom w:val="single" w:color="auto" w:sz="6" w:space="0"/>
              <w:right w:val="single" w:color="auto" w:sz="6" w:space="0"/>
            </w:tcBorders>
            <w:shd w:val="clear" w:color="auto" w:fill="auto"/>
            <w:vAlign w:val="center"/>
          </w:tcPr>
          <w:p w14:paraId="50CEF32A">
            <w:pPr>
              <w:keepNext w:val="0"/>
              <w:keepLines w:val="0"/>
              <w:widowControl/>
              <w:suppressLineNumbers w:val="0"/>
              <w:autoSpaceDE/>
              <w:autoSpaceDN/>
              <w:snapToGrid w:val="0"/>
              <w:spacing w:before="0" w:beforeAutospacing="0" w:after="0" w:afterAutospacing="0" w:line="240" w:lineRule="exact"/>
              <w:ind w:left="0" w:right="0"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限制类</w:t>
            </w:r>
          </w:p>
        </w:tc>
        <w:tc>
          <w:tcPr>
            <w:tcW w:w="3414" w:type="pct"/>
            <w:tcBorders>
              <w:top w:val="single" w:color="auto" w:sz="6" w:space="0"/>
              <w:left w:val="single" w:color="auto" w:sz="6" w:space="0"/>
              <w:bottom w:val="single" w:color="auto" w:sz="6" w:space="0"/>
              <w:right w:val="single" w:color="auto" w:sz="6" w:space="0"/>
            </w:tcBorders>
            <w:shd w:val="clear" w:color="auto" w:fill="auto"/>
            <w:vAlign w:val="center"/>
          </w:tcPr>
          <w:p w14:paraId="55350E25">
            <w:pPr>
              <w:keepNext w:val="0"/>
              <w:keepLines w:val="0"/>
              <w:widowControl/>
              <w:suppressLineNumbers w:val="0"/>
              <w:autoSpaceDE/>
              <w:autoSpaceDN/>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2"/>
                <w:sz w:val="21"/>
                <w:highlight w:val="none"/>
              </w:rPr>
            </w:pPr>
            <w:r>
              <w:rPr>
                <w:rFonts w:hint="default" w:ascii="Times New Roman" w:hAnsi="Times New Roman" w:eastAsia="宋体" w:cs="Times New Roman"/>
                <w:color w:val="000000"/>
                <w:kern w:val="0"/>
                <w:sz w:val="21"/>
                <w:szCs w:val="21"/>
                <w:highlight w:val="none"/>
                <w:lang w:val="en-US" w:eastAsia="zh-CN" w:bidi="ar"/>
              </w:rPr>
              <w:t>1</w:t>
            </w:r>
            <w:r>
              <w:rPr>
                <w:rFonts w:hint="default" w:ascii="Times New Roman" w:hAnsi="Times New Roman" w:eastAsia="瀹嬩綋" w:cs="Times New Roman"/>
                <w:color w:val="000000"/>
                <w:kern w:val="0"/>
                <w:sz w:val="21"/>
                <w:szCs w:val="21"/>
                <w:highlight w:val="none"/>
                <w:lang w:val="en-US" w:eastAsia="zh-CN" w:bidi="ar"/>
              </w:rPr>
              <w:t xml:space="preserve">、排放高浓度有机废水且排放量大的行业； </w:t>
            </w:r>
          </w:p>
          <w:p w14:paraId="7B0EADF5">
            <w:pPr>
              <w:keepNext w:val="0"/>
              <w:keepLines w:val="0"/>
              <w:widowControl/>
              <w:suppressLineNumbers w:val="0"/>
              <w:autoSpaceDE/>
              <w:autoSpaceDN/>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2</w:t>
            </w:r>
            <w:r>
              <w:rPr>
                <w:rFonts w:hint="default" w:ascii="Times New Roman" w:hAnsi="Times New Roman" w:eastAsia="瀹嬩綋" w:cs="Times New Roman"/>
                <w:color w:val="000000"/>
                <w:kern w:val="0"/>
                <w:sz w:val="21"/>
                <w:szCs w:val="21"/>
                <w:highlight w:val="none"/>
                <w:lang w:val="en-US" w:eastAsia="zh-CN" w:bidi="ar"/>
              </w:rPr>
              <w:t>、以恶臭为主要特征污染物且恶臭气体排放量大的行业。</w:t>
            </w:r>
          </w:p>
        </w:tc>
        <w:tc>
          <w:tcPr>
            <w:tcW w:w="780" w:type="pct"/>
            <w:tcBorders>
              <w:top w:val="single" w:color="auto" w:sz="6" w:space="0"/>
              <w:left w:val="single" w:color="auto" w:sz="6" w:space="0"/>
              <w:bottom w:val="single" w:color="auto" w:sz="6" w:space="0"/>
              <w:right w:val="single" w:color="auto" w:sz="12" w:space="0"/>
            </w:tcBorders>
            <w:shd w:val="clear" w:color="auto" w:fill="auto"/>
            <w:vAlign w:val="center"/>
          </w:tcPr>
          <w:p w14:paraId="3B3954E6">
            <w:pPr>
              <w:keepNext w:val="0"/>
              <w:keepLines w:val="0"/>
              <w:widowControl/>
              <w:suppressLineNumbers w:val="0"/>
              <w:autoSpaceDE/>
              <w:autoSpaceDN/>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产业定位，集中区邻近大通湖区城区，区域水环境敏感、水环境容量有限，水体富营养化严重。</w:t>
            </w:r>
          </w:p>
        </w:tc>
      </w:tr>
    </w:tbl>
    <w:p w14:paraId="59C3A9D8">
      <w:pPr>
        <w:widowControl w:val="0"/>
        <w:numPr>
          <w:ilvl w:val="0"/>
          <w:numId w:val="0"/>
        </w:numPr>
        <w:adjustRightInd w:val="0"/>
        <w:snapToGrid w:val="0"/>
        <w:spacing w:line="336" w:lineRule="auto"/>
        <w:ind w:leftChars="0" w:firstLine="420" w:firstLineChars="0"/>
        <w:jc w:val="left"/>
        <w:outlineLvl w:val="1"/>
        <w:rPr>
          <w:rFonts w:hint="default" w:ascii="Times New Roman" w:hAnsi="Times New Roman" w:eastAsia="宋体" w:cs="Times New Roman"/>
          <w:b w:val="0"/>
          <w:color w:val="000000"/>
          <w:kern w:val="2"/>
          <w:sz w:val="24"/>
          <w:szCs w:val="24"/>
          <w:highlight w:val="none"/>
          <w:lang w:val="en-US" w:eastAsia="zh-CN" w:bidi="ar-SA"/>
        </w:rPr>
        <w:sectPr>
          <w:footerReference r:id="rId15"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bookmarkStart w:id="111" w:name="_Toc27055"/>
    </w:p>
    <w:p w14:paraId="681D73D4">
      <w:pPr>
        <w:widowControl w:val="0"/>
        <w:numPr>
          <w:ilvl w:val="0"/>
          <w:numId w:val="0"/>
        </w:numPr>
        <w:adjustRightInd w:val="0"/>
        <w:snapToGrid w:val="0"/>
        <w:spacing w:line="336" w:lineRule="auto"/>
        <w:ind w:leftChars="0"/>
        <w:jc w:val="left"/>
        <w:outlineLvl w:val="1"/>
        <w:rPr>
          <w:rFonts w:hint="default" w:ascii="Times New Roman" w:hAnsi="Times New Roman" w:eastAsia="宋体" w:cs="Times New Roman"/>
          <w:b/>
          <w:kern w:val="0"/>
          <w:sz w:val="28"/>
          <w:szCs w:val="24"/>
          <w:highlight w:val="none"/>
          <w:lang w:val="en-US" w:eastAsia="zh-CN" w:bidi="ar-SA"/>
        </w:rPr>
      </w:pPr>
      <w:bookmarkStart w:id="112" w:name="_Toc1070"/>
      <w:r>
        <w:rPr>
          <w:rFonts w:hint="default" w:ascii="Times New Roman" w:hAnsi="Times New Roman" w:eastAsia="宋体" w:cs="Times New Roman"/>
          <w:b/>
          <w:kern w:val="0"/>
          <w:sz w:val="28"/>
          <w:szCs w:val="24"/>
          <w:highlight w:val="none"/>
          <w:lang w:val="en-US" w:eastAsia="zh-CN" w:bidi="ar-SA"/>
        </w:rPr>
        <w:t>4.</w:t>
      </w:r>
      <w:r>
        <w:rPr>
          <w:rFonts w:hint="eastAsia" w:cs="Times New Roman"/>
          <w:b/>
          <w:kern w:val="0"/>
          <w:sz w:val="28"/>
          <w:szCs w:val="24"/>
          <w:highlight w:val="none"/>
          <w:lang w:val="en-US" w:eastAsia="zh-CN" w:bidi="ar-SA"/>
        </w:rPr>
        <w:t>4</w:t>
      </w:r>
      <w:r>
        <w:rPr>
          <w:rFonts w:hint="default" w:ascii="Times New Roman" w:hAnsi="Times New Roman" w:cs="Times New Roman"/>
          <w:b/>
          <w:kern w:val="0"/>
          <w:sz w:val="28"/>
          <w:szCs w:val="24"/>
          <w:highlight w:val="none"/>
          <w:lang w:val="en-US" w:eastAsia="zh-CN" w:bidi="ar-SA"/>
        </w:rPr>
        <w:t xml:space="preserve"> </w:t>
      </w:r>
      <w:r>
        <w:rPr>
          <w:rFonts w:hint="default" w:ascii="Times New Roman" w:hAnsi="Times New Roman" w:eastAsia="宋体" w:cs="Times New Roman"/>
          <w:b/>
          <w:kern w:val="0"/>
          <w:sz w:val="28"/>
          <w:szCs w:val="24"/>
          <w:highlight w:val="none"/>
          <w:lang w:val="en-US" w:eastAsia="zh-CN" w:bidi="ar-SA"/>
        </w:rPr>
        <w:t>区域污染源调查</w:t>
      </w:r>
      <w:bookmarkEnd w:id="110"/>
      <w:bookmarkEnd w:id="111"/>
      <w:bookmarkEnd w:id="112"/>
    </w:p>
    <w:p w14:paraId="5851D791">
      <w:pPr>
        <w:pStyle w:val="189"/>
        <w:rPr>
          <w:rFonts w:hint="default" w:ascii="Times New Roman" w:hAnsi="Times New Roman" w:eastAsia="宋体" w:cs="Times New Roman"/>
          <w:snapToGrid w:val="0"/>
          <w:kern w:val="24"/>
          <w:sz w:val="24"/>
          <w:szCs w:val="24"/>
          <w:highlight w:val="none"/>
          <w:lang w:val="en-US" w:eastAsia="zh-CN" w:bidi="ar-SA"/>
        </w:rPr>
      </w:pPr>
      <w:r>
        <w:rPr>
          <w:rFonts w:hint="default" w:ascii="Times New Roman" w:hAnsi="Times New Roman" w:eastAsia="宋体" w:cs="Times New Roman"/>
          <w:snapToGrid w:val="0"/>
          <w:kern w:val="24"/>
          <w:sz w:val="24"/>
          <w:szCs w:val="24"/>
          <w:highlight w:val="none"/>
          <w:lang w:val="en-US" w:eastAsia="zh-CN" w:bidi="ar-SA"/>
        </w:rPr>
        <w:t>根据大通湖工业集中区环境影响跟踪评价报告书及现场调查，湖南大通湖</w:t>
      </w:r>
      <w:r>
        <w:rPr>
          <w:rFonts w:hint="eastAsia" w:eastAsia="宋体" w:cs="Times New Roman"/>
          <w:snapToGrid w:val="0"/>
          <w:kern w:val="24"/>
          <w:sz w:val="24"/>
          <w:szCs w:val="24"/>
          <w:highlight w:val="none"/>
          <w:lang w:val="en-US" w:eastAsia="zh-CN" w:bidi="ar-SA"/>
        </w:rPr>
        <w:t>工业园</w:t>
      </w:r>
      <w:r>
        <w:rPr>
          <w:rFonts w:hint="default" w:ascii="Times New Roman" w:hAnsi="Times New Roman" w:eastAsia="宋体" w:cs="Times New Roman"/>
          <w:snapToGrid w:val="0"/>
          <w:kern w:val="24"/>
          <w:sz w:val="24"/>
          <w:szCs w:val="24"/>
          <w:highlight w:val="none"/>
          <w:lang w:val="en-US" w:eastAsia="zh-CN" w:bidi="ar-SA"/>
        </w:rPr>
        <w:t>入驻的企业主要有</w:t>
      </w:r>
      <w:r>
        <w:rPr>
          <w:rFonts w:hint="default" w:ascii="Times New Roman" w:hAnsi="Times New Roman" w:eastAsia="宋体" w:cs="Times New Roman"/>
          <w:snapToGrid w:val="0"/>
          <w:color w:val="auto"/>
          <w:kern w:val="24"/>
          <w:sz w:val="24"/>
          <w:szCs w:val="24"/>
          <w:highlight w:val="none"/>
          <w:lang w:val="en-US" w:eastAsia="zh-CN" w:bidi="ar-SA"/>
        </w:rPr>
        <w:t>14</w:t>
      </w:r>
      <w:r>
        <w:rPr>
          <w:rFonts w:hint="default" w:ascii="Times New Roman" w:hAnsi="Times New Roman" w:eastAsia="宋体" w:cs="Times New Roman"/>
          <w:snapToGrid w:val="0"/>
          <w:kern w:val="24"/>
          <w:sz w:val="24"/>
          <w:szCs w:val="24"/>
          <w:highlight w:val="none"/>
          <w:lang w:val="en-US" w:eastAsia="zh-CN" w:bidi="ar-SA"/>
        </w:rPr>
        <w:t>家，主要行业类别涉及农副食品加工业、水产加工、纺织业企业等，入园工业企业污染物排放情况见下表。</w:t>
      </w:r>
    </w:p>
    <w:p w14:paraId="224B1983">
      <w:pPr>
        <w:spacing w:line="240" w:lineRule="auto"/>
        <w:ind w:left="0" w:leftChars="0" w:firstLine="0" w:firstLineChars="0"/>
        <w:jc w:val="center"/>
        <w:rPr>
          <w:rFonts w:hint="default" w:ascii="Times New Roman" w:hAnsi="Times New Roman" w:eastAsia="宋体" w:cs="Times New Roman"/>
          <w:snapToGrid w:val="0"/>
          <w:kern w:val="24"/>
          <w:sz w:val="24"/>
          <w:szCs w:val="24"/>
          <w:highlight w:val="none"/>
          <w:lang w:val="en-US" w:eastAsia="zh-CN" w:bidi="ar-SA"/>
        </w:rPr>
      </w:pP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表4.</w:t>
      </w:r>
      <w:r>
        <w:rPr>
          <w:rFonts w:hint="eastAsia" w:cs="Times New Roman"/>
          <w:b/>
          <w:color w:val="000000" w:themeColor="text1"/>
          <w:kern w:val="0"/>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 xml:space="preserve">-1 </w:t>
      </w:r>
      <w:r>
        <w:rPr>
          <w:rFonts w:hint="default" w:ascii="Times New Roman" w:hAnsi="Times New Roman" w:eastAsia="宋体" w:cs="Times New Roman"/>
          <w:b/>
          <w:kern w:val="0"/>
          <w:sz w:val="24"/>
          <w:szCs w:val="24"/>
          <w:highlight w:val="none"/>
          <w:lang w:val="en-US" w:eastAsia="zh-CN" w:bidi="ar-SA"/>
        </w:rPr>
        <w:t>大通湖产业开发区已入园污染物排放统计汇总表</w:t>
      </w:r>
    </w:p>
    <w:tbl>
      <w:tblPr>
        <w:tblStyle w:val="7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68"/>
        <w:gridCol w:w="1277"/>
        <w:gridCol w:w="949"/>
        <w:gridCol w:w="961"/>
        <w:gridCol w:w="1038"/>
        <w:gridCol w:w="938"/>
        <w:gridCol w:w="1194"/>
        <w:gridCol w:w="901"/>
        <w:gridCol w:w="986"/>
        <w:gridCol w:w="1138"/>
        <w:gridCol w:w="1411"/>
        <w:gridCol w:w="900"/>
        <w:gridCol w:w="728"/>
      </w:tblGrid>
      <w:tr w14:paraId="03AE3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vMerge w:val="restart"/>
            <w:vAlign w:val="center"/>
          </w:tcPr>
          <w:p w14:paraId="4686A4D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序号</w:t>
            </w:r>
          </w:p>
        </w:tc>
        <w:tc>
          <w:tcPr>
            <w:tcW w:w="486" w:type="pct"/>
            <w:vMerge w:val="restart"/>
            <w:vAlign w:val="center"/>
          </w:tcPr>
          <w:p w14:paraId="5FC0577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企业名称</w:t>
            </w:r>
          </w:p>
        </w:tc>
        <w:tc>
          <w:tcPr>
            <w:tcW w:w="454" w:type="pct"/>
            <w:vMerge w:val="restart"/>
            <w:vAlign w:val="center"/>
          </w:tcPr>
          <w:p w14:paraId="76F05E2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主要产品</w:t>
            </w:r>
          </w:p>
        </w:tc>
        <w:tc>
          <w:tcPr>
            <w:tcW w:w="1812" w:type="pct"/>
            <w:gridSpan w:val="5"/>
            <w:vAlign w:val="center"/>
          </w:tcPr>
          <w:p w14:paraId="485F225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废水（m³/a）</w:t>
            </w:r>
          </w:p>
        </w:tc>
        <w:tc>
          <w:tcPr>
            <w:tcW w:w="1580" w:type="pct"/>
            <w:gridSpan w:val="4"/>
            <w:shd w:val="clear" w:color="auto" w:fill="auto"/>
            <w:vAlign w:val="center"/>
          </w:tcPr>
          <w:p w14:paraId="723229B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废气（t/a）</w:t>
            </w:r>
          </w:p>
        </w:tc>
        <w:tc>
          <w:tcPr>
            <w:tcW w:w="516" w:type="pct"/>
            <w:gridSpan w:val="2"/>
            <w:vAlign w:val="center"/>
          </w:tcPr>
          <w:p w14:paraId="4F40731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固体废物（t/a）</w:t>
            </w:r>
          </w:p>
        </w:tc>
      </w:tr>
      <w:tr w14:paraId="601BA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vMerge w:val="continue"/>
            <w:vAlign w:val="center"/>
          </w:tcPr>
          <w:p w14:paraId="7D941A1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486" w:type="pct"/>
            <w:vMerge w:val="continue"/>
            <w:vAlign w:val="center"/>
          </w:tcPr>
          <w:p w14:paraId="2D96FCD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454" w:type="pct"/>
            <w:vMerge w:val="continue"/>
            <w:vAlign w:val="center"/>
          </w:tcPr>
          <w:p w14:paraId="6FFA041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39" w:type="pct"/>
            <w:vAlign w:val="center"/>
          </w:tcPr>
          <w:p w14:paraId="4AE1E61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工业</w:t>
            </w:r>
          </w:p>
          <w:p w14:paraId="18337ED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废水</w:t>
            </w:r>
          </w:p>
        </w:tc>
        <w:tc>
          <w:tcPr>
            <w:tcW w:w="343" w:type="pct"/>
            <w:vAlign w:val="center"/>
          </w:tcPr>
          <w:p w14:paraId="5BA4466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生活</w:t>
            </w:r>
          </w:p>
          <w:p w14:paraId="4300981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废水</w:t>
            </w:r>
          </w:p>
        </w:tc>
        <w:tc>
          <w:tcPr>
            <w:tcW w:w="370" w:type="pct"/>
            <w:vAlign w:val="center"/>
          </w:tcPr>
          <w:p w14:paraId="2969444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COD</w:t>
            </w:r>
          </w:p>
        </w:tc>
        <w:tc>
          <w:tcPr>
            <w:tcW w:w="335" w:type="pct"/>
            <w:vAlign w:val="center"/>
          </w:tcPr>
          <w:p w14:paraId="3AB19AF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p>
        </w:tc>
        <w:tc>
          <w:tcPr>
            <w:tcW w:w="423" w:type="pct"/>
            <w:vAlign w:val="center"/>
          </w:tcPr>
          <w:p w14:paraId="23FBB70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氨氮</w:t>
            </w:r>
          </w:p>
        </w:tc>
        <w:tc>
          <w:tcPr>
            <w:tcW w:w="322" w:type="pct"/>
            <w:shd w:val="clear" w:color="auto" w:fill="auto"/>
            <w:vAlign w:val="center"/>
          </w:tcPr>
          <w:p w14:paraId="35C5B25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SO</w:t>
            </w:r>
            <w:r>
              <w:rPr>
                <w:rFonts w:hint="default" w:ascii="Times New Roman" w:hAnsi="Times New Roman" w:eastAsia="宋体" w:cs="Times New Roman"/>
                <w:sz w:val="21"/>
                <w:szCs w:val="21"/>
                <w:highlight w:val="none"/>
                <w:vertAlign w:val="subscript"/>
                <w:lang w:val="en-US" w:eastAsia="zh-CN"/>
              </w:rPr>
              <w:t>2</w:t>
            </w:r>
          </w:p>
        </w:tc>
        <w:tc>
          <w:tcPr>
            <w:tcW w:w="352" w:type="pct"/>
            <w:shd w:val="clear" w:color="auto" w:fill="auto"/>
            <w:vAlign w:val="center"/>
          </w:tcPr>
          <w:p w14:paraId="6317D2B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NOx</w:t>
            </w:r>
          </w:p>
        </w:tc>
        <w:tc>
          <w:tcPr>
            <w:tcW w:w="405" w:type="pct"/>
            <w:shd w:val="clear" w:color="auto" w:fill="auto"/>
            <w:vAlign w:val="center"/>
          </w:tcPr>
          <w:p w14:paraId="55A5FED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499" w:type="pct"/>
            <w:shd w:val="clear" w:color="auto" w:fill="auto"/>
            <w:vAlign w:val="center"/>
          </w:tcPr>
          <w:p w14:paraId="2522C9C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非甲烷总烃</w:t>
            </w:r>
          </w:p>
        </w:tc>
        <w:tc>
          <w:tcPr>
            <w:tcW w:w="255" w:type="pct"/>
            <w:vAlign w:val="center"/>
          </w:tcPr>
          <w:p w14:paraId="2F707F1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一般</w:t>
            </w:r>
          </w:p>
          <w:p w14:paraId="02C3EBC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固废</w:t>
            </w:r>
          </w:p>
        </w:tc>
        <w:tc>
          <w:tcPr>
            <w:tcW w:w="260" w:type="pct"/>
            <w:vAlign w:val="center"/>
          </w:tcPr>
          <w:p w14:paraId="58A1C8C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危险废物</w:t>
            </w:r>
          </w:p>
        </w:tc>
      </w:tr>
      <w:tr w14:paraId="0C480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24D6471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486" w:type="pct"/>
            <w:shd w:val="clear" w:color="auto" w:fill="auto"/>
            <w:vAlign w:val="center"/>
          </w:tcPr>
          <w:p w14:paraId="327F914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益阳大通湖中燃城市燃气有限公司</w:t>
            </w:r>
          </w:p>
        </w:tc>
        <w:tc>
          <w:tcPr>
            <w:tcW w:w="454" w:type="pct"/>
            <w:shd w:val="clear" w:color="auto" w:fill="auto"/>
            <w:vAlign w:val="center"/>
          </w:tcPr>
          <w:p w14:paraId="61EB24B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天燃气</w:t>
            </w:r>
          </w:p>
        </w:tc>
        <w:tc>
          <w:tcPr>
            <w:tcW w:w="339" w:type="pct"/>
            <w:shd w:val="clear" w:color="auto" w:fill="auto"/>
            <w:vAlign w:val="center"/>
          </w:tcPr>
          <w:p w14:paraId="0F815AF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43" w:type="pct"/>
            <w:shd w:val="clear" w:color="auto" w:fill="auto"/>
            <w:vAlign w:val="center"/>
          </w:tcPr>
          <w:p w14:paraId="17E28FF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279</w:t>
            </w:r>
          </w:p>
        </w:tc>
        <w:tc>
          <w:tcPr>
            <w:tcW w:w="370" w:type="pct"/>
            <w:shd w:val="clear" w:color="auto" w:fill="auto"/>
            <w:vAlign w:val="center"/>
          </w:tcPr>
          <w:p w14:paraId="660B1A3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35" w:type="pct"/>
            <w:shd w:val="clear" w:color="auto" w:fill="auto"/>
            <w:vAlign w:val="center"/>
          </w:tcPr>
          <w:p w14:paraId="66CA563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423" w:type="pct"/>
            <w:shd w:val="clear" w:color="auto" w:fill="auto"/>
            <w:vAlign w:val="center"/>
          </w:tcPr>
          <w:p w14:paraId="747742C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22" w:type="pct"/>
            <w:shd w:val="clear" w:color="auto" w:fill="auto"/>
            <w:vAlign w:val="center"/>
          </w:tcPr>
          <w:p w14:paraId="67E3F51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52" w:type="pct"/>
            <w:shd w:val="clear" w:color="auto" w:fill="auto"/>
            <w:vAlign w:val="center"/>
          </w:tcPr>
          <w:p w14:paraId="13492D2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405" w:type="pct"/>
            <w:shd w:val="clear" w:color="auto" w:fill="auto"/>
            <w:vAlign w:val="center"/>
          </w:tcPr>
          <w:p w14:paraId="297B637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499" w:type="pct"/>
            <w:shd w:val="clear" w:color="auto" w:fill="auto"/>
            <w:vAlign w:val="center"/>
          </w:tcPr>
          <w:p w14:paraId="2B8C99D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255" w:type="pct"/>
            <w:shd w:val="clear" w:color="auto" w:fill="auto"/>
            <w:vAlign w:val="center"/>
          </w:tcPr>
          <w:p w14:paraId="0B0F86F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2.7</w:t>
            </w:r>
          </w:p>
        </w:tc>
        <w:tc>
          <w:tcPr>
            <w:tcW w:w="260" w:type="pct"/>
            <w:shd w:val="clear" w:color="auto" w:fill="auto"/>
            <w:vAlign w:val="center"/>
          </w:tcPr>
          <w:p w14:paraId="0A43C3C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34123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4DD1BD0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486" w:type="pct"/>
            <w:shd w:val="clear" w:color="auto" w:fill="auto"/>
            <w:vAlign w:val="center"/>
          </w:tcPr>
          <w:p w14:paraId="66E7062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湖南丁达尔生物科技有限公司</w:t>
            </w:r>
          </w:p>
        </w:tc>
        <w:tc>
          <w:tcPr>
            <w:tcW w:w="454" w:type="pct"/>
            <w:shd w:val="clear" w:color="auto" w:fill="auto"/>
            <w:vAlign w:val="center"/>
          </w:tcPr>
          <w:p w14:paraId="11AB08A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食品</w:t>
            </w:r>
          </w:p>
        </w:tc>
        <w:tc>
          <w:tcPr>
            <w:tcW w:w="339" w:type="pct"/>
            <w:shd w:val="clear" w:color="auto" w:fill="auto"/>
            <w:vAlign w:val="center"/>
          </w:tcPr>
          <w:p w14:paraId="167666C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645.6</w:t>
            </w:r>
          </w:p>
        </w:tc>
        <w:tc>
          <w:tcPr>
            <w:tcW w:w="343" w:type="pct"/>
            <w:shd w:val="clear" w:color="auto" w:fill="auto"/>
            <w:vAlign w:val="center"/>
          </w:tcPr>
          <w:p w14:paraId="6FC331D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160</w:t>
            </w:r>
          </w:p>
        </w:tc>
        <w:tc>
          <w:tcPr>
            <w:tcW w:w="370" w:type="pct"/>
            <w:shd w:val="clear" w:color="auto" w:fill="auto"/>
            <w:vAlign w:val="center"/>
          </w:tcPr>
          <w:p w14:paraId="1F1308E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w:t>
            </w:r>
          </w:p>
        </w:tc>
        <w:tc>
          <w:tcPr>
            <w:tcW w:w="335" w:type="pct"/>
            <w:shd w:val="clear" w:color="auto" w:fill="auto"/>
            <w:vAlign w:val="center"/>
          </w:tcPr>
          <w:p w14:paraId="0727DF8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0.006</w:t>
            </w:r>
          </w:p>
        </w:tc>
        <w:tc>
          <w:tcPr>
            <w:tcW w:w="423" w:type="pct"/>
            <w:shd w:val="clear" w:color="auto" w:fill="auto"/>
            <w:vAlign w:val="center"/>
          </w:tcPr>
          <w:p w14:paraId="43F3AAA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0.003</w:t>
            </w:r>
          </w:p>
        </w:tc>
        <w:tc>
          <w:tcPr>
            <w:tcW w:w="322" w:type="pct"/>
            <w:shd w:val="clear" w:color="auto" w:fill="auto"/>
            <w:vAlign w:val="center"/>
          </w:tcPr>
          <w:p w14:paraId="69A3146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1.22</w:t>
            </w:r>
          </w:p>
        </w:tc>
        <w:tc>
          <w:tcPr>
            <w:tcW w:w="352" w:type="pct"/>
            <w:shd w:val="clear" w:color="auto" w:fill="auto"/>
            <w:vAlign w:val="center"/>
          </w:tcPr>
          <w:p w14:paraId="74B0A1D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1.47</w:t>
            </w:r>
          </w:p>
        </w:tc>
        <w:tc>
          <w:tcPr>
            <w:tcW w:w="405" w:type="pct"/>
            <w:shd w:val="clear" w:color="auto" w:fill="auto"/>
            <w:vAlign w:val="center"/>
          </w:tcPr>
          <w:p w14:paraId="7C1EFCE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0.036</w:t>
            </w:r>
          </w:p>
        </w:tc>
        <w:tc>
          <w:tcPr>
            <w:tcW w:w="499" w:type="pct"/>
            <w:shd w:val="clear" w:color="auto" w:fill="auto"/>
            <w:vAlign w:val="center"/>
          </w:tcPr>
          <w:p w14:paraId="1CEEC02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255" w:type="pct"/>
            <w:shd w:val="clear" w:color="auto" w:fill="auto"/>
            <w:vAlign w:val="center"/>
          </w:tcPr>
          <w:p w14:paraId="061E86B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500</w:t>
            </w:r>
          </w:p>
        </w:tc>
        <w:tc>
          <w:tcPr>
            <w:tcW w:w="260" w:type="pct"/>
            <w:shd w:val="clear" w:color="auto" w:fill="auto"/>
            <w:vAlign w:val="center"/>
          </w:tcPr>
          <w:p w14:paraId="00B67DF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w:t>
            </w:r>
          </w:p>
        </w:tc>
      </w:tr>
      <w:tr w14:paraId="63549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091539F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486" w:type="pct"/>
            <w:shd w:val="clear" w:color="auto" w:fill="auto"/>
            <w:vAlign w:val="center"/>
          </w:tcPr>
          <w:p w14:paraId="7D48AD1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益阳市益捷编织有限公司</w:t>
            </w:r>
          </w:p>
        </w:tc>
        <w:tc>
          <w:tcPr>
            <w:tcW w:w="454" w:type="pct"/>
            <w:shd w:val="clear" w:color="auto" w:fill="auto"/>
            <w:vAlign w:val="center"/>
          </w:tcPr>
          <w:p w14:paraId="3B18333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纺织业</w:t>
            </w:r>
          </w:p>
        </w:tc>
        <w:tc>
          <w:tcPr>
            <w:tcW w:w="339" w:type="pct"/>
            <w:shd w:val="clear" w:color="auto" w:fill="auto"/>
            <w:vAlign w:val="center"/>
          </w:tcPr>
          <w:p w14:paraId="2CA236C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43" w:type="pct"/>
            <w:shd w:val="clear" w:color="auto" w:fill="auto"/>
            <w:vAlign w:val="center"/>
          </w:tcPr>
          <w:p w14:paraId="38980E9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384</w:t>
            </w:r>
          </w:p>
        </w:tc>
        <w:tc>
          <w:tcPr>
            <w:tcW w:w="370" w:type="pct"/>
            <w:shd w:val="clear" w:color="auto" w:fill="auto"/>
            <w:vAlign w:val="center"/>
          </w:tcPr>
          <w:p w14:paraId="5669666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0.0224</w:t>
            </w:r>
          </w:p>
        </w:tc>
        <w:tc>
          <w:tcPr>
            <w:tcW w:w="335" w:type="pct"/>
            <w:shd w:val="clear" w:color="auto" w:fill="auto"/>
            <w:vAlign w:val="center"/>
          </w:tcPr>
          <w:p w14:paraId="6D0F66A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0.0152</w:t>
            </w:r>
          </w:p>
        </w:tc>
        <w:tc>
          <w:tcPr>
            <w:tcW w:w="423" w:type="pct"/>
            <w:shd w:val="clear" w:color="auto" w:fill="auto"/>
            <w:vAlign w:val="center"/>
          </w:tcPr>
          <w:p w14:paraId="17C2D92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0.0032</w:t>
            </w:r>
          </w:p>
        </w:tc>
        <w:tc>
          <w:tcPr>
            <w:tcW w:w="322" w:type="pct"/>
            <w:shd w:val="clear" w:color="auto" w:fill="auto"/>
            <w:vAlign w:val="center"/>
          </w:tcPr>
          <w:p w14:paraId="683CA49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52" w:type="pct"/>
            <w:shd w:val="clear" w:color="auto" w:fill="auto"/>
            <w:vAlign w:val="center"/>
          </w:tcPr>
          <w:p w14:paraId="5872A52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405" w:type="pct"/>
            <w:shd w:val="clear" w:color="auto" w:fill="auto"/>
            <w:vAlign w:val="center"/>
          </w:tcPr>
          <w:p w14:paraId="7A09F47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4.05</w:t>
            </w:r>
          </w:p>
        </w:tc>
        <w:tc>
          <w:tcPr>
            <w:tcW w:w="499" w:type="pct"/>
            <w:shd w:val="clear" w:color="auto" w:fill="auto"/>
            <w:vAlign w:val="center"/>
          </w:tcPr>
          <w:p w14:paraId="268D4E1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255" w:type="pct"/>
            <w:shd w:val="clear" w:color="auto" w:fill="auto"/>
            <w:vAlign w:val="center"/>
          </w:tcPr>
          <w:p w14:paraId="38A8B1E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493.3</w:t>
            </w:r>
          </w:p>
        </w:tc>
        <w:tc>
          <w:tcPr>
            <w:tcW w:w="260" w:type="pct"/>
            <w:shd w:val="clear" w:color="auto" w:fill="auto"/>
            <w:vAlign w:val="center"/>
          </w:tcPr>
          <w:p w14:paraId="0A3A0D3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w:t>
            </w:r>
          </w:p>
        </w:tc>
      </w:tr>
      <w:tr w14:paraId="59062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63CC20A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486" w:type="pct"/>
            <w:shd w:val="clear" w:color="auto" w:fill="auto"/>
            <w:vAlign w:val="center"/>
          </w:tcPr>
          <w:p w14:paraId="4613402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益阳市大通湖恒源纺织有限公司</w:t>
            </w:r>
          </w:p>
        </w:tc>
        <w:tc>
          <w:tcPr>
            <w:tcW w:w="454" w:type="pct"/>
            <w:shd w:val="clear" w:color="auto" w:fill="auto"/>
            <w:vAlign w:val="center"/>
          </w:tcPr>
          <w:p w14:paraId="7F7E9DD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纺织业</w:t>
            </w:r>
          </w:p>
        </w:tc>
        <w:tc>
          <w:tcPr>
            <w:tcW w:w="339" w:type="pct"/>
            <w:shd w:val="clear" w:color="auto" w:fill="auto"/>
            <w:vAlign w:val="center"/>
          </w:tcPr>
          <w:p w14:paraId="2D73DEF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43" w:type="pct"/>
            <w:shd w:val="clear" w:color="auto" w:fill="auto"/>
            <w:vAlign w:val="center"/>
          </w:tcPr>
          <w:p w14:paraId="57CDD7C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480</w:t>
            </w:r>
          </w:p>
        </w:tc>
        <w:tc>
          <w:tcPr>
            <w:tcW w:w="370" w:type="pct"/>
            <w:shd w:val="clear" w:color="auto" w:fill="auto"/>
            <w:vAlign w:val="center"/>
          </w:tcPr>
          <w:p w14:paraId="548AF51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0.024</w:t>
            </w:r>
          </w:p>
        </w:tc>
        <w:tc>
          <w:tcPr>
            <w:tcW w:w="335" w:type="pct"/>
            <w:shd w:val="clear" w:color="auto" w:fill="auto"/>
            <w:vAlign w:val="center"/>
          </w:tcPr>
          <w:p w14:paraId="0ED825F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0.0048</w:t>
            </w:r>
          </w:p>
        </w:tc>
        <w:tc>
          <w:tcPr>
            <w:tcW w:w="423" w:type="pct"/>
            <w:shd w:val="clear" w:color="auto" w:fill="auto"/>
            <w:vAlign w:val="center"/>
          </w:tcPr>
          <w:p w14:paraId="0513B7A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0.002</w:t>
            </w:r>
          </w:p>
        </w:tc>
        <w:tc>
          <w:tcPr>
            <w:tcW w:w="322" w:type="pct"/>
            <w:shd w:val="clear" w:color="auto" w:fill="auto"/>
            <w:vAlign w:val="center"/>
          </w:tcPr>
          <w:p w14:paraId="138A7FB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52" w:type="pct"/>
            <w:shd w:val="clear" w:color="auto" w:fill="auto"/>
            <w:vAlign w:val="center"/>
          </w:tcPr>
          <w:p w14:paraId="1287BF5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405" w:type="pct"/>
            <w:shd w:val="clear" w:color="auto" w:fill="auto"/>
            <w:vAlign w:val="center"/>
          </w:tcPr>
          <w:p w14:paraId="0C769FA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1.285</w:t>
            </w:r>
          </w:p>
        </w:tc>
        <w:tc>
          <w:tcPr>
            <w:tcW w:w="499" w:type="pct"/>
            <w:shd w:val="clear" w:color="auto" w:fill="auto"/>
            <w:vAlign w:val="center"/>
          </w:tcPr>
          <w:p w14:paraId="672D4BC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255" w:type="pct"/>
            <w:shd w:val="clear" w:color="auto" w:fill="auto"/>
            <w:vAlign w:val="center"/>
          </w:tcPr>
          <w:p w14:paraId="7AD0D6F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605.2</w:t>
            </w:r>
          </w:p>
        </w:tc>
        <w:tc>
          <w:tcPr>
            <w:tcW w:w="260" w:type="pct"/>
            <w:shd w:val="clear" w:color="auto" w:fill="auto"/>
            <w:vAlign w:val="center"/>
          </w:tcPr>
          <w:p w14:paraId="7104C6A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w:t>
            </w:r>
          </w:p>
        </w:tc>
      </w:tr>
      <w:tr w14:paraId="1929C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3B26357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486" w:type="pct"/>
            <w:shd w:val="clear" w:color="auto" w:fill="auto"/>
            <w:vAlign w:val="center"/>
          </w:tcPr>
          <w:p w14:paraId="5C50DB0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益阳大通湖天盈纺织有限公司</w:t>
            </w:r>
          </w:p>
        </w:tc>
        <w:tc>
          <w:tcPr>
            <w:tcW w:w="454" w:type="pct"/>
            <w:shd w:val="clear" w:color="auto" w:fill="auto"/>
            <w:vAlign w:val="center"/>
          </w:tcPr>
          <w:p w14:paraId="3708763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纺织业</w:t>
            </w:r>
          </w:p>
        </w:tc>
        <w:tc>
          <w:tcPr>
            <w:tcW w:w="339" w:type="pct"/>
            <w:shd w:val="clear" w:color="auto" w:fill="auto"/>
            <w:vAlign w:val="center"/>
          </w:tcPr>
          <w:p w14:paraId="71F838F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43" w:type="pct"/>
            <w:shd w:val="clear" w:color="auto" w:fill="auto"/>
            <w:vAlign w:val="center"/>
          </w:tcPr>
          <w:p w14:paraId="1F7CBFB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888</w:t>
            </w:r>
          </w:p>
        </w:tc>
        <w:tc>
          <w:tcPr>
            <w:tcW w:w="370" w:type="pct"/>
            <w:shd w:val="clear" w:color="auto" w:fill="auto"/>
            <w:vAlign w:val="center"/>
          </w:tcPr>
          <w:p w14:paraId="5B10759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0.444</w:t>
            </w:r>
          </w:p>
        </w:tc>
        <w:tc>
          <w:tcPr>
            <w:tcW w:w="335" w:type="pct"/>
            <w:shd w:val="clear" w:color="auto" w:fill="auto"/>
            <w:vAlign w:val="center"/>
          </w:tcPr>
          <w:p w14:paraId="0C8C2C5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0.266</w:t>
            </w:r>
          </w:p>
        </w:tc>
        <w:tc>
          <w:tcPr>
            <w:tcW w:w="423" w:type="pct"/>
            <w:shd w:val="clear" w:color="auto" w:fill="auto"/>
            <w:vAlign w:val="center"/>
          </w:tcPr>
          <w:p w14:paraId="7E9AADC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0.022</w:t>
            </w:r>
          </w:p>
        </w:tc>
        <w:tc>
          <w:tcPr>
            <w:tcW w:w="322" w:type="pct"/>
            <w:shd w:val="clear" w:color="auto" w:fill="auto"/>
            <w:vAlign w:val="center"/>
          </w:tcPr>
          <w:p w14:paraId="7302846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52" w:type="pct"/>
            <w:shd w:val="clear" w:color="auto" w:fill="auto"/>
            <w:vAlign w:val="center"/>
          </w:tcPr>
          <w:p w14:paraId="5D2C58E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405" w:type="pct"/>
            <w:shd w:val="clear" w:color="auto" w:fill="auto"/>
            <w:vAlign w:val="center"/>
          </w:tcPr>
          <w:p w14:paraId="655BAB4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w:t>
            </w:r>
          </w:p>
        </w:tc>
        <w:tc>
          <w:tcPr>
            <w:tcW w:w="499" w:type="pct"/>
            <w:shd w:val="clear" w:color="auto" w:fill="auto"/>
            <w:vAlign w:val="center"/>
          </w:tcPr>
          <w:p w14:paraId="52D19CA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255" w:type="pct"/>
            <w:shd w:val="clear" w:color="auto" w:fill="auto"/>
            <w:vAlign w:val="center"/>
          </w:tcPr>
          <w:p w14:paraId="2DB6C78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147.6</w:t>
            </w:r>
          </w:p>
        </w:tc>
        <w:tc>
          <w:tcPr>
            <w:tcW w:w="260" w:type="pct"/>
            <w:shd w:val="clear" w:color="auto" w:fill="auto"/>
            <w:vAlign w:val="center"/>
          </w:tcPr>
          <w:p w14:paraId="6145296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30616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046CB2E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w:t>
            </w:r>
          </w:p>
        </w:tc>
        <w:tc>
          <w:tcPr>
            <w:tcW w:w="486" w:type="pct"/>
            <w:shd w:val="clear" w:color="auto" w:fill="auto"/>
            <w:vAlign w:val="center"/>
          </w:tcPr>
          <w:p w14:paraId="4CF84C7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大通湖歌杨四水产有限公司</w:t>
            </w:r>
          </w:p>
        </w:tc>
        <w:tc>
          <w:tcPr>
            <w:tcW w:w="454" w:type="pct"/>
            <w:shd w:val="clear" w:color="auto" w:fill="auto"/>
            <w:vAlign w:val="center"/>
          </w:tcPr>
          <w:p w14:paraId="667F7CA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水产食品</w:t>
            </w:r>
          </w:p>
        </w:tc>
        <w:tc>
          <w:tcPr>
            <w:tcW w:w="339" w:type="pct"/>
            <w:shd w:val="clear" w:color="auto" w:fill="auto"/>
            <w:vAlign w:val="center"/>
          </w:tcPr>
          <w:p w14:paraId="348FABF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1080</w:t>
            </w:r>
          </w:p>
        </w:tc>
        <w:tc>
          <w:tcPr>
            <w:tcW w:w="343" w:type="pct"/>
            <w:shd w:val="clear" w:color="auto" w:fill="auto"/>
            <w:vAlign w:val="center"/>
          </w:tcPr>
          <w:p w14:paraId="402327D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120</w:t>
            </w:r>
          </w:p>
        </w:tc>
        <w:tc>
          <w:tcPr>
            <w:tcW w:w="370" w:type="pct"/>
            <w:shd w:val="clear" w:color="auto" w:fill="auto"/>
            <w:vAlign w:val="center"/>
          </w:tcPr>
          <w:p w14:paraId="50FF0CD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0.6</w:t>
            </w:r>
          </w:p>
        </w:tc>
        <w:tc>
          <w:tcPr>
            <w:tcW w:w="335" w:type="pct"/>
            <w:shd w:val="clear" w:color="auto" w:fill="auto"/>
            <w:vAlign w:val="center"/>
          </w:tcPr>
          <w:p w14:paraId="25A679C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0.36</w:t>
            </w:r>
          </w:p>
        </w:tc>
        <w:tc>
          <w:tcPr>
            <w:tcW w:w="423" w:type="pct"/>
            <w:shd w:val="clear" w:color="auto" w:fill="auto"/>
            <w:vAlign w:val="center"/>
          </w:tcPr>
          <w:p w14:paraId="7FACBEA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0.06</w:t>
            </w:r>
          </w:p>
        </w:tc>
        <w:tc>
          <w:tcPr>
            <w:tcW w:w="322" w:type="pct"/>
            <w:shd w:val="clear" w:color="auto" w:fill="auto"/>
            <w:vAlign w:val="center"/>
          </w:tcPr>
          <w:p w14:paraId="415446F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52" w:type="pct"/>
            <w:shd w:val="clear" w:color="auto" w:fill="auto"/>
            <w:vAlign w:val="center"/>
          </w:tcPr>
          <w:p w14:paraId="3B14193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405" w:type="pct"/>
            <w:shd w:val="clear" w:color="auto" w:fill="auto"/>
            <w:vAlign w:val="center"/>
          </w:tcPr>
          <w:p w14:paraId="0D3E604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499" w:type="pct"/>
            <w:shd w:val="clear" w:color="auto" w:fill="auto"/>
            <w:vAlign w:val="center"/>
          </w:tcPr>
          <w:p w14:paraId="368634D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255" w:type="pct"/>
            <w:shd w:val="clear" w:color="auto" w:fill="auto"/>
            <w:vAlign w:val="center"/>
          </w:tcPr>
          <w:p w14:paraId="363E1DA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12.2</w:t>
            </w:r>
          </w:p>
        </w:tc>
        <w:tc>
          <w:tcPr>
            <w:tcW w:w="260" w:type="pct"/>
            <w:shd w:val="clear" w:color="auto" w:fill="auto"/>
            <w:vAlign w:val="center"/>
          </w:tcPr>
          <w:p w14:paraId="3532A97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2301E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22355F9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w:t>
            </w:r>
          </w:p>
        </w:tc>
        <w:tc>
          <w:tcPr>
            <w:tcW w:w="486" w:type="pct"/>
            <w:shd w:val="clear" w:color="auto" w:fill="auto"/>
            <w:vAlign w:val="center"/>
          </w:tcPr>
          <w:p w14:paraId="266919C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益阳大通湖永盛纺织有限公司</w:t>
            </w:r>
          </w:p>
        </w:tc>
        <w:tc>
          <w:tcPr>
            <w:tcW w:w="454" w:type="pct"/>
            <w:shd w:val="clear" w:color="auto" w:fill="auto"/>
            <w:vAlign w:val="center"/>
          </w:tcPr>
          <w:p w14:paraId="4978895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纺织业</w:t>
            </w:r>
          </w:p>
        </w:tc>
        <w:tc>
          <w:tcPr>
            <w:tcW w:w="339" w:type="pct"/>
            <w:shd w:val="clear" w:color="auto" w:fill="auto"/>
            <w:vAlign w:val="center"/>
          </w:tcPr>
          <w:p w14:paraId="4CC0EAE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43" w:type="pct"/>
            <w:shd w:val="clear" w:color="auto" w:fill="auto"/>
            <w:vAlign w:val="center"/>
          </w:tcPr>
          <w:p w14:paraId="28D0ADB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2640</w:t>
            </w:r>
          </w:p>
        </w:tc>
        <w:tc>
          <w:tcPr>
            <w:tcW w:w="370" w:type="pct"/>
            <w:shd w:val="clear" w:color="auto" w:fill="auto"/>
            <w:vAlign w:val="center"/>
          </w:tcPr>
          <w:p w14:paraId="2126162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0.156</w:t>
            </w:r>
          </w:p>
        </w:tc>
        <w:tc>
          <w:tcPr>
            <w:tcW w:w="335" w:type="pct"/>
            <w:shd w:val="clear" w:color="auto" w:fill="auto"/>
            <w:vAlign w:val="center"/>
          </w:tcPr>
          <w:p w14:paraId="48C0795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0.104</w:t>
            </w:r>
          </w:p>
        </w:tc>
        <w:tc>
          <w:tcPr>
            <w:tcW w:w="423" w:type="pct"/>
            <w:shd w:val="clear" w:color="auto" w:fill="auto"/>
            <w:vAlign w:val="center"/>
          </w:tcPr>
          <w:p w14:paraId="2B33F3D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0.021</w:t>
            </w:r>
          </w:p>
        </w:tc>
        <w:tc>
          <w:tcPr>
            <w:tcW w:w="322" w:type="pct"/>
            <w:shd w:val="clear" w:color="auto" w:fill="auto"/>
            <w:vAlign w:val="center"/>
          </w:tcPr>
          <w:p w14:paraId="1D06CE9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52" w:type="pct"/>
            <w:shd w:val="clear" w:color="auto" w:fill="auto"/>
            <w:vAlign w:val="center"/>
          </w:tcPr>
          <w:p w14:paraId="0E75D2B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405" w:type="pct"/>
            <w:shd w:val="clear" w:color="auto" w:fill="auto"/>
            <w:vAlign w:val="center"/>
          </w:tcPr>
          <w:p w14:paraId="0179A6A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1.231</w:t>
            </w:r>
          </w:p>
        </w:tc>
        <w:tc>
          <w:tcPr>
            <w:tcW w:w="499" w:type="pct"/>
            <w:shd w:val="clear" w:color="auto" w:fill="auto"/>
            <w:vAlign w:val="center"/>
          </w:tcPr>
          <w:p w14:paraId="5154CEF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255" w:type="pct"/>
            <w:shd w:val="clear" w:color="auto" w:fill="auto"/>
            <w:vAlign w:val="center"/>
          </w:tcPr>
          <w:p w14:paraId="0BBD402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1522.37</w:t>
            </w:r>
          </w:p>
        </w:tc>
        <w:tc>
          <w:tcPr>
            <w:tcW w:w="260" w:type="pct"/>
            <w:shd w:val="clear" w:color="auto" w:fill="auto"/>
            <w:vAlign w:val="center"/>
          </w:tcPr>
          <w:p w14:paraId="7B44EB5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w:t>
            </w:r>
          </w:p>
        </w:tc>
      </w:tr>
      <w:tr w14:paraId="6DDB04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26B8A45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w:t>
            </w:r>
          </w:p>
        </w:tc>
        <w:tc>
          <w:tcPr>
            <w:tcW w:w="486" w:type="pct"/>
            <w:shd w:val="clear" w:color="auto" w:fill="auto"/>
            <w:vAlign w:val="center"/>
          </w:tcPr>
          <w:p w14:paraId="76ECE14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湖南亲嘴娃食品有限公司</w:t>
            </w:r>
          </w:p>
        </w:tc>
        <w:tc>
          <w:tcPr>
            <w:tcW w:w="454" w:type="pct"/>
            <w:shd w:val="clear" w:color="auto" w:fill="auto"/>
            <w:vAlign w:val="center"/>
          </w:tcPr>
          <w:p w14:paraId="26BA636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食品</w:t>
            </w:r>
          </w:p>
        </w:tc>
        <w:tc>
          <w:tcPr>
            <w:tcW w:w="339" w:type="pct"/>
            <w:shd w:val="clear" w:color="auto" w:fill="auto"/>
            <w:vAlign w:val="center"/>
          </w:tcPr>
          <w:p w14:paraId="528A3DE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2658</w:t>
            </w:r>
          </w:p>
        </w:tc>
        <w:tc>
          <w:tcPr>
            <w:tcW w:w="343" w:type="pct"/>
            <w:shd w:val="clear" w:color="auto" w:fill="auto"/>
            <w:vAlign w:val="center"/>
          </w:tcPr>
          <w:p w14:paraId="07FE762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1110</w:t>
            </w:r>
          </w:p>
        </w:tc>
        <w:tc>
          <w:tcPr>
            <w:tcW w:w="370" w:type="pct"/>
            <w:shd w:val="clear" w:color="auto" w:fill="auto"/>
            <w:vAlign w:val="center"/>
          </w:tcPr>
          <w:p w14:paraId="66A87DE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35" w:type="pct"/>
            <w:shd w:val="clear" w:color="auto" w:fill="auto"/>
            <w:vAlign w:val="center"/>
          </w:tcPr>
          <w:p w14:paraId="5312A3C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423" w:type="pct"/>
            <w:shd w:val="clear" w:color="auto" w:fill="auto"/>
            <w:vAlign w:val="center"/>
          </w:tcPr>
          <w:p w14:paraId="306B8A9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22" w:type="pct"/>
            <w:shd w:val="clear" w:color="auto" w:fill="auto"/>
            <w:vAlign w:val="center"/>
          </w:tcPr>
          <w:p w14:paraId="396BFA4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0.26</w:t>
            </w:r>
          </w:p>
        </w:tc>
        <w:tc>
          <w:tcPr>
            <w:tcW w:w="352" w:type="pct"/>
            <w:shd w:val="clear" w:color="auto" w:fill="auto"/>
            <w:vAlign w:val="center"/>
          </w:tcPr>
          <w:p w14:paraId="2DBFFEC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w:t>
            </w:r>
          </w:p>
        </w:tc>
        <w:tc>
          <w:tcPr>
            <w:tcW w:w="405" w:type="pct"/>
            <w:shd w:val="clear" w:color="auto" w:fill="auto"/>
            <w:vAlign w:val="center"/>
          </w:tcPr>
          <w:p w14:paraId="716CEA5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0.12</w:t>
            </w:r>
          </w:p>
        </w:tc>
        <w:tc>
          <w:tcPr>
            <w:tcW w:w="499" w:type="pct"/>
            <w:shd w:val="clear" w:color="auto" w:fill="auto"/>
            <w:vAlign w:val="center"/>
          </w:tcPr>
          <w:p w14:paraId="56CF3DD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255" w:type="pct"/>
            <w:shd w:val="clear" w:color="auto" w:fill="auto"/>
            <w:vAlign w:val="center"/>
          </w:tcPr>
          <w:p w14:paraId="0F56F1F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441.3</w:t>
            </w:r>
          </w:p>
        </w:tc>
        <w:tc>
          <w:tcPr>
            <w:tcW w:w="260" w:type="pct"/>
            <w:shd w:val="clear" w:color="auto" w:fill="auto"/>
            <w:vAlign w:val="center"/>
          </w:tcPr>
          <w:p w14:paraId="20A94C7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14:paraId="4870C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389BC24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w:t>
            </w:r>
          </w:p>
        </w:tc>
        <w:tc>
          <w:tcPr>
            <w:tcW w:w="486" w:type="pct"/>
            <w:shd w:val="clear" w:color="auto" w:fill="auto"/>
            <w:vAlign w:val="center"/>
          </w:tcPr>
          <w:p w14:paraId="0EEE406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湖南康玖堂生物科技有限公司</w:t>
            </w:r>
          </w:p>
        </w:tc>
        <w:tc>
          <w:tcPr>
            <w:tcW w:w="454" w:type="pct"/>
            <w:shd w:val="clear" w:color="auto" w:fill="auto"/>
            <w:vAlign w:val="center"/>
          </w:tcPr>
          <w:p w14:paraId="63E8DAB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食品</w:t>
            </w:r>
          </w:p>
        </w:tc>
        <w:tc>
          <w:tcPr>
            <w:tcW w:w="339" w:type="pct"/>
            <w:shd w:val="clear" w:color="auto" w:fill="auto"/>
            <w:vAlign w:val="center"/>
          </w:tcPr>
          <w:p w14:paraId="5AC91AE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420</w:t>
            </w:r>
          </w:p>
        </w:tc>
        <w:tc>
          <w:tcPr>
            <w:tcW w:w="343" w:type="pct"/>
            <w:shd w:val="clear" w:color="auto" w:fill="auto"/>
            <w:vAlign w:val="center"/>
          </w:tcPr>
          <w:p w14:paraId="4A89F59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240</w:t>
            </w:r>
          </w:p>
        </w:tc>
        <w:tc>
          <w:tcPr>
            <w:tcW w:w="370" w:type="pct"/>
            <w:shd w:val="clear" w:color="auto" w:fill="auto"/>
            <w:vAlign w:val="center"/>
          </w:tcPr>
          <w:p w14:paraId="692768B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0.027</w:t>
            </w:r>
          </w:p>
        </w:tc>
        <w:tc>
          <w:tcPr>
            <w:tcW w:w="335" w:type="pct"/>
            <w:shd w:val="clear" w:color="auto" w:fill="auto"/>
            <w:vAlign w:val="center"/>
          </w:tcPr>
          <w:p w14:paraId="16B21EA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0.011</w:t>
            </w:r>
          </w:p>
        </w:tc>
        <w:tc>
          <w:tcPr>
            <w:tcW w:w="423" w:type="pct"/>
            <w:shd w:val="clear" w:color="auto" w:fill="auto"/>
            <w:vAlign w:val="center"/>
          </w:tcPr>
          <w:p w14:paraId="2F76F7C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0.003</w:t>
            </w:r>
          </w:p>
        </w:tc>
        <w:tc>
          <w:tcPr>
            <w:tcW w:w="322" w:type="pct"/>
            <w:shd w:val="clear" w:color="auto" w:fill="auto"/>
            <w:vAlign w:val="center"/>
          </w:tcPr>
          <w:p w14:paraId="420AE1F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1.224</w:t>
            </w:r>
          </w:p>
        </w:tc>
        <w:tc>
          <w:tcPr>
            <w:tcW w:w="352" w:type="pct"/>
            <w:shd w:val="clear" w:color="auto" w:fill="auto"/>
            <w:vAlign w:val="center"/>
          </w:tcPr>
          <w:p w14:paraId="1423D8A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1.224</w:t>
            </w:r>
          </w:p>
        </w:tc>
        <w:tc>
          <w:tcPr>
            <w:tcW w:w="405" w:type="pct"/>
            <w:shd w:val="clear" w:color="auto" w:fill="auto"/>
            <w:vAlign w:val="center"/>
          </w:tcPr>
          <w:p w14:paraId="7926228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0.92</w:t>
            </w:r>
          </w:p>
        </w:tc>
        <w:tc>
          <w:tcPr>
            <w:tcW w:w="499" w:type="pct"/>
            <w:shd w:val="clear" w:color="auto" w:fill="auto"/>
            <w:vAlign w:val="center"/>
          </w:tcPr>
          <w:p w14:paraId="3434D0A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255" w:type="pct"/>
            <w:shd w:val="clear" w:color="auto" w:fill="auto"/>
            <w:vAlign w:val="center"/>
          </w:tcPr>
          <w:p w14:paraId="239F947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950</w:t>
            </w:r>
          </w:p>
        </w:tc>
        <w:tc>
          <w:tcPr>
            <w:tcW w:w="260" w:type="pct"/>
            <w:shd w:val="clear" w:color="auto" w:fill="auto"/>
            <w:vAlign w:val="center"/>
          </w:tcPr>
          <w:p w14:paraId="7950414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w:t>
            </w:r>
          </w:p>
        </w:tc>
      </w:tr>
      <w:tr w14:paraId="6DBEE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7A5A19A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486" w:type="pct"/>
            <w:shd w:val="clear" w:color="auto" w:fill="auto"/>
            <w:vAlign w:val="center"/>
          </w:tcPr>
          <w:p w14:paraId="382683E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湖南禹健生物科技有限公司</w:t>
            </w:r>
          </w:p>
        </w:tc>
        <w:tc>
          <w:tcPr>
            <w:tcW w:w="454" w:type="pct"/>
            <w:shd w:val="clear" w:color="auto" w:fill="auto"/>
            <w:vAlign w:val="center"/>
          </w:tcPr>
          <w:p w14:paraId="1EDC99A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食品</w:t>
            </w:r>
          </w:p>
        </w:tc>
        <w:tc>
          <w:tcPr>
            <w:tcW w:w="339" w:type="pct"/>
            <w:shd w:val="clear" w:color="auto" w:fill="auto"/>
            <w:vAlign w:val="center"/>
          </w:tcPr>
          <w:p w14:paraId="559867D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645.6</w:t>
            </w:r>
          </w:p>
        </w:tc>
        <w:tc>
          <w:tcPr>
            <w:tcW w:w="343" w:type="pct"/>
            <w:shd w:val="clear" w:color="auto" w:fill="auto"/>
            <w:vAlign w:val="center"/>
          </w:tcPr>
          <w:p w14:paraId="20F4297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160</w:t>
            </w:r>
          </w:p>
        </w:tc>
        <w:tc>
          <w:tcPr>
            <w:tcW w:w="370" w:type="pct"/>
            <w:shd w:val="clear" w:color="auto" w:fill="auto"/>
            <w:vAlign w:val="center"/>
          </w:tcPr>
          <w:p w14:paraId="14757B0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w:t>
            </w:r>
          </w:p>
        </w:tc>
        <w:tc>
          <w:tcPr>
            <w:tcW w:w="335" w:type="pct"/>
            <w:shd w:val="clear" w:color="auto" w:fill="auto"/>
            <w:vAlign w:val="center"/>
          </w:tcPr>
          <w:p w14:paraId="69BB937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0.006</w:t>
            </w:r>
          </w:p>
        </w:tc>
        <w:tc>
          <w:tcPr>
            <w:tcW w:w="423" w:type="pct"/>
            <w:shd w:val="clear" w:color="auto" w:fill="auto"/>
            <w:vAlign w:val="center"/>
          </w:tcPr>
          <w:p w14:paraId="5002705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0.003</w:t>
            </w:r>
          </w:p>
        </w:tc>
        <w:tc>
          <w:tcPr>
            <w:tcW w:w="322" w:type="pct"/>
            <w:shd w:val="clear" w:color="auto" w:fill="auto"/>
            <w:vAlign w:val="center"/>
          </w:tcPr>
          <w:p w14:paraId="12AEE3C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1.22</w:t>
            </w:r>
          </w:p>
        </w:tc>
        <w:tc>
          <w:tcPr>
            <w:tcW w:w="352" w:type="pct"/>
            <w:shd w:val="clear" w:color="auto" w:fill="auto"/>
            <w:vAlign w:val="center"/>
          </w:tcPr>
          <w:p w14:paraId="2DD5A9E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1.47</w:t>
            </w:r>
          </w:p>
        </w:tc>
        <w:tc>
          <w:tcPr>
            <w:tcW w:w="405" w:type="pct"/>
            <w:shd w:val="clear" w:color="auto" w:fill="auto"/>
            <w:vAlign w:val="center"/>
          </w:tcPr>
          <w:p w14:paraId="2910231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0.036</w:t>
            </w:r>
          </w:p>
        </w:tc>
        <w:tc>
          <w:tcPr>
            <w:tcW w:w="499" w:type="pct"/>
            <w:shd w:val="clear" w:color="auto" w:fill="auto"/>
            <w:vAlign w:val="center"/>
          </w:tcPr>
          <w:p w14:paraId="23F8534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255" w:type="pct"/>
            <w:shd w:val="clear" w:color="auto" w:fill="auto"/>
            <w:vAlign w:val="center"/>
          </w:tcPr>
          <w:p w14:paraId="61C580B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500</w:t>
            </w:r>
          </w:p>
        </w:tc>
        <w:tc>
          <w:tcPr>
            <w:tcW w:w="260" w:type="pct"/>
            <w:shd w:val="clear" w:color="auto" w:fill="auto"/>
            <w:vAlign w:val="center"/>
          </w:tcPr>
          <w:p w14:paraId="3A17D38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w:t>
            </w:r>
          </w:p>
        </w:tc>
      </w:tr>
      <w:tr w14:paraId="27711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12768F4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w:t>
            </w:r>
          </w:p>
        </w:tc>
        <w:tc>
          <w:tcPr>
            <w:tcW w:w="486" w:type="pct"/>
            <w:shd w:val="clear" w:color="auto" w:fill="auto"/>
            <w:vAlign w:val="center"/>
          </w:tcPr>
          <w:p w14:paraId="53A4D03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湖南才广生物科技有限公司</w:t>
            </w:r>
          </w:p>
        </w:tc>
        <w:tc>
          <w:tcPr>
            <w:tcW w:w="454" w:type="pct"/>
            <w:shd w:val="clear" w:color="auto" w:fill="auto"/>
            <w:vAlign w:val="center"/>
          </w:tcPr>
          <w:p w14:paraId="1DBAE1B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食品</w:t>
            </w:r>
          </w:p>
        </w:tc>
        <w:tc>
          <w:tcPr>
            <w:tcW w:w="339" w:type="pct"/>
            <w:shd w:val="clear" w:color="auto" w:fill="auto"/>
            <w:vAlign w:val="center"/>
          </w:tcPr>
          <w:p w14:paraId="6F8CA70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645.6</w:t>
            </w:r>
          </w:p>
        </w:tc>
        <w:tc>
          <w:tcPr>
            <w:tcW w:w="343" w:type="pct"/>
            <w:shd w:val="clear" w:color="auto" w:fill="auto"/>
            <w:vAlign w:val="center"/>
          </w:tcPr>
          <w:p w14:paraId="388A5C7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160</w:t>
            </w:r>
          </w:p>
        </w:tc>
        <w:tc>
          <w:tcPr>
            <w:tcW w:w="370" w:type="pct"/>
            <w:shd w:val="clear" w:color="auto" w:fill="auto"/>
            <w:vAlign w:val="center"/>
          </w:tcPr>
          <w:p w14:paraId="52D346F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w:t>
            </w:r>
          </w:p>
        </w:tc>
        <w:tc>
          <w:tcPr>
            <w:tcW w:w="335" w:type="pct"/>
            <w:shd w:val="clear" w:color="auto" w:fill="auto"/>
            <w:vAlign w:val="center"/>
          </w:tcPr>
          <w:p w14:paraId="32FB405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0.006</w:t>
            </w:r>
          </w:p>
        </w:tc>
        <w:tc>
          <w:tcPr>
            <w:tcW w:w="423" w:type="pct"/>
            <w:shd w:val="clear" w:color="auto" w:fill="auto"/>
            <w:vAlign w:val="center"/>
          </w:tcPr>
          <w:p w14:paraId="4427A96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0.003</w:t>
            </w:r>
          </w:p>
        </w:tc>
        <w:tc>
          <w:tcPr>
            <w:tcW w:w="322" w:type="pct"/>
            <w:shd w:val="clear" w:color="auto" w:fill="auto"/>
            <w:vAlign w:val="center"/>
          </w:tcPr>
          <w:p w14:paraId="0CC4D2C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1.22</w:t>
            </w:r>
          </w:p>
        </w:tc>
        <w:tc>
          <w:tcPr>
            <w:tcW w:w="352" w:type="pct"/>
            <w:shd w:val="clear" w:color="auto" w:fill="auto"/>
            <w:vAlign w:val="center"/>
          </w:tcPr>
          <w:p w14:paraId="7DFB644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1.47</w:t>
            </w:r>
          </w:p>
        </w:tc>
        <w:tc>
          <w:tcPr>
            <w:tcW w:w="405" w:type="pct"/>
            <w:shd w:val="clear" w:color="auto" w:fill="auto"/>
            <w:vAlign w:val="center"/>
          </w:tcPr>
          <w:p w14:paraId="16A4795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0.036</w:t>
            </w:r>
          </w:p>
        </w:tc>
        <w:tc>
          <w:tcPr>
            <w:tcW w:w="499" w:type="pct"/>
            <w:shd w:val="clear" w:color="auto" w:fill="auto"/>
            <w:vAlign w:val="center"/>
          </w:tcPr>
          <w:p w14:paraId="74F0763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255" w:type="pct"/>
            <w:shd w:val="clear" w:color="auto" w:fill="auto"/>
            <w:vAlign w:val="center"/>
          </w:tcPr>
          <w:p w14:paraId="6B65ECE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500</w:t>
            </w:r>
          </w:p>
        </w:tc>
        <w:tc>
          <w:tcPr>
            <w:tcW w:w="260" w:type="pct"/>
            <w:shd w:val="clear" w:color="auto" w:fill="auto"/>
            <w:vAlign w:val="center"/>
          </w:tcPr>
          <w:p w14:paraId="517C8D8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w:t>
            </w:r>
          </w:p>
        </w:tc>
      </w:tr>
      <w:tr w14:paraId="049977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77BAEDE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w:t>
            </w:r>
          </w:p>
        </w:tc>
        <w:tc>
          <w:tcPr>
            <w:tcW w:w="486" w:type="pct"/>
            <w:shd w:val="clear" w:color="auto" w:fill="auto"/>
            <w:vAlign w:val="center"/>
          </w:tcPr>
          <w:p w14:paraId="142086F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益阳大通湖区中科智能科技有限公司</w:t>
            </w:r>
          </w:p>
        </w:tc>
        <w:tc>
          <w:tcPr>
            <w:tcW w:w="454" w:type="pct"/>
            <w:shd w:val="clear" w:color="auto" w:fill="auto"/>
            <w:vAlign w:val="center"/>
          </w:tcPr>
          <w:p w14:paraId="0748BBE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智能制造</w:t>
            </w:r>
          </w:p>
        </w:tc>
        <w:tc>
          <w:tcPr>
            <w:tcW w:w="339" w:type="pct"/>
            <w:shd w:val="clear" w:color="auto" w:fill="auto"/>
            <w:vAlign w:val="center"/>
          </w:tcPr>
          <w:p w14:paraId="2C53BC9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c>
          <w:tcPr>
            <w:tcW w:w="343" w:type="pct"/>
            <w:shd w:val="clear" w:color="auto" w:fill="auto"/>
            <w:vAlign w:val="center"/>
          </w:tcPr>
          <w:p w14:paraId="464E382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400</w:t>
            </w:r>
          </w:p>
        </w:tc>
        <w:tc>
          <w:tcPr>
            <w:tcW w:w="370" w:type="pct"/>
            <w:shd w:val="clear" w:color="auto" w:fill="auto"/>
            <w:vAlign w:val="center"/>
          </w:tcPr>
          <w:p w14:paraId="5FD0EF5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0.25</w:t>
            </w:r>
          </w:p>
        </w:tc>
        <w:tc>
          <w:tcPr>
            <w:tcW w:w="335" w:type="pct"/>
            <w:shd w:val="clear" w:color="auto" w:fill="auto"/>
            <w:vAlign w:val="center"/>
          </w:tcPr>
          <w:p w14:paraId="238547D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0.15</w:t>
            </w:r>
          </w:p>
        </w:tc>
        <w:tc>
          <w:tcPr>
            <w:tcW w:w="423" w:type="pct"/>
            <w:shd w:val="clear" w:color="auto" w:fill="auto"/>
            <w:vAlign w:val="center"/>
          </w:tcPr>
          <w:p w14:paraId="5934782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0.025</w:t>
            </w:r>
          </w:p>
        </w:tc>
        <w:tc>
          <w:tcPr>
            <w:tcW w:w="322" w:type="pct"/>
            <w:shd w:val="clear" w:color="auto" w:fill="auto"/>
            <w:vAlign w:val="center"/>
          </w:tcPr>
          <w:p w14:paraId="5ED65FE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52" w:type="pct"/>
            <w:shd w:val="clear" w:color="auto" w:fill="auto"/>
            <w:vAlign w:val="center"/>
          </w:tcPr>
          <w:p w14:paraId="1700F8F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405" w:type="pct"/>
            <w:shd w:val="clear" w:color="auto" w:fill="auto"/>
            <w:vAlign w:val="center"/>
          </w:tcPr>
          <w:p w14:paraId="4502D71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499" w:type="pct"/>
            <w:shd w:val="clear" w:color="auto" w:fill="auto"/>
            <w:vAlign w:val="center"/>
          </w:tcPr>
          <w:p w14:paraId="56F1F15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255" w:type="pct"/>
            <w:shd w:val="clear" w:color="auto" w:fill="auto"/>
            <w:vAlign w:val="center"/>
          </w:tcPr>
          <w:p w14:paraId="754B1D2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w:t>
            </w:r>
          </w:p>
        </w:tc>
        <w:tc>
          <w:tcPr>
            <w:tcW w:w="260" w:type="pct"/>
            <w:shd w:val="clear" w:color="auto" w:fill="auto"/>
            <w:vAlign w:val="center"/>
          </w:tcPr>
          <w:p w14:paraId="083610E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w:t>
            </w:r>
          </w:p>
        </w:tc>
      </w:tr>
      <w:tr w14:paraId="3024C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45E35BF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13</w:t>
            </w:r>
          </w:p>
        </w:tc>
        <w:tc>
          <w:tcPr>
            <w:tcW w:w="486" w:type="pct"/>
            <w:shd w:val="clear" w:color="auto" w:fill="auto"/>
            <w:vAlign w:val="center"/>
          </w:tcPr>
          <w:p w14:paraId="15A515C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益阳市思创传动部件制造有限公司</w:t>
            </w:r>
          </w:p>
        </w:tc>
        <w:tc>
          <w:tcPr>
            <w:tcW w:w="454" w:type="pct"/>
            <w:shd w:val="clear" w:color="auto" w:fill="auto"/>
            <w:vAlign w:val="center"/>
          </w:tcPr>
          <w:p w14:paraId="5B49072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制造业</w:t>
            </w:r>
          </w:p>
        </w:tc>
        <w:tc>
          <w:tcPr>
            <w:tcW w:w="339" w:type="pct"/>
            <w:shd w:val="clear" w:color="auto" w:fill="auto"/>
            <w:vAlign w:val="center"/>
          </w:tcPr>
          <w:p w14:paraId="1A34055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43" w:type="pct"/>
            <w:shd w:val="clear" w:color="auto" w:fill="auto"/>
            <w:vAlign w:val="center"/>
          </w:tcPr>
          <w:p w14:paraId="64B935B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576</w:t>
            </w:r>
          </w:p>
        </w:tc>
        <w:tc>
          <w:tcPr>
            <w:tcW w:w="370" w:type="pct"/>
            <w:shd w:val="clear" w:color="auto" w:fill="auto"/>
            <w:vAlign w:val="center"/>
          </w:tcPr>
          <w:p w14:paraId="27DBBC6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0.196</w:t>
            </w:r>
          </w:p>
        </w:tc>
        <w:tc>
          <w:tcPr>
            <w:tcW w:w="335" w:type="pct"/>
            <w:shd w:val="clear" w:color="auto" w:fill="auto"/>
            <w:vAlign w:val="center"/>
          </w:tcPr>
          <w:p w14:paraId="18ADF25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0.105</w:t>
            </w:r>
          </w:p>
        </w:tc>
        <w:tc>
          <w:tcPr>
            <w:tcW w:w="423" w:type="pct"/>
            <w:shd w:val="clear" w:color="auto" w:fill="auto"/>
            <w:vAlign w:val="center"/>
          </w:tcPr>
          <w:p w14:paraId="34F064E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0.017</w:t>
            </w:r>
          </w:p>
        </w:tc>
        <w:tc>
          <w:tcPr>
            <w:tcW w:w="322" w:type="pct"/>
            <w:shd w:val="clear" w:color="auto" w:fill="auto"/>
            <w:vAlign w:val="center"/>
          </w:tcPr>
          <w:p w14:paraId="566DC03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352" w:type="pct"/>
            <w:shd w:val="clear" w:color="auto" w:fill="auto"/>
            <w:vAlign w:val="center"/>
          </w:tcPr>
          <w:p w14:paraId="305E8E73">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p>
        </w:tc>
        <w:tc>
          <w:tcPr>
            <w:tcW w:w="405" w:type="pct"/>
            <w:shd w:val="clear" w:color="auto" w:fill="auto"/>
            <w:vAlign w:val="center"/>
          </w:tcPr>
          <w:p w14:paraId="78BE5E75">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1.478</w:t>
            </w:r>
          </w:p>
        </w:tc>
        <w:tc>
          <w:tcPr>
            <w:tcW w:w="499" w:type="pct"/>
            <w:shd w:val="clear" w:color="auto" w:fill="auto"/>
            <w:vAlign w:val="center"/>
          </w:tcPr>
          <w:p w14:paraId="027157F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16.83</w:t>
            </w:r>
          </w:p>
        </w:tc>
        <w:tc>
          <w:tcPr>
            <w:tcW w:w="255" w:type="pct"/>
            <w:shd w:val="clear" w:color="auto" w:fill="auto"/>
            <w:vAlign w:val="center"/>
          </w:tcPr>
          <w:p w14:paraId="2C1CE54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18.76</w:t>
            </w:r>
          </w:p>
        </w:tc>
        <w:tc>
          <w:tcPr>
            <w:tcW w:w="260" w:type="pct"/>
            <w:shd w:val="clear" w:color="auto" w:fill="auto"/>
            <w:vAlign w:val="center"/>
          </w:tcPr>
          <w:p w14:paraId="4D396CD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2.4</w:t>
            </w:r>
          </w:p>
        </w:tc>
      </w:tr>
      <w:tr w14:paraId="15BFC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440D41C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w:t>
            </w:r>
          </w:p>
        </w:tc>
        <w:tc>
          <w:tcPr>
            <w:tcW w:w="486" w:type="pct"/>
            <w:shd w:val="clear" w:color="auto" w:fill="auto"/>
            <w:vAlign w:val="center"/>
          </w:tcPr>
          <w:p w14:paraId="628546A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益阳市尚雅汽车用品有限公司</w:t>
            </w:r>
          </w:p>
        </w:tc>
        <w:tc>
          <w:tcPr>
            <w:tcW w:w="454" w:type="pct"/>
            <w:shd w:val="clear" w:color="auto" w:fill="auto"/>
            <w:vAlign w:val="center"/>
          </w:tcPr>
          <w:p w14:paraId="0F231AD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制造业</w:t>
            </w:r>
          </w:p>
        </w:tc>
        <w:tc>
          <w:tcPr>
            <w:tcW w:w="339" w:type="pct"/>
            <w:shd w:val="clear" w:color="auto" w:fill="auto"/>
            <w:vAlign w:val="center"/>
          </w:tcPr>
          <w:p w14:paraId="2582549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c>
          <w:tcPr>
            <w:tcW w:w="343" w:type="pct"/>
            <w:shd w:val="clear" w:color="auto" w:fill="auto"/>
            <w:vAlign w:val="center"/>
          </w:tcPr>
          <w:p w14:paraId="476A501C">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400</w:t>
            </w:r>
          </w:p>
        </w:tc>
        <w:tc>
          <w:tcPr>
            <w:tcW w:w="370" w:type="pct"/>
            <w:shd w:val="clear" w:color="auto" w:fill="auto"/>
            <w:vAlign w:val="center"/>
          </w:tcPr>
          <w:p w14:paraId="6676D9D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0.25</w:t>
            </w:r>
          </w:p>
        </w:tc>
        <w:tc>
          <w:tcPr>
            <w:tcW w:w="335" w:type="pct"/>
            <w:shd w:val="clear" w:color="auto" w:fill="auto"/>
            <w:vAlign w:val="center"/>
          </w:tcPr>
          <w:p w14:paraId="431A270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0.15</w:t>
            </w:r>
          </w:p>
        </w:tc>
        <w:tc>
          <w:tcPr>
            <w:tcW w:w="423" w:type="pct"/>
            <w:shd w:val="clear" w:color="auto" w:fill="auto"/>
            <w:vAlign w:val="center"/>
          </w:tcPr>
          <w:p w14:paraId="4EAF795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0.025</w:t>
            </w:r>
          </w:p>
        </w:tc>
        <w:tc>
          <w:tcPr>
            <w:tcW w:w="322" w:type="pct"/>
            <w:shd w:val="clear" w:color="auto" w:fill="auto"/>
            <w:vAlign w:val="center"/>
          </w:tcPr>
          <w:p w14:paraId="1F335D3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0.314</w:t>
            </w:r>
          </w:p>
        </w:tc>
        <w:tc>
          <w:tcPr>
            <w:tcW w:w="352" w:type="pct"/>
            <w:shd w:val="clear" w:color="auto" w:fill="auto"/>
            <w:vAlign w:val="center"/>
          </w:tcPr>
          <w:p w14:paraId="670AC3C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0.067</w:t>
            </w:r>
          </w:p>
        </w:tc>
        <w:tc>
          <w:tcPr>
            <w:tcW w:w="405" w:type="pct"/>
            <w:shd w:val="clear" w:color="auto" w:fill="auto"/>
            <w:vAlign w:val="center"/>
          </w:tcPr>
          <w:p w14:paraId="1E62502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0147</w:t>
            </w:r>
          </w:p>
        </w:tc>
        <w:tc>
          <w:tcPr>
            <w:tcW w:w="499" w:type="pct"/>
            <w:shd w:val="clear" w:color="auto" w:fill="auto"/>
            <w:vAlign w:val="center"/>
          </w:tcPr>
          <w:p w14:paraId="1EE6A8D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0.2693</w:t>
            </w:r>
          </w:p>
        </w:tc>
        <w:tc>
          <w:tcPr>
            <w:tcW w:w="255" w:type="pct"/>
            <w:shd w:val="clear" w:color="auto" w:fill="auto"/>
            <w:vAlign w:val="center"/>
          </w:tcPr>
          <w:p w14:paraId="7DF86DB9">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32</w:t>
            </w:r>
          </w:p>
        </w:tc>
        <w:tc>
          <w:tcPr>
            <w:tcW w:w="260" w:type="pct"/>
            <w:shd w:val="clear" w:color="auto" w:fill="auto"/>
            <w:vAlign w:val="center"/>
          </w:tcPr>
          <w:p w14:paraId="3F31BA12">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2.9</w:t>
            </w:r>
          </w:p>
        </w:tc>
      </w:tr>
      <w:tr w14:paraId="0A6C6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 w:type="pct"/>
            <w:shd w:val="clear" w:color="auto" w:fill="auto"/>
            <w:vAlign w:val="center"/>
          </w:tcPr>
          <w:p w14:paraId="44877D7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486" w:type="pct"/>
            <w:shd w:val="clear" w:color="auto" w:fill="auto"/>
            <w:vAlign w:val="center"/>
          </w:tcPr>
          <w:p w14:paraId="0066521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454" w:type="pct"/>
            <w:shd w:val="clear" w:color="auto" w:fill="auto"/>
            <w:vAlign w:val="center"/>
          </w:tcPr>
          <w:p w14:paraId="0AD4485F">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39" w:type="pct"/>
            <w:shd w:val="clear" w:color="auto" w:fill="auto"/>
            <w:vAlign w:val="center"/>
          </w:tcPr>
          <w:p w14:paraId="6F86ADB1">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6294.8</w:t>
            </w:r>
          </w:p>
        </w:tc>
        <w:tc>
          <w:tcPr>
            <w:tcW w:w="343" w:type="pct"/>
            <w:shd w:val="clear" w:color="auto" w:fill="auto"/>
            <w:vAlign w:val="center"/>
          </w:tcPr>
          <w:p w14:paraId="60B5A69B">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7997</w:t>
            </w:r>
          </w:p>
        </w:tc>
        <w:tc>
          <w:tcPr>
            <w:tcW w:w="370" w:type="pct"/>
            <w:shd w:val="clear" w:color="auto" w:fill="auto"/>
            <w:vAlign w:val="center"/>
          </w:tcPr>
          <w:p w14:paraId="54E0B9D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2.06</w:t>
            </w:r>
          </w:p>
        </w:tc>
        <w:tc>
          <w:tcPr>
            <w:tcW w:w="335" w:type="pct"/>
            <w:shd w:val="clear" w:color="auto" w:fill="auto"/>
            <w:vAlign w:val="center"/>
          </w:tcPr>
          <w:p w14:paraId="7A98A6D4">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1.18</w:t>
            </w:r>
          </w:p>
        </w:tc>
        <w:tc>
          <w:tcPr>
            <w:tcW w:w="423" w:type="pct"/>
            <w:shd w:val="clear" w:color="auto" w:fill="auto"/>
            <w:vAlign w:val="center"/>
          </w:tcPr>
          <w:p w14:paraId="252CEE4D">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0.19</w:t>
            </w:r>
          </w:p>
        </w:tc>
        <w:tc>
          <w:tcPr>
            <w:tcW w:w="322" w:type="pct"/>
            <w:shd w:val="clear" w:color="auto" w:fill="auto"/>
            <w:vAlign w:val="center"/>
          </w:tcPr>
          <w:p w14:paraId="3E41D2DA">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5.46</w:t>
            </w:r>
          </w:p>
        </w:tc>
        <w:tc>
          <w:tcPr>
            <w:tcW w:w="352" w:type="pct"/>
            <w:shd w:val="clear" w:color="auto" w:fill="auto"/>
            <w:vAlign w:val="center"/>
          </w:tcPr>
          <w:p w14:paraId="3B39D057">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6.00</w:t>
            </w:r>
          </w:p>
        </w:tc>
        <w:tc>
          <w:tcPr>
            <w:tcW w:w="405" w:type="pct"/>
            <w:shd w:val="clear" w:color="auto" w:fill="auto"/>
            <w:vAlign w:val="center"/>
          </w:tcPr>
          <w:p w14:paraId="2B8267C8">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158.21</w:t>
            </w:r>
          </w:p>
        </w:tc>
        <w:tc>
          <w:tcPr>
            <w:tcW w:w="499" w:type="pct"/>
            <w:shd w:val="clear" w:color="auto" w:fill="auto"/>
            <w:vAlign w:val="center"/>
          </w:tcPr>
          <w:p w14:paraId="3B830EA6">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17.10</w:t>
            </w:r>
          </w:p>
        </w:tc>
        <w:tc>
          <w:tcPr>
            <w:tcW w:w="255" w:type="pct"/>
            <w:shd w:val="clear" w:color="auto" w:fill="auto"/>
            <w:vAlign w:val="center"/>
          </w:tcPr>
          <w:p w14:paraId="357DEE2E">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5745.43</w:t>
            </w:r>
          </w:p>
        </w:tc>
        <w:tc>
          <w:tcPr>
            <w:tcW w:w="260" w:type="pct"/>
            <w:shd w:val="clear" w:color="auto" w:fill="auto"/>
            <w:vAlign w:val="center"/>
          </w:tcPr>
          <w:p w14:paraId="11681660">
            <w:pPr>
              <w:pStyle w:val="443"/>
              <w:keepNext w:val="0"/>
              <w:keepLines w:val="0"/>
              <w:suppressLineNumbers w:val="0"/>
              <w:spacing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7.6</w:t>
            </w:r>
          </w:p>
        </w:tc>
      </w:tr>
    </w:tbl>
    <w:p w14:paraId="785B2C44">
      <w:pPr>
        <w:pStyle w:val="189"/>
        <w:rPr>
          <w:rFonts w:hint="default" w:ascii="Times New Roman" w:hAnsi="Times New Roman" w:eastAsia="宋体" w:cs="Times New Roman"/>
          <w:snapToGrid w:val="0"/>
          <w:kern w:val="24"/>
          <w:sz w:val="24"/>
          <w:szCs w:val="24"/>
          <w:highlight w:val="none"/>
          <w:lang w:val="en-US" w:eastAsia="zh-CN" w:bidi="ar-SA"/>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62B06426">
      <w:pPr>
        <w:pStyle w:val="2"/>
        <w:numPr>
          <w:ilvl w:val="0"/>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bookmarkStart w:id="113" w:name="bookmark33"/>
      <w:bookmarkEnd w:id="113"/>
      <w:bookmarkStart w:id="114" w:name="bookmark27"/>
      <w:bookmarkEnd w:id="114"/>
      <w:bookmarkStart w:id="115" w:name="_Toc30094"/>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5 </w:t>
      </w:r>
      <w:r>
        <w:rPr>
          <w:rFonts w:hint="default" w:ascii="Times New Roman" w:hAnsi="Times New Roman" w:cs="Times New Roman"/>
          <w:color w:val="000000" w:themeColor="text1"/>
          <w:highlight w:val="none"/>
          <w:u w:val="none" w:color="auto"/>
          <w14:textFill>
            <w14:solidFill>
              <w14:schemeClr w14:val="tx1"/>
            </w14:solidFill>
          </w14:textFill>
        </w:rPr>
        <w:t>环境影响预测与评价</w:t>
      </w:r>
      <w:bookmarkEnd w:id="115"/>
    </w:p>
    <w:p w14:paraId="0F660A2F">
      <w:pPr>
        <w:pStyle w:val="3"/>
        <w:numPr>
          <w:ilvl w:val="1"/>
          <w:numId w:val="0"/>
        </w:numPr>
        <w:ind w:leftChars="0"/>
        <w:rPr>
          <w:rFonts w:hint="default" w:ascii="Times New Roman" w:hAnsi="Times New Roman" w:eastAsia="宋体" w:cs="Times New Roman"/>
          <w:color w:val="000000" w:themeColor="text1"/>
          <w:sz w:val="30"/>
          <w:szCs w:val="30"/>
          <w:highlight w:val="none"/>
          <w:u w:val="none" w:color="auto"/>
          <w:lang w:eastAsia="zh-CN"/>
          <w14:textFill>
            <w14:solidFill>
              <w14:schemeClr w14:val="tx1"/>
            </w14:solidFill>
          </w14:textFill>
        </w:rPr>
      </w:pPr>
      <w:bookmarkStart w:id="116" w:name="_Toc23435"/>
      <w:r>
        <w:rPr>
          <w:rFonts w:hint="default" w:ascii="Times New Roman" w:hAnsi="Times New Roman" w:cs="Times New Roman"/>
          <w:color w:val="000000" w:themeColor="text1"/>
          <w:sz w:val="30"/>
          <w:szCs w:val="30"/>
          <w:highlight w:val="none"/>
          <w:u w:val="none" w:color="auto"/>
          <w:lang w:val="en-US" w:eastAsia="zh-CN"/>
          <w14:textFill>
            <w14:solidFill>
              <w14:schemeClr w14:val="tx1"/>
            </w14:solidFill>
          </w14:textFill>
        </w:rPr>
        <w:t>5.1</w:t>
      </w:r>
      <w:r>
        <w:rPr>
          <w:rFonts w:hint="default" w:ascii="Times New Roman" w:hAnsi="Times New Roman" w:cs="Times New Roman"/>
          <w:color w:val="000000" w:themeColor="text1"/>
          <w:sz w:val="30"/>
          <w:szCs w:val="30"/>
          <w:highlight w:val="none"/>
          <w:u w:val="none" w:color="auto"/>
          <w14:textFill>
            <w14:solidFill>
              <w14:schemeClr w14:val="tx1"/>
            </w14:solidFill>
          </w14:textFill>
        </w:rPr>
        <w:t>施工期</w:t>
      </w:r>
      <w:r>
        <w:rPr>
          <w:rFonts w:hint="default" w:ascii="Times New Roman" w:hAnsi="Times New Roman" w:cs="Times New Roman"/>
          <w:color w:val="000000" w:themeColor="text1"/>
          <w:sz w:val="30"/>
          <w:szCs w:val="30"/>
          <w:highlight w:val="none"/>
          <w:u w:val="none" w:color="auto"/>
          <w:lang w:eastAsia="zh-CN"/>
          <w14:textFill>
            <w14:solidFill>
              <w14:schemeClr w14:val="tx1"/>
            </w14:solidFill>
          </w14:textFill>
        </w:rPr>
        <w:t>环境影响分析</w:t>
      </w:r>
      <w:bookmarkEnd w:id="116"/>
    </w:p>
    <w:p w14:paraId="5D864AD7">
      <w:pPr>
        <w:pStyle w:val="4"/>
        <w:numPr>
          <w:ilvl w:val="1"/>
          <w:numId w:val="0"/>
        </w:numPr>
        <w:ind w:leftChars="0"/>
        <w:outlineLvl w:val="2"/>
        <w:rPr>
          <w:rFonts w:hint="default" w:ascii="Times New Roman" w:hAnsi="Times New Roman" w:cs="Times New Roman"/>
          <w:color w:val="000000" w:themeColor="text1"/>
          <w:sz w:val="28"/>
          <w:szCs w:val="28"/>
          <w:highlight w:val="none"/>
          <w:u w:val="none" w:color="auto"/>
          <w14:textFill>
            <w14:solidFill>
              <w14:schemeClr w14:val="tx1"/>
            </w14:solidFill>
          </w14:textFill>
        </w:rPr>
      </w:pPr>
      <w:r>
        <w:rPr>
          <w:rFonts w:hint="default" w:ascii="Times New Roman" w:hAnsi="Times New Roman" w:cs="Times New Roman"/>
          <w:color w:val="000000" w:themeColor="text1"/>
          <w:sz w:val="28"/>
          <w:szCs w:val="28"/>
          <w:highlight w:val="none"/>
          <w:u w:val="none" w:color="auto"/>
          <w:lang w:val="en-US" w:eastAsia="zh-CN"/>
          <w14:textFill>
            <w14:solidFill>
              <w14:schemeClr w14:val="tx1"/>
            </w14:solidFill>
          </w14:textFill>
        </w:rPr>
        <w:t>5.1.1</w:t>
      </w:r>
      <w:r>
        <w:rPr>
          <w:rFonts w:hint="default" w:ascii="Times New Roman" w:hAnsi="Times New Roman" w:cs="Times New Roman"/>
          <w:color w:val="000000" w:themeColor="text1"/>
          <w:sz w:val="28"/>
          <w:szCs w:val="28"/>
          <w:highlight w:val="none"/>
          <w:u w:val="none" w:color="auto"/>
          <w14:textFill>
            <w14:solidFill>
              <w14:schemeClr w14:val="tx1"/>
            </w14:solidFill>
          </w14:textFill>
        </w:rPr>
        <w:t>大气环境影响分析</w:t>
      </w:r>
    </w:p>
    <w:p w14:paraId="5B73A101">
      <w:pPr>
        <w:pStyle w:val="189"/>
        <w:outlineLvl w:val="3"/>
        <w:rPr>
          <w:rFonts w:hint="default" w:ascii="Times New Roman" w:hAnsi="Times New Roman" w:cs="Times New Roman"/>
          <w:b/>
          <w:bCs/>
          <w:color w:val="000000" w:themeColor="text1"/>
          <w:sz w:val="24"/>
          <w:szCs w:val="24"/>
          <w:highlight w:val="none"/>
          <w:u w:val="none" w:color="auto"/>
          <w14:textFill>
            <w14:solidFill>
              <w14:schemeClr w14:val="tx1"/>
            </w14:solidFill>
          </w14:textFill>
        </w:rPr>
      </w:pPr>
      <w:r>
        <w:rPr>
          <w:rFonts w:hint="default" w:ascii="Times New Roman" w:hAnsi="Times New Roman" w:cs="Times New Roman"/>
          <w:b/>
          <w:bCs/>
          <w:color w:val="000000" w:themeColor="text1"/>
          <w:sz w:val="24"/>
          <w:szCs w:val="24"/>
          <w:highlight w:val="none"/>
          <w:u w:val="none" w:color="auto"/>
          <w:lang w:val="en-US" w:eastAsia="zh-CN"/>
          <w14:textFill>
            <w14:solidFill>
              <w14:schemeClr w14:val="tx1"/>
            </w14:solidFill>
          </w14:textFill>
        </w:rPr>
        <w:t xml:space="preserve">5.1.1.1 </w:t>
      </w:r>
      <w:r>
        <w:rPr>
          <w:rFonts w:hint="default" w:ascii="Times New Roman" w:hAnsi="Times New Roman" w:cs="Times New Roman"/>
          <w:b/>
          <w:bCs/>
          <w:color w:val="000000" w:themeColor="text1"/>
          <w:sz w:val="24"/>
          <w:szCs w:val="24"/>
          <w:highlight w:val="none"/>
          <w:u w:val="none" w:color="auto"/>
          <w14:textFill>
            <w14:solidFill>
              <w14:schemeClr w14:val="tx1"/>
            </w14:solidFill>
          </w14:textFill>
        </w:rPr>
        <w:t>风力起尘</w:t>
      </w:r>
    </w:p>
    <w:p w14:paraId="71ACD5E3">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露天堆放的建材（沙子、水泥）及开挖、裸露的施工区表层浮土，在天气干燥及大风时即会产生扬尘。如天气干燥，在自然风力的作用下产生的扬尘对周边环境空气质量将产生较大影响。根据调查了解可知，减少露天堆放和保持一定的含水率、减少裸露地表是减少风力起尘的有效手段。对此，可采用场地洒水方式抑尘，据有关试验表明在施工场地实施洒水作业4-5次/天，其扬尘PM</w:t>
      </w:r>
      <w:r>
        <w:rPr>
          <w:rFonts w:hint="default" w:ascii="Times New Roman" w:hAnsi="Times New Roman" w:cs="Times New Roman"/>
          <w:color w:val="000000" w:themeColor="text1"/>
          <w:highlight w:val="none"/>
          <w:u w:val="none" w:color="auto"/>
          <w:vertAlign w:val="subscript"/>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的影响距离可控制在20-50m范围。此外，建筑材料放置在室内或堆场设置雨棚、挡风墙，可大大降低建材堆场扬尘。根据现场踏勘，本项目厂区施工场地距离最近环境敏感点</w:t>
      </w:r>
      <w:r>
        <w:rPr>
          <w:rFonts w:hint="default" w:ascii="Times New Roman" w:hAnsi="Times New Roman" w:cs="Times New Roman"/>
          <w:color w:val="000000" w:themeColor="text1"/>
          <w:highlight w:val="none"/>
          <w:u w:val="none" w:color="auto"/>
          <w:lang w:eastAsia="zh-CN"/>
          <w14:textFill>
            <w14:solidFill>
              <w14:schemeClr w14:val="tx1"/>
            </w14:solidFill>
          </w14:textFill>
        </w:rPr>
        <w:t>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西</w:t>
      </w:r>
      <w:r>
        <w:rPr>
          <w:rFonts w:hint="default" w:ascii="Times New Roman" w:hAnsi="Times New Roman" w:cs="Times New Roman"/>
          <w:color w:val="000000" w:themeColor="text1"/>
          <w:highlight w:val="none"/>
          <w:u w:val="none" w:color="auto"/>
          <w:lang w:eastAsia="zh-CN"/>
          <w14:textFill>
            <w14:solidFill>
              <w14:schemeClr w14:val="tx1"/>
            </w14:solidFill>
          </w14:textFill>
        </w:rPr>
        <w:t>侧</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40m处居民散户，中有围墙隔挡且</w:t>
      </w:r>
      <w:r>
        <w:rPr>
          <w:rFonts w:hint="default" w:ascii="Times New Roman" w:hAnsi="Times New Roman" w:cs="Times New Roman"/>
          <w:color w:val="000000" w:themeColor="text1"/>
          <w:highlight w:val="none"/>
          <w:u w:val="none" w:color="auto"/>
          <w14:textFill>
            <w14:solidFill>
              <w14:schemeClr w14:val="tx1"/>
            </w14:solidFill>
          </w14:textFill>
        </w:rPr>
        <w:t>施工期在采取上述抑尘措施后，其影响可以降低到较小程度，不会对周围环境空气敏感点造成较大的污染影响。</w:t>
      </w:r>
    </w:p>
    <w:p w14:paraId="5794FB8D">
      <w:pPr>
        <w:pStyle w:val="189"/>
        <w:outlineLvl w:val="3"/>
        <w:rPr>
          <w:rFonts w:hint="default" w:ascii="Times New Roman" w:hAnsi="Times New Roman" w:cs="Times New Roman"/>
          <w:b/>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u w:val="none" w:color="auto"/>
          <w:lang w:val="en-US" w:eastAsia="zh-CN"/>
          <w14:textFill>
            <w14:solidFill>
              <w14:schemeClr w14:val="tx1"/>
            </w14:solidFill>
          </w14:textFill>
        </w:rPr>
        <w:t>5.1.1.2 运输扬尘</w:t>
      </w:r>
    </w:p>
    <w:p w14:paraId="4ECD78B9">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根据有关资料介绍，施工及装卸车辆行驶造成的扬尘最为严重，约占总量的60%，并与道路的路面及车辆行驶的速度有关。据有关文献介绍，一辆10吨卡车通过一段长度为1km的路面时，不同路面清洁程度、不同行驶速度情况下的扬尘量。</w:t>
      </w:r>
    </w:p>
    <w:p w14:paraId="6BF10C1A">
      <w:pPr>
        <w:pStyle w:val="21"/>
        <w:spacing w:line="240" w:lineRule="auto"/>
        <w:ind w:left="0" w:lef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表</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w:t>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14:textFill>
            <w14:solidFill>
              <w14:schemeClr w14:val="tx1"/>
            </w14:solidFill>
          </w14:textFill>
        </w:rPr>
        <w:t>1</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t xml:space="preserve">  在不同车速和地面清洁程度下的汽车扬尘</w:t>
      </w:r>
      <w:r>
        <w:rPr>
          <w:rFonts w:hint="default" w:ascii="Times New Roman" w:hAnsi="Times New Roman" w:cs="Times New Roman"/>
          <w:color w:val="000000" w:themeColor="text1"/>
          <w:highlight w:val="none"/>
          <w:u w:val="none" w:color="auto"/>
          <w14:textFill>
            <w14:solidFill>
              <w14:schemeClr w14:val="tx1"/>
            </w14:solidFill>
          </w14:textFill>
        </w:rPr>
        <w:tab/>
      </w:r>
      <w:r>
        <w:rPr>
          <w:rFonts w:hint="default" w:ascii="Times New Roman" w:hAnsi="Times New Roman" w:cs="Times New Roman"/>
          <w:color w:val="000000" w:themeColor="text1"/>
          <w:highlight w:val="none"/>
          <w:u w:val="none" w:color="auto"/>
          <w14:textFill>
            <w14:solidFill>
              <w14:schemeClr w14:val="tx1"/>
            </w14:solidFill>
          </w14:textFill>
        </w:rPr>
        <w:t>单位：kg/辆·km</w:t>
      </w:r>
    </w:p>
    <w:tbl>
      <w:tblPr>
        <w:tblStyle w:val="76"/>
        <w:tblW w:w="501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1124"/>
        <w:gridCol w:w="1125"/>
        <w:gridCol w:w="1125"/>
        <w:gridCol w:w="1125"/>
        <w:gridCol w:w="1125"/>
        <w:gridCol w:w="1125"/>
      </w:tblGrid>
      <w:tr w14:paraId="16D31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0" w:type="auto"/>
            <w:vAlign w:val="center"/>
          </w:tcPr>
          <w:p w14:paraId="592ADBC6">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车速</w:t>
            </w:r>
          </w:p>
        </w:tc>
        <w:tc>
          <w:tcPr>
            <w:tcW w:w="0" w:type="auto"/>
            <w:vAlign w:val="center"/>
          </w:tcPr>
          <w:p w14:paraId="14A77C28">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0.1</w:t>
            </w:r>
          </w:p>
        </w:tc>
        <w:tc>
          <w:tcPr>
            <w:tcW w:w="0" w:type="auto"/>
            <w:vAlign w:val="center"/>
          </w:tcPr>
          <w:p w14:paraId="723B5BAE">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0.2</w:t>
            </w:r>
          </w:p>
        </w:tc>
        <w:tc>
          <w:tcPr>
            <w:tcW w:w="0" w:type="auto"/>
            <w:vAlign w:val="center"/>
          </w:tcPr>
          <w:p w14:paraId="1C112FDA">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0.3</w:t>
            </w:r>
          </w:p>
        </w:tc>
        <w:tc>
          <w:tcPr>
            <w:tcW w:w="0" w:type="auto"/>
            <w:vAlign w:val="center"/>
          </w:tcPr>
          <w:p w14:paraId="29B90086">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0.4</w:t>
            </w:r>
          </w:p>
        </w:tc>
        <w:tc>
          <w:tcPr>
            <w:tcW w:w="0" w:type="auto"/>
            <w:vAlign w:val="center"/>
          </w:tcPr>
          <w:p w14:paraId="33E2FB9B">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0.5</w:t>
            </w:r>
          </w:p>
        </w:tc>
        <w:tc>
          <w:tcPr>
            <w:tcW w:w="0" w:type="auto"/>
            <w:vAlign w:val="center"/>
          </w:tcPr>
          <w:p w14:paraId="451BE9F9">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1</w:t>
            </w:r>
          </w:p>
        </w:tc>
      </w:tr>
      <w:tr w14:paraId="7AF11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0" w:type="auto"/>
            <w:vAlign w:val="center"/>
          </w:tcPr>
          <w:p w14:paraId="519AE70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5 (m/h )</w:t>
            </w:r>
          </w:p>
        </w:tc>
        <w:tc>
          <w:tcPr>
            <w:tcW w:w="0" w:type="auto"/>
            <w:vAlign w:val="center"/>
          </w:tcPr>
          <w:p w14:paraId="4E8F101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0.01</w:t>
            </w:r>
          </w:p>
        </w:tc>
        <w:tc>
          <w:tcPr>
            <w:tcW w:w="0" w:type="auto"/>
            <w:vAlign w:val="center"/>
          </w:tcPr>
          <w:p w14:paraId="5FED8B1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0.08</w:t>
            </w:r>
          </w:p>
        </w:tc>
        <w:tc>
          <w:tcPr>
            <w:tcW w:w="0" w:type="auto"/>
            <w:vAlign w:val="center"/>
          </w:tcPr>
          <w:p w14:paraId="54651E2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0.11</w:t>
            </w:r>
          </w:p>
        </w:tc>
        <w:tc>
          <w:tcPr>
            <w:tcW w:w="0" w:type="auto"/>
            <w:vAlign w:val="center"/>
          </w:tcPr>
          <w:p w14:paraId="7190570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0.144</w:t>
            </w:r>
          </w:p>
        </w:tc>
        <w:tc>
          <w:tcPr>
            <w:tcW w:w="0" w:type="auto"/>
            <w:vAlign w:val="center"/>
          </w:tcPr>
          <w:p w14:paraId="427DB8B3">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0.171</w:t>
            </w:r>
          </w:p>
        </w:tc>
        <w:tc>
          <w:tcPr>
            <w:tcW w:w="0" w:type="auto"/>
            <w:vAlign w:val="center"/>
          </w:tcPr>
          <w:p w14:paraId="125DD7C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0.287</w:t>
            </w:r>
          </w:p>
        </w:tc>
      </w:tr>
      <w:tr w14:paraId="57E32F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0" w:type="auto"/>
            <w:vAlign w:val="center"/>
          </w:tcPr>
          <w:p w14:paraId="704BD30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10 (km/h )</w:t>
            </w:r>
          </w:p>
        </w:tc>
        <w:tc>
          <w:tcPr>
            <w:tcW w:w="0" w:type="auto"/>
            <w:vAlign w:val="center"/>
          </w:tcPr>
          <w:p w14:paraId="453C410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0.10</w:t>
            </w:r>
          </w:p>
        </w:tc>
        <w:tc>
          <w:tcPr>
            <w:tcW w:w="0" w:type="auto"/>
            <w:vAlign w:val="center"/>
          </w:tcPr>
          <w:p w14:paraId="2D3D50A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0.171</w:t>
            </w:r>
          </w:p>
        </w:tc>
        <w:tc>
          <w:tcPr>
            <w:tcW w:w="0" w:type="auto"/>
            <w:vAlign w:val="center"/>
          </w:tcPr>
          <w:p w14:paraId="62ACC24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0.232</w:t>
            </w:r>
          </w:p>
        </w:tc>
        <w:tc>
          <w:tcPr>
            <w:tcW w:w="0" w:type="auto"/>
            <w:vAlign w:val="center"/>
          </w:tcPr>
          <w:p w14:paraId="12F4259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0.289</w:t>
            </w:r>
          </w:p>
        </w:tc>
        <w:tc>
          <w:tcPr>
            <w:tcW w:w="0" w:type="auto"/>
            <w:vAlign w:val="center"/>
          </w:tcPr>
          <w:p w14:paraId="17146D07">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0.341</w:t>
            </w:r>
          </w:p>
        </w:tc>
        <w:tc>
          <w:tcPr>
            <w:tcW w:w="0" w:type="auto"/>
            <w:vAlign w:val="center"/>
          </w:tcPr>
          <w:p w14:paraId="36F8C0E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0.574</w:t>
            </w:r>
          </w:p>
        </w:tc>
      </w:tr>
      <w:tr w14:paraId="67DD8F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0" w:type="auto"/>
            <w:vAlign w:val="center"/>
          </w:tcPr>
          <w:p w14:paraId="2D016CD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15 (km/h )</w:t>
            </w:r>
          </w:p>
        </w:tc>
        <w:tc>
          <w:tcPr>
            <w:tcW w:w="0" w:type="auto"/>
            <w:vAlign w:val="center"/>
          </w:tcPr>
          <w:p w14:paraId="65A187F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0.153</w:t>
            </w:r>
          </w:p>
        </w:tc>
        <w:tc>
          <w:tcPr>
            <w:tcW w:w="0" w:type="auto"/>
            <w:vAlign w:val="center"/>
          </w:tcPr>
          <w:p w14:paraId="60ABAD5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0.257</w:t>
            </w:r>
          </w:p>
        </w:tc>
        <w:tc>
          <w:tcPr>
            <w:tcW w:w="0" w:type="auto"/>
            <w:vAlign w:val="center"/>
          </w:tcPr>
          <w:p w14:paraId="6795629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0.349</w:t>
            </w:r>
          </w:p>
        </w:tc>
        <w:tc>
          <w:tcPr>
            <w:tcW w:w="0" w:type="auto"/>
            <w:vAlign w:val="center"/>
          </w:tcPr>
          <w:p w14:paraId="342740A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0.433</w:t>
            </w:r>
          </w:p>
        </w:tc>
        <w:tc>
          <w:tcPr>
            <w:tcW w:w="0" w:type="auto"/>
            <w:vAlign w:val="center"/>
          </w:tcPr>
          <w:p w14:paraId="199D60B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0.512</w:t>
            </w:r>
          </w:p>
        </w:tc>
        <w:tc>
          <w:tcPr>
            <w:tcW w:w="0" w:type="auto"/>
            <w:vAlign w:val="center"/>
          </w:tcPr>
          <w:p w14:paraId="28A5A9C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0.861</w:t>
            </w:r>
          </w:p>
        </w:tc>
      </w:tr>
      <w:tr w14:paraId="0098A8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0" w:type="auto"/>
            <w:vAlign w:val="center"/>
          </w:tcPr>
          <w:p w14:paraId="3839605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 (km/h )</w:t>
            </w:r>
          </w:p>
        </w:tc>
        <w:tc>
          <w:tcPr>
            <w:tcW w:w="0" w:type="auto"/>
            <w:vAlign w:val="center"/>
          </w:tcPr>
          <w:p w14:paraId="707D196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0.255</w:t>
            </w:r>
          </w:p>
        </w:tc>
        <w:tc>
          <w:tcPr>
            <w:tcW w:w="0" w:type="auto"/>
            <w:vAlign w:val="center"/>
          </w:tcPr>
          <w:p w14:paraId="7D4B9B10">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0.429</w:t>
            </w:r>
          </w:p>
        </w:tc>
        <w:tc>
          <w:tcPr>
            <w:tcW w:w="0" w:type="auto"/>
            <w:vAlign w:val="center"/>
          </w:tcPr>
          <w:p w14:paraId="3FC67C3F">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0.582</w:t>
            </w:r>
          </w:p>
        </w:tc>
        <w:tc>
          <w:tcPr>
            <w:tcW w:w="0" w:type="auto"/>
            <w:vAlign w:val="center"/>
          </w:tcPr>
          <w:p w14:paraId="5C8023D3">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0.722</w:t>
            </w:r>
          </w:p>
        </w:tc>
        <w:tc>
          <w:tcPr>
            <w:tcW w:w="0" w:type="auto"/>
            <w:vAlign w:val="center"/>
          </w:tcPr>
          <w:p w14:paraId="051D312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0.853</w:t>
            </w:r>
          </w:p>
        </w:tc>
        <w:tc>
          <w:tcPr>
            <w:tcW w:w="0" w:type="auto"/>
            <w:vAlign w:val="center"/>
          </w:tcPr>
          <w:p w14:paraId="5FBAB93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1.435</w:t>
            </w:r>
          </w:p>
        </w:tc>
      </w:tr>
    </w:tbl>
    <w:p w14:paraId="0E4E4F7B">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由表可见，在同样路面清洁情况下，车速越快，扬尘量越大；而在同样车速情况下，路面清洁度越差，则扬尘量越大。根据类比调查，一般情况下，施工场地、施工道路在自然风作用下产生的扬尘所影响的范围在100m以内。</w:t>
      </w:r>
    </w:p>
    <w:p w14:paraId="622E30BA">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抑制扬尘的一个简洁有效的措施是洒水。如果在施工期内对车辆行驶的路面实施洒水抑尘，每天洒水4-5次，可使扬尘减少70%左右。表</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5.1</w:t>
      </w:r>
      <w:r>
        <w:rPr>
          <w:rFonts w:hint="default" w:ascii="Times New Roman" w:hAnsi="Times New Roman" w:cs="Times New Roman"/>
          <w:color w:val="000000" w:themeColor="text1"/>
          <w:highlight w:val="none"/>
          <w:u w:val="none" w:color="auto"/>
          <w14:textFill>
            <w14:solidFill>
              <w14:schemeClr w14:val="tx1"/>
            </w14:solidFill>
          </w14:textFill>
        </w:rPr>
        <w:t>-2为施工场地洒水抑尘的试验结果。由该表数据可看出对施工场地实施每天洒水4-5次进行抑尘，可有效地控制施工扬尘，并可将PM</w:t>
      </w:r>
      <w:r>
        <w:rPr>
          <w:rFonts w:hint="default" w:ascii="Times New Roman" w:hAnsi="Times New Roman" w:cs="Times New Roman"/>
          <w:color w:val="000000" w:themeColor="text1"/>
          <w:highlight w:val="none"/>
          <w:u w:val="none" w:color="auto"/>
          <w:vertAlign w:val="subscript"/>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污染距离缩小到20-50m范围。</w:t>
      </w:r>
    </w:p>
    <w:p w14:paraId="7D800680">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t>.1</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t xml:space="preserve">  施工场地洒水抑尘试验结果</w:t>
      </w:r>
    </w:p>
    <w:p w14:paraId="43ED3E49">
      <w:pPr>
        <w:kinsoku w:val="0"/>
        <w:overflowPunct w:val="0"/>
        <w:spacing w:before="4" w:line="10" w:lineRule="exact"/>
        <w:ind w:firstLine="40"/>
        <w:rPr>
          <w:rFonts w:hint="default" w:ascii="Times New Roman" w:hAnsi="Times New Roman" w:eastAsia="Times New Roman" w:cs="Times New Roman"/>
          <w:color w:val="000000" w:themeColor="text1"/>
          <w:sz w:val="2"/>
          <w:highlight w:val="none"/>
          <w:u w:val="none" w:color="auto"/>
          <w14:textFill>
            <w14:solidFill>
              <w14:schemeClr w14:val="tx1"/>
            </w14:solidFill>
          </w14:textFill>
        </w:rPr>
      </w:pPr>
    </w:p>
    <w:tbl>
      <w:tblPr>
        <w:tblStyle w:val="76"/>
        <w:tblW w:w="8240" w:type="dxa"/>
        <w:tblInd w:w="87" w:type="dxa"/>
        <w:tblLayout w:type="fixed"/>
        <w:tblCellMar>
          <w:top w:w="0" w:type="dxa"/>
          <w:left w:w="0" w:type="dxa"/>
          <w:bottom w:w="0" w:type="dxa"/>
          <w:right w:w="0" w:type="dxa"/>
        </w:tblCellMar>
      </w:tblPr>
      <w:tblGrid>
        <w:gridCol w:w="2007"/>
        <w:gridCol w:w="1109"/>
        <w:gridCol w:w="1204"/>
        <w:gridCol w:w="1204"/>
        <w:gridCol w:w="1205"/>
        <w:gridCol w:w="1511"/>
      </w:tblGrid>
      <w:tr w14:paraId="65B68746">
        <w:tblPrEx>
          <w:tblCellMar>
            <w:top w:w="0" w:type="dxa"/>
            <w:left w:w="0" w:type="dxa"/>
            <w:bottom w:w="0" w:type="dxa"/>
            <w:right w:w="0" w:type="dxa"/>
          </w:tblCellMar>
        </w:tblPrEx>
        <w:trPr>
          <w:trHeight w:val="281" w:hRule="exact"/>
        </w:trPr>
        <w:tc>
          <w:tcPr>
            <w:tcW w:w="3116" w:type="dxa"/>
            <w:gridSpan w:val="2"/>
            <w:tcBorders>
              <w:top w:val="single" w:color="000000" w:sz="12" w:space="0"/>
              <w:left w:val="single" w:color="000000" w:sz="12" w:space="0"/>
              <w:bottom w:val="single" w:color="000000" w:sz="6" w:space="0"/>
              <w:right w:val="single" w:color="000000" w:sz="6" w:space="0"/>
              <w:tl2br w:val="nil"/>
              <w:tr2bl w:val="nil"/>
            </w:tcBorders>
            <w:vAlign w:val="center"/>
          </w:tcPr>
          <w:p w14:paraId="06949343">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距离（米）</w:t>
            </w:r>
          </w:p>
        </w:tc>
        <w:tc>
          <w:tcPr>
            <w:tcW w:w="1204" w:type="dxa"/>
            <w:tcBorders>
              <w:top w:val="single" w:color="000000" w:sz="12" w:space="0"/>
              <w:left w:val="single" w:color="000000" w:sz="6" w:space="0"/>
              <w:bottom w:val="single" w:color="000000" w:sz="6" w:space="0"/>
              <w:right w:val="single" w:color="000000" w:sz="6" w:space="0"/>
              <w:tl2br w:val="nil"/>
              <w:tr2bl w:val="nil"/>
            </w:tcBorders>
            <w:vAlign w:val="center"/>
          </w:tcPr>
          <w:p w14:paraId="4BC42FEB">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5</w:t>
            </w:r>
          </w:p>
        </w:tc>
        <w:tc>
          <w:tcPr>
            <w:tcW w:w="1204" w:type="dxa"/>
            <w:tcBorders>
              <w:top w:val="single" w:color="000000" w:sz="12" w:space="0"/>
              <w:left w:val="single" w:color="000000" w:sz="6" w:space="0"/>
              <w:bottom w:val="single" w:color="000000" w:sz="6" w:space="0"/>
              <w:right w:val="single" w:color="000000" w:sz="6" w:space="0"/>
              <w:tl2br w:val="nil"/>
              <w:tr2bl w:val="nil"/>
            </w:tcBorders>
            <w:vAlign w:val="center"/>
          </w:tcPr>
          <w:p w14:paraId="4DB22279">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20</w:t>
            </w:r>
          </w:p>
        </w:tc>
        <w:tc>
          <w:tcPr>
            <w:tcW w:w="1205" w:type="dxa"/>
            <w:tcBorders>
              <w:top w:val="single" w:color="000000" w:sz="12" w:space="0"/>
              <w:left w:val="single" w:color="000000" w:sz="6" w:space="0"/>
              <w:bottom w:val="single" w:color="000000" w:sz="6" w:space="0"/>
              <w:right w:val="single" w:color="000000" w:sz="6" w:space="0"/>
              <w:tl2br w:val="nil"/>
              <w:tr2bl w:val="nil"/>
            </w:tcBorders>
            <w:vAlign w:val="center"/>
          </w:tcPr>
          <w:p w14:paraId="0042C5D8">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50</w:t>
            </w:r>
          </w:p>
        </w:tc>
        <w:tc>
          <w:tcPr>
            <w:tcW w:w="1511" w:type="dxa"/>
            <w:tcBorders>
              <w:top w:val="single" w:color="000000" w:sz="12" w:space="0"/>
              <w:left w:val="single" w:color="000000" w:sz="6" w:space="0"/>
              <w:bottom w:val="single" w:color="000000" w:sz="6" w:space="0"/>
              <w:right w:val="single" w:color="000000" w:sz="12" w:space="0"/>
              <w:tl2br w:val="nil"/>
              <w:tr2bl w:val="nil"/>
            </w:tcBorders>
            <w:vAlign w:val="center"/>
          </w:tcPr>
          <w:p w14:paraId="068731F2">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100</w:t>
            </w:r>
          </w:p>
        </w:tc>
      </w:tr>
      <w:tr w14:paraId="2995631F">
        <w:tblPrEx>
          <w:tblCellMar>
            <w:top w:w="0" w:type="dxa"/>
            <w:left w:w="0" w:type="dxa"/>
            <w:bottom w:w="0" w:type="dxa"/>
            <w:right w:w="0" w:type="dxa"/>
          </w:tblCellMar>
        </w:tblPrEx>
        <w:trPr>
          <w:trHeight w:val="308" w:hRule="exact"/>
        </w:trPr>
        <w:tc>
          <w:tcPr>
            <w:tcW w:w="2007" w:type="dxa"/>
            <w:vMerge w:val="restart"/>
            <w:tcBorders>
              <w:top w:val="single" w:color="000000" w:sz="6" w:space="0"/>
              <w:left w:val="single" w:color="000000" w:sz="12" w:space="0"/>
              <w:bottom w:val="single" w:color="000000" w:sz="12" w:space="0"/>
              <w:right w:val="single" w:color="000000" w:sz="6" w:space="0"/>
              <w:tl2br w:val="nil"/>
              <w:tr2bl w:val="nil"/>
            </w:tcBorders>
            <w:vAlign w:val="center"/>
          </w:tcPr>
          <w:p w14:paraId="5C3D4C5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PM10 小时平均浓度</w:t>
            </w:r>
          </w:p>
          <w:p w14:paraId="5875E9B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（mg/m³）</w:t>
            </w:r>
          </w:p>
        </w:tc>
        <w:tc>
          <w:tcPr>
            <w:tcW w:w="1109" w:type="dxa"/>
            <w:tcBorders>
              <w:top w:val="single" w:color="000000" w:sz="6" w:space="0"/>
              <w:left w:val="single" w:color="000000" w:sz="6" w:space="0"/>
              <w:bottom w:val="single" w:color="000000" w:sz="6" w:space="0"/>
              <w:right w:val="single" w:color="000000" w:sz="6" w:space="0"/>
              <w:tl2br w:val="nil"/>
              <w:tr2bl w:val="nil"/>
            </w:tcBorders>
            <w:vAlign w:val="center"/>
          </w:tcPr>
          <w:p w14:paraId="662B2B8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不洒水</w:t>
            </w:r>
          </w:p>
        </w:tc>
        <w:tc>
          <w:tcPr>
            <w:tcW w:w="1204" w:type="dxa"/>
            <w:tcBorders>
              <w:top w:val="single" w:color="000000" w:sz="6" w:space="0"/>
              <w:left w:val="single" w:color="000000" w:sz="6" w:space="0"/>
              <w:bottom w:val="single" w:color="000000" w:sz="6" w:space="0"/>
              <w:right w:val="single" w:color="000000" w:sz="6" w:space="0"/>
              <w:tl2br w:val="nil"/>
              <w:tr2bl w:val="nil"/>
            </w:tcBorders>
            <w:vAlign w:val="center"/>
          </w:tcPr>
          <w:p w14:paraId="1979FB8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10.14</w:t>
            </w:r>
          </w:p>
        </w:tc>
        <w:tc>
          <w:tcPr>
            <w:tcW w:w="1204" w:type="dxa"/>
            <w:tcBorders>
              <w:top w:val="single" w:color="000000" w:sz="6" w:space="0"/>
              <w:left w:val="single" w:color="000000" w:sz="6" w:space="0"/>
              <w:bottom w:val="single" w:color="000000" w:sz="6" w:space="0"/>
              <w:right w:val="single" w:color="000000" w:sz="6" w:space="0"/>
              <w:tl2br w:val="nil"/>
              <w:tr2bl w:val="nil"/>
            </w:tcBorders>
            <w:vAlign w:val="center"/>
          </w:tcPr>
          <w:p w14:paraId="01B53E4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2.89</w:t>
            </w:r>
          </w:p>
        </w:tc>
        <w:tc>
          <w:tcPr>
            <w:tcW w:w="1205" w:type="dxa"/>
            <w:tcBorders>
              <w:top w:val="single" w:color="000000" w:sz="6" w:space="0"/>
              <w:left w:val="single" w:color="000000" w:sz="6" w:space="0"/>
              <w:bottom w:val="single" w:color="000000" w:sz="6" w:space="0"/>
              <w:right w:val="single" w:color="000000" w:sz="6" w:space="0"/>
              <w:tl2br w:val="nil"/>
              <w:tr2bl w:val="nil"/>
            </w:tcBorders>
            <w:vAlign w:val="center"/>
          </w:tcPr>
          <w:p w14:paraId="3C1074A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1.15</w:t>
            </w:r>
          </w:p>
        </w:tc>
        <w:tc>
          <w:tcPr>
            <w:tcW w:w="1511" w:type="dxa"/>
            <w:tcBorders>
              <w:top w:val="single" w:color="000000" w:sz="6" w:space="0"/>
              <w:left w:val="single" w:color="000000" w:sz="6" w:space="0"/>
              <w:bottom w:val="single" w:color="000000" w:sz="6" w:space="0"/>
              <w:right w:val="single" w:color="000000" w:sz="12" w:space="0"/>
              <w:tl2br w:val="nil"/>
              <w:tr2bl w:val="nil"/>
            </w:tcBorders>
            <w:vAlign w:val="center"/>
          </w:tcPr>
          <w:p w14:paraId="2435A8D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0.86</w:t>
            </w:r>
          </w:p>
        </w:tc>
      </w:tr>
      <w:tr w14:paraId="21499AD7">
        <w:tblPrEx>
          <w:tblCellMar>
            <w:top w:w="0" w:type="dxa"/>
            <w:left w:w="0" w:type="dxa"/>
            <w:bottom w:w="0" w:type="dxa"/>
            <w:right w:w="0" w:type="dxa"/>
          </w:tblCellMar>
        </w:tblPrEx>
        <w:trPr>
          <w:trHeight w:val="351" w:hRule="exact"/>
        </w:trPr>
        <w:tc>
          <w:tcPr>
            <w:tcW w:w="2007" w:type="dxa"/>
            <w:vMerge w:val="continue"/>
            <w:tcBorders>
              <w:top w:val="single" w:color="000000" w:sz="6" w:space="0"/>
              <w:left w:val="single" w:color="000000" w:sz="12" w:space="0"/>
              <w:bottom w:val="single" w:color="000000" w:sz="12" w:space="0"/>
              <w:right w:val="single" w:color="000000" w:sz="6" w:space="0"/>
              <w:tl2br w:val="nil"/>
              <w:tr2bl w:val="nil"/>
            </w:tcBorders>
            <w:vAlign w:val="center"/>
          </w:tcPr>
          <w:p w14:paraId="3DA6898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1109" w:type="dxa"/>
            <w:tcBorders>
              <w:top w:val="single" w:color="000000" w:sz="6" w:space="0"/>
              <w:left w:val="single" w:color="000000" w:sz="6" w:space="0"/>
              <w:bottom w:val="single" w:color="000000" w:sz="12" w:space="0"/>
              <w:right w:val="single" w:color="000000" w:sz="6" w:space="0"/>
              <w:tl2br w:val="nil"/>
              <w:tr2bl w:val="nil"/>
            </w:tcBorders>
            <w:vAlign w:val="center"/>
          </w:tcPr>
          <w:p w14:paraId="5158548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洒</w:t>
            </w:r>
            <w:r>
              <w:rPr>
                <w:rFonts w:hint="default" w:ascii="Times New Roman" w:hAnsi="Times New Roman" w:cs="Times New Roman"/>
                <w:color w:val="000000" w:themeColor="text1"/>
                <w:highlight w:val="none"/>
                <w:u w:val="none" w:color="auto"/>
                <w14:textFill>
                  <w14:solidFill>
                    <w14:schemeClr w14:val="tx1"/>
                  </w14:solidFill>
                </w14:textFill>
              </w:rPr>
              <w:tab/>
            </w:r>
            <w:r>
              <w:rPr>
                <w:rFonts w:hint="default" w:ascii="Times New Roman" w:hAnsi="Times New Roman" w:cs="Times New Roman"/>
                <w:color w:val="000000" w:themeColor="text1"/>
                <w:highlight w:val="none"/>
                <w:u w:val="none" w:color="auto"/>
                <w14:textFill>
                  <w14:solidFill>
                    <w14:schemeClr w14:val="tx1"/>
                  </w14:solidFill>
                </w14:textFill>
              </w:rPr>
              <w:t>水</w:t>
            </w:r>
          </w:p>
        </w:tc>
        <w:tc>
          <w:tcPr>
            <w:tcW w:w="1204" w:type="dxa"/>
            <w:tcBorders>
              <w:top w:val="single" w:color="000000" w:sz="6" w:space="0"/>
              <w:left w:val="single" w:color="000000" w:sz="6" w:space="0"/>
              <w:bottom w:val="single" w:color="000000" w:sz="12" w:space="0"/>
              <w:right w:val="single" w:color="000000" w:sz="6" w:space="0"/>
              <w:tl2br w:val="nil"/>
              <w:tr2bl w:val="nil"/>
            </w:tcBorders>
            <w:vAlign w:val="center"/>
          </w:tcPr>
          <w:p w14:paraId="0311EFC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2.01</w:t>
            </w:r>
          </w:p>
        </w:tc>
        <w:tc>
          <w:tcPr>
            <w:tcW w:w="1204" w:type="dxa"/>
            <w:tcBorders>
              <w:top w:val="single" w:color="000000" w:sz="6" w:space="0"/>
              <w:left w:val="single" w:color="000000" w:sz="6" w:space="0"/>
              <w:bottom w:val="single" w:color="000000" w:sz="12" w:space="0"/>
              <w:right w:val="single" w:color="000000" w:sz="6" w:space="0"/>
              <w:tl2br w:val="nil"/>
              <w:tr2bl w:val="nil"/>
            </w:tcBorders>
            <w:vAlign w:val="center"/>
          </w:tcPr>
          <w:p w14:paraId="0E3F084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1.40</w:t>
            </w:r>
          </w:p>
        </w:tc>
        <w:tc>
          <w:tcPr>
            <w:tcW w:w="1205" w:type="dxa"/>
            <w:tcBorders>
              <w:top w:val="single" w:color="000000" w:sz="6" w:space="0"/>
              <w:left w:val="single" w:color="000000" w:sz="6" w:space="0"/>
              <w:bottom w:val="single" w:color="000000" w:sz="12" w:space="0"/>
              <w:right w:val="single" w:color="000000" w:sz="6" w:space="0"/>
              <w:tl2br w:val="nil"/>
              <w:tr2bl w:val="nil"/>
            </w:tcBorders>
            <w:vAlign w:val="center"/>
          </w:tcPr>
          <w:p w14:paraId="7863054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0.67</w:t>
            </w:r>
          </w:p>
        </w:tc>
        <w:tc>
          <w:tcPr>
            <w:tcW w:w="1511" w:type="dxa"/>
            <w:tcBorders>
              <w:top w:val="single" w:color="000000" w:sz="6" w:space="0"/>
              <w:left w:val="single" w:color="000000" w:sz="6" w:space="0"/>
              <w:bottom w:val="single" w:color="000000" w:sz="12" w:space="0"/>
              <w:right w:val="single" w:color="000000" w:sz="12" w:space="0"/>
              <w:tl2br w:val="nil"/>
              <w:tr2bl w:val="nil"/>
            </w:tcBorders>
            <w:vAlign w:val="center"/>
          </w:tcPr>
          <w:p w14:paraId="2C8C6C8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0.60</w:t>
            </w:r>
          </w:p>
        </w:tc>
      </w:tr>
    </w:tbl>
    <w:p w14:paraId="5275F759">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项目施工运输车辆主要从</w:t>
      </w:r>
      <w:r>
        <w:rPr>
          <w:rFonts w:hint="default" w:ascii="Times New Roman" w:hAnsi="Times New Roman" w:cs="Times New Roman"/>
          <w:color w:val="000000" w:themeColor="text1"/>
          <w:highlight w:val="none"/>
          <w:u w:val="none" w:color="auto"/>
          <w:lang w:eastAsia="zh-CN"/>
          <w14:textFill>
            <w14:solidFill>
              <w14:schemeClr w14:val="tx1"/>
            </w14:solidFill>
          </w14:textFill>
        </w:rPr>
        <w:t>污水处理厂东</w:t>
      </w:r>
      <w:r>
        <w:rPr>
          <w:rFonts w:hint="default" w:ascii="Times New Roman" w:hAnsi="Times New Roman" w:cs="Times New Roman"/>
          <w:color w:val="000000" w:themeColor="text1"/>
          <w:highlight w:val="none"/>
          <w:u w:val="none" w:color="auto"/>
          <w14:textFill>
            <w14:solidFill>
              <w14:schemeClr w14:val="tx1"/>
            </w14:solidFill>
          </w14:textFill>
        </w:rPr>
        <w:t>侧进出施工场地，施工期必须严格防止建设及运输过程中的扬尘对环境空气的影响，如在建设期应对运输的道路及时清扫和浇水，并加强施工管理，同时必须采用封闭车辆运输，以便最大程度减少扬尘对周围环境空气的影响。扬尘污染防治应有专人负责逸散性材料、垃圾、渣土、裸地等的密闭、遮盖，并对洒水作业、车辆清洗作业实施情况进行记录</w:t>
      </w:r>
      <w:r>
        <w:rPr>
          <w:rFonts w:hint="default" w:ascii="Times New Roman" w:hAnsi="Times New Roman" w:cs="Times New Roman"/>
          <w:color w:val="000000" w:themeColor="text1"/>
          <w:highlight w:val="none"/>
          <w:u w:val="none" w:color="auto"/>
          <w:lang w:eastAsia="zh-CN"/>
          <w14:textFill>
            <w14:solidFill>
              <w14:schemeClr w14:val="tx1"/>
            </w14:solidFill>
          </w14:textFill>
        </w:rPr>
        <w:t>，由于运输道路均已硬化，项目运输过程中对环境空气的影响较小</w:t>
      </w:r>
      <w:r>
        <w:rPr>
          <w:rFonts w:hint="default" w:ascii="Times New Roman" w:hAnsi="Times New Roman" w:cs="Times New Roman"/>
          <w:color w:val="000000" w:themeColor="text1"/>
          <w:highlight w:val="none"/>
          <w:u w:val="none" w:color="auto"/>
          <w14:textFill>
            <w14:solidFill>
              <w14:schemeClr w14:val="tx1"/>
            </w14:solidFill>
          </w14:textFill>
        </w:rPr>
        <w:t>。</w:t>
      </w:r>
    </w:p>
    <w:p w14:paraId="04FAF4FA">
      <w:pPr>
        <w:pStyle w:val="189"/>
        <w:outlineLvl w:val="3"/>
        <w:rPr>
          <w:rFonts w:hint="default" w:ascii="Times New Roman" w:hAnsi="Times New Roman" w:cs="Times New Roman"/>
          <w:b/>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u w:val="none" w:color="auto"/>
          <w:lang w:val="en-US" w:eastAsia="zh-CN"/>
          <w14:textFill>
            <w14:solidFill>
              <w14:schemeClr w14:val="tx1"/>
            </w14:solidFill>
          </w14:textFill>
        </w:rPr>
        <w:t>5.1.1.3 工程机械尾气</w:t>
      </w:r>
    </w:p>
    <w:p w14:paraId="6ED08F7F">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施工使用的各种工程机械（如载重汽车、铲车和推土机等）主要以柴油为燃料，加上重型机械的尾气排放量较大，故尾气排放也使本项目所在区域内的大气环境受到污染，尾气中所含的有害物质主要有CO、HC、NO</w:t>
      </w:r>
      <w:r>
        <w:rPr>
          <w:rFonts w:hint="default" w:ascii="Times New Roman" w:hAnsi="Times New Roman" w:cs="Times New Roman"/>
          <w:color w:val="000000" w:themeColor="text1"/>
          <w:highlight w:val="none"/>
          <w:u w:val="none" w:color="auto"/>
          <w:vertAlign w:val="subscript"/>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 xml:space="preserve"> 等。对距离较近的村</w:t>
      </w:r>
      <w:r>
        <w:rPr>
          <w:rFonts w:hint="default" w:ascii="Times New Roman" w:hAnsi="Times New Roman" w:cs="Times New Roman"/>
          <w:color w:val="000000" w:themeColor="text1"/>
          <w:highlight w:val="none"/>
          <w:u w:val="none" w:color="auto"/>
          <w:lang w:eastAsia="zh-CN"/>
          <w14:textFill>
            <w14:solidFill>
              <w14:schemeClr w14:val="tx1"/>
            </w14:solidFill>
          </w14:textFill>
        </w:rPr>
        <w:t>民</w:t>
      </w:r>
      <w:r>
        <w:rPr>
          <w:rFonts w:hint="default" w:ascii="Times New Roman" w:hAnsi="Times New Roman" w:cs="Times New Roman"/>
          <w:color w:val="000000" w:themeColor="text1"/>
          <w:highlight w:val="none"/>
          <w:u w:val="none" w:color="auto"/>
          <w14:textFill>
            <w14:solidFill>
              <w14:schemeClr w14:val="tx1"/>
            </w14:solidFill>
          </w14:textFill>
        </w:rPr>
        <w:t>以及施工人员产生一定影响。因此施工单位必须使用污染物排放符合国家标准的运输车辆和施工设备，加强设备、车辆的维护保养，使机械、车辆处于良好工作状态，严禁使用报废车辆和淘汰设备，以减少施工工程机械尾气对周围环境的影响。</w:t>
      </w:r>
    </w:p>
    <w:p w14:paraId="5786B527">
      <w:pPr>
        <w:pStyle w:val="4"/>
        <w:numPr>
          <w:ilvl w:val="1"/>
          <w:numId w:val="0"/>
        </w:numPr>
        <w:ind w:leftChars="0"/>
        <w:outlineLvl w:val="2"/>
        <w:rPr>
          <w:rFonts w:hint="default" w:ascii="Times New Roman" w:hAnsi="Times New Roman" w:cs="Times New Roman"/>
          <w:color w:val="000000" w:themeColor="text1"/>
          <w:sz w:val="28"/>
          <w:szCs w:val="32"/>
          <w:highlight w:val="none"/>
          <w:u w:val="none" w:color="auto"/>
          <w14:textFill>
            <w14:solidFill>
              <w14:schemeClr w14:val="tx1"/>
            </w14:solidFill>
          </w14:textFill>
        </w:rPr>
      </w:pPr>
      <w:r>
        <w:rPr>
          <w:rFonts w:hint="default" w:ascii="Times New Roman" w:hAnsi="Times New Roman" w:cs="Times New Roman"/>
          <w:color w:val="000000" w:themeColor="text1"/>
          <w:sz w:val="28"/>
          <w:szCs w:val="32"/>
          <w:highlight w:val="none"/>
          <w:u w:val="none" w:color="auto"/>
          <w:lang w:val="en-US" w:eastAsia="zh-CN"/>
          <w14:textFill>
            <w14:solidFill>
              <w14:schemeClr w14:val="tx1"/>
            </w14:solidFill>
          </w14:textFill>
        </w:rPr>
        <w:t xml:space="preserve">5.1.2 </w:t>
      </w:r>
      <w:r>
        <w:rPr>
          <w:rFonts w:hint="default" w:ascii="Times New Roman" w:hAnsi="Times New Roman" w:cs="Times New Roman"/>
          <w:color w:val="000000" w:themeColor="text1"/>
          <w:sz w:val="28"/>
          <w:szCs w:val="32"/>
          <w:highlight w:val="none"/>
          <w:u w:val="none" w:color="auto"/>
          <w14:textFill>
            <w14:solidFill>
              <w14:schemeClr w14:val="tx1"/>
            </w14:solidFill>
          </w14:textFill>
        </w:rPr>
        <w:t>施工期水环境影响分析</w:t>
      </w:r>
    </w:p>
    <w:p w14:paraId="33F1B509">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建设阶段废水主要来自：</w:t>
      </w:r>
      <w:r>
        <w:rPr>
          <w:rFonts w:hint="default" w:ascii="Times New Roman" w:hAnsi="Times New Roman" w:eastAsia="宋体" w:cs="Times New Roman"/>
          <w:color w:val="000000" w:themeColor="text1"/>
          <w:highlight w:val="none"/>
          <w:u w:val="none" w:color="auto"/>
          <w14:textFill>
            <w14:solidFill>
              <w14:schemeClr w14:val="tx1"/>
            </w14:solidFill>
          </w14:textFill>
        </w:rPr>
        <w:t>①</w:t>
      </w:r>
      <w:r>
        <w:rPr>
          <w:rFonts w:hint="default" w:ascii="Times New Roman" w:hAnsi="Times New Roman" w:cs="Times New Roman"/>
          <w:color w:val="000000" w:themeColor="text1"/>
          <w:highlight w:val="none"/>
          <w:u w:val="none" w:color="auto"/>
          <w14:textFill>
            <w14:solidFill>
              <w14:schemeClr w14:val="tx1"/>
            </w14:solidFill>
          </w14:textFill>
        </w:rPr>
        <w:t>施工人员产生的生活污水；</w:t>
      </w:r>
      <w:r>
        <w:rPr>
          <w:rFonts w:hint="default" w:ascii="Times New Roman" w:hAnsi="Times New Roman" w:eastAsia="宋体" w:cs="Times New Roman"/>
          <w:color w:val="000000" w:themeColor="text1"/>
          <w:highlight w:val="none"/>
          <w:u w:val="none" w:color="auto"/>
          <w14:textFill>
            <w14:solidFill>
              <w14:schemeClr w14:val="tx1"/>
            </w14:solidFill>
          </w14:textFill>
        </w:rPr>
        <w:t>②</w:t>
      </w:r>
      <w: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t>机械及设备冲洗水</w:t>
      </w:r>
      <w:r>
        <w:rPr>
          <w:rFonts w:hint="default" w:ascii="Times New Roman" w:hAnsi="Times New Roman" w:cs="Times New Roman"/>
          <w:color w:val="000000" w:themeColor="text1"/>
          <w:highlight w:val="none"/>
          <w:u w:val="none" w:color="auto"/>
          <w14:textFill>
            <w14:solidFill>
              <w14:schemeClr w14:val="tx1"/>
            </w14:solidFill>
          </w14:textFill>
        </w:rPr>
        <w:t>。</w:t>
      </w:r>
    </w:p>
    <w:p w14:paraId="4440BCE5">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如施工人员每天生活用水量按</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t>0L/d，施工高峰期人员按</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0人算，施工期生活污水排放量按用水量的80%计，则施工期生活污水约</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72</w:t>
      </w:r>
      <w:r>
        <w:rPr>
          <w:rFonts w:hint="default" w:ascii="Times New Roman" w:hAnsi="Times New Roman" w:cs="Times New Roman"/>
          <w:color w:val="000000" w:themeColor="text1"/>
          <w:spacing w:val="-1"/>
          <w:highlight w:val="none"/>
          <w:u w:val="none" w:color="auto"/>
          <w14:textFill>
            <w14:solidFill>
              <w14:schemeClr w14:val="tx1"/>
            </w14:solidFill>
          </w14:textFill>
        </w:rPr>
        <w:t>m</w:t>
      </w:r>
      <w:r>
        <w:rPr>
          <w:rFonts w:hint="default" w:ascii="Times New Roman" w:hAnsi="Times New Roman" w:cs="Times New Roman"/>
          <w:color w:val="000000" w:themeColor="text1"/>
          <w:position w:val="10"/>
          <w:sz w:val="14"/>
          <w:szCs w:val="14"/>
          <w:highlight w:val="none"/>
          <w:u w:val="none" w:color="auto"/>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w:t>
      </w:r>
      <w:r>
        <w:rPr>
          <w:rFonts w:hint="default" w:ascii="Times New Roman" w:hAnsi="Times New Roman" w:cs="Times New Roman"/>
          <w:color w:val="000000" w:themeColor="text1"/>
          <w:highlight w:val="none"/>
          <w:u w:val="none" w:color="auto"/>
          <w:lang w:eastAsia="zh-CN"/>
          <w14:textFill>
            <w14:solidFill>
              <w14:schemeClr w14:val="tx1"/>
            </w14:solidFill>
          </w14:textFill>
        </w:rPr>
        <w:t>依托</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现状污水处理设施</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经化粪池处理后，排入</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自身污水处理工程</w:t>
      </w:r>
      <w:r>
        <w:rPr>
          <w:rFonts w:hint="default" w:ascii="Times New Roman" w:hAnsi="Times New Roman" w:cs="Times New Roman"/>
          <w:color w:val="000000" w:themeColor="text1"/>
          <w:highlight w:val="none"/>
          <w:u w:val="none" w:color="auto"/>
          <w14:textFill>
            <w14:solidFill>
              <w14:schemeClr w14:val="tx1"/>
            </w14:solidFill>
          </w14:textFill>
        </w:rPr>
        <w:t>处理后排放。</w:t>
      </w:r>
      <w:r>
        <w:rPr>
          <w:rFonts w:hint="default" w:ascii="Times New Roman" w:hAnsi="Times New Roman" w:cs="Times New Roman"/>
          <w:color w:val="000000" w:themeColor="text1"/>
          <w:highlight w:val="none"/>
          <w:u w:val="none" w:color="auto"/>
          <w:lang w:eastAsia="zh-CN"/>
          <w14:textFill>
            <w14:solidFill>
              <w14:schemeClr w14:val="tx1"/>
            </w14:solidFill>
          </w14:textFill>
        </w:rPr>
        <w:t>机械及设备冲洗水主要污染物为石油类跟</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SS，经隔油池、沉淀池处理后回用于机械及设备冲洗</w:t>
      </w:r>
      <w:r>
        <w:rPr>
          <w:rFonts w:hint="default" w:ascii="Times New Roman" w:hAnsi="Times New Roman" w:cs="Times New Roman"/>
          <w:color w:val="000000" w:themeColor="text1"/>
          <w:highlight w:val="none"/>
          <w:u w:val="none" w:color="auto"/>
          <w14:textFill>
            <w14:solidFill>
              <w14:schemeClr w14:val="tx1"/>
            </w14:solidFill>
          </w14:textFill>
        </w:rPr>
        <w:t>。在采取本评价提出的对生产废水和生活污水处理措施的前提下，本项目施工期的水环境影响是可以接受的。</w:t>
      </w:r>
    </w:p>
    <w:p w14:paraId="35B310FF">
      <w:pPr>
        <w:pStyle w:val="4"/>
        <w:numPr>
          <w:ilvl w:val="1"/>
          <w:numId w:val="0"/>
        </w:numPr>
        <w:ind w:leftChars="0"/>
        <w:outlineLvl w:val="2"/>
        <w:rPr>
          <w:rFonts w:hint="default" w:ascii="Times New Roman" w:hAnsi="Times New Roman" w:cs="Times New Roman"/>
          <w:color w:val="auto"/>
          <w:sz w:val="28"/>
          <w:szCs w:val="28"/>
          <w:highlight w:val="none"/>
          <w:u w:val="none" w:color="auto"/>
        </w:rPr>
      </w:pPr>
      <w:r>
        <w:rPr>
          <w:rFonts w:hint="default" w:ascii="Times New Roman" w:hAnsi="Times New Roman" w:cs="Times New Roman"/>
          <w:color w:val="auto"/>
          <w:sz w:val="28"/>
          <w:szCs w:val="28"/>
          <w:highlight w:val="none"/>
          <w:u w:val="none" w:color="auto"/>
          <w:lang w:val="en-US" w:eastAsia="zh-CN"/>
        </w:rPr>
        <w:t xml:space="preserve">5.1.3 </w:t>
      </w:r>
      <w:r>
        <w:rPr>
          <w:rFonts w:hint="default" w:ascii="Times New Roman" w:hAnsi="Times New Roman" w:cs="Times New Roman"/>
          <w:color w:val="auto"/>
          <w:sz w:val="28"/>
          <w:szCs w:val="28"/>
          <w:highlight w:val="none"/>
          <w:u w:val="none" w:color="auto"/>
        </w:rPr>
        <w:t>施工期声环境影响分析</w:t>
      </w:r>
    </w:p>
    <w:p w14:paraId="40343F6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工程在施工期的主要噪声源是各类施工机械的辐射噪声以及原材料运输时车辆引起的交通噪声。施工机械都具有噪声高、无规则、突发性等特点。</w:t>
      </w:r>
    </w:p>
    <w:p w14:paraId="61D9CD99">
      <w:pPr>
        <w:pStyle w:val="189"/>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lang w:val="en-US" w:eastAsia="zh-CN"/>
        </w:rPr>
        <w:t>施工期噪声源</w:t>
      </w:r>
    </w:p>
    <w:p w14:paraId="15DBE43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本项目施工期的噪声源及源强详表 5.</w:t>
      </w: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3。</w:t>
      </w:r>
    </w:p>
    <w:p w14:paraId="34EAEBF4">
      <w:pPr>
        <w:pStyle w:val="189"/>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lang w:val="en-US" w:eastAsia="zh-CN"/>
        </w:rPr>
        <w:t>主要噪声影响分析</w:t>
      </w:r>
    </w:p>
    <w:p w14:paraId="1A6F2B9F">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通过距离衰减公式进行计算，可得到施工期各种机械在不同距离处的噪声贡献值，计算结果见</w:t>
      </w:r>
      <w:r>
        <w:rPr>
          <w:rFonts w:hint="default" w:ascii="Times New Roman" w:hAnsi="Times New Roman" w:cs="Times New Roman"/>
          <w:color w:val="auto"/>
          <w:highlight w:val="none"/>
          <w:u w:val="none" w:color="auto"/>
          <w:lang w:val="en-US" w:eastAsia="zh-CN"/>
        </w:rPr>
        <w:t>表5.1-3</w:t>
      </w:r>
      <w:r>
        <w:rPr>
          <w:rFonts w:hint="default" w:ascii="Times New Roman" w:hAnsi="Times New Roman" w:cs="Times New Roman"/>
          <w:color w:val="auto"/>
          <w:highlight w:val="none"/>
          <w:u w:val="none" w:color="auto"/>
        </w:rPr>
        <w:t>。</w:t>
      </w:r>
    </w:p>
    <w:p w14:paraId="1C7E41C4">
      <w:pPr>
        <w:pStyle w:val="189"/>
        <w:ind w:left="0" w:leftChars="0" w:firstLine="420" w:firstLineChars="0"/>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2830195" cy="347980"/>
            <wp:effectExtent l="0" t="0" r="8255" b="4445"/>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34"/>
                    <a:srcRect t="19385"/>
                    <a:stretch>
                      <a:fillRect/>
                    </a:stretch>
                  </pic:blipFill>
                  <pic:spPr>
                    <a:xfrm>
                      <a:off x="0" y="0"/>
                      <a:ext cx="2830195" cy="347980"/>
                    </a:xfrm>
                    <a:prstGeom prst="rect">
                      <a:avLst/>
                    </a:prstGeom>
                    <a:noFill/>
                    <a:ln>
                      <a:noFill/>
                    </a:ln>
                  </pic:spPr>
                </pic:pic>
              </a:graphicData>
            </a:graphic>
          </wp:inline>
        </w:drawing>
      </w:r>
    </w:p>
    <w:p w14:paraId="7E6192C5">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式中：La为距声源r</w:t>
      </w:r>
      <w:r>
        <w:rPr>
          <w:rFonts w:hint="default" w:ascii="Times New Roman" w:hAnsi="Times New Roman" w:cs="Times New Roman"/>
          <w:highlight w:val="none"/>
          <w:vertAlign w:val="subscript"/>
          <w:lang w:val="en-US" w:eastAsia="zh-CN"/>
        </w:rPr>
        <w:t>a</w:t>
      </w:r>
      <w:r>
        <w:rPr>
          <w:rFonts w:hint="default" w:ascii="Times New Roman" w:hAnsi="Times New Roman" w:cs="Times New Roman"/>
          <w:highlight w:val="none"/>
          <w:lang w:val="en-US" w:eastAsia="zh-CN"/>
        </w:rPr>
        <w:t>处的声级</w:t>
      </w:r>
    </w:p>
    <w:p w14:paraId="443C737E">
      <w:pPr>
        <w:pStyle w:val="189"/>
        <w:ind w:left="0" w:leftChars="0" w:firstLine="42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 xml:space="preserve">      L</w:t>
      </w:r>
      <w:r>
        <w:rPr>
          <w:rFonts w:hint="default" w:ascii="Times New Roman" w:hAnsi="Times New Roman" w:cs="Times New Roman"/>
          <w:highlight w:val="none"/>
          <w:vertAlign w:val="subscript"/>
          <w:lang w:val="en-US" w:eastAsia="zh-CN"/>
        </w:rPr>
        <w:t>0</w:t>
      </w:r>
      <w:r>
        <w:rPr>
          <w:rFonts w:hint="default" w:ascii="Times New Roman" w:hAnsi="Times New Roman" w:cs="Times New Roman"/>
          <w:highlight w:val="none"/>
          <w:lang w:val="en-US" w:eastAsia="zh-CN"/>
        </w:rPr>
        <w:t>为距声源为r</w:t>
      </w:r>
      <w:r>
        <w:rPr>
          <w:rFonts w:hint="default" w:ascii="Times New Roman" w:hAnsi="Times New Roman" w:cs="Times New Roman"/>
          <w:highlight w:val="none"/>
          <w:vertAlign w:val="subscript"/>
          <w:lang w:val="en-US" w:eastAsia="zh-CN"/>
        </w:rPr>
        <w:t>0</w:t>
      </w:r>
      <w:r>
        <w:rPr>
          <w:rFonts w:hint="default" w:ascii="Times New Roman" w:hAnsi="Times New Roman" w:cs="Times New Roman"/>
          <w:highlight w:val="none"/>
          <w:lang w:val="en-US" w:eastAsia="zh-CN"/>
        </w:rPr>
        <w:t>处的声级</w:t>
      </w:r>
    </w:p>
    <w:p w14:paraId="4F9C8AD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（3）预测结果与评价</w:t>
      </w:r>
    </w:p>
    <w:p w14:paraId="049550F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施工期噪声影响预测结果见下表。</w:t>
      </w:r>
    </w:p>
    <w:p w14:paraId="51493154">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 xml:space="preserve">  环境噪声影响预测结果表（单位：dB(A)）</w:t>
      </w:r>
    </w:p>
    <w:p w14:paraId="32D1334C">
      <w:pPr>
        <w:kinsoku w:val="0"/>
        <w:overflowPunct w:val="0"/>
        <w:spacing w:before="6" w:line="10" w:lineRule="exact"/>
        <w:ind w:firstLine="40"/>
        <w:rPr>
          <w:rFonts w:hint="default" w:ascii="Times New Roman" w:hAnsi="Times New Roman" w:eastAsia="Times New Roman" w:cs="Times New Roman"/>
          <w:color w:val="auto"/>
          <w:sz w:val="2"/>
          <w:highlight w:val="none"/>
          <w:u w:val="none" w:color="auto"/>
        </w:rPr>
      </w:pPr>
    </w:p>
    <w:tbl>
      <w:tblPr>
        <w:tblStyle w:val="76"/>
        <w:tblW w:w="8938" w:type="dxa"/>
        <w:jc w:val="center"/>
        <w:tblLayout w:type="fixed"/>
        <w:tblCellMar>
          <w:top w:w="0" w:type="dxa"/>
          <w:left w:w="0" w:type="dxa"/>
          <w:bottom w:w="0" w:type="dxa"/>
          <w:right w:w="0" w:type="dxa"/>
        </w:tblCellMar>
      </w:tblPr>
      <w:tblGrid>
        <w:gridCol w:w="648"/>
        <w:gridCol w:w="1630"/>
        <w:gridCol w:w="687"/>
        <w:gridCol w:w="745"/>
        <w:gridCol w:w="628"/>
        <w:gridCol w:w="631"/>
        <w:gridCol w:w="631"/>
        <w:gridCol w:w="629"/>
        <w:gridCol w:w="630"/>
        <w:gridCol w:w="643"/>
        <w:gridCol w:w="687"/>
        <w:gridCol w:w="749"/>
      </w:tblGrid>
      <w:tr w14:paraId="4ED0E38D">
        <w:trPr>
          <w:trHeight w:val="350" w:hRule="atLeast"/>
          <w:jc w:val="center"/>
        </w:trPr>
        <w:tc>
          <w:tcPr>
            <w:tcW w:w="648" w:type="dxa"/>
            <w:vMerge w:val="restart"/>
            <w:tcBorders>
              <w:top w:val="single" w:color="000000" w:sz="12" w:space="0"/>
              <w:left w:val="single" w:color="000000" w:sz="12" w:space="0"/>
              <w:bottom w:val="single" w:color="000000" w:sz="4" w:space="0"/>
              <w:right w:val="single" w:color="000000" w:sz="4" w:space="0"/>
            </w:tcBorders>
            <w:vAlign w:val="center"/>
          </w:tcPr>
          <w:p w14:paraId="1CE94601">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施工阶段</w:t>
            </w:r>
          </w:p>
        </w:tc>
        <w:tc>
          <w:tcPr>
            <w:tcW w:w="1630" w:type="dxa"/>
            <w:vMerge w:val="restart"/>
            <w:tcBorders>
              <w:top w:val="single" w:color="000000" w:sz="12" w:space="0"/>
              <w:left w:val="single" w:color="000000" w:sz="4" w:space="0"/>
              <w:bottom w:val="single" w:color="000000" w:sz="4" w:space="0"/>
              <w:right w:val="single" w:color="000000" w:sz="4" w:space="0"/>
            </w:tcBorders>
            <w:vAlign w:val="center"/>
          </w:tcPr>
          <w:p w14:paraId="043AF35F">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声源</w:t>
            </w:r>
          </w:p>
        </w:tc>
        <w:tc>
          <w:tcPr>
            <w:tcW w:w="687" w:type="dxa"/>
            <w:vMerge w:val="restart"/>
            <w:tcBorders>
              <w:top w:val="single" w:color="000000" w:sz="12" w:space="0"/>
              <w:left w:val="single" w:color="000000" w:sz="4" w:space="0"/>
              <w:bottom w:val="single" w:color="000000" w:sz="4" w:space="0"/>
              <w:right w:val="single" w:color="000000" w:sz="4" w:space="0"/>
            </w:tcBorders>
            <w:vAlign w:val="center"/>
          </w:tcPr>
          <w:p w14:paraId="5385477D">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噪声 强度</w:t>
            </w:r>
          </w:p>
        </w:tc>
        <w:tc>
          <w:tcPr>
            <w:tcW w:w="4537" w:type="dxa"/>
            <w:gridSpan w:val="7"/>
            <w:tcBorders>
              <w:top w:val="single" w:color="000000" w:sz="12" w:space="0"/>
              <w:left w:val="single" w:color="000000" w:sz="4" w:space="0"/>
              <w:bottom w:val="single" w:color="000000" w:sz="4" w:space="0"/>
              <w:right w:val="single" w:color="000000" w:sz="4" w:space="0"/>
            </w:tcBorders>
            <w:vAlign w:val="center"/>
          </w:tcPr>
          <w:p w14:paraId="757CF1E1">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距声源距离（m）</w:t>
            </w:r>
          </w:p>
        </w:tc>
        <w:tc>
          <w:tcPr>
            <w:tcW w:w="1436" w:type="dxa"/>
            <w:gridSpan w:val="2"/>
            <w:tcBorders>
              <w:top w:val="single" w:color="000000" w:sz="12" w:space="0"/>
              <w:left w:val="single" w:color="000000" w:sz="4" w:space="0"/>
              <w:bottom w:val="single" w:color="000000" w:sz="4" w:space="0"/>
              <w:right w:val="single" w:color="000000" w:sz="12" w:space="0"/>
            </w:tcBorders>
            <w:vAlign w:val="center"/>
          </w:tcPr>
          <w:p w14:paraId="21B45AFD">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达标距离（m）</w:t>
            </w:r>
          </w:p>
        </w:tc>
      </w:tr>
      <w:tr w14:paraId="0E1C228D">
        <w:tblPrEx>
          <w:tblCellMar>
            <w:top w:w="0" w:type="dxa"/>
            <w:left w:w="0" w:type="dxa"/>
            <w:bottom w:w="0" w:type="dxa"/>
            <w:right w:w="0" w:type="dxa"/>
          </w:tblCellMar>
        </w:tblPrEx>
        <w:trPr>
          <w:trHeight w:val="327" w:hRule="atLeast"/>
          <w:jc w:val="center"/>
        </w:trPr>
        <w:tc>
          <w:tcPr>
            <w:tcW w:w="648" w:type="dxa"/>
            <w:vMerge w:val="continue"/>
            <w:tcBorders>
              <w:top w:val="single" w:color="000000" w:sz="4" w:space="0"/>
              <w:left w:val="single" w:color="000000" w:sz="12" w:space="0"/>
              <w:bottom w:val="single" w:color="000000" w:sz="4" w:space="0"/>
              <w:right w:val="single" w:color="000000" w:sz="4" w:space="0"/>
            </w:tcBorders>
            <w:vAlign w:val="center"/>
          </w:tcPr>
          <w:p w14:paraId="4704F64B">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1630" w:type="dxa"/>
            <w:vMerge w:val="continue"/>
            <w:tcBorders>
              <w:top w:val="single" w:color="000000" w:sz="4" w:space="0"/>
              <w:left w:val="single" w:color="000000" w:sz="4" w:space="0"/>
              <w:bottom w:val="single" w:color="000000" w:sz="4" w:space="0"/>
              <w:right w:val="single" w:color="000000" w:sz="4" w:space="0"/>
            </w:tcBorders>
            <w:vAlign w:val="center"/>
          </w:tcPr>
          <w:p w14:paraId="57CF1910">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687" w:type="dxa"/>
            <w:vMerge w:val="continue"/>
            <w:tcBorders>
              <w:top w:val="single" w:color="000000" w:sz="4" w:space="0"/>
              <w:left w:val="single" w:color="000000" w:sz="4" w:space="0"/>
              <w:bottom w:val="single" w:color="000000" w:sz="4" w:space="0"/>
              <w:right w:val="single" w:color="000000" w:sz="4" w:space="0"/>
            </w:tcBorders>
            <w:vAlign w:val="center"/>
          </w:tcPr>
          <w:p w14:paraId="70089CFD">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745" w:type="dxa"/>
            <w:tcBorders>
              <w:top w:val="single" w:color="000000" w:sz="4" w:space="0"/>
              <w:left w:val="single" w:color="000000" w:sz="4" w:space="0"/>
              <w:bottom w:val="single" w:color="000000" w:sz="4" w:space="0"/>
              <w:right w:val="single" w:color="000000" w:sz="4" w:space="0"/>
            </w:tcBorders>
            <w:vAlign w:val="center"/>
          </w:tcPr>
          <w:p w14:paraId="78DCCEF1">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10</w:t>
            </w:r>
          </w:p>
        </w:tc>
        <w:tc>
          <w:tcPr>
            <w:tcW w:w="628" w:type="dxa"/>
            <w:tcBorders>
              <w:top w:val="single" w:color="000000" w:sz="4" w:space="0"/>
              <w:left w:val="single" w:color="000000" w:sz="4" w:space="0"/>
              <w:bottom w:val="single" w:color="000000" w:sz="4" w:space="0"/>
              <w:right w:val="single" w:color="000000" w:sz="4" w:space="0"/>
            </w:tcBorders>
            <w:vAlign w:val="center"/>
          </w:tcPr>
          <w:p w14:paraId="403822F1">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20</w:t>
            </w:r>
          </w:p>
        </w:tc>
        <w:tc>
          <w:tcPr>
            <w:tcW w:w="631" w:type="dxa"/>
            <w:tcBorders>
              <w:top w:val="single" w:color="000000" w:sz="4" w:space="0"/>
              <w:left w:val="single" w:color="000000" w:sz="4" w:space="0"/>
              <w:bottom w:val="single" w:color="000000" w:sz="4" w:space="0"/>
              <w:right w:val="single" w:color="000000" w:sz="4" w:space="0"/>
            </w:tcBorders>
            <w:vAlign w:val="center"/>
          </w:tcPr>
          <w:p w14:paraId="4A9E5CD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40</w:t>
            </w:r>
          </w:p>
        </w:tc>
        <w:tc>
          <w:tcPr>
            <w:tcW w:w="631" w:type="dxa"/>
            <w:tcBorders>
              <w:top w:val="single" w:color="000000" w:sz="4" w:space="0"/>
              <w:left w:val="single" w:color="000000" w:sz="4" w:space="0"/>
              <w:bottom w:val="single" w:color="000000" w:sz="4" w:space="0"/>
              <w:right w:val="single" w:color="000000" w:sz="4" w:space="0"/>
            </w:tcBorders>
            <w:vAlign w:val="center"/>
          </w:tcPr>
          <w:p w14:paraId="6AD4E46C">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60</w:t>
            </w:r>
          </w:p>
        </w:tc>
        <w:tc>
          <w:tcPr>
            <w:tcW w:w="629" w:type="dxa"/>
            <w:tcBorders>
              <w:top w:val="single" w:color="000000" w:sz="4" w:space="0"/>
              <w:left w:val="single" w:color="000000" w:sz="4" w:space="0"/>
              <w:bottom w:val="single" w:color="000000" w:sz="4" w:space="0"/>
              <w:right w:val="single" w:color="000000" w:sz="4" w:space="0"/>
            </w:tcBorders>
            <w:vAlign w:val="center"/>
          </w:tcPr>
          <w:p w14:paraId="42CFB261">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80</w:t>
            </w:r>
          </w:p>
        </w:tc>
        <w:tc>
          <w:tcPr>
            <w:tcW w:w="630" w:type="dxa"/>
            <w:tcBorders>
              <w:top w:val="single" w:color="000000" w:sz="4" w:space="0"/>
              <w:left w:val="single" w:color="000000" w:sz="4" w:space="0"/>
              <w:bottom w:val="single" w:color="000000" w:sz="4" w:space="0"/>
              <w:right w:val="single" w:color="000000" w:sz="4" w:space="0"/>
            </w:tcBorders>
            <w:vAlign w:val="center"/>
          </w:tcPr>
          <w:p w14:paraId="3883D0BE">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100</w:t>
            </w:r>
          </w:p>
        </w:tc>
        <w:tc>
          <w:tcPr>
            <w:tcW w:w="643" w:type="dxa"/>
            <w:tcBorders>
              <w:top w:val="single" w:color="000000" w:sz="4" w:space="0"/>
              <w:left w:val="single" w:color="000000" w:sz="4" w:space="0"/>
              <w:bottom w:val="single" w:color="000000" w:sz="4" w:space="0"/>
              <w:right w:val="single" w:color="000000" w:sz="4" w:space="0"/>
            </w:tcBorders>
            <w:vAlign w:val="center"/>
          </w:tcPr>
          <w:p w14:paraId="5D10371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200</w:t>
            </w:r>
          </w:p>
        </w:tc>
        <w:tc>
          <w:tcPr>
            <w:tcW w:w="687" w:type="dxa"/>
            <w:tcBorders>
              <w:top w:val="single" w:color="000000" w:sz="4" w:space="0"/>
              <w:left w:val="single" w:color="000000" w:sz="4" w:space="0"/>
              <w:bottom w:val="single" w:color="000000" w:sz="4" w:space="0"/>
              <w:right w:val="single" w:color="000000" w:sz="4" w:space="0"/>
            </w:tcBorders>
            <w:vAlign w:val="center"/>
          </w:tcPr>
          <w:p w14:paraId="4256F120">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昼间</w:t>
            </w:r>
          </w:p>
        </w:tc>
        <w:tc>
          <w:tcPr>
            <w:tcW w:w="749" w:type="dxa"/>
            <w:tcBorders>
              <w:top w:val="single" w:color="000000" w:sz="4" w:space="0"/>
              <w:left w:val="single" w:color="000000" w:sz="4" w:space="0"/>
              <w:bottom w:val="single" w:color="000000" w:sz="4" w:space="0"/>
              <w:right w:val="single" w:color="000000" w:sz="12" w:space="0"/>
            </w:tcBorders>
            <w:vAlign w:val="center"/>
          </w:tcPr>
          <w:p w14:paraId="4CD4E29A">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夜间</w:t>
            </w:r>
          </w:p>
        </w:tc>
      </w:tr>
      <w:tr w14:paraId="4DBF74FA">
        <w:tblPrEx>
          <w:tblCellMar>
            <w:top w:w="0" w:type="dxa"/>
            <w:left w:w="0" w:type="dxa"/>
            <w:bottom w:w="0" w:type="dxa"/>
            <w:right w:w="0" w:type="dxa"/>
          </w:tblCellMar>
        </w:tblPrEx>
        <w:trPr>
          <w:trHeight w:val="327" w:hRule="atLeast"/>
          <w:jc w:val="center"/>
        </w:trPr>
        <w:tc>
          <w:tcPr>
            <w:tcW w:w="648" w:type="dxa"/>
            <w:vMerge w:val="restart"/>
            <w:tcBorders>
              <w:top w:val="single" w:color="000000" w:sz="4" w:space="0"/>
              <w:left w:val="single" w:color="000000" w:sz="12" w:space="0"/>
              <w:bottom w:val="single" w:color="000000" w:sz="4" w:space="0"/>
              <w:right w:val="single" w:color="000000" w:sz="4" w:space="0"/>
            </w:tcBorders>
            <w:vAlign w:val="center"/>
          </w:tcPr>
          <w:p w14:paraId="6B94EBA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土石方</w:t>
            </w:r>
          </w:p>
        </w:tc>
        <w:tc>
          <w:tcPr>
            <w:tcW w:w="1630" w:type="dxa"/>
            <w:tcBorders>
              <w:top w:val="single" w:color="000000" w:sz="4" w:space="0"/>
              <w:left w:val="single" w:color="000000" w:sz="4" w:space="0"/>
              <w:bottom w:val="single" w:color="000000" w:sz="4" w:space="0"/>
              <w:right w:val="single" w:color="000000" w:sz="4" w:space="0"/>
            </w:tcBorders>
            <w:vAlign w:val="center"/>
          </w:tcPr>
          <w:p w14:paraId="57D7CD9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推土机</w:t>
            </w:r>
          </w:p>
        </w:tc>
        <w:tc>
          <w:tcPr>
            <w:tcW w:w="687" w:type="dxa"/>
            <w:tcBorders>
              <w:top w:val="single" w:color="000000" w:sz="4" w:space="0"/>
              <w:left w:val="single" w:color="000000" w:sz="4" w:space="0"/>
              <w:bottom w:val="single" w:color="000000" w:sz="4" w:space="0"/>
              <w:right w:val="single" w:color="000000" w:sz="4" w:space="0"/>
            </w:tcBorders>
            <w:vAlign w:val="center"/>
          </w:tcPr>
          <w:p w14:paraId="134C479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86</w:t>
            </w:r>
          </w:p>
        </w:tc>
        <w:tc>
          <w:tcPr>
            <w:tcW w:w="745" w:type="dxa"/>
            <w:tcBorders>
              <w:top w:val="single" w:color="000000" w:sz="4" w:space="0"/>
              <w:left w:val="single" w:color="000000" w:sz="4" w:space="0"/>
              <w:bottom w:val="single" w:color="000000" w:sz="4" w:space="0"/>
              <w:right w:val="single" w:color="000000" w:sz="4" w:space="0"/>
            </w:tcBorders>
            <w:vAlign w:val="center"/>
          </w:tcPr>
          <w:p w14:paraId="6BF0BF7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66.0</w:t>
            </w:r>
          </w:p>
        </w:tc>
        <w:tc>
          <w:tcPr>
            <w:tcW w:w="628" w:type="dxa"/>
            <w:tcBorders>
              <w:top w:val="single" w:color="000000" w:sz="4" w:space="0"/>
              <w:left w:val="single" w:color="000000" w:sz="4" w:space="0"/>
              <w:bottom w:val="single" w:color="000000" w:sz="4" w:space="0"/>
              <w:right w:val="single" w:color="000000" w:sz="4" w:space="0"/>
            </w:tcBorders>
            <w:vAlign w:val="center"/>
          </w:tcPr>
          <w:p w14:paraId="0ED7B31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60.0</w:t>
            </w:r>
          </w:p>
        </w:tc>
        <w:tc>
          <w:tcPr>
            <w:tcW w:w="631" w:type="dxa"/>
            <w:tcBorders>
              <w:top w:val="single" w:color="000000" w:sz="4" w:space="0"/>
              <w:left w:val="single" w:color="000000" w:sz="4" w:space="0"/>
              <w:bottom w:val="single" w:color="000000" w:sz="4" w:space="0"/>
              <w:right w:val="single" w:color="000000" w:sz="4" w:space="0"/>
            </w:tcBorders>
            <w:vAlign w:val="center"/>
          </w:tcPr>
          <w:p w14:paraId="28FCAE3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54.9</w:t>
            </w:r>
          </w:p>
        </w:tc>
        <w:tc>
          <w:tcPr>
            <w:tcW w:w="631" w:type="dxa"/>
            <w:tcBorders>
              <w:top w:val="single" w:color="000000" w:sz="4" w:space="0"/>
              <w:left w:val="single" w:color="000000" w:sz="4" w:space="0"/>
              <w:bottom w:val="single" w:color="000000" w:sz="4" w:space="0"/>
              <w:right w:val="single" w:color="000000" w:sz="4" w:space="0"/>
            </w:tcBorders>
            <w:vAlign w:val="center"/>
          </w:tcPr>
          <w:p w14:paraId="24EEEFF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50.4</w:t>
            </w:r>
          </w:p>
        </w:tc>
        <w:tc>
          <w:tcPr>
            <w:tcW w:w="629" w:type="dxa"/>
            <w:tcBorders>
              <w:top w:val="single" w:color="000000" w:sz="4" w:space="0"/>
              <w:left w:val="single" w:color="000000" w:sz="4" w:space="0"/>
              <w:bottom w:val="single" w:color="000000" w:sz="4" w:space="0"/>
              <w:right w:val="single" w:color="000000" w:sz="4" w:space="0"/>
            </w:tcBorders>
            <w:vAlign w:val="center"/>
          </w:tcPr>
          <w:p w14:paraId="65B2093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47.9</w:t>
            </w:r>
          </w:p>
        </w:tc>
        <w:tc>
          <w:tcPr>
            <w:tcW w:w="630" w:type="dxa"/>
            <w:tcBorders>
              <w:top w:val="single" w:color="000000" w:sz="4" w:space="0"/>
              <w:left w:val="single" w:color="000000" w:sz="4" w:space="0"/>
              <w:bottom w:val="single" w:color="000000" w:sz="4" w:space="0"/>
              <w:right w:val="single" w:color="000000" w:sz="4" w:space="0"/>
            </w:tcBorders>
            <w:vAlign w:val="center"/>
          </w:tcPr>
          <w:p w14:paraId="5273D18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46.0</w:t>
            </w:r>
          </w:p>
        </w:tc>
        <w:tc>
          <w:tcPr>
            <w:tcW w:w="643" w:type="dxa"/>
            <w:tcBorders>
              <w:top w:val="single" w:color="000000" w:sz="4" w:space="0"/>
              <w:left w:val="single" w:color="000000" w:sz="4" w:space="0"/>
              <w:bottom w:val="single" w:color="000000" w:sz="4" w:space="0"/>
              <w:right w:val="single" w:color="000000" w:sz="4" w:space="0"/>
            </w:tcBorders>
            <w:vAlign w:val="center"/>
          </w:tcPr>
          <w:p w14:paraId="1768523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40.0</w:t>
            </w:r>
          </w:p>
        </w:tc>
        <w:tc>
          <w:tcPr>
            <w:tcW w:w="687" w:type="dxa"/>
            <w:tcBorders>
              <w:top w:val="single" w:color="000000" w:sz="4" w:space="0"/>
              <w:left w:val="single" w:color="000000" w:sz="4" w:space="0"/>
              <w:bottom w:val="single" w:color="000000" w:sz="4" w:space="0"/>
              <w:right w:val="single" w:color="000000" w:sz="4" w:space="0"/>
            </w:tcBorders>
            <w:vAlign w:val="center"/>
          </w:tcPr>
          <w:p w14:paraId="50B25A0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w:t>
            </w:r>
          </w:p>
        </w:tc>
        <w:tc>
          <w:tcPr>
            <w:tcW w:w="749" w:type="dxa"/>
            <w:tcBorders>
              <w:top w:val="single" w:color="000000" w:sz="4" w:space="0"/>
              <w:left w:val="single" w:color="000000" w:sz="4" w:space="0"/>
              <w:bottom w:val="single" w:color="000000" w:sz="4" w:space="0"/>
              <w:right w:val="single" w:color="000000" w:sz="12" w:space="0"/>
            </w:tcBorders>
            <w:vAlign w:val="center"/>
          </w:tcPr>
          <w:p w14:paraId="30CDE0A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36</w:t>
            </w:r>
          </w:p>
        </w:tc>
      </w:tr>
      <w:tr w14:paraId="361C746C">
        <w:tblPrEx>
          <w:tblCellMar>
            <w:top w:w="0" w:type="dxa"/>
            <w:left w:w="0" w:type="dxa"/>
            <w:bottom w:w="0" w:type="dxa"/>
            <w:right w:w="0" w:type="dxa"/>
          </w:tblCellMar>
        </w:tblPrEx>
        <w:trPr>
          <w:trHeight w:val="327" w:hRule="atLeast"/>
          <w:jc w:val="center"/>
        </w:trPr>
        <w:tc>
          <w:tcPr>
            <w:tcW w:w="648" w:type="dxa"/>
            <w:vMerge w:val="continue"/>
            <w:tcBorders>
              <w:top w:val="single" w:color="000000" w:sz="4" w:space="0"/>
              <w:left w:val="single" w:color="000000" w:sz="12" w:space="0"/>
              <w:bottom w:val="single" w:color="000000" w:sz="4" w:space="0"/>
              <w:right w:val="single" w:color="000000" w:sz="4" w:space="0"/>
            </w:tcBorders>
            <w:vAlign w:val="center"/>
          </w:tcPr>
          <w:p w14:paraId="440751E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630" w:type="dxa"/>
            <w:tcBorders>
              <w:top w:val="single" w:color="000000" w:sz="4" w:space="0"/>
              <w:left w:val="single" w:color="000000" w:sz="4" w:space="0"/>
              <w:bottom w:val="single" w:color="000000" w:sz="4" w:space="0"/>
              <w:right w:val="single" w:color="000000" w:sz="4" w:space="0"/>
            </w:tcBorders>
            <w:vAlign w:val="center"/>
          </w:tcPr>
          <w:p w14:paraId="165D0BE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挖掘机</w:t>
            </w:r>
          </w:p>
        </w:tc>
        <w:tc>
          <w:tcPr>
            <w:tcW w:w="687" w:type="dxa"/>
            <w:tcBorders>
              <w:top w:val="single" w:color="000000" w:sz="4" w:space="0"/>
              <w:left w:val="single" w:color="000000" w:sz="4" w:space="0"/>
              <w:bottom w:val="single" w:color="000000" w:sz="4" w:space="0"/>
              <w:right w:val="single" w:color="000000" w:sz="4" w:space="0"/>
            </w:tcBorders>
            <w:vAlign w:val="center"/>
          </w:tcPr>
          <w:p w14:paraId="1C523C5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84</w:t>
            </w:r>
          </w:p>
        </w:tc>
        <w:tc>
          <w:tcPr>
            <w:tcW w:w="745" w:type="dxa"/>
            <w:tcBorders>
              <w:top w:val="single" w:color="000000" w:sz="4" w:space="0"/>
              <w:left w:val="single" w:color="000000" w:sz="4" w:space="0"/>
              <w:bottom w:val="single" w:color="000000" w:sz="4" w:space="0"/>
              <w:right w:val="single" w:color="000000" w:sz="4" w:space="0"/>
            </w:tcBorders>
            <w:vAlign w:val="center"/>
          </w:tcPr>
          <w:p w14:paraId="2D7FB34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64.0</w:t>
            </w:r>
          </w:p>
        </w:tc>
        <w:tc>
          <w:tcPr>
            <w:tcW w:w="628" w:type="dxa"/>
            <w:tcBorders>
              <w:top w:val="single" w:color="000000" w:sz="4" w:space="0"/>
              <w:left w:val="single" w:color="000000" w:sz="4" w:space="0"/>
              <w:bottom w:val="single" w:color="000000" w:sz="4" w:space="0"/>
              <w:right w:val="single" w:color="000000" w:sz="4" w:space="0"/>
            </w:tcBorders>
            <w:vAlign w:val="center"/>
          </w:tcPr>
          <w:p w14:paraId="5FA79C3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58.0</w:t>
            </w:r>
          </w:p>
        </w:tc>
        <w:tc>
          <w:tcPr>
            <w:tcW w:w="631" w:type="dxa"/>
            <w:tcBorders>
              <w:top w:val="single" w:color="000000" w:sz="4" w:space="0"/>
              <w:left w:val="single" w:color="000000" w:sz="4" w:space="0"/>
              <w:bottom w:val="single" w:color="000000" w:sz="4" w:space="0"/>
              <w:right w:val="single" w:color="000000" w:sz="4" w:space="0"/>
            </w:tcBorders>
            <w:vAlign w:val="center"/>
          </w:tcPr>
          <w:p w14:paraId="0FDC845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52.0</w:t>
            </w:r>
          </w:p>
        </w:tc>
        <w:tc>
          <w:tcPr>
            <w:tcW w:w="631" w:type="dxa"/>
            <w:tcBorders>
              <w:top w:val="single" w:color="000000" w:sz="4" w:space="0"/>
              <w:left w:val="single" w:color="000000" w:sz="4" w:space="0"/>
              <w:bottom w:val="single" w:color="000000" w:sz="4" w:space="0"/>
              <w:right w:val="single" w:color="000000" w:sz="4" w:space="0"/>
            </w:tcBorders>
            <w:vAlign w:val="center"/>
          </w:tcPr>
          <w:p w14:paraId="3BCB00B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48.4</w:t>
            </w:r>
          </w:p>
        </w:tc>
        <w:tc>
          <w:tcPr>
            <w:tcW w:w="629" w:type="dxa"/>
            <w:tcBorders>
              <w:top w:val="single" w:color="000000" w:sz="4" w:space="0"/>
              <w:left w:val="single" w:color="000000" w:sz="4" w:space="0"/>
              <w:bottom w:val="single" w:color="000000" w:sz="4" w:space="0"/>
              <w:right w:val="single" w:color="000000" w:sz="4" w:space="0"/>
            </w:tcBorders>
            <w:vAlign w:val="center"/>
          </w:tcPr>
          <w:p w14:paraId="2737924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46.0</w:t>
            </w:r>
          </w:p>
        </w:tc>
        <w:tc>
          <w:tcPr>
            <w:tcW w:w="630" w:type="dxa"/>
            <w:tcBorders>
              <w:top w:val="single" w:color="000000" w:sz="4" w:space="0"/>
              <w:left w:val="single" w:color="000000" w:sz="4" w:space="0"/>
              <w:bottom w:val="single" w:color="000000" w:sz="4" w:space="0"/>
              <w:right w:val="single" w:color="000000" w:sz="4" w:space="0"/>
            </w:tcBorders>
            <w:vAlign w:val="center"/>
          </w:tcPr>
          <w:p w14:paraId="58805FD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44.0</w:t>
            </w:r>
          </w:p>
        </w:tc>
        <w:tc>
          <w:tcPr>
            <w:tcW w:w="643" w:type="dxa"/>
            <w:tcBorders>
              <w:top w:val="single" w:color="000000" w:sz="4" w:space="0"/>
              <w:left w:val="single" w:color="000000" w:sz="4" w:space="0"/>
              <w:bottom w:val="single" w:color="000000" w:sz="4" w:space="0"/>
              <w:right w:val="single" w:color="000000" w:sz="4" w:space="0"/>
            </w:tcBorders>
            <w:vAlign w:val="center"/>
          </w:tcPr>
          <w:p w14:paraId="56937DB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38.0</w:t>
            </w:r>
          </w:p>
        </w:tc>
        <w:tc>
          <w:tcPr>
            <w:tcW w:w="687" w:type="dxa"/>
            <w:tcBorders>
              <w:top w:val="single" w:color="000000" w:sz="4" w:space="0"/>
              <w:left w:val="single" w:color="000000" w:sz="4" w:space="0"/>
              <w:bottom w:val="single" w:color="000000" w:sz="4" w:space="0"/>
              <w:right w:val="single" w:color="000000" w:sz="4" w:space="0"/>
            </w:tcBorders>
            <w:vAlign w:val="center"/>
          </w:tcPr>
          <w:p w14:paraId="25496E8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w:t>
            </w:r>
          </w:p>
        </w:tc>
        <w:tc>
          <w:tcPr>
            <w:tcW w:w="749" w:type="dxa"/>
            <w:tcBorders>
              <w:top w:val="single" w:color="000000" w:sz="4" w:space="0"/>
              <w:left w:val="single" w:color="000000" w:sz="4" w:space="0"/>
              <w:bottom w:val="single" w:color="000000" w:sz="4" w:space="0"/>
              <w:right w:val="single" w:color="000000" w:sz="12" w:space="0"/>
            </w:tcBorders>
            <w:vAlign w:val="center"/>
          </w:tcPr>
          <w:p w14:paraId="030A4BC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29</w:t>
            </w:r>
          </w:p>
        </w:tc>
      </w:tr>
      <w:tr w14:paraId="48B31AB3">
        <w:tblPrEx>
          <w:tblCellMar>
            <w:top w:w="0" w:type="dxa"/>
            <w:left w:w="0" w:type="dxa"/>
            <w:bottom w:w="0" w:type="dxa"/>
            <w:right w:w="0" w:type="dxa"/>
          </w:tblCellMar>
        </w:tblPrEx>
        <w:trPr>
          <w:trHeight w:val="327" w:hRule="atLeast"/>
          <w:jc w:val="center"/>
        </w:trPr>
        <w:tc>
          <w:tcPr>
            <w:tcW w:w="648" w:type="dxa"/>
            <w:vMerge w:val="continue"/>
            <w:tcBorders>
              <w:top w:val="single" w:color="000000" w:sz="4" w:space="0"/>
              <w:left w:val="single" w:color="000000" w:sz="12" w:space="0"/>
              <w:bottom w:val="single" w:color="000000" w:sz="4" w:space="0"/>
              <w:right w:val="single" w:color="000000" w:sz="4" w:space="0"/>
            </w:tcBorders>
            <w:vAlign w:val="center"/>
          </w:tcPr>
          <w:p w14:paraId="0B86881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630" w:type="dxa"/>
            <w:tcBorders>
              <w:top w:val="single" w:color="000000" w:sz="4" w:space="0"/>
              <w:left w:val="single" w:color="000000" w:sz="4" w:space="0"/>
              <w:bottom w:val="single" w:color="000000" w:sz="4" w:space="0"/>
              <w:right w:val="single" w:color="000000" w:sz="4" w:space="0"/>
            </w:tcBorders>
            <w:vAlign w:val="center"/>
          </w:tcPr>
          <w:p w14:paraId="1AE6DB3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运载卡车</w:t>
            </w:r>
          </w:p>
        </w:tc>
        <w:tc>
          <w:tcPr>
            <w:tcW w:w="687" w:type="dxa"/>
            <w:tcBorders>
              <w:top w:val="single" w:color="000000" w:sz="4" w:space="0"/>
              <w:left w:val="single" w:color="000000" w:sz="4" w:space="0"/>
              <w:bottom w:val="single" w:color="000000" w:sz="4" w:space="0"/>
              <w:right w:val="single" w:color="000000" w:sz="4" w:space="0"/>
            </w:tcBorders>
            <w:vAlign w:val="center"/>
          </w:tcPr>
          <w:p w14:paraId="6F8AFD1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83</w:t>
            </w:r>
          </w:p>
        </w:tc>
        <w:tc>
          <w:tcPr>
            <w:tcW w:w="745" w:type="dxa"/>
            <w:tcBorders>
              <w:top w:val="single" w:color="000000" w:sz="4" w:space="0"/>
              <w:left w:val="single" w:color="000000" w:sz="4" w:space="0"/>
              <w:bottom w:val="single" w:color="000000" w:sz="4" w:space="0"/>
              <w:right w:val="single" w:color="000000" w:sz="4" w:space="0"/>
            </w:tcBorders>
            <w:vAlign w:val="center"/>
          </w:tcPr>
          <w:p w14:paraId="6E55F72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63.0</w:t>
            </w:r>
          </w:p>
        </w:tc>
        <w:tc>
          <w:tcPr>
            <w:tcW w:w="628" w:type="dxa"/>
            <w:tcBorders>
              <w:top w:val="single" w:color="000000" w:sz="4" w:space="0"/>
              <w:left w:val="single" w:color="000000" w:sz="4" w:space="0"/>
              <w:bottom w:val="single" w:color="000000" w:sz="4" w:space="0"/>
              <w:right w:val="single" w:color="000000" w:sz="4" w:space="0"/>
            </w:tcBorders>
            <w:vAlign w:val="center"/>
          </w:tcPr>
          <w:p w14:paraId="0372B4D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57.0</w:t>
            </w:r>
          </w:p>
        </w:tc>
        <w:tc>
          <w:tcPr>
            <w:tcW w:w="631" w:type="dxa"/>
            <w:tcBorders>
              <w:top w:val="single" w:color="000000" w:sz="4" w:space="0"/>
              <w:left w:val="single" w:color="000000" w:sz="4" w:space="0"/>
              <w:bottom w:val="single" w:color="000000" w:sz="4" w:space="0"/>
              <w:right w:val="single" w:color="000000" w:sz="4" w:space="0"/>
            </w:tcBorders>
            <w:vAlign w:val="center"/>
          </w:tcPr>
          <w:p w14:paraId="5956F92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51.0</w:t>
            </w:r>
          </w:p>
        </w:tc>
        <w:tc>
          <w:tcPr>
            <w:tcW w:w="631" w:type="dxa"/>
            <w:tcBorders>
              <w:top w:val="single" w:color="000000" w:sz="4" w:space="0"/>
              <w:left w:val="single" w:color="000000" w:sz="4" w:space="0"/>
              <w:bottom w:val="single" w:color="000000" w:sz="4" w:space="0"/>
              <w:right w:val="single" w:color="000000" w:sz="4" w:space="0"/>
            </w:tcBorders>
            <w:vAlign w:val="center"/>
          </w:tcPr>
          <w:p w14:paraId="3078FF1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47.4</w:t>
            </w:r>
          </w:p>
        </w:tc>
        <w:tc>
          <w:tcPr>
            <w:tcW w:w="629" w:type="dxa"/>
            <w:tcBorders>
              <w:top w:val="single" w:color="000000" w:sz="4" w:space="0"/>
              <w:left w:val="single" w:color="000000" w:sz="4" w:space="0"/>
              <w:bottom w:val="single" w:color="000000" w:sz="4" w:space="0"/>
              <w:right w:val="single" w:color="000000" w:sz="4" w:space="0"/>
            </w:tcBorders>
            <w:vAlign w:val="center"/>
          </w:tcPr>
          <w:p w14:paraId="259F549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44.9</w:t>
            </w:r>
          </w:p>
        </w:tc>
        <w:tc>
          <w:tcPr>
            <w:tcW w:w="630" w:type="dxa"/>
            <w:tcBorders>
              <w:top w:val="single" w:color="000000" w:sz="4" w:space="0"/>
              <w:left w:val="single" w:color="000000" w:sz="4" w:space="0"/>
              <w:bottom w:val="single" w:color="000000" w:sz="4" w:space="0"/>
              <w:right w:val="single" w:color="000000" w:sz="4" w:space="0"/>
            </w:tcBorders>
            <w:vAlign w:val="center"/>
          </w:tcPr>
          <w:p w14:paraId="22D2522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43.0</w:t>
            </w:r>
          </w:p>
        </w:tc>
        <w:tc>
          <w:tcPr>
            <w:tcW w:w="643" w:type="dxa"/>
            <w:tcBorders>
              <w:top w:val="single" w:color="000000" w:sz="4" w:space="0"/>
              <w:left w:val="single" w:color="000000" w:sz="4" w:space="0"/>
              <w:bottom w:val="single" w:color="000000" w:sz="4" w:space="0"/>
              <w:right w:val="single" w:color="000000" w:sz="4" w:space="0"/>
            </w:tcBorders>
            <w:vAlign w:val="center"/>
          </w:tcPr>
          <w:p w14:paraId="5E5C18C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37.0</w:t>
            </w:r>
          </w:p>
        </w:tc>
        <w:tc>
          <w:tcPr>
            <w:tcW w:w="687" w:type="dxa"/>
            <w:tcBorders>
              <w:top w:val="single" w:color="000000" w:sz="4" w:space="0"/>
              <w:left w:val="single" w:color="000000" w:sz="4" w:space="0"/>
              <w:bottom w:val="single" w:color="000000" w:sz="4" w:space="0"/>
              <w:right w:val="single" w:color="000000" w:sz="4" w:space="0"/>
            </w:tcBorders>
            <w:vAlign w:val="center"/>
          </w:tcPr>
          <w:p w14:paraId="6D001FE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c>
          <w:tcPr>
            <w:tcW w:w="749" w:type="dxa"/>
            <w:tcBorders>
              <w:top w:val="single" w:color="000000" w:sz="4" w:space="0"/>
              <w:left w:val="single" w:color="000000" w:sz="4" w:space="0"/>
              <w:bottom w:val="single" w:color="000000" w:sz="4" w:space="0"/>
              <w:right w:val="single" w:color="000000" w:sz="12" w:space="0"/>
            </w:tcBorders>
            <w:vAlign w:val="center"/>
          </w:tcPr>
          <w:p w14:paraId="2E45B2D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26</w:t>
            </w:r>
          </w:p>
        </w:tc>
      </w:tr>
      <w:tr w14:paraId="059C0138">
        <w:tblPrEx>
          <w:tblCellMar>
            <w:top w:w="0" w:type="dxa"/>
            <w:left w:w="0" w:type="dxa"/>
            <w:bottom w:w="0" w:type="dxa"/>
            <w:right w:w="0" w:type="dxa"/>
          </w:tblCellMar>
        </w:tblPrEx>
        <w:trPr>
          <w:trHeight w:val="642" w:hRule="atLeast"/>
          <w:jc w:val="center"/>
        </w:trPr>
        <w:tc>
          <w:tcPr>
            <w:tcW w:w="648" w:type="dxa"/>
            <w:tcBorders>
              <w:top w:val="single" w:color="000000" w:sz="4" w:space="0"/>
              <w:left w:val="single" w:color="000000" w:sz="12" w:space="0"/>
              <w:bottom w:val="single" w:color="000000" w:sz="4" w:space="0"/>
              <w:right w:val="single" w:color="000000" w:sz="4" w:space="0"/>
            </w:tcBorders>
            <w:vAlign w:val="center"/>
          </w:tcPr>
          <w:p w14:paraId="4B45803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打桩</w:t>
            </w:r>
          </w:p>
        </w:tc>
        <w:tc>
          <w:tcPr>
            <w:tcW w:w="1630" w:type="dxa"/>
            <w:tcBorders>
              <w:top w:val="single" w:color="000000" w:sz="4" w:space="0"/>
              <w:left w:val="single" w:color="000000" w:sz="4" w:space="0"/>
              <w:bottom w:val="single" w:color="000000" w:sz="4" w:space="0"/>
              <w:right w:val="single" w:color="000000" w:sz="4" w:space="0"/>
            </w:tcBorders>
            <w:vAlign w:val="center"/>
          </w:tcPr>
          <w:p w14:paraId="298E581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打桩机</w:t>
            </w:r>
          </w:p>
        </w:tc>
        <w:tc>
          <w:tcPr>
            <w:tcW w:w="687" w:type="dxa"/>
            <w:tcBorders>
              <w:top w:val="single" w:color="000000" w:sz="4" w:space="0"/>
              <w:left w:val="single" w:color="000000" w:sz="4" w:space="0"/>
              <w:bottom w:val="single" w:color="000000" w:sz="4" w:space="0"/>
              <w:right w:val="single" w:color="000000" w:sz="4" w:space="0"/>
            </w:tcBorders>
            <w:vAlign w:val="center"/>
          </w:tcPr>
          <w:p w14:paraId="1C09E0A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110</w:t>
            </w:r>
          </w:p>
        </w:tc>
        <w:tc>
          <w:tcPr>
            <w:tcW w:w="745" w:type="dxa"/>
            <w:tcBorders>
              <w:top w:val="single" w:color="000000" w:sz="4" w:space="0"/>
              <w:left w:val="single" w:color="000000" w:sz="4" w:space="0"/>
              <w:bottom w:val="single" w:color="000000" w:sz="4" w:space="0"/>
              <w:right w:val="single" w:color="000000" w:sz="4" w:space="0"/>
            </w:tcBorders>
            <w:vAlign w:val="center"/>
          </w:tcPr>
          <w:p w14:paraId="04D5EF3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90</w:t>
            </w:r>
          </w:p>
        </w:tc>
        <w:tc>
          <w:tcPr>
            <w:tcW w:w="628" w:type="dxa"/>
            <w:tcBorders>
              <w:top w:val="single" w:color="000000" w:sz="4" w:space="0"/>
              <w:left w:val="single" w:color="000000" w:sz="4" w:space="0"/>
              <w:bottom w:val="single" w:color="000000" w:sz="4" w:space="0"/>
              <w:right w:val="single" w:color="000000" w:sz="4" w:space="0"/>
            </w:tcBorders>
            <w:vAlign w:val="center"/>
          </w:tcPr>
          <w:p w14:paraId="173B502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84.0</w:t>
            </w:r>
          </w:p>
        </w:tc>
        <w:tc>
          <w:tcPr>
            <w:tcW w:w="631" w:type="dxa"/>
            <w:tcBorders>
              <w:top w:val="single" w:color="000000" w:sz="4" w:space="0"/>
              <w:left w:val="single" w:color="000000" w:sz="4" w:space="0"/>
              <w:bottom w:val="single" w:color="000000" w:sz="4" w:space="0"/>
              <w:right w:val="single" w:color="000000" w:sz="4" w:space="0"/>
            </w:tcBorders>
            <w:vAlign w:val="center"/>
          </w:tcPr>
          <w:p w14:paraId="42EB3DE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78.0</w:t>
            </w:r>
          </w:p>
        </w:tc>
        <w:tc>
          <w:tcPr>
            <w:tcW w:w="631" w:type="dxa"/>
            <w:tcBorders>
              <w:top w:val="single" w:color="000000" w:sz="4" w:space="0"/>
              <w:left w:val="single" w:color="000000" w:sz="4" w:space="0"/>
              <w:bottom w:val="single" w:color="000000" w:sz="4" w:space="0"/>
              <w:right w:val="single" w:color="000000" w:sz="4" w:space="0"/>
            </w:tcBorders>
            <w:vAlign w:val="center"/>
          </w:tcPr>
          <w:p w14:paraId="13735C1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74.4</w:t>
            </w:r>
          </w:p>
        </w:tc>
        <w:tc>
          <w:tcPr>
            <w:tcW w:w="629" w:type="dxa"/>
            <w:tcBorders>
              <w:top w:val="single" w:color="000000" w:sz="4" w:space="0"/>
              <w:left w:val="single" w:color="000000" w:sz="4" w:space="0"/>
              <w:bottom w:val="single" w:color="000000" w:sz="4" w:space="0"/>
              <w:right w:val="single" w:color="000000" w:sz="4" w:space="0"/>
            </w:tcBorders>
            <w:vAlign w:val="center"/>
          </w:tcPr>
          <w:p w14:paraId="47FF96A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71.9</w:t>
            </w:r>
          </w:p>
        </w:tc>
        <w:tc>
          <w:tcPr>
            <w:tcW w:w="630" w:type="dxa"/>
            <w:tcBorders>
              <w:top w:val="single" w:color="000000" w:sz="4" w:space="0"/>
              <w:left w:val="single" w:color="000000" w:sz="4" w:space="0"/>
              <w:bottom w:val="single" w:color="000000" w:sz="4" w:space="0"/>
              <w:right w:val="single" w:color="000000" w:sz="4" w:space="0"/>
            </w:tcBorders>
            <w:vAlign w:val="center"/>
          </w:tcPr>
          <w:p w14:paraId="31E3A2E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70.0</w:t>
            </w:r>
          </w:p>
        </w:tc>
        <w:tc>
          <w:tcPr>
            <w:tcW w:w="643" w:type="dxa"/>
            <w:tcBorders>
              <w:top w:val="single" w:color="000000" w:sz="4" w:space="0"/>
              <w:left w:val="single" w:color="000000" w:sz="4" w:space="0"/>
              <w:bottom w:val="single" w:color="000000" w:sz="4" w:space="0"/>
              <w:right w:val="single" w:color="000000" w:sz="4" w:space="0"/>
            </w:tcBorders>
            <w:vAlign w:val="center"/>
          </w:tcPr>
          <w:p w14:paraId="74124AE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64.0</w:t>
            </w:r>
          </w:p>
        </w:tc>
        <w:tc>
          <w:tcPr>
            <w:tcW w:w="687" w:type="dxa"/>
            <w:tcBorders>
              <w:top w:val="single" w:color="000000" w:sz="4" w:space="0"/>
              <w:left w:val="single" w:color="000000" w:sz="4" w:space="0"/>
              <w:bottom w:val="single" w:color="000000" w:sz="4" w:space="0"/>
              <w:right w:val="single" w:color="000000" w:sz="4" w:space="0"/>
            </w:tcBorders>
            <w:vAlign w:val="center"/>
          </w:tcPr>
          <w:p w14:paraId="093FBDF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100</w:t>
            </w:r>
          </w:p>
        </w:tc>
        <w:tc>
          <w:tcPr>
            <w:tcW w:w="749" w:type="dxa"/>
            <w:tcBorders>
              <w:top w:val="single" w:color="000000" w:sz="4" w:space="0"/>
              <w:left w:val="single" w:color="000000" w:sz="4" w:space="0"/>
              <w:bottom w:val="single" w:color="000000" w:sz="4" w:space="0"/>
              <w:right w:val="single" w:color="000000" w:sz="12" w:space="0"/>
            </w:tcBorders>
            <w:vAlign w:val="center"/>
          </w:tcPr>
          <w:p w14:paraId="28FE979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禁止</w:t>
            </w:r>
          </w:p>
          <w:p w14:paraId="21E4745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w:t>
            </w:r>
          </w:p>
        </w:tc>
      </w:tr>
      <w:tr w14:paraId="2B0B3D01">
        <w:tblPrEx>
          <w:tblCellMar>
            <w:top w:w="0" w:type="dxa"/>
            <w:left w:w="0" w:type="dxa"/>
            <w:bottom w:w="0" w:type="dxa"/>
            <w:right w:w="0" w:type="dxa"/>
          </w:tblCellMar>
        </w:tblPrEx>
        <w:trPr>
          <w:trHeight w:val="642" w:hRule="atLeast"/>
          <w:jc w:val="center"/>
        </w:trPr>
        <w:tc>
          <w:tcPr>
            <w:tcW w:w="648" w:type="dxa"/>
            <w:vMerge w:val="restart"/>
            <w:tcBorders>
              <w:top w:val="single" w:color="000000" w:sz="4" w:space="0"/>
              <w:left w:val="single" w:color="000000" w:sz="12" w:space="0"/>
              <w:bottom w:val="single" w:color="000000" w:sz="4" w:space="0"/>
              <w:right w:val="single" w:color="000000" w:sz="4" w:space="0"/>
            </w:tcBorders>
            <w:vAlign w:val="center"/>
          </w:tcPr>
          <w:p w14:paraId="196286D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结构</w:t>
            </w:r>
          </w:p>
        </w:tc>
        <w:tc>
          <w:tcPr>
            <w:tcW w:w="1630" w:type="dxa"/>
            <w:tcBorders>
              <w:top w:val="single" w:color="000000" w:sz="4" w:space="0"/>
              <w:left w:val="single" w:color="000000" w:sz="4" w:space="0"/>
              <w:bottom w:val="single" w:color="000000" w:sz="4" w:space="0"/>
              <w:right w:val="single" w:color="000000" w:sz="4" w:space="0"/>
            </w:tcBorders>
            <w:vAlign w:val="center"/>
          </w:tcPr>
          <w:p w14:paraId="49C94CD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混凝土运输</w:t>
            </w:r>
          </w:p>
          <w:p w14:paraId="516D877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搅拌车</w:t>
            </w:r>
          </w:p>
        </w:tc>
        <w:tc>
          <w:tcPr>
            <w:tcW w:w="687" w:type="dxa"/>
            <w:tcBorders>
              <w:top w:val="single" w:color="000000" w:sz="4" w:space="0"/>
              <w:left w:val="single" w:color="000000" w:sz="4" w:space="0"/>
              <w:bottom w:val="single" w:color="000000" w:sz="4" w:space="0"/>
              <w:right w:val="single" w:color="000000" w:sz="4" w:space="0"/>
            </w:tcBorders>
            <w:vAlign w:val="center"/>
          </w:tcPr>
          <w:p w14:paraId="3E42A0D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88</w:t>
            </w:r>
          </w:p>
        </w:tc>
        <w:tc>
          <w:tcPr>
            <w:tcW w:w="745" w:type="dxa"/>
            <w:tcBorders>
              <w:top w:val="single" w:color="000000" w:sz="4" w:space="0"/>
              <w:left w:val="single" w:color="000000" w:sz="4" w:space="0"/>
              <w:bottom w:val="single" w:color="000000" w:sz="4" w:space="0"/>
              <w:right w:val="single" w:color="000000" w:sz="4" w:space="0"/>
            </w:tcBorders>
            <w:vAlign w:val="center"/>
          </w:tcPr>
          <w:p w14:paraId="563A9C4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68.0</w:t>
            </w:r>
          </w:p>
        </w:tc>
        <w:tc>
          <w:tcPr>
            <w:tcW w:w="628" w:type="dxa"/>
            <w:tcBorders>
              <w:top w:val="single" w:color="000000" w:sz="4" w:space="0"/>
              <w:left w:val="single" w:color="000000" w:sz="4" w:space="0"/>
              <w:bottom w:val="single" w:color="000000" w:sz="4" w:space="0"/>
              <w:right w:val="single" w:color="000000" w:sz="4" w:space="0"/>
            </w:tcBorders>
            <w:vAlign w:val="center"/>
          </w:tcPr>
          <w:p w14:paraId="5730604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62.0</w:t>
            </w:r>
          </w:p>
        </w:tc>
        <w:tc>
          <w:tcPr>
            <w:tcW w:w="631" w:type="dxa"/>
            <w:tcBorders>
              <w:top w:val="single" w:color="000000" w:sz="4" w:space="0"/>
              <w:left w:val="single" w:color="000000" w:sz="4" w:space="0"/>
              <w:bottom w:val="single" w:color="000000" w:sz="4" w:space="0"/>
              <w:right w:val="single" w:color="000000" w:sz="4" w:space="0"/>
            </w:tcBorders>
            <w:vAlign w:val="center"/>
          </w:tcPr>
          <w:p w14:paraId="5112A62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56.0</w:t>
            </w:r>
          </w:p>
        </w:tc>
        <w:tc>
          <w:tcPr>
            <w:tcW w:w="631" w:type="dxa"/>
            <w:tcBorders>
              <w:top w:val="single" w:color="000000" w:sz="4" w:space="0"/>
              <w:left w:val="single" w:color="000000" w:sz="4" w:space="0"/>
              <w:bottom w:val="single" w:color="000000" w:sz="4" w:space="0"/>
              <w:right w:val="single" w:color="000000" w:sz="4" w:space="0"/>
            </w:tcBorders>
            <w:vAlign w:val="center"/>
          </w:tcPr>
          <w:p w14:paraId="45FD342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52.4</w:t>
            </w:r>
          </w:p>
        </w:tc>
        <w:tc>
          <w:tcPr>
            <w:tcW w:w="629" w:type="dxa"/>
            <w:tcBorders>
              <w:top w:val="single" w:color="000000" w:sz="4" w:space="0"/>
              <w:left w:val="single" w:color="000000" w:sz="4" w:space="0"/>
              <w:bottom w:val="single" w:color="000000" w:sz="4" w:space="0"/>
              <w:right w:val="single" w:color="000000" w:sz="4" w:space="0"/>
            </w:tcBorders>
            <w:vAlign w:val="center"/>
          </w:tcPr>
          <w:p w14:paraId="2CFD377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50.0</w:t>
            </w:r>
          </w:p>
        </w:tc>
        <w:tc>
          <w:tcPr>
            <w:tcW w:w="630" w:type="dxa"/>
            <w:tcBorders>
              <w:top w:val="single" w:color="000000" w:sz="4" w:space="0"/>
              <w:left w:val="single" w:color="000000" w:sz="4" w:space="0"/>
              <w:bottom w:val="single" w:color="000000" w:sz="4" w:space="0"/>
              <w:right w:val="single" w:color="000000" w:sz="4" w:space="0"/>
            </w:tcBorders>
            <w:vAlign w:val="center"/>
          </w:tcPr>
          <w:p w14:paraId="7B318DD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48.0</w:t>
            </w:r>
          </w:p>
        </w:tc>
        <w:tc>
          <w:tcPr>
            <w:tcW w:w="643" w:type="dxa"/>
            <w:tcBorders>
              <w:top w:val="single" w:color="000000" w:sz="4" w:space="0"/>
              <w:left w:val="single" w:color="000000" w:sz="4" w:space="0"/>
              <w:bottom w:val="single" w:color="000000" w:sz="4" w:space="0"/>
              <w:right w:val="single" w:color="000000" w:sz="4" w:space="0"/>
            </w:tcBorders>
            <w:vAlign w:val="center"/>
          </w:tcPr>
          <w:p w14:paraId="3EFFEEA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42.0</w:t>
            </w:r>
          </w:p>
        </w:tc>
        <w:tc>
          <w:tcPr>
            <w:tcW w:w="687" w:type="dxa"/>
            <w:tcBorders>
              <w:top w:val="single" w:color="000000" w:sz="4" w:space="0"/>
              <w:left w:val="single" w:color="000000" w:sz="4" w:space="0"/>
              <w:bottom w:val="single" w:color="000000" w:sz="4" w:space="0"/>
              <w:right w:val="single" w:color="000000" w:sz="4" w:space="0"/>
            </w:tcBorders>
            <w:vAlign w:val="center"/>
          </w:tcPr>
          <w:p w14:paraId="060EA51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w:t>
            </w:r>
          </w:p>
        </w:tc>
        <w:tc>
          <w:tcPr>
            <w:tcW w:w="749" w:type="dxa"/>
            <w:tcBorders>
              <w:top w:val="single" w:color="000000" w:sz="4" w:space="0"/>
              <w:left w:val="single" w:color="000000" w:sz="4" w:space="0"/>
              <w:bottom w:val="single" w:color="000000" w:sz="4" w:space="0"/>
              <w:right w:val="single" w:color="000000" w:sz="12" w:space="0"/>
            </w:tcBorders>
            <w:vAlign w:val="center"/>
          </w:tcPr>
          <w:p w14:paraId="17D9921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45</w:t>
            </w:r>
          </w:p>
        </w:tc>
      </w:tr>
      <w:tr w14:paraId="686B9BE9">
        <w:tblPrEx>
          <w:tblCellMar>
            <w:top w:w="0" w:type="dxa"/>
            <w:left w:w="0" w:type="dxa"/>
            <w:bottom w:w="0" w:type="dxa"/>
            <w:right w:w="0" w:type="dxa"/>
          </w:tblCellMar>
        </w:tblPrEx>
        <w:trPr>
          <w:trHeight w:val="327" w:hRule="atLeast"/>
          <w:jc w:val="center"/>
        </w:trPr>
        <w:tc>
          <w:tcPr>
            <w:tcW w:w="648" w:type="dxa"/>
            <w:vMerge w:val="continue"/>
            <w:tcBorders>
              <w:top w:val="single" w:color="000000" w:sz="4" w:space="0"/>
              <w:left w:val="single" w:color="000000" w:sz="12" w:space="0"/>
              <w:bottom w:val="single" w:color="000000" w:sz="4" w:space="0"/>
              <w:right w:val="single" w:color="000000" w:sz="4" w:space="0"/>
            </w:tcBorders>
            <w:vAlign w:val="center"/>
          </w:tcPr>
          <w:p w14:paraId="610AF12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630" w:type="dxa"/>
            <w:tcBorders>
              <w:top w:val="single" w:color="000000" w:sz="4" w:space="0"/>
              <w:left w:val="single" w:color="000000" w:sz="4" w:space="0"/>
              <w:bottom w:val="single" w:color="000000" w:sz="4" w:space="0"/>
              <w:right w:val="single" w:color="000000" w:sz="4" w:space="0"/>
            </w:tcBorders>
            <w:vAlign w:val="center"/>
          </w:tcPr>
          <w:p w14:paraId="7A6A9B7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空气压缩机</w:t>
            </w:r>
          </w:p>
        </w:tc>
        <w:tc>
          <w:tcPr>
            <w:tcW w:w="687" w:type="dxa"/>
            <w:tcBorders>
              <w:top w:val="single" w:color="000000" w:sz="4" w:space="0"/>
              <w:left w:val="single" w:color="000000" w:sz="4" w:space="0"/>
              <w:bottom w:val="single" w:color="000000" w:sz="4" w:space="0"/>
              <w:right w:val="single" w:color="000000" w:sz="4" w:space="0"/>
            </w:tcBorders>
            <w:vAlign w:val="center"/>
          </w:tcPr>
          <w:p w14:paraId="22C24D9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88</w:t>
            </w:r>
          </w:p>
        </w:tc>
        <w:tc>
          <w:tcPr>
            <w:tcW w:w="745" w:type="dxa"/>
            <w:tcBorders>
              <w:top w:val="single" w:color="000000" w:sz="4" w:space="0"/>
              <w:left w:val="single" w:color="000000" w:sz="4" w:space="0"/>
              <w:bottom w:val="single" w:color="000000" w:sz="4" w:space="0"/>
              <w:right w:val="single" w:color="000000" w:sz="4" w:space="0"/>
            </w:tcBorders>
            <w:vAlign w:val="center"/>
          </w:tcPr>
          <w:p w14:paraId="610EE44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68.0</w:t>
            </w:r>
          </w:p>
        </w:tc>
        <w:tc>
          <w:tcPr>
            <w:tcW w:w="628" w:type="dxa"/>
            <w:tcBorders>
              <w:top w:val="single" w:color="000000" w:sz="4" w:space="0"/>
              <w:left w:val="single" w:color="000000" w:sz="4" w:space="0"/>
              <w:bottom w:val="single" w:color="000000" w:sz="4" w:space="0"/>
              <w:right w:val="single" w:color="000000" w:sz="4" w:space="0"/>
            </w:tcBorders>
            <w:vAlign w:val="center"/>
          </w:tcPr>
          <w:p w14:paraId="189E81E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62.0</w:t>
            </w:r>
          </w:p>
        </w:tc>
        <w:tc>
          <w:tcPr>
            <w:tcW w:w="631" w:type="dxa"/>
            <w:tcBorders>
              <w:top w:val="single" w:color="000000" w:sz="4" w:space="0"/>
              <w:left w:val="single" w:color="000000" w:sz="4" w:space="0"/>
              <w:bottom w:val="single" w:color="000000" w:sz="4" w:space="0"/>
              <w:right w:val="single" w:color="000000" w:sz="4" w:space="0"/>
            </w:tcBorders>
            <w:vAlign w:val="center"/>
          </w:tcPr>
          <w:p w14:paraId="361F06C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56.0</w:t>
            </w:r>
          </w:p>
        </w:tc>
        <w:tc>
          <w:tcPr>
            <w:tcW w:w="631" w:type="dxa"/>
            <w:tcBorders>
              <w:top w:val="single" w:color="000000" w:sz="4" w:space="0"/>
              <w:left w:val="single" w:color="000000" w:sz="4" w:space="0"/>
              <w:bottom w:val="single" w:color="000000" w:sz="4" w:space="0"/>
              <w:right w:val="single" w:color="000000" w:sz="4" w:space="0"/>
            </w:tcBorders>
            <w:vAlign w:val="center"/>
          </w:tcPr>
          <w:p w14:paraId="4B0319D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52.4</w:t>
            </w:r>
          </w:p>
        </w:tc>
        <w:tc>
          <w:tcPr>
            <w:tcW w:w="629" w:type="dxa"/>
            <w:tcBorders>
              <w:top w:val="single" w:color="000000" w:sz="4" w:space="0"/>
              <w:left w:val="single" w:color="000000" w:sz="4" w:space="0"/>
              <w:bottom w:val="single" w:color="000000" w:sz="4" w:space="0"/>
              <w:right w:val="single" w:color="000000" w:sz="4" w:space="0"/>
            </w:tcBorders>
            <w:vAlign w:val="center"/>
          </w:tcPr>
          <w:p w14:paraId="5AF0D9C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50.0</w:t>
            </w:r>
          </w:p>
        </w:tc>
        <w:tc>
          <w:tcPr>
            <w:tcW w:w="630" w:type="dxa"/>
            <w:tcBorders>
              <w:top w:val="single" w:color="000000" w:sz="4" w:space="0"/>
              <w:left w:val="single" w:color="000000" w:sz="4" w:space="0"/>
              <w:bottom w:val="single" w:color="000000" w:sz="4" w:space="0"/>
              <w:right w:val="single" w:color="000000" w:sz="4" w:space="0"/>
            </w:tcBorders>
            <w:vAlign w:val="center"/>
          </w:tcPr>
          <w:p w14:paraId="3D4E973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48.0</w:t>
            </w:r>
          </w:p>
        </w:tc>
        <w:tc>
          <w:tcPr>
            <w:tcW w:w="643" w:type="dxa"/>
            <w:tcBorders>
              <w:top w:val="single" w:color="000000" w:sz="4" w:space="0"/>
              <w:left w:val="single" w:color="000000" w:sz="4" w:space="0"/>
              <w:bottom w:val="single" w:color="000000" w:sz="4" w:space="0"/>
              <w:right w:val="single" w:color="000000" w:sz="4" w:space="0"/>
            </w:tcBorders>
            <w:vAlign w:val="center"/>
          </w:tcPr>
          <w:p w14:paraId="3BBA810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42.0</w:t>
            </w:r>
          </w:p>
        </w:tc>
        <w:tc>
          <w:tcPr>
            <w:tcW w:w="687" w:type="dxa"/>
            <w:tcBorders>
              <w:top w:val="single" w:color="000000" w:sz="4" w:space="0"/>
              <w:left w:val="single" w:color="000000" w:sz="4" w:space="0"/>
              <w:bottom w:val="single" w:color="000000" w:sz="4" w:space="0"/>
              <w:right w:val="single" w:color="000000" w:sz="4" w:space="0"/>
            </w:tcBorders>
            <w:vAlign w:val="center"/>
          </w:tcPr>
          <w:p w14:paraId="2E94541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w:t>
            </w:r>
          </w:p>
        </w:tc>
        <w:tc>
          <w:tcPr>
            <w:tcW w:w="749" w:type="dxa"/>
            <w:tcBorders>
              <w:top w:val="single" w:color="000000" w:sz="4" w:space="0"/>
              <w:left w:val="single" w:color="000000" w:sz="4" w:space="0"/>
              <w:bottom w:val="single" w:color="000000" w:sz="4" w:space="0"/>
              <w:right w:val="single" w:color="000000" w:sz="12" w:space="0"/>
            </w:tcBorders>
            <w:vAlign w:val="center"/>
          </w:tcPr>
          <w:p w14:paraId="0454403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45</w:t>
            </w:r>
          </w:p>
        </w:tc>
      </w:tr>
      <w:tr w14:paraId="52108A57">
        <w:tblPrEx>
          <w:tblCellMar>
            <w:top w:w="0" w:type="dxa"/>
            <w:left w:w="0" w:type="dxa"/>
            <w:bottom w:w="0" w:type="dxa"/>
            <w:right w:w="0" w:type="dxa"/>
          </w:tblCellMar>
        </w:tblPrEx>
        <w:trPr>
          <w:trHeight w:val="327" w:hRule="atLeast"/>
          <w:jc w:val="center"/>
        </w:trPr>
        <w:tc>
          <w:tcPr>
            <w:tcW w:w="648" w:type="dxa"/>
            <w:vMerge w:val="continue"/>
            <w:tcBorders>
              <w:top w:val="single" w:color="000000" w:sz="4" w:space="0"/>
              <w:left w:val="single" w:color="000000" w:sz="12" w:space="0"/>
              <w:bottom w:val="single" w:color="000000" w:sz="4" w:space="0"/>
              <w:right w:val="single" w:color="000000" w:sz="4" w:space="0"/>
            </w:tcBorders>
            <w:vAlign w:val="center"/>
          </w:tcPr>
          <w:p w14:paraId="2C430EA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630" w:type="dxa"/>
            <w:tcBorders>
              <w:top w:val="single" w:color="000000" w:sz="4" w:space="0"/>
              <w:left w:val="single" w:color="000000" w:sz="4" w:space="0"/>
              <w:bottom w:val="single" w:color="000000" w:sz="4" w:space="0"/>
              <w:right w:val="single" w:color="000000" w:sz="4" w:space="0"/>
            </w:tcBorders>
            <w:vAlign w:val="center"/>
          </w:tcPr>
          <w:p w14:paraId="10CDD36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气锤、风钻</w:t>
            </w:r>
          </w:p>
        </w:tc>
        <w:tc>
          <w:tcPr>
            <w:tcW w:w="687" w:type="dxa"/>
            <w:tcBorders>
              <w:top w:val="single" w:color="000000" w:sz="4" w:space="0"/>
              <w:left w:val="single" w:color="000000" w:sz="4" w:space="0"/>
              <w:bottom w:val="single" w:color="000000" w:sz="4" w:space="0"/>
              <w:right w:val="single" w:color="000000" w:sz="4" w:space="0"/>
            </w:tcBorders>
            <w:vAlign w:val="center"/>
          </w:tcPr>
          <w:p w14:paraId="2DF6B66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87</w:t>
            </w:r>
          </w:p>
        </w:tc>
        <w:tc>
          <w:tcPr>
            <w:tcW w:w="745" w:type="dxa"/>
            <w:tcBorders>
              <w:top w:val="single" w:color="000000" w:sz="4" w:space="0"/>
              <w:left w:val="single" w:color="000000" w:sz="4" w:space="0"/>
              <w:bottom w:val="single" w:color="000000" w:sz="4" w:space="0"/>
              <w:right w:val="single" w:color="000000" w:sz="4" w:space="0"/>
            </w:tcBorders>
            <w:vAlign w:val="center"/>
          </w:tcPr>
          <w:p w14:paraId="7A74918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67.0</w:t>
            </w:r>
          </w:p>
        </w:tc>
        <w:tc>
          <w:tcPr>
            <w:tcW w:w="628" w:type="dxa"/>
            <w:tcBorders>
              <w:top w:val="single" w:color="000000" w:sz="4" w:space="0"/>
              <w:left w:val="single" w:color="000000" w:sz="4" w:space="0"/>
              <w:bottom w:val="single" w:color="000000" w:sz="4" w:space="0"/>
              <w:right w:val="single" w:color="000000" w:sz="4" w:space="0"/>
            </w:tcBorders>
            <w:vAlign w:val="center"/>
          </w:tcPr>
          <w:p w14:paraId="07B1028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61.0</w:t>
            </w:r>
          </w:p>
        </w:tc>
        <w:tc>
          <w:tcPr>
            <w:tcW w:w="631" w:type="dxa"/>
            <w:tcBorders>
              <w:top w:val="single" w:color="000000" w:sz="4" w:space="0"/>
              <w:left w:val="single" w:color="000000" w:sz="4" w:space="0"/>
              <w:bottom w:val="single" w:color="000000" w:sz="4" w:space="0"/>
              <w:right w:val="single" w:color="000000" w:sz="4" w:space="0"/>
            </w:tcBorders>
            <w:vAlign w:val="center"/>
          </w:tcPr>
          <w:p w14:paraId="5C98639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55.0</w:t>
            </w:r>
          </w:p>
        </w:tc>
        <w:tc>
          <w:tcPr>
            <w:tcW w:w="631" w:type="dxa"/>
            <w:tcBorders>
              <w:top w:val="single" w:color="000000" w:sz="4" w:space="0"/>
              <w:left w:val="single" w:color="000000" w:sz="4" w:space="0"/>
              <w:bottom w:val="single" w:color="000000" w:sz="4" w:space="0"/>
              <w:right w:val="single" w:color="000000" w:sz="4" w:space="0"/>
            </w:tcBorders>
            <w:vAlign w:val="center"/>
          </w:tcPr>
          <w:p w14:paraId="39FDF4D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51.4</w:t>
            </w:r>
          </w:p>
        </w:tc>
        <w:tc>
          <w:tcPr>
            <w:tcW w:w="629" w:type="dxa"/>
            <w:tcBorders>
              <w:top w:val="single" w:color="000000" w:sz="4" w:space="0"/>
              <w:left w:val="single" w:color="000000" w:sz="4" w:space="0"/>
              <w:bottom w:val="single" w:color="000000" w:sz="4" w:space="0"/>
              <w:right w:val="single" w:color="000000" w:sz="4" w:space="0"/>
            </w:tcBorders>
            <w:vAlign w:val="center"/>
          </w:tcPr>
          <w:p w14:paraId="524ECBF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48.9</w:t>
            </w:r>
          </w:p>
        </w:tc>
        <w:tc>
          <w:tcPr>
            <w:tcW w:w="630" w:type="dxa"/>
            <w:tcBorders>
              <w:top w:val="single" w:color="000000" w:sz="4" w:space="0"/>
              <w:left w:val="single" w:color="000000" w:sz="4" w:space="0"/>
              <w:bottom w:val="single" w:color="000000" w:sz="4" w:space="0"/>
              <w:right w:val="single" w:color="000000" w:sz="4" w:space="0"/>
            </w:tcBorders>
            <w:vAlign w:val="center"/>
          </w:tcPr>
          <w:p w14:paraId="4113C46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47.0</w:t>
            </w:r>
          </w:p>
        </w:tc>
        <w:tc>
          <w:tcPr>
            <w:tcW w:w="643" w:type="dxa"/>
            <w:tcBorders>
              <w:top w:val="single" w:color="000000" w:sz="4" w:space="0"/>
              <w:left w:val="single" w:color="000000" w:sz="4" w:space="0"/>
              <w:bottom w:val="single" w:color="000000" w:sz="4" w:space="0"/>
              <w:right w:val="single" w:color="000000" w:sz="4" w:space="0"/>
            </w:tcBorders>
            <w:vAlign w:val="center"/>
          </w:tcPr>
          <w:p w14:paraId="75DBE6E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41.0</w:t>
            </w:r>
          </w:p>
        </w:tc>
        <w:tc>
          <w:tcPr>
            <w:tcW w:w="687" w:type="dxa"/>
            <w:tcBorders>
              <w:top w:val="single" w:color="000000" w:sz="4" w:space="0"/>
              <w:left w:val="single" w:color="000000" w:sz="4" w:space="0"/>
              <w:bottom w:val="single" w:color="000000" w:sz="4" w:space="0"/>
              <w:right w:val="single" w:color="000000" w:sz="4" w:space="0"/>
            </w:tcBorders>
            <w:vAlign w:val="center"/>
          </w:tcPr>
          <w:p w14:paraId="1A4973F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w:t>
            </w:r>
          </w:p>
        </w:tc>
        <w:tc>
          <w:tcPr>
            <w:tcW w:w="749" w:type="dxa"/>
            <w:tcBorders>
              <w:top w:val="single" w:color="000000" w:sz="4" w:space="0"/>
              <w:left w:val="single" w:color="000000" w:sz="4" w:space="0"/>
              <w:bottom w:val="single" w:color="000000" w:sz="4" w:space="0"/>
              <w:right w:val="single" w:color="000000" w:sz="12" w:space="0"/>
            </w:tcBorders>
            <w:vAlign w:val="center"/>
          </w:tcPr>
          <w:p w14:paraId="6E0E79A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40</w:t>
            </w:r>
          </w:p>
        </w:tc>
      </w:tr>
      <w:tr w14:paraId="4C38A3F0">
        <w:tblPrEx>
          <w:tblCellMar>
            <w:top w:w="0" w:type="dxa"/>
            <w:left w:w="0" w:type="dxa"/>
            <w:bottom w:w="0" w:type="dxa"/>
            <w:right w:w="0" w:type="dxa"/>
          </w:tblCellMar>
        </w:tblPrEx>
        <w:trPr>
          <w:trHeight w:val="362" w:hRule="atLeast"/>
          <w:jc w:val="center"/>
        </w:trPr>
        <w:tc>
          <w:tcPr>
            <w:tcW w:w="648" w:type="dxa"/>
            <w:tcBorders>
              <w:top w:val="single" w:color="000000" w:sz="4" w:space="0"/>
              <w:left w:val="single" w:color="000000" w:sz="12" w:space="0"/>
              <w:bottom w:val="single" w:color="000000" w:sz="12" w:space="0"/>
              <w:right w:val="single" w:color="000000" w:sz="4" w:space="0"/>
            </w:tcBorders>
            <w:vAlign w:val="center"/>
          </w:tcPr>
          <w:p w14:paraId="25E5DD9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装修</w:t>
            </w:r>
          </w:p>
        </w:tc>
        <w:tc>
          <w:tcPr>
            <w:tcW w:w="1630" w:type="dxa"/>
            <w:tcBorders>
              <w:top w:val="single" w:color="000000" w:sz="4" w:space="0"/>
              <w:left w:val="single" w:color="000000" w:sz="4" w:space="0"/>
              <w:bottom w:val="single" w:color="000000" w:sz="12" w:space="0"/>
              <w:right w:val="single" w:color="000000" w:sz="4" w:space="0"/>
            </w:tcBorders>
            <w:vAlign w:val="center"/>
          </w:tcPr>
          <w:p w14:paraId="7E23FFA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卷扬机</w:t>
            </w:r>
          </w:p>
        </w:tc>
        <w:tc>
          <w:tcPr>
            <w:tcW w:w="687" w:type="dxa"/>
            <w:tcBorders>
              <w:top w:val="single" w:color="000000" w:sz="4" w:space="0"/>
              <w:left w:val="single" w:color="000000" w:sz="4" w:space="0"/>
              <w:bottom w:val="single" w:color="000000" w:sz="12" w:space="0"/>
              <w:right w:val="single" w:color="000000" w:sz="4" w:space="0"/>
            </w:tcBorders>
            <w:vAlign w:val="center"/>
          </w:tcPr>
          <w:p w14:paraId="61B2DB7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85</w:t>
            </w:r>
          </w:p>
        </w:tc>
        <w:tc>
          <w:tcPr>
            <w:tcW w:w="745" w:type="dxa"/>
            <w:tcBorders>
              <w:top w:val="single" w:color="000000" w:sz="4" w:space="0"/>
              <w:left w:val="single" w:color="000000" w:sz="4" w:space="0"/>
              <w:bottom w:val="single" w:color="000000" w:sz="12" w:space="0"/>
              <w:right w:val="single" w:color="000000" w:sz="4" w:space="0"/>
            </w:tcBorders>
            <w:vAlign w:val="center"/>
          </w:tcPr>
          <w:p w14:paraId="58F3466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65.0</w:t>
            </w:r>
          </w:p>
        </w:tc>
        <w:tc>
          <w:tcPr>
            <w:tcW w:w="628" w:type="dxa"/>
            <w:tcBorders>
              <w:top w:val="single" w:color="000000" w:sz="4" w:space="0"/>
              <w:left w:val="single" w:color="000000" w:sz="4" w:space="0"/>
              <w:bottom w:val="single" w:color="000000" w:sz="12" w:space="0"/>
              <w:right w:val="single" w:color="000000" w:sz="4" w:space="0"/>
            </w:tcBorders>
            <w:vAlign w:val="center"/>
          </w:tcPr>
          <w:p w14:paraId="14A3692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59.0</w:t>
            </w:r>
          </w:p>
        </w:tc>
        <w:tc>
          <w:tcPr>
            <w:tcW w:w="631" w:type="dxa"/>
            <w:tcBorders>
              <w:top w:val="single" w:color="000000" w:sz="4" w:space="0"/>
              <w:left w:val="single" w:color="000000" w:sz="4" w:space="0"/>
              <w:bottom w:val="single" w:color="000000" w:sz="12" w:space="0"/>
              <w:right w:val="single" w:color="000000" w:sz="4" w:space="0"/>
            </w:tcBorders>
            <w:vAlign w:val="center"/>
          </w:tcPr>
          <w:p w14:paraId="4351F61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53.0</w:t>
            </w:r>
          </w:p>
        </w:tc>
        <w:tc>
          <w:tcPr>
            <w:tcW w:w="631" w:type="dxa"/>
            <w:tcBorders>
              <w:top w:val="single" w:color="000000" w:sz="4" w:space="0"/>
              <w:left w:val="single" w:color="000000" w:sz="4" w:space="0"/>
              <w:bottom w:val="single" w:color="000000" w:sz="12" w:space="0"/>
              <w:right w:val="single" w:color="000000" w:sz="4" w:space="0"/>
            </w:tcBorders>
            <w:vAlign w:val="center"/>
          </w:tcPr>
          <w:p w14:paraId="00B5BA1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49.4</w:t>
            </w:r>
          </w:p>
        </w:tc>
        <w:tc>
          <w:tcPr>
            <w:tcW w:w="629" w:type="dxa"/>
            <w:tcBorders>
              <w:top w:val="single" w:color="000000" w:sz="4" w:space="0"/>
              <w:left w:val="single" w:color="000000" w:sz="4" w:space="0"/>
              <w:bottom w:val="single" w:color="000000" w:sz="12" w:space="0"/>
              <w:right w:val="single" w:color="000000" w:sz="4" w:space="0"/>
            </w:tcBorders>
            <w:vAlign w:val="center"/>
          </w:tcPr>
          <w:p w14:paraId="3AC8993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46.9</w:t>
            </w:r>
          </w:p>
        </w:tc>
        <w:tc>
          <w:tcPr>
            <w:tcW w:w="630" w:type="dxa"/>
            <w:tcBorders>
              <w:top w:val="single" w:color="000000" w:sz="4" w:space="0"/>
              <w:left w:val="single" w:color="000000" w:sz="4" w:space="0"/>
              <w:bottom w:val="single" w:color="000000" w:sz="12" w:space="0"/>
              <w:right w:val="single" w:color="000000" w:sz="4" w:space="0"/>
            </w:tcBorders>
            <w:vAlign w:val="center"/>
          </w:tcPr>
          <w:p w14:paraId="24CEC63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45.0</w:t>
            </w:r>
          </w:p>
        </w:tc>
        <w:tc>
          <w:tcPr>
            <w:tcW w:w="643" w:type="dxa"/>
            <w:tcBorders>
              <w:top w:val="single" w:color="000000" w:sz="4" w:space="0"/>
              <w:left w:val="single" w:color="000000" w:sz="4" w:space="0"/>
              <w:bottom w:val="single" w:color="000000" w:sz="12" w:space="0"/>
              <w:right w:val="single" w:color="000000" w:sz="4" w:space="0"/>
            </w:tcBorders>
            <w:vAlign w:val="center"/>
          </w:tcPr>
          <w:p w14:paraId="32D1F35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39.0</w:t>
            </w:r>
          </w:p>
        </w:tc>
        <w:tc>
          <w:tcPr>
            <w:tcW w:w="687" w:type="dxa"/>
            <w:tcBorders>
              <w:top w:val="single" w:color="000000" w:sz="4" w:space="0"/>
              <w:left w:val="single" w:color="000000" w:sz="4" w:space="0"/>
              <w:bottom w:val="single" w:color="000000" w:sz="12" w:space="0"/>
              <w:right w:val="single" w:color="000000" w:sz="4" w:space="0"/>
            </w:tcBorders>
            <w:vAlign w:val="center"/>
          </w:tcPr>
          <w:p w14:paraId="13E3FE9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w:t>
            </w:r>
          </w:p>
        </w:tc>
        <w:tc>
          <w:tcPr>
            <w:tcW w:w="749" w:type="dxa"/>
            <w:tcBorders>
              <w:top w:val="single" w:color="000000" w:sz="4" w:space="0"/>
              <w:left w:val="single" w:color="000000" w:sz="4" w:space="0"/>
              <w:bottom w:val="single" w:color="000000" w:sz="12" w:space="0"/>
              <w:right w:val="single" w:color="000000" w:sz="12" w:space="0"/>
            </w:tcBorders>
            <w:vAlign w:val="center"/>
          </w:tcPr>
          <w:p w14:paraId="650094F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32</w:t>
            </w:r>
          </w:p>
        </w:tc>
      </w:tr>
    </w:tbl>
    <w:p w14:paraId="56C5C37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由上表可知，本工程所用机械设备种类繁多，使用的机械有：挖掘机、装载机等。施工期土方工程、打桩及结构工程阶段在距离施工地100m处噪声达标，本项目最近噪声敏感点</w:t>
      </w:r>
      <w:r>
        <w:rPr>
          <w:rFonts w:hint="default" w:ascii="Times New Roman" w:hAnsi="Times New Roman" w:cs="Times New Roman"/>
          <w:color w:val="auto"/>
          <w:highlight w:val="none"/>
          <w:u w:val="none" w:color="auto"/>
          <w:lang w:eastAsia="zh-CN"/>
        </w:rPr>
        <w:t>为</w:t>
      </w:r>
      <w:r>
        <w:rPr>
          <w:rFonts w:hint="default" w:ascii="Times New Roman" w:hAnsi="Times New Roman" w:cs="Times New Roman"/>
          <w:color w:val="auto"/>
          <w:highlight w:val="none"/>
          <w:u w:val="none" w:color="auto"/>
          <w:lang w:val="en-US" w:eastAsia="zh-CN"/>
        </w:rPr>
        <w:t>西</w:t>
      </w:r>
      <w:r>
        <w:rPr>
          <w:rFonts w:hint="default" w:ascii="Times New Roman" w:hAnsi="Times New Roman" w:cs="Times New Roman"/>
          <w:color w:val="auto"/>
          <w:highlight w:val="none"/>
          <w:u w:val="none" w:color="auto"/>
          <w:lang w:eastAsia="zh-CN"/>
        </w:rPr>
        <w:t>侧</w:t>
      </w:r>
      <w:r>
        <w:rPr>
          <w:rFonts w:hint="default" w:ascii="Times New Roman" w:hAnsi="Times New Roman" w:cs="Times New Roman"/>
          <w:color w:val="auto"/>
          <w:highlight w:val="none"/>
          <w:u w:val="none" w:color="auto"/>
          <w:lang w:val="en-US" w:eastAsia="zh-CN"/>
        </w:rPr>
        <w:t>40m处一处</w:t>
      </w:r>
      <w:r>
        <w:rPr>
          <w:rFonts w:hint="default" w:ascii="Times New Roman" w:hAnsi="Times New Roman" w:cs="Times New Roman"/>
          <w:color w:val="auto"/>
          <w:highlight w:val="none"/>
          <w:u w:val="none" w:color="auto"/>
          <w:lang w:eastAsia="zh-CN"/>
        </w:rPr>
        <w:t>居民散户</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西侧设置有围墙</w:t>
      </w:r>
      <w:r>
        <w:rPr>
          <w:rFonts w:hint="default" w:ascii="Times New Roman" w:hAnsi="Times New Roman" w:cs="Times New Roman"/>
          <w:color w:val="auto"/>
          <w:highlight w:val="none"/>
          <w:u w:val="none" w:color="auto"/>
        </w:rPr>
        <w:t>。在施工中仍需采取有效措施，尽可能降低施工噪声的影响，认真做好以下工作以减少噪声的不利影响，确保施工场界噪声达标。</w:t>
      </w:r>
    </w:p>
    <w:p w14:paraId="3AA4687C">
      <w:pPr>
        <w:pStyle w:val="189"/>
        <w:numPr>
          <w:ilvl w:val="0"/>
          <w:numId w:val="17"/>
        </w:numP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合理选择施工机械、施工方法、施工现场，尽量选用低噪声设备，并在施工期应经常对施工设备进行维修保养，避免由设备性能减退使噪声增强现象的发生。</w:t>
      </w:r>
    </w:p>
    <w:p w14:paraId="6134CB60">
      <w:pPr>
        <w:pStyle w:val="189"/>
        <w:numPr>
          <w:ilvl w:val="0"/>
          <w:numId w:val="17"/>
        </w:numP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合理安排运输路线和运输时间，施工运输的大型车辆应尽量避开</w:t>
      </w:r>
      <w:r>
        <w:rPr>
          <w:rFonts w:hint="default" w:ascii="Times New Roman" w:hAnsi="Times New Roman" w:cs="Times New Roman"/>
          <w:color w:val="auto"/>
          <w:highlight w:val="none"/>
          <w:u w:val="none" w:color="auto"/>
          <w:lang w:val="en-US" w:eastAsia="zh-CN"/>
        </w:rPr>
        <w:t>居</w:t>
      </w:r>
      <w:r>
        <w:rPr>
          <w:rFonts w:hint="default" w:ascii="Times New Roman" w:hAnsi="Times New Roman" w:cs="Times New Roman"/>
          <w:color w:val="auto"/>
          <w:highlight w:val="none"/>
          <w:u w:val="none" w:color="auto"/>
        </w:rPr>
        <w:t>民稠密区，运输车辆穿过村镇时，要限速行驶。</w:t>
      </w:r>
    </w:p>
    <w:p w14:paraId="7DADD55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）合理安排施工时间，午休时间和夜间22：00至早上6</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00禁止使用施工机械。</w:t>
      </w:r>
    </w:p>
    <w:p w14:paraId="41A02F2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4</w:t>
      </w:r>
      <w:r>
        <w:rPr>
          <w:rFonts w:hint="default" w:ascii="Times New Roman" w:hAnsi="Times New Roman" w:cs="Times New Roman"/>
          <w:color w:val="auto"/>
          <w:highlight w:val="none"/>
          <w:u w:val="none" w:color="auto"/>
        </w:rPr>
        <w:t>）合理选择施工方法，合理布置施工现场。</w:t>
      </w:r>
    </w:p>
    <w:p w14:paraId="59BBF6A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通过严格的施工管理，尽可能的使施工场界噪声达到标准限值，以减少对周围居民生活的影响</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通过采取以上措施最大限度降低施工噪声对</w:t>
      </w:r>
      <w:r>
        <w:rPr>
          <w:rFonts w:hint="default" w:ascii="Times New Roman" w:hAnsi="Times New Roman" w:cs="Times New Roman"/>
          <w:color w:val="auto"/>
          <w:highlight w:val="none"/>
          <w:u w:val="none" w:color="auto"/>
          <w:lang w:val="en-US" w:eastAsia="zh-CN"/>
        </w:rPr>
        <w:t>西侧</w:t>
      </w:r>
      <w:r>
        <w:rPr>
          <w:rFonts w:hint="default" w:ascii="Times New Roman" w:hAnsi="Times New Roman" w:cs="Times New Roman"/>
          <w:color w:val="auto"/>
          <w:highlight w:val="none"/>
          <w:u w:val="none" w:color="auto"/>
        </w:rPr>
        <w:t>居民点的影响，且该影响随着施工的结束而结束，施工期较短，因此施工期噪声对周围环境影响很小。</w:t>
      </w:r>
    </w:p>
    <w:p w14:paraId="25040EFC">
      <w:pPr>
        <w:pStyle w:val="4"/>
        <w:numPr>
          <w:ilvl w:val="1"/>
          <w:numId w:val="0"/>
        </w:numPr>
        <w:ind w:leftChars="0"/>
        <w:outlineLvl w:val="2"/>
        <w:rPr>
          <w:rFonts w:hint="default" w:ascii="Times New Roman" w:hAnsi="Times New Roman" w:cs="Times New Roman"/>
          <w:color w:val="000000" w:themeColor="text1"/>
          <w:sz w:val="28"/>
          <w:szCs w:val="28"/>
          <w:highlight w:val="none"/>
          <w:u w:val="none" w:color="auto"/>
          <w14:textFill>
            <w14:solidFill>
              <w14:schemeClr w14:val="tx1"/>
            </w14:solidFill>
          </w14:textFill>
        </w:rPr>
      </w:pPr>
      <w:r>
        <w:rPr>
          <w:rFonts w:hint="default" w:ascii="Times New Roman" w:hAnsi="Times New Roman" w:cs="Times New Roman"/>
          <w:color w:val="000000" w:themeColor="text1"/>
          <w:sz w:val="28"/>
          <w:szCs w:val="28"/>
          <w:highlight w:val="none"/>
          <w:u w:val="none" w:color="auto"/>
          <w:lang w:val="en-US" w:eastAsia="zh-CN"/>
          <w14:textFill>
            <w14:solidFill>
              <w14:schemeClr w14:val="tx1"/>
            </w14:solidFill>
          </w14:textFill>
        </w:rPr>
        <w:t xml:space="preserve">5.1.4 </w:t>
      </w:r>
      <w:r>
        <w:rPr>
          <w:rFonts w:hint="default" w:ascii="Times New Roman" w:hAnsi="Times New Roman" w:cs="Times New Roman"/>
          <w:color w:val="000000" w:themeColor="text1"/>
          <w:sz w:val="28"/>
          <w:szCs w:val="28"/>
          <w:highlight w:val="none"/>
          <w:u w:val="none" w:color="auto"/>
          <w14:textFill>
            <w14:solidFill>
              <w14:schemeClr w14:val="tx1"/>
            </w14:solidFill>
          </w14:textFill>
        </w:rPr>
        <w:t>施工期固体废弃物影响分析</w:t>
      </w:r>
    </w:p>
    <w:p w14:paraId="28A90C54">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主要包括施工人员产生的生活垃圾和施工过程产生的建筑垃圾等。建根据工程分析可知本项目</w:t>
      </w:r>
      <w:r>
        <w:rPr>
          <w:rFonts w:hint="default" w:ascii="Times New Roman" w:hAnsi="Times New Roman" w:cs="Times New Roman"/>
          <w:color w:val="000000" w:themeColor="text1"/>
          <w:highlight w:val="none"/>
          <w:u w:val="none" w:color="auto"/>
          <w:lang w:eastAsia="zh-CN"/>
          <w14:textFill>
            <w14:solidFill>
              <w14:schemeClr w14:val="tx1"/>
            </w14:solidFill>
          </w14:textFill>
        </w:rPr>
        <w:t>建筑垃圾产生量为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29.39t，回收利用后产生建筑垃圾量为23.51t，</w:t>
      </w:r>
      <w:r>
        <w:rPr>
          <w:rFonts w:hint="default" w:ascii="Times New Roman" w:hAnsi="Times New Roman" w:cs="Times New Roman"/>
          <w:color w:val="000000" w:themeColor="text1"/>
          <w:highlight w:val="none"/>
          <w:u w:val="none" w:color="auto"/>
          <w14:textFill>
            <w14:solidFill>
              <w14:schemeClr w14:val="tx1"/>
            </w14:solidFill>
          </w14:textFill>
        </w:rPr>
        <w:t>均运至城建部门指定的地方进行堆放。环评建议构筑物土方开挖，尽量避开雨季，减少水土流失对周围环境的影响。</w:t>
      </w:r>
    </w:p>
    <w:p w14:paraId="2823BCF2">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施工人员产生的生活垃圾量可按0.5kg/人·d 估算，施工人员为20人，施工期3个月，产生量为10kg/d，共计0.9t，</w:t>
      </w:r>
      <w:r>
        <w:rPr>
          <w:rFonts w:hint="default" w:ascii="Times New Roman" w:hAnsi="Times New Roman" w:cs="Times New Roman"/>
          <w:color w:val="auto"/>
          <w:highlight w:val="none"/>
          <w:u w:val="none" w:color="auto"/>
          <w:lang w:eastAsia="zh-CN"/>
        </w:rPr>
        <w:t>集中收集后</w:t>
      </w:r>
      <w:r>
        <w:rPr>
          <w:rFonts w:hint="default" w:ascii="Times New Roman" w:hAnsi="Times New Roman" w:cs="Times New Roman"/>
          <w:color w:val="auto"/>
          <w:highlight w:val="none"/>
          <w:u w:val="none" w:color="auto"/>
        </w:rPr>
        <w:t>交</w:t>
      </w:r>
      <w:r>
        <w:rPr>
          <w:rFonts w:hint="default" w:ascii="Times New Roman" w:hAnsi="Times New Roman" w:cs="Times New Roman"/>
          <w:color w:val="auto"/>
          <w:highlight w:val="none"/>
          <w:u w:val="none" w:color="auto"/>
          <w:lang w:eastAsia="zh-CN"/>
        </w:rPr>
        <w:t>由</w:t>
      </w:r>
      <w:r>
        <w:rPr>
          <w:rFonts w:hint="default" w:ascii="Times New Roman" w:hAnsi="Times New Roman" w:cs="Times New Roman"/>
          <w:color w:val="auto"/>
          <w:highlight w:val="none"/>
          <w:u w:val="none" w:color="auto"/>
        </w:rPr>
        <w:t>环卫部门统一清运。</w:t>
      </w:r>
    </w:p>
    <w:p w14:paraId="5646E1A0">
      <w:pPr>
        <w:pStyle w:val="4"/>
        <w:numPr>
          <w:ilvl w:val="1"/>
          <w:numId w:val="0"/>
        </w:numPr>
        <w:ind w:leftChars="0"/>
        <w:outlineLvl w:val="2"/>
        <w:rPr>
          <w:rFonts w:hint="default" w:ascii="Times New Roman" w:hAnsi="Times New Roman" w:cs="Times New Roman"/>
          <w:color w:val="auto"/>
          <w:sz w:val="28"/>
          <w:szCs w:val="28"/>
          <w:highlight w:val="none"/>
          <w:u w:val="none" w:color="auto"/>
        </w:rPr>
      </w:pPr>
      <w:r>
        <w:rPr>
          <w:rFonts w:hint="default" w:ascii="Times New Roman" w:hAnsi="Times New Roman" w:cs="Times New Roman"/>
          <w:color w:val="auto"/>
          <w:sz w:val="28"/>
          <w:szCs w:val="28"/>
          <w:highlight w:val="none"/>
          <w:u w:val="none" w:color="auto"/>
          <w:lang w:val="en-US" w:eastAsia="zh-CN"/>
        </w:rPr>
        <w:t xml:space="preserve">5.1.5 </w:t>
      </w:r>
      <w:r>
        <w:rPr>
          <w:rFonts w:hint="default" w:ascii="Times New Roman" w:hAnsi="Times New Roman" w:cs="Times New Roman"/>
          <w:color w:val="auto"/>
          <w:sz w:val="28"/>
          <w:szCs w:val="28"/>
          <w:highlight w:val="none"/>
          <w:u w:val="none" w:color="auto"/>
        </w:rPr>
        <w:t>施工期水土流失影响分析</w:t>
      </w:r>
    </w:p>
    <w:p w14:paraId="68122F7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水土流失是指土壤在降水侵蚀力作用下的分散、迁移和沉积的过程。影响水土流失的因素较多，主要包括降雨、土壤、植被、地形地貌以及工程施工等因素。就本工程项目而言，影响施工期水土流失的主要因素是降雨和工程施工。项目所在地雨水丰富，降雨时若水土流失严重，大量泥土被雨水径流冲刷。</w:t>
      </w:r>
    </w:p>
    <w:p w14:paraId="38E118E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（1）降雨因素</w:t>
      </w:r>
    </w:p>
    <w:p w14:paraId="1696C8A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降雨是发生水土流失的最直接最重要的自然因素。降雨对裸露地表的影响表现在两个方面：一是雨滴对裸露地表的直接冲溅作用，二是雨水汇集形成地表径流的冲刷作用。这种作用在暴雨时表现得更为集中和剧烈，往往引起较大强度的水土流失。</w:t>
      </w:r>
    </w:p>
    <w:p w14:paraId="0FE40AD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（2）工程因素</w:t>
      </w:r>
    </w:p>
    <w:p w14:paraId="7090898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施工过程中由于开挖地面、土地平整等原因，将扰动表土结构，致使土壤抗蚀能力降低，土壤侵蚀加剧，造成植被涵养水量的损失，裸露土壤极易被降雨径流冲刷而引发水土流失，特别是暴雨径流的冲刷更为严重。本工程厂区场地的平整及开挖过程中将扰动表土结构，会加剧水土流失，但影响较小。</w:t>
      </w:r>
    </w:p>
    <w:p w14:paraId="501BA9F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厂内施工场地应设置固废临时堆弃场，堆场应设挡土墙和导水沟渠，以防止水土流失，施工完后对堆土地点进行平整硬化或绿化。</w:t>
      </w:r>
    </w:p>
    <w:p w14:paraId="1D85775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工程应避免在暴雨季节施工，施工结束后及时开展绿化恢复工作，同时在施工过程中采取挡土墙和导水沟渠等多种工程防护措施和生态恢复措施，水土流失影响将得到有效控制。</w:t>
      </w:r>
    </w:p>
    <w:p w14:paraId="4BA9E21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项目施工期水土流失造成的环境影响是短期的，仅限于施工期；</w:t>
      </w:r>
      <w:r>
        <w:rPr>
          <w:rFonts w:hint="default" w:ascii="Times New Roman" w:hAnsi="Times New Roman" w:cs="Times New Roman"/>
          <w:color w:val="auto"/>
          <w:highlight w:val="none"/>
          <w:u w:val="none" w:color="auto"/>
          <w:lang w:eastAsia="zh-CN"/>
        </w:rPr>
        <w:t>项目</w:t>
      </w:r>
      <w:r>
        <w:rPr>
          <w:rFonts w:hint="default" w:ascii="Times New Roman" w:hAnsi="Times New Roman" w:cs="Times New Roman"/>
          <w:color w:val="auto"/>
          <w:highlight w:val="none"/>
          <w:u w:val="none" w:color="auto"/>
          <w:lang w:val="en-US" w:eastAsia="zh-CN"/>
        </w:rPr>
        <w:t>施工完成后</w:t>
      </w:r>
      <w:r>
        <w:rPr>
          <w:rFonts w:hint="default" w:ascii="Times New Roman" w:hAnsi="Times New Roman" w:cs="Times New Roman"/>
          <w:color w:val="auto"/>
          <w:highlight w:val="none"/>
          <w:u w:val="none" w:color="auto"/>
          <w:lang w:eastAsia="zh-CN"/>
        </w:rPr>
        <w:t>现场均已硬化</w:t>
      </w:r>
      <w:r>
        <w:rPr>
          <w:rFonts w:hint="default" w:ascii="Times New Roman" w:hAnsi="Times New Roman" w:cs="Times New Roman"/>
          <w:color w:val="auto"/>
          <w:highlight w:val="none"/>
          <w:u w:val="none" w:color="auto"/>
        </w:rPr>
        <w:t>，其环境影响是轻微的，可以接受的。</w:t>
      </w:r>
    </w:p>
    <w:p w14:paraId="0B99247C">
      <w:pPr>
        <w:pStyle w:val="3"/>
        <w:numPr>
          <w:ilvl w:val="1"/>
          <w:numId w:val="0"/>
        </w:numPr>
        <w:ind w:leftChars="0"/>
        <w:outlineLvl w:val="1"/>
        <w:rPr>
          <w:rFonts w:hint="default" w:ascii="Times New Roman" w:hAnsi="Times New Roman" w:cs="Times New Roman"/>
          <w:color w:val="000000" w:themeColor="text1"/>
          <w:highlight w:val="none"/>
          <w:u w:val="wave" w:color="auto"/>
          <w14:textFill>
            <w14:solidFill>
              <w14:schemeClr w14:val="tx1"/>
            </w14:solidFill>
          </w14:textFill>
        </w:rPr>
      </w:pPr>
      <w:bookmarkStart w:id="117" w:name="bookmark35"/>
      <w:bookmarkEnd w:id="117"/>
      <w:bookmarkStart w:id="118" w:name="_Toc6062"/>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5.2 </w:t>
      </w:r>
      <w:r>
        <w:rPr>
          <w:rFonts w:hint="default" w:ascii="Times New Roman" w:hAnsi="Times New Roman" w:cs="Times New Roman"/>
          <w:color w:val="000000" w:themeColor="text1"/>
          <w:highlight w:val="none"/>
          <w:u w:val="wave" w:color="auto"/>
          <w14:textFill>
            <w14:solidFill>
              <w14:schemeClr w14:val="tx1"/>
            </w14:solidFill>
          </w14:textFill>
        </w:rPr>
        <w:t>运营期环境影响预测与分析</w:t>
      </w:r>
      <w:bookmarkEnd w:id="118"/>
    </w:p>
    <w:p w14:paraId="6C88AD4D">
      <w:pPr>
        <w:pStyle w:val="4"/>
        <w:numPr>
          <w:ilvl w:val="2"/>
          <w:numId w:val="0"/>
        </w:numPr>
        <w:ind w:leftChars="0"/>
        <w:rPr>
          <w:rFonts w:hint="default" w:ascii="Times New Roman" w:hAnsi="Times New Roman" w:cs="Times New Roman"/>
          <w:color w:val="000000" w:themeColor="text1"/>
          <w:sz w:val="28"/>
          <w:szCs w:val="28"/>
          <w:highlight w:val="none"/>
          <w:u w:val="wave" w:color="auto"/>
          <w14:textFill>
            <w14:solidFill>
              <w14:schemeClr w14:val="tx1"/>
            </w14:solidFill>
          </w14:textFill>
        </w:rPr>
      </w:pPr>
      <w:r>
        <w:rPr>
          <w:rFonts w:hint="default" w:ascii="Times New Roman" w:hAnsi="Times New Roman" w:cs="Times New Roman"/>
          <w:color w:val="000000" w:themeColor="text1"/>
          <w:sz w:val="28"/>
          <w:szCs w:val="28"/>
          <w:highlight w:val="none"/>
          <w:u w:val="wave" w:color="auto"/>
          <w:lang w:val="en-US" w:eastAsia="zh-CN"/>
          <w14:textFill>
            <w14:solidFill>
              <w14:schemeClr w14:val="tx1"/>
            </w14:solidFill>
          </w14:textFill>
        </w:rPr>
        <w:t xml:space="preserve">5.2.1 </w:t>
      </w:r>
      <w:r>
        <w:rPr>
          <w:rFonts w:hint="default" w:ascii="Times New Roman" w:hAnsi="Times New Roman" w:cs="Times New Roman"/>
          <w:color w:val="000000" w:themeColor="text1"/>
          <w:sz w:val="28"/>
          <w:szCs w:val="28"/>
          <w:highlight w:val="none"/>
          <w:u w:val="wave" w:color="auto"/>
          <w14:textFill>
            <w14:solidFill>
              <w14:schemeClr w14:val="tx1"/>
            </w14:solidFill>
          </w14:textFill>
        </w:rPr>
        <w:t>大气环境质量现状评价</w:t>
      </w:r>
    </w:p>
    <w:p w14:paraId="61CD1892">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根据环境质量现状资料，</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2024</w:t>
      </w:r>
      <w:r>
        <w:rPr>
          <w:rFonts w:hint="default" w:ascii="Times New Roman" w:hAnsi="Times New Roman" w:cs="Times New Roman"/>
          <w:color w:val="000000" w:themeColor="text1"/>
          <w:highlight w:val="none"/>
          <w:u w:val="wave" w:color="auto"/>
          <w14:textFill>
            <w14:solidFill>
              <w14:schemeClr w14:val="tx1"/>
            </w14:solidFill>
          </w14:textFill>
        </w:rPr>
        <w:t>年</w:t>
      </w:r>
      <w:r>
        <w:rPr>
          <w:rFonts w:hint="default" w:ascii="Times New Roman" w:hAnsi="Times New Roman" w:cs="Times New Roman"/>
          <w:color w:val="000000" w:themeColor="text1"/>
          <w:highlight w:val="none"/>
          <w:u w:val="wave" w:color="auto"/>
          <w:lang w:eastAsia="zh-CN"/>
          <w14:textFill>
            <w14:solidFill>
              <w14:schemeClr w14:val="tx1"/>
            </w14:solidFill>
          </w14:textFill>
        </w:rPr>
        <w:t>益阳市</w:t>
      </w:r>
      <w:r>
        <w:rPr>
          <w:rFonts w:hint="default" w:ascii="Times New Roman" w:hAnsi="Times New Roman" w:cs="Times New Roman"/>
          <w:color w:val="000000" w:themeColor="text1"/>
          <w:highlight w:val="none"/>
          <w:u w:val="wave" w:color="auto"/>
          <w14:textFill>
            <w14:solidFill>
              <w14:schemeClr w14:val="tx1"/>
            </w14:solidFill>
          </w14:textFill>
        </w:rPr>
        <w:t>环境空气中</w:t>
      </w:r>
      <w:r>
        <w:rPr>
          <w:rFonts w:hint="default" w:ascii="Times New Roman" w:hAnsi="Times New Roman" w:cs="Times New Roman"/>
          <w:color w:val="000000" w:themeColor="text1"/>
          <w:highlight w:val="none"/>
          <w:u w:val="wave" w:color="auto"/>
          <w:lang w:eastAsia="zh-CN"/>
          <w14:textFill>
            <w14:solidFill>
              <w14:schemeClr w14:val="tx1"/>
            </w14:solidFill>
          </w14:textFill>
        </w:rPr>
        <w:t>基本污染物子</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PM</w:t>
      </w:r>
      <w:r>
        <w:rPr>
          <w:rFonts w:hint="default" w:ascii="Times New Roman" w:hAnsi="Times New Roman" w:cs="Times New Roman"/>
          <w:color w:val="000000" w:themeColor="text1"/>
          <w:highlight w:val="none"/>
          <w:u w:val="wave" w:color="auto"/>
          <w:vertAlign w:val="subscript"/>
          <w:lang w:val="en-US" w:eastAsia="zh-CN"/>
          <w14:textFill>
            <w14:solidFill>
              <w14:schemeClr w14:val="tx1"/>
            </w14:solidFill>
          </w14:textFill>
        </w:rPr>
        <w:t>2.5</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超</w:t>
      </w:r>
      <w:r>
        <w:rPr>
          <w:rFonts w:hint="default" w:ascii="Times New Roman" w:hAnsi="Times New Roman" w:cs="Times New Roman"/>
          <w:color w:val="000000" w:themeColor="text1"/>
          <w:highlight w:val="none"/>
          <w:u w:val="wave" w:color="auto"/>
          <w14:textFill>
            <w14:solidFill>
              <w14:schemeClr w14:val="tx1"/>
            </w14:solidFill>
          </w14:textFill>
        </w:rPr>
        <w:t>标，</w:t>
      </w:r>
      <w:r>
        <w:rPr>
          <w:rFonts w:hint="default" w:ascii="Times New Roman" w:hAnsi="Times New Roman" w:cs="Times New Roman"/>
          <w:color w:val="000000" w:themeColor="text1"/>
          <w:highlight w:val="none"/>
          <w:u w:val="wave" w:color="auto"/>
          <w:lang w:bidi="ar"/>
          <w14:textFill>
            <w14:solidFill>
              <w14:schemeClr w14:val="tx1"/>
            </w14:solidFill>
          </w14:textFill>
        </w:rPr>
        <w:t>根据《环境影响评价技术导则 大气环境》（HJ2.2-2018），判定本项目所在区域为非达标区，</w:t>
      </w:r>
      <w:r>
        <w:rPr>
          <w:rFonts w:hint="default" w:ascii="Times New Roman" w:hAnsi="Times New Roman" w:cs="Times New Roman"/>
          <w:color w:val="000000" w:themeColor="text1"/>
          <w:highlight w:val="none"/>
          <w:u w:val="wave" w:color="auto"/>
          <w14:textFill>
            <w14:solidFill>
              <w14:schemeClr w14:val="tx1"/>
            </w14:solidFill>
          </w14:textFill>
        </w:rPr>
        <w:t>超标因子为PM</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2.5</w:t>
      </w:r>
      <w:r>
        <w:rPr>
          <w:rFonts w:hint="default" w:ascii="Times New Roman" w:hAnsi="Times New Roman" w:cs="Times New Roman"/>
          <w:color w:val="000000" w:themeColor="text1"/>
          <w:highlight w:val="none"/>
          <w:u w:val="wave" w:color="auto"/>
          <w14:textFill>
            <w14:solidFill>
              <w14:schemeClr w14:val="tx1"/>
            </w14:solidFill>
          </w14:textFill>
        </w:rPr>
        <w:t>。现状监测期间，污水处理站附近硫化氢和氨满足《环境影响评价导则大气环境》（HJ2.2-2018）导则中D.1其他污染物空气质量浓度参考限值。</w:t>
      </w:r>
    </w:p>
    <w:p w14:paraId="4CB0427F">
      <w:pPr>
        <w:pStyle w:val="5"/>
        <w:numPr>
          <w:ilvl w:val="2"/>
          <w:numId w:val="0"/>
        </w:numPr>
        <w:ind w:leftChars="0" w:firstLine="482" w:firstLineChars="200"/>
        <w:outlineLvl w:val="3"/>
        <w:rPr>
          <w:rFonts w:hint="default" w:ascii="Times New Roman" w:hAnsi="Times New Roman" w:cs="Times New Roman"/>
          <w:color w:val="000000" w:themeColor="text1"/>
          <w:sz w:val="24"/>
          <w:szCs w:val="28"/>
          <w:highlight w:val="none"/>
          <w:u w:val="wave" w:color="auto"/>
          <w14:textFill>
            <w14:solidFill>
              <w14:schemeClr w14:val="tx1"/>
            </w14:solidFill>
          </w14:textFill>
        </w:rPr>
      </w:pPr>
      <w:r>
        <w:rPr>
          <w:rFonts w:hint="default" w:ascii="Times New Roman" w:hAnsi="Times New Roman" w:cs="Times New Roman"/>
          <w:color w:val="000000" w:themeColor="text1"/>
          <w:sz w:val="24"/>
          <w:szCs w:val="28"/>
          <w:highlight w:val="none"/>
          <w:u w:val="wave" w:color="auto"/>
          <w:lang w:val="en-US" w:eastAsia="zh-CN"/>
          <w14:textFill>
            <w14:solidFill>
              <w14:schemeClr w14:val="tx1"/>
            </w14:solidFill>
          </w14:textFill>
        </w:rPr>
        <w:t xml:space="preserve">5.2.1.1 </w:t>
      </w:r>
      <w:r>
        <w:rPr>
          <w:rFonts w:hint="default" w:ascii="Times New Roman" w:hAnsi="Times New Roman" w:cs="Times New Roman"/>
          <w:color w:val="000000" w:themeColor="text1"/>
          <w:sz w:val="24"/>
          <w:szCs w:val="28"/>
          <w:highlight w:val="none"/>
          <w:u w:val="wave" w:color="auto"/>
          <w14:textFill>
            <w14:solidFill>
              <w14:schemeClr w14:val="tx1"/>
            </w14:solidFill>
          </w14:textFill>
        </w:rPr>
        <w:t>环境空气预测</w:t>
      </w:r>
    </w:p>
    <w:p w14:paraId="21B416A5">
      <w:pPr>
        <w:pStyle w:val="381"/>
        <w:numPr>
          <w:ilvl w:val="3"/>
          <w:numId w:val="0"/>
        </w:numPr>
        <w:ind w:leftChars="0" w:firstLine="482" w:firstLineChars="200"/>
        <w:outlineLvl w:val="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14:textFill>
            <w14:solidFill>
              <w14:schemeClr w14:val="tx1"/>
            </w14:solidFill>
          </w14:textFill>
        </w:rPr>
        <w:t>预测模式</w:t>
      </w:r>
    </w:p>
    <w:p w14:paraId="2B9C4DFD">
      <w:pPr>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按照《环境影响评价技术导则－大气环境》（HJ2.2-2018）有关要求，本次环境影响评价选用导则中估算模式进行大气环境影响预测。</w:t>
      </w:r>
    </w:p>
    <w:p w14:paraId="5941D9D5">
      <w:pPr>
        <w:pStyle w:val="381"/>
        <w:numPr>
          <w:ilvl w:val="3"/>
          <w:numId w:val="0"/>
        </w:numPr>
        <w:ind w:left="480" w:leftChars="0"/>
        <w:outlineLvl w:val="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14:textFill>
            <w14:solidFill>
              <w14:schemeClr w14:val="tx1"/>
            </w14:solidFill>
          </w14:textFill>
        </w:rPr>
        <w:t>预测因子及评价标准</w:t>
      </w:r>
    </w:p>
    <w:p w14:paraId="39AEE18D">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根据工程分析可知，工程运营期废气主要为恶臭，恶臭以NH</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3</w:t>
      </w:r>
      <w:r>
        <w:rPr>
          <w:rFonts w:hint="default" w:ascii="Times New Roman" w:hAnsi="Times New Roman" w:cs="Times New Roman"/>
          <w:color w:val="000000" w:themeColor="text1"/>
          <w:highlight w:val="none"/>
          <w:u w:val="wave" w:color="auto"/>
          <w14:textFill>
            <w14:solidFill>
              <w14:schemeClr w14:val="tx1"/>
            </w14:solidFill>
          </w14:textFill>
        </w:rPr>
        <w:t>和H</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S为主，因此本评价选择环境空气污染预测因子为NH</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3</w:t>
      </w:r>
      <w:r>
        <w:rPr>
          <w:rFonts w:hint="default" w:ascii="Times New Roman" w:hAnsi="Times New Roman" w:cs="Times New Roman"/>
          <w:color w:val="000000" w:themeColor="text1"/>
          <w:highlight w:val="none"/>
          <w:u w:val="wave" w:color="auto"/>
          <w14:textFill>
            <w14:solidFill>
              <w14:schemeClr w14:val="tx1"/>
            </w14:solidFill>
          </w14:textFill>
        </w:rPr>
        <w:t>、H</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S。评价标准见下表。</w:t>
      </w:r>
    </w:p>
    <w:p w14:paraId="4C00439D">
      <w:pPr>
        <w:pStyle w:val="194"/>
        <w:spacing w:line="240" w:lineRule="auto"/>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表 </w:t>
      </w:r>
      <w:r>
        <w:rPr>
          <w:rFonts w:hint="default" w:ascii="Times New Roman" w:hAnsi="Times New Roman" w:cs="Times New Roman"/>
          <w:color w:val="000000" w:themeColor="text1"/>
          <w:highlight w:val="none"/>
          <w:u w:val="wave" w:color="auto"/>
          <w14:textFill>
            <w14:solidFill>
              <w14:schemeClr w14:val="tx1"/>
            </w14:solidFill>
          </w14:textFill>
        </w:rPr>
        <w:fldChar w:fldCharType="begin"/>
      </w:r>
      <w:r>
        <w:rPr>
          <w:rFonts w:hint="default" w:ascii="Times New Roman" w:hAnsi="Times New Roman" w:cs="Times New Roman"/>
          <w:color w:val="000000" w:themeColor="text1"/>
          <w:highlight w:val="none"/>
          <w:u w:val="wav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wave" w:color="auto"/>
          <w14:textFill>
            <w14:solidFill>
              <w14:schemeClr w14:val="tx1"/>
            </w14:solidFill>
          </w14:textFill>
        </w:rPr>
        <w:fldChar w:fldCharType="separate"/>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fldChar w:fldCharType="end"/>
      </w:r>
      <w:r>
        <w:rPr>
          <w:rFonts w:hint="default" w:ascii="Times New Roman" w:hAnsi="Times New Roman" w:cs="Times New Roman"/>
          <w:color w:val="000000" w:themeColor="text1"/>
          <w:highlight w:val="none"/>
          <w:u w:val="wave" w:color="auto"/>
          <w14:textFill>
            <w14:solidFill>
              <w14:schemeClr w14:val="tx1"/>
            </w14:solidFill>
          </w14:textFill>
        </w:rPr>
        <w:noBreakHyphen/>
      </w:r>
      <w:r>
        <w:rPr>
          <w:rFonts w:hint="default" w:ascii="Times New Roman" w:hAnsi="Times New Roman" w:cs="Times New Roman"/>
          <w:color w:val="000000" w:themeColor="text1"/>
          <w:highlight w:val="none"/>
          <w:u w:val="wave" w:color="auto"/>
          <w14:textFill>
            <w14:solidFill>
              <w14:schemeClr w14:val="tx1"/>
            </w14:solidFill>
          </w14:textFill>
        </w:rPr>
        <w:fldChar w:fldCharType="begin"/>
      </w:r>
      <w:r>
        <w:rPr>
          <w:rFonts w:hint="default" w:ascii="Times New Roman" w:hAnsi="Times New Roman" w:cs="Times New Roman"/>
          <w:color w:val="000000" w:themeColor="text1"/>
          <w:highlight w:val="none"/>
          <w:u w:val="wave" w:color="auto"/>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u w:val="wave" w:color="auto"/>
          <w14:textFill>
            <w14:solidFill>
              <w14:schemeClr w14:val="tx1"/>
            </w14:solidFill>
          </w14:textFill>
        </w:rPr>
        <w:fldChar w:fldCharType="separate"/>
      </w:r>
      <w:r>
        <w:rPr>
          <w:rFonts w:hint="default" w:ascii="Times New Roman" w:hAnsi="Times New Roman" w:cs="Times New Roman"/>
          <w:color w:val="000000" w:themeColor="text1"/>
          <w:highlight w:val="none"/>
          <w:u w:val="wave" w:color="auto"/>
          <w14:textFill>
            <w14:solidFill>
              <w14:schemeClr w14:val="tx1"/>
            </w14:solidFill>
          </w14:textFill>
        </w:rPr>
        <w:t>1</w:t>
      </w:r>
      <w:r>
        <w:rPr>
          <w:rFonts w:hint="default" w:ascii="Times New Roman" w:hAnsi="Times New Roman" w:cs="Times New Roman"/>
          <w:color w:val="000000" w:themeColor="text1"/>
          <w:highlight w:val="none"/>
          <w:u w:val="wave" w:color="auto"/>
          <w14:textFill>
            <w14:solidFill>
              <w14:schemeClr w14:val="tx1"/>
            </w14:solidFill>
          </w14:textFill>
        </w:rPr>
        <w:fldChar w:fldCharType="end"/>
      </w:r>
      <w:r>
        <w:rPr>
          <w:rFonts w:hint="default" w:ascii="Times New Roman" w:hAnsi="Times New Roman" w:cs="Times New Roman"/>
          <w:color w:val="000000" w:themeColor="text1"/>
          <w:highlight w:val="none"/>
          <w:u w:val="wave" w:color="auto"/>
          <w14:textFill>
            <w14:solidFill>
              <w14:schemeClr w14:val="tx1"/>
            </w14:solidFill>
          </w14:textFill>
        </w:rPr>
        <w:t xml:space="preserve">  评价因子和评价标准表</w:t>
      </w:r>
    </w:p>
    <w:p w14:paraId="175A479D">
      <w:pPr>
        <w:kinsoku w:val="0"/>
        <w:overflowPunct w:val="0"/>
        <w:spacing w:before="5" w:line="40" w:lineRule="exact"/>
        <w:ind w:firstLine="80"/>
        <w:rPr>
          <w:rFonts w:hint="default" w:ascii="Times New Roman" w:hAnsi="Times New Roman" w:cs="Times New Roman" w:eastAsiaTheme="minorEastAsia"/>
          <w:color w:val="000000" w:themeColor="text1"/>
          <w:sz w:val="4"/>
          <w:szCs w:val="4"/>
          <w:highlight w:val="none"/>
          <w:u w:val="wave" w:color="auto"/>
          <w14:textFill>
            <w14:solidFill>
              <w14:schemeClr w14:val="tx1"/>
            </w14:solidFill>
          </w14:textFill>
        </w:rPr>
      </w:pPr>
    </w:p>
    <w:tbl>
      <w:tblPr>
        <w:tblStyle w:val="76"/>
        <w:tblW w:w="8518" w:type="dxa"/>
        <w:jc w:val="center"/>
        <w:tblLayout w:type="fixed"/>
        <w:tblCellMar>
          <w:top w:w="0" w:type="dxa"/>
          <w:left w:w="0" w:type="dxa"/>
          <w:bottom w:w="0" w:type="dxa"/>
          <w:right w:w="0" w:type="dxa"/>
        </w:tblCellMar>
      </w:tblPr>
      <w:tblGrid>
        <w:gridCol w:w="935"/>
        <w:gridCol w:w="1609"/>
        <w:gridCol w:w="2670"/>
        <w:gridCol w:w="3304"/>
      </w:tblGrid>
      <w:tr w14:paraId="6A363C67">
        <w:tblPrEx>
          <w:tblCellMar>
            <w:top w:w="0" w:type="dxa"/>
            <w:left w:w="0" w:type="dxa"/>
            <w:bottom w:w="0" w:type="dxa"/>
            <w:right w:w="0" w:type="dxa"/>
          </w:tblCellMar>
        </w:tblPrEx>
        <w:trPr>
          <w:trHeight w:val="433" w:hRule="atLeast"/>
          <w:jc w:val="center"/>
        </w:trPr>
        <w:tc>
          <w:tcPr>
            <w:tcW w:w="935" w:type="dxa"/>
            <w:tcBorders>
              <w:top w:val="single" w:color="000000" w:sz="12" w:space="0"/>
              <w:left w:val="single" w:color="000000" w:sz="12" w:space="0"/>
              <w:bottom w:val="single" w:color="000000" w:sz="6" w:space="0"/>
              <w:right w:val="single" w:color="000000" w:sz="6" w:space="0"/>
            </w:tcBorders>
            <w:vAlign w:val="center"/>
          </w:tcPr>
          <w:p w14:paraId="1C575AEB">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污染物</w:t>
            </w:r>
          </w:p>
        </w:tc>
        <w:tc>
          <w:tcPr>
            <w:tcW w:w="1609" w:type="dxa"/>
            <w:tcBorders>
              <w:top w:val="single" w:color="000000" w:sz="12" w:space="0"/>
              <w:left w:val="single" w:color="000000" w:sz="6" w:space="0"/>
              <w:bottom w:val="single" w:color="000000" w:sz="6" w:space="0"/>
              <w:right w:val="single" w:color="000000" w:sz="6" w:space="0"/>
            </w:tcBorders>
            <w:vAlign w:val="center"/>
          </w:tcPr>
          <w:p w14:paraId="66F61C00">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取值</w:t>
            </w:r>
            <w:r>
              <w:rPr>
                <w:rFonts w:hint="default" w:ascii="Times New Roman" w:hAnsi="Times New Roman" w:cs="Times New Roman"/>
                <w:b/>
                <w:color w:val="000000" w:themeColor="text1"/>
                <w:spacing w:val="-3"/>
                <w:highlight w:val="none"/>
                <w:u w:val="wave" w:color="auto"/>
                <w14:textFill>
                  <w14:solidFill>
                    <w14:schemeClr w14:val="tx1"/>
                  </w14:solidFill>
                </w14:textFill>
              </w:rPr>
              <w:t>时</w:t>
            </w:r>
            <w:r>
              <w:rPr>
                <w:rFonts w:hint="default" w:ascii="Times New Roman" w:hAnsi="Times New Roman" w:cs="Times New Roman"/>
                <w:b/>
                <w:color w:val="000000" w:themeColor="text1"/>
                <w:highlight w:val="none"/>
                <w:u w:val="wave" w:color="auto"/>
                <w14:textFill>
                  <w14:solidFill>
                    <w14:schemeClr w14:val="tx1"/>
                  </w14:solidFill>
                </w14:textFill>
              </w:rPr>
              <w:t>间</w:t>
            </w:r>
          </w:p>
        </w:tc>
        <w:tc>
          <w:tcPr>
            <w:tcW w:w="2670" w:type="dxa"/>
            <w:tcBorders>
              <w:top w:val="single" w:color="000000" w:sz="12" w:space="0"/>
              <w:left w:val="single" w:color="000000" w:sz="6" w:space="0"/>
              <w:bottom w:val="single" w:color="000000" w:sz="6" w:space="0"/>
              <w:right w:val="single" w:color="000000" w:sz="6" w:space="0"/>
            </w:tcBorders>
            <w:vAlign w:val="center"/>
          </w:tcPr>
          <w:p w14:paraId="31518379">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二级</w:t>
            </w:r>
            <w:r>
              <w:rPr>
                <w:rFonts w:hint="default" w:ascii="Times New Roman" w:hAnsi="Times New Roman" w:cs="Times New Roman"/>
                <w:b/>
                <w:color w:val="000000" w:themeColor="text1"/>
                <w:spacing w:val="-3"/>
                <w:highlight w:val="none"/>
                <w:u w:val="wave" w:color="auto"/>
                <w14:textFill>
                  <w14:solidFill>
                    <w14:schemeClr w14:val="tx1"/>
                  </w14:solidFill>
                </w14:textFill>
              </w:rPr>
              <w:t>标</w:t>
            </w:r>
            <w:r>
              <w:rPr>
                <w:rFonts w:hint="default" w:ascii="Times New Roman" w:hAnsi="Times New Roman" w:cs="Times New Roman"/>
                <w:b/>
                <w:color w:val="000000" w:themeColor="text1"/>
                <w:highlight w:val="none"/>
                <w:u w:val="wave" w:color="auto"/>
                <w14:textFill>
                  <w14:solidFill>
                    <w14:schemeClr w14:val="tx1"/>
                  </w14:solidFill>
                </w14:textFill>
              </w:rPr>
              <w:t>准</w:t>
            </w:r>
            <w:r>
              <w:rPr>
                <w:rFonts w:hint="default" w:ascii="Times New Roman" w:hAnsi="Times New Roman" w:cs="Times New Roman"/>
                <w:b/>
                <w:color w:val="000000" w:themeColor="text1"/>
                <w:spacing w:val="-3"/>
                <w:highlight w:val="none"/>
                <w:u w:val="wave" w:color="auto"/>
                <w14:textFill>
                  <w14:solidFill>
                    <w14:schemeClr w14:val="tx1"/>
                  </w14:solidFill>
                </w14:textFill>
              </w:rPr>
              <w:t>浓</w:t>
            </w:r>
            <w:r>
              <w:rPr>
                <w:rFonts w:hint="default" w:ascii="Times New Roman" w:hAnsi="Times New Roman" w:cs="Times New Roman"/>
                <w:b/>
                <w:color w:val="000000" w:themeColor="text1"/>
                <w:highlight w:val="none"/>
                <w:u w:val="wave" w:color="auto"/>
                <w14:textFill>
                  <w14:solidFill>
                    <w14:schemeClr w14:val="tx1"/>
                  </w14:solidFill>
                </w14:textFill>
              </w:rPr>
              <w:t>度</w:t>
            </w:r>
            <w:r>
              <w:rPr>
                <w:rFonts w:hint="default" w:ascii="Times New Roman" w:hAnsi="Times New Roman" w:cs="Times New Roman"/>
                <w:b/>
                <w:color w:val="000000" w:themeColor="text1"/>
                <w:spacing w:val="-3"/>
                <w:highlight w:val="none"/>
                <w:u w:val="wave" w:color="auto"/>
                <w14:textFill>
                  <w14:solidFill>
                    <w14:schemeClr w14:val="tx1"/>
                  </w14:solidFill>
                </w14:textFill>
              </w:rPr>
              <w:t>限</w:t>
            </w:r>
            <w:r>
              <w:rPr>
                <w:rFonts w:hint="default" w:ascii="Times New Roman" w:hAnsi="Times New Roman" w:cs="Times New Roman"/>
                <w:b/>
                <w:color w:val="000000" w:themeColor="text1"/>
                <w:highlight w:val="none"/>
                <w:u w:val="wave" w:color="auto"/>
                <w14:textFill>
                  <w14:solidFill>
                    <w14:schemeClr w14:val="tx1"/>
                  </w14:solidFill>
                </w14:textFill>
              </w:rPr>
              <w:t>值</w:t>
            </w:r>
            <w:r>
              <w:rPr>
                <w:rFonts w:hint="default" w:ascii="Times New Roman" w:hAnsi="Times New Roman" w:cs="Times New Roman"/>
                <w:b/>
                <w:color w:val="000000" w:themeColor="text1"/>
                <w:spacing w:val="-1"/>
                <w:highlight w:val="none"/>
                <w:u w:val="wave" w:color="auto"/>
                <w14:textFill>
                  <w14:solidFill>
                    <w14:schemeClr w14:val="tx1"/>
                  </w14:solidFill>
                </w14:textFill>
              </w:rPr>
              <w:t xml:space="preserve"> (</w:t>
            </w:r>
            <w:r>
              <w:rPr>
                <w:rFonts w:hint="default" w:ascii="Times New Roman" w:hAnsi="Times New Roman" w:cs="Times New Roman"/>
                <w:b/>
                <w:color w:val="000000" w:themeColor="text1"/>
                <w:highlight w:val="none"/>
                <w:u w:val="wave" w:color="auto"/>
                <w14:textFill>
                  <w14:solidFill>
                    <w14:schemeClr w14:val="tx1"/>
                  </w14:solidFill>
                </w14:textFill>
              </w:rPr>
              <w:t>μg</w:t>
            </w:r>
            <w:r>
              <w:rPr>
                <w:rFonts w:hint="default" w:ascii="Times New Roman" w:hAnsi="Times New Roman" w:cs="Times New Roman"/>
                <w:b/>
                <w:color w:val="000000" w:themeColor="text1"/>
                <w:spacing w:val="-2"/>
                <w:highlight w:val="none"/>
                <w:u w:val="wave" w:color="auto"/>
                <w14:textFill>
                  <w14:solidFill>
                    <w14:schemeClr w14:val="tx1"/>
                  </w14:solidFill>
                </w14:textFill>
              </w:rPr>
              <w:t>/</w:t>
            </w:r>
            <w:r>
              <w:rPr>
                <w:rFonts w:hint="default" w:ascii="Times New Roman" w:hAnsi="Times New Roman" w:cs="Times New Roman"/>
                <w:b/>
                <w:color w:val="000000" w:themeColor="text1"/>
                <w:spacing w:val="-4"/>
                <w:highlight w:val="none"/>
                <w:u w:val="wave" w:color="auto"/>
                <w14:textFill>
                  <w14:solidFill>
                    <w14:schemeClr w14:val="tx1"/>
                  </w14:solidFill>
                </w14:textFill>
              </w:rPr>
              <w:t>m</w:t>
            </w:r>
            <w:r>
              <w:rPr>
                <w:rFonts w:hint="default" w:ascii="Times New Roman" w:hAnsi="Times New Roman" w:cs="Times New Roman"/>
                <w:b/>
                <w:color w:val="000000" w:themeColor="text1"/>
                <w:position w:val="10"/>
                <w:sz w:val="14"/>
                <w:szCs w:val="14"/>
                <w:highlight w:val="none"/>
                <w:u w:val="wave" w:color="auto"/>
                <w14:textFill>
                  <w14:solidFill>
                    <w14:schemeClr w14:val="tx1"/>
                  </w14:solidFill>
                </w14:textFill>
              </w:rPr>
              <w:t>3</w:t>
            </w:r>
            <w:r>
              <w:rPr>
                <w:rFonts w:hint="default" w:ascii="Times New Roman" w:hAnsi="Times New Roman" w:cs="Times New Roman"/>
                <w:b/>
                <w:color w:val="000000" w:themeColor="text1"/>
                <w:highlight w:val="none"/>
                <w:u w:val="wave" w:color="auto"/>
                <w14:textFill>
                  <w14:solidFill>
                    <w14:schemeClr w14:val="tx1"/>
                  </w14:solidFill>
                </w14:textFill>
              </w:rPr>
              <w:t>)</w:t>
            </w:r>
          </w:p>
        </w:tc>
        <w:tc>
          <w:tcPr>
            <w:tcW w:w="3304" w:type="dxa"/>
            <w:tcBorders>
              <w:top w:val="single" w:color="000000" w:sz="12" w:space="0"/>
              <w:left w:val="single" w:color="000000" w:sz="6" w:space="0"/>
              <w:bottom w:val="single" w:color="000000" w:sz="6" w:space="0"/>
              <w:right w:val="single" w:color="000000" w:sz="12" w:space="0"/>
            </w:tcBorders>
            <w:vAlign w:val="center"/>
          </w:tcPr>
          <w:p w14:paraId="13E0F4B5">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依</w:t>
            </w:r>
            <w:r>
              <w:rPr>
                <w:rFonts w:hint="default" w:ascii="Times New Roman" w:hAnsi="Times New Roman" w:cs="Times New Roman"/>
                <w:b/>
                <w:color w:val="000000" w:themeColor="text1"/>
                <w:highlight w:val="none"/>
                <w:u w:val="wave" w:color="auto"/>
                <w14:textFill>
                  <w14:solidFill>
                    <w14:schemeClr w14:val="tx1"/>
                  </w14:solidFill>
                </w14:textFill>
              </w:rPr>
              <w:tab/>
            </w:r>
            <w:r>
              <w:rPr>
                <w:rFonts w:hint="default" w:ascii="Times New Roman" w:hAnsi="Times New Roman" w:cs="Times New Roman"/>
                <w:b/>
                <w:color w:val="000000" w:themeColor="text1"/>
                <w:highlight w:val="none"/>
                <w:u w:val="wave" w:color="auto"/>
                <w14:textFill>
                  <w14:solidFill>
                    <w14:schemeClr w14:val="tx1"/>
                  </w14:solidFill>
                </w14:textFill>
              </w:rPr>
              <w:t>据</w:t>
            </w:r>
          </w:p>
        </w:tc>
      </w:tr>
      <w:tr w14:paraId="125A9B6C">
        <w:tblPrEx>
          <w:tblCellMar>
            <w:top w:w="0" w:type="dxa"/>
            <w:left w:w="0" w:type="dxa"/>
            <w:bottom w:w="0" w:type="dxa"/>
            <w:right w:w="0" w:type="dxa"/>
          </w:tblCellMar>
        </w:tblPrEx>
        <w:trPr>
          <w:trHeight w:val="370" w:hRule="atLeast"/>
          <w:jc w:val="center"/>
        </w:trPr>
        <w:tc>
          <w:tcPr>
            <w:tcW w:w="935" w:type="dxa"/>
            <w:tcBorders>
              <w:top w:val="single" w:color="000000" w:sz="6" w:space="0"/>
              <w:left w:val="single" w:color="000000" w:sz="12" w:space="0"/>
              <w:bottom w:val="single" w:color="000000" w:sz="6" w:space="0"/>
              <w:right w:val="single" w:color="000000" w:sz="6" w:space="0"/>
            </w:tcBorders>
            <w:vAlign w:val="center"/>
          </w:tcPr>
          <w:p w14:paraId="35EEE5D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spacing w:val="-2"/>
                <w:highlight w:val="none"/>
                <w:u w:val="wave" w:color="auto"/>
                <w14:textFill>
                  <w14:solidFill>
                    <w14:schemeClr w14:val="tx1"/>
                  </w14:solidFill>
                </w14:textFill>
              </w:rPr>
              <w:t>N</w:t>
            </w:r>
            <w:r>
              <w:rPr>
                <w:rFonts w:hint="default" w:ascii="Times New Roman" w:hAnsi="Times New Roman" w:cs="Times New Roman"/>
                <w:color w:val="000000" w:themeColor="text1"/>
                <w:spacing w:val="1"/>
                <w:highlight w:val="none"/>
                <w:u w:val="wave" w:color="auto"/>
                <w14:textFill>
                  <w14:solidFill>
                    <w14:schemeClr w14:val="tx1"/>
                  </w14:solidFill>
                </w14:textFill>
              </w:rPr>
              <w:t>H</w:t>
            </w:r>
            <w:r>
              <w:rPr>
                <w:rFonts w:hint="default" w:ascii="Times New Roman" w:hAnsi="Times New Roman" w:cs="Times New Roman"/>
                <w:color w:val="000000" w:themeColor="text1"/>
                <w:position w:val="-3"/>
                <w:sz w:val="16"/>
                <w:szCs w:val="16"/>
                <w:highlight w:val="none"/>
                <w:u w:val="wave" w:color="auto"/>
                <w14:textFill>
                  <w14:solidFill>
                    <w14:schemeClr w14:val="tx1"/>
                  </w14:solidFill>
                </w14:textFill>
              </w:rPr>
              <w:t>3</w:t>
            </w:r>
          </w:p>
        </w:tc>
        <w:tc>
          <w:tcPr>
            <w:tcW w:w="1609" w:type="dxa"/>
            <w:tcBorders>
              <w:top w:val="single" w:color="000000" w:sz="6" w:space="0"/>
              <w:left w:val="single" w:color="000000" w:sz="6" w:space="0"/>
              <w:bottom w:val="single" w:color="000000" w:sz="6" w:space="0"/>
              <w:right w:val="single" w:color="000000" w:sz="6" w:space="0"/>
            </w:tcBorders>
            <w:vAlign w:val="center"/>
          </w:tcPr>
          <w:p w14:paraId="5B92AC6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1h </w:t>
            </w:r>
            <w:r>
              <w:rPr>
                <w:rFonts w:hint="default" w:ascii="Times New Roman" w:hAnsi="Times New Roman" w:cs="Times New Roman"/>
                <w:color w:val="000000" w:themeColor="text1"/>
                <w:spacing w:val="-3"/>
                <w:highlight w:val="none"/>
                <w:u w:val="wave" w:color="auto"/>
                <w14:textFill>
                  <w14:solidFill>
                    <w14:schemeClr w14:val="tx1"/>
                  </w14:solidFill>
                </w14:textFill>
              </w:rPr>
              <w:t>平均</w:t>
            </w:r>
          </w:p>
        </w:tc>
        <w:tc>
          <w:tcPr>
            <w:tcW w:w="2670" w:type="dxa"/>
            <w:tcBorders>
              <w:top w:val="single" w:color="000000" w:sz="6" w:space="0"/>
              <w:left w:val="single" w:color="000000" w:sz="6" w:space="0"/>
              <w:bottom w:val="single" w:color="000000" w:sz="6" w:space="0"/>
              <w:right w:val="single" w:color="000000" w:sz="6" w:space="0"/>
            </w:tcBorders>
            <w:vAlign w:val="center"/>
          </w:tcPr>
          <w:p w14:paraId="0182978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0.20</w:t>
            </w:r>
            <w:r>
              <w:rPr>
                <w:rFonts w:hint="default" w:ascii="Times New Roman" w:hAnsi="Times New Roman" w:cs="Times New Roman"/>
                <w:color w:val="000000" w:themeColor="text1"/>
                <w:spacing w:val="-4"/>
                <w:highlight w:val="none"/>
                <w:u w:val="wave" w:color="auto"/>
                <w14:textFill>
                  <w14:solidFill>
                    <w14:schemeClr w14:val="tx1"/>
                  </w14:solidFill>
                </w14:textFill>
              </w:rPr>
              <w:t>m</w:t>
            </w:r>
            <w:r>
              <w:rPr>
                <w:rFonts w:hint="default" w:ascii="Times New Roman" w:hAnsi="Times New Roman" w:cs="Times New Roman"/>
                <w:color w:val="000000" w:themeColor="text1"/>
                <w:highlight w:val="none"/>
                <w:u w:val="wave" w:color="auto"/>
                <w14:textFill>
                  <w14:solidFill>
                    <w14:schemeClr w14:val="tx1"/>
                  </w14:solidFill>
                </w14:textFill>
              </w:rPr>
              <w:t>g</w:t>
            </w:r>
            <w:r>
              <w:rPr>
                <w:rFonts w:hint="default" w:ascii="Times New Roman" w:hAnsi="Times New Roman" w:cs="Times New Roman"/>
                <w:color w:val="000000" w:themeColor="text1"/>
                <w:spacing w:val="-2"/>
                <w:highlight w:val="none"/>
                <w:u w:val="wave" w:color="auto"/>
                <w14:textFill>
                  <w14:solidFill>
                    <w14:schemeClr w14:val="tx1"/>
                  </w14:solidFill>
                </w14:textFill>
              </w:rPr>
              <w:t>/</w:t>
            </w:r>
            <w:r>
              <w:rPr>
                <w:rFonts w:hint="default" w:ascii="Times New Roman" w:hAnsi="Times New Roman" w:cs="Times New Roman"/>
                <w:color w:val="000000" w:themeColor="text1"/>
                <w:spacing w:val="-1"/>
                <w:highlight w:val="none"/>
                <w:u w:val="wave" w:color="auto"/>
                <w14:textFill>
                  <w14:solidFill>
                    <w14:schemeClr w14:val="tx1"/>
                  </w14:solidFill>
                </w14:textFill>
              </w:rPr>
              <w:t>m</w:t>
            </w:r>
            <w:r>
              <w:rPr>
                <w:rFonts w:hint="default" w:ascii="Times New Roman" w:hAnsi="Times New Roman" w:cs="Times New Roman"/>
                <w:color w:val="000000" w:themeColor="text1"/>
                <w:position w:val="10"/>
                <w:sz w:val="14"/>
                <w:szCs w:val="14"/>
                <w:highlight w:val="none"/>
                <w:u w:val="wave" w:color="auto"/>
                <w14:textFill>
                  <w14:solidFill>
                    <w14:schemeClr w14:val="tx1"/>
                  </w14:solidFill>
                </w14:textFill>
              </w:rPr>
              <w:t>3</w:t>
            </w:r>
          </w:p>
        </w:tc>
        <w:tc>
          <w:tcPr>
            <w:tcW w:w="3304" w:type="dxa"/>
            <w:vMerge w:val="restart"/>
            <w:tcBorders>
              <w:top w:val="single" w:color="000000" w:sz="6" w:space="0"/>
              <w:left w:val="single" w:color="000000" w:sz="6" w:space="0"/>
              <w:bottom w:val="single" w:color="000000" w:sz="12" w:space="0"/>
              <w:right w:val="single" w:color="000000" w:sz="12" w:space="0"/>
            </w:tcBorders>
            <w:vAlign w:val="center"/>
          </w:tcPr>
          <w:p w14:paraId="654F029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《环境影响评价导则 大气环境》（HJ2.2-2018）附录D推荐标准值</w:t>
            </w:r>
          </w:p>
        </w:tc>
      </w:tr>
      <w:tr w14:paraId="26042995">
        <w:tblPrEx>
          <w:tblCellMar>
            <w:top w:w="0" w:type="dxa"/>
            <w:left w:w="0" w:type="dxa"/>
            <w:bottom w:w="0" w:type="dxa"/>
            <w:right w:w="0" w:type="dxa"/>
          </w:tblCellMar>
        </w:tblPrEx>
        <w:trPr>
          <w:trHeight w:val="321" w:hRule="atLeast"/>
          <w:jc w:val="center"/>
        </w:trPr>
        <w:tc>
          <w:tcPr>
            <w:tcW w:w="935" w:type="dxa"/>
            <w:tcBorders>
              <w:top w:val="single" w:color="000000" w:sz="6" w:space="0"/>
              <w:left w:val="single" w:color="000000" w:sz="12" w:space="0"/>
              <w:bottom w:val="single" w:color="000000" w:sz="12" w:space="0"/>
              <w:right w:val="single" w:color="000000" w:sz="6" w:space="0"/>
            </w:tcBorders>
            <w:vAlign w:val="center"/>
          </w:tcPr>
          <w:p w14:paraId="69C3507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spacing w:val="1"/>
                <w:highlight w:val="none"/>
                <w:u w:val="wave" w:color="auto"/>
                <w14:textFill>
                  <w14:solidFill>
                    <w14:schemeClr w14:val="tx1"/>
                  </w14:solidFill>
                </w14:textFill>
              </w:rPr>
              <w:t>H</w:t>
            </w:r>
            <w:r>
              <w:rPr>
                <w:rFonts w:hint="default" w:ascii="Times New Roman" w:hAnsi="Times New Roman" w:cs="Times New Roman"/>
                <w:color w:val="000000" w:themeColor="text1"/>
                <w:position w:val="-3"/>
                <w:sz w:val="16"/>
                <w:szCs w:val="16"/>
                <w:highlight w:val="none"/>
                <w:u w:val="wave" w:color="auto"/>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S</w:t>
            </w:r>
          </w:p>
        </w:tc>
        <w:tc>
          <w:tcPr>
            <w:tcW w:w="1609" w:type="dxa"/>
            <w:tcBorders>
              <w:top w:val="single" w:color="000000" w:sz="6" w:space="0"/>
              <w:left w:val="single" w:color="000000" w:sz="6" w:space="0"/>
              <w:bottom w:val="single" w:color="000000" w:sz="12" w:space="0"/>
              <w:right w:val="single" w:color="000000" w:sz="6" w:space="0"/>
            </w:tcBorders>
            <w:vAlign w:val="center"/>
          </w:tcPr>
          <w:p w14:paraId="5626F3E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1h </w:t>
            </w:r>
            <w:r>
              <w:rPr>
                <w:rFonts w:hint="default" w:ascii="Times New Roman" w:hAnsi="Times New Roman" w:cs="Times New Roman"/>
                <w:color w:val="000000" w:themeColor="text1"/>
                <w:spacing w:val="-3"/>
                <w:highlight w:val="none"/>
                <w:u w:val="wave" w:color="auto"/>
                <w14:textFill>
                  <w14:solidFill>
                    <w14:schemeClr w14:val="tx1"/>
                  </w14:solidFill>
                </w14:textFill>
              </w:rPr>
              <w:t>平均</w:t>
            </w:r>
          </w:p>
        </w:tc>
        <w:tc>
          <w:tcPr>
            <w:tcW w:w="2670" w:type="dxa"/>
            <w:tcBorders>
              <w:top w:val="single" w:color="000000" w:sz="6" w:space="0"/>
              <w:left w:val="single" w:color="000000" w:sz="6" w:space="0"/>
              <w:bottom w:val="single" w:color="000000" w:sz="12" w:space="0"/>
              <w:right w:val="single" w:color="000000" w:sz="6" w:space="0"/>
            </w:tcBorders>
            <w:vAlign w:val="center"/>
          </w:tcPr>
          <w:p w14:paraId="0646C8E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0.01</w:t>
            </w:r>
            <w:r>
              <w:rPr>
                <w:rFonts w:hint="default" w:ascii="Times New Roman" w:hAnsi="Times New Roman" w:cs="Times New Roman"/>
                <w:color w:val="000000" w:themeColor="text1"/>
                <w:spacing w:val="-4"/>
                <w:highlight w:val="none"/>
                <w:u w:val="wave" w:color="auto"/>
                <w14:textFill>
                  <w14:solidFill>
                    <w14:schemeClr w14:val="tx1"/>
                  </w14:solidFill>
                </w14:textFill>
              </w:rPr>
              <w:t>m</w:t>
            </w:r>
            <w:r>
              <w:rPr>
                <w:rFonts w:hint="default" w:ascii="Times New Roman" w:hAnsi="Times New Roman" w:cs="Times New Roman"/>
                <w:color w:val="000000" w:themeColor="text1"/>
                <w:highlight w:val="none"/>
                <w:u w:val="wave" w:color="auto"/>
                <w14:textFill>
                  <w14:solidFill>
                    <w14:schemeClr w14:val="tx1"/>
                  </w14:solidFill>
                </w14:textFill>
              </w:rPr>
              <w:t>g</w:t>
            </w:r>
            <w:r>
              <w:rPr>
                <w:rFonts w:hint="default" w:ascii="Times New Roman" w:hAnsi="Times New Roman" w:cs="Times New Roman"/>
                <w:color w:val="000000" w:themeColor="text1"/>
                <w:spacing w:val="-2"/>
                <w:highlight w:val="none"/>
                <w:u w:val="wave" w:color="auto"/>
                <w14:textFill>
                  <w14:solidFill>
                    <w14:schemeClr w14:val="tx1"/>
                  </w14:solidFill>
                </w14:textFill>
              </w:rPr>
              <w:t>/</w:t>
            </w:r>
            <w:r>
              <w:rPr>
                <w:rFonts w:hint="default" w:ascii="Times New Roman" w:hAnsi="Times New Roman" w:cs="Times New Roman"/>
                <w:color w:val="000000" w:themeColor="text1"/>
                <w:spacing w:val="-1"/>
                <w:highlight w:val="none"/>
                <w:u w:val="wave" w:color="auto"/>
                <w14:textFill>
                  <w14:solidFill>
                    <w14:schemeClr w14:val="tx1"/>
                  </w14:solidFill>
                </w14:textFill>
              </w:rPr>
              <w:t>m</w:t>
            </w:r>
            <w:r>
              <w:rPr>
                <w:rFonts w:hint="default" w:ascii="Times New Roman" w:hAnsi="Times New Roman" w:cs="Times New Roman"/>
                <w:color w:val="000000" w:themeColor="text1"/>
                <w:position w:val="10"/>
                <w:sz w:val="14"/>
                <w:szCs w:val="14"/>
                <w:highlight w:val="none"/>
                <w:u w:val="wave" w:color="auto"/>
                <w14:textFill>
                  <w14:solidFill>
                    <w14:schemeClr w14:val="tx1"/>
                  </w14:solidFill>
                </w14:textFill>
              </w:rPr>
              <w:t>3</w:t>
            </w:r>
          </w:p>
        </w:tc>
        <w:tc>
          <w:tcPr>
            <w:tcW w:w="3304" w:type="dxa"/>
            <w:vMerge w:val="continue"/>
            <w:tcBorders>
              <w:top w:val="single" w:color="000000" w:sz="6" w:space="0"/>
              <w:left w:val="single" w:color="000000" w:sz="6" w:space="0"/>
              <w:bottom w:val="single" w:color="000000" w:sz="12" w:space="0"/>
              <w:right w:val="single" w:color="000000" w:sz="12" w:space="0"/>
            </w:tcBorders>
            <w:vAlign w:val="center"/>
          </w:tcPr>
          <w:p w14:paraId="1C5D0B09">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p>
        </w:tc>
      </w:tr>
    </w:tbl>
    <w:p w14:paraId="4828FEB2">
      <w:pPr>
        <w:pStyle w:val="381"/>
        <w:numPr>
          <w:ilvl w:val="3"/>
          <w:numId w:val="0"/>
        </w:numPr>
        <w:ind w:left="480" w:leftChars="0"/>
        <w:outlineLvl w:val="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14:textFill>
            <w14:solidFill>
              <w14:schemeClr w14:val="tx1"/>
            </w14:solidFill>
          </w14:textFill>
        </w:rPr>
        <w:t>预测参数</w:t>
      </w:r>
    </w:p>
    <w:p w14:paraId="1EE6EB88">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正常工况下，拟建项目</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点源预测</w:t>
      </w:r>
      <w:r>
        <w:rPr>
          <w:rFonts w:hint="default" w:ascii="Times New Roman" w:hAnsi="Times New Roman" w:cs="Times New Roman"/>
          <w:color w:val="000000" w:themeColor="text1"/>
          <w:highlight w:val="none"/>
          <w:u w:val="wave" w:color="auto"/>
          <w14:textFill>
            <w14:solidFill>
              <w14:schemeClr w14:val="tx1"/>
            </w14:solidFill>
          </w14:textFill>
        </w:rPr>
        <w:t>参数见表</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面源预测参数见表5.2-3</w:t>
      </w:r>
      <w:r>
        <w:rPr>
          <w:rFonts w:hint="default" w:ascii="Times New Roman" w:hAnsi="Times New Roman" w:cs="Times New Roman"/>
          <w:color w:val="000000" w:themeColor="text1"/>
          <w:highlight w:val="none"/>
          <w:u w:val="wave" w:color="auto"/>
          <w14:textFill>
            <w14:solidFill>
              <w14:schemeClr w14:val="tx1"/>
            </w14:solidFill>
          </w14:textFill>
        </w:rPr>
        <w:t>。</w:t>
      </w:r>
    </w:p>
    <w:p w14:paraId="50E70691">
      <w:pPr>
        <w:pStyle w:val="194"/>
        <w:spacing w:line="240" w:lineRule="auto"/>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表 </w:t>
      </w:r>
      <w:r>
        <w:rPr>
          <w:rFonts w:hint="default" w:ascii="Times New Roman" w:hAnsi="Times New Roman" w:cs="Times New Roman"/>
          <w:color w:val="000000" w:themeColor="text1"/>
          <w:highlight w:val="none"/>
          <w:u w:val="wave" w:color="auto"/>
          <w14:textFill>
            <w14:solidFill>
              <w14:schemeClr w14:val="tx1"/>
            </w14:solidFill>
          </w14:textFill>
        </w:rPr>
        <w:fldChar w:fldCharType="begin"/>
      </w:r>
      <w:r>
        <w:rPr>
          <w:rFonts w:hint="default" w:ascii="Times New Roman" w:hAnsi="Times New Roman" w:cs="Times New Roman"/>
          <w:color w:val="000000" w:themeColor="text1"/>
          <w:highlight w:val="none"/>
          <w:u w:val="wav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wave" w:color="auto"/>
          <w14:textFill>
            <w14:solidFill>
              <w14:schemeClr w14:val="tx1"/>
            </w14:solidFill>
          </w14:textFill>
        </w:rPr>
        <w:fldChar w:fldCharType="separate"/>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fldChar w:fldCharType="end"/>
      </w:r>
      <w:r>
        <w:rPr>
          <w:rFonts w:hint="default" w:ascii="Times New Roman" w:hAnsi="Times New Roman" w:cs="Times New Roman"/>
          <w:color w:val="000000" w:themeColor="text1"/>
          <w:highlight w:val="none"/>
          <w:u w:val="wave" w:color="auto"/>
          <w14:textFill>
            <w14:solidFill>
              <w14:schemeClr w14:val="tx1"/>
            </w14:solidFill>
          </w14:textFill>
        </w:rPr>
        <w:noBreakHyphen/>
      </w:r>
      <w:r>
        <w:rPr>
          <w:rFonts w:hint="default" w:ascii="Times New Roman" w:hAnsi="Times New Roman" w:cs="Times New Roman"/>
          <w:color w:val="000000" w:themeColor="text1"/>
          <w:highlight w:val="none"/>
          <w:u w:val="wave" w:color="auto"/>
          <w14:textFill>
            <w14:solidFill>
              <w14:schemeClr w14:val="tx1"/>
            </w14:solidFill>
          </w14:textFill>
        </w:rPr>
        <w:fldChar w:fldCharType="begin"/>
      </w:r>
      <w:r>
        <w:rPr>
          <w:rFonts w:hint="default" w:ascii="Times New Roman" w:hAnsi="Times New Roman" w:cs="Times New Roman"/>
          <w:color w:val="000000" w:themeColor="text1"/>
          <w:highlight w:val="none"/>
          <w:u w:val="wave" w:color="auto"/>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u w:val="wave" w:color="auto"/>
          <w14:textFill>
            <w14:solidFill>
              <w14:schemeClr w14:val="tx1"/>
            </w14:solidFill>
          </w14:textFill>
        </w:rPr>
        <w:fldChar w:fldCharType="separate"/>
      </w:r>
      <w:r>
        <w:rPr>
          <w:rFonts w:hint="default" w:ascii="Times New Roman" w:hAnsi="Times New Roman" w:cs="Times New Roman"/>
          <w:color w:val="000000" w:themeColor="text1"/>
          <w:highlight w:val="none"/>
          <w:u w:val="wave" w:color="auto"/>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fldChar w:fldCharType="end"/>
      </w:r>
      <w:r>
        <w:rPr>
          <w:rFonts w:hint="default" w:ascii="Times New Roman" w:hAnsi="Times New Roman" w:cs="Times New Roman"/>
          <w:color w:val="000000" w:themeColor="text1"/>
          <w:highlight w:val="none"/>
          <w:u w:val="wave" w:color="auto"/>
          <w14:textFill>
            <w14:solidFill>
              <w14:schemeClr w14:val="tx1"/>
            </w14:solidFill>
          </w14:textFill>
        </w:rPr>
        <w:t xml:space="preserve">  有组织预测点源参数表</w:t>
      </w:r>
    </w:p>
    <w:tbl>
      <w:tblPr>
        <w:tblStyle w:val="76"/>
        <w:tblW w:w="500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9"/>
        <w:gridCol w:w="1245"/>
        <w:gridCol w:w="853"/>
        <w:gridCol w:w="682"/>
        <w:gridCol w:w="686"/>
        <w:gridCol w:w="684"/>
        <w:gridCol w:w="820"/>
        <w:gridCol w:w="1088"/>
        <w:gridCol w:w="1177"/>
      </w:tblGrid>
      <w:tr w14:paraId="56563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756" w:type="pct"/>
            <w:vMerge w:val="restart"/>
            <w:shd w:val="clear" w:color="auto" w:fill="auto"/>
            <w:vAlign w:val="center"/>
          </w:tcPr>
          <w:p w14:paraId="0472AF6B">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排气筒</w:t>
            </w:r>
          </w:p>
        </w:tc>
        <w:tc>
          <w:tcPr>
            <w:tcW w:w="730" w:type="pct"/>
            <w:vMerge w:val="restart"/>
            <w:shd w:val="clear" w:color="auto" w:fill="auto"/>
            <w:vAlign w:val="center"/>
          </w:tcPr>
          <w:p w14:paraId="2606052E">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污染物</w:t>
            </w:r>
          </w:p>
        </w:tc>
        <w:tc>
          <w:tcPr>
            <w:tcW w:w="500" w:type="pct"/>
            <w:vMerge w:val="restart"/>
            <w:shd w:val="clear" w:color="auto" w:fill="auto"/>
            <w:vAlign w:val="center"/>
          </w:tcPr>
          <w:p w14:paraId="03B2D4F9">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时间h</w:t>
            </w:r>
          </w:p>
        </w:tc>
        <w:tc>
          <w:tcPr>
            <w:tcW w:w="1203" w:type="pct"/>
            <w:gridSpan w:val="3"/>
          </w:tcPr>
          <w:p w14:paraId="12B7536A">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排放源参数</w:t>
            </w:r>
          </w:p>
        </w:tc>
        <w:tc>
          <w:tcPr>
            <w:tcW w:w="480" w:type="pct"/>
            <w:vMerge w:val="restart"/>
            <w:shd w:val="clear" w:color="auto" w:fill="auto"/>
            <w:vAlign w:val="center"/>
          </w:tcPr>
          <w:p w14:paraId="0F3918F8">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风量m</w:t>
            </w:r>
            <w:r>
              <w:rPr>
                <w:rFonts w:hint="default" w:ascii="Times New Roman" w:hAnsi="Times New Roman" w:cs="Times New Roman"/>
                <w:b/>
                <w:color w:val="000000" w:themeColor="text1"/>
                <w:highlight w:val="none"/>
                <w:u w:val="wave" w:color="auto"/>
                <w:vertAlign w:val="superscript"/>
                <w14:textFill>
                  <w14:solidFill>
                    <w14:schemeClr w14:val="tx1"/>
                  </w14:solidFill>
                </w14:textFill>
              </w:rPr>
              <w:t>3</w:t>
            </w:r>
            <w:r>
              <w:rPr>
                <w:rFonts w:hint="default" w:ascii="Times New Roman" w:hAnsi="Times New Roman" w:cs="Times New Roman"/>
                <w:b/>
                <w:color w:val="000000" w:themeColor="text1"/>
                <w:highlight w:val="none"/>
                <w:u w:val="wave" w:color="auto"/>
                <w14:textFill>
                  <w14:solidFill>
                    <w14:schemeClr w14:val="tx1"/>
                  </w14:solidFill>
                </w14:textFill>
              </w:rPr>
              <w:t>/h</w:t>
            </w:r>
          </w:p>
        </w:tc>
        <w:tc>
          <w:tcPr>
            <w:tcW w:w="638" w:type="pct"/>
            <w:vMerge w:val="restart"/>
            <w:shd w:val="clear" w:color="auto" w:fill="auto"/>
            <w:vAlign w:val="center"/>
          </w:tcPr>
          <w:p w14:paraId="759F0046">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正常排放量t/a</w:t>
            </w:r>
          </w:p>
        </w:tc>
        <w:tc>
          <w:tcPr>
            <w:tcW w:w="690" w:type="pct"/>
            <w:vMerge w:val="restart"/>
            <w:shd w:val="clear" w:color="auto" w:fill="auto"/>
            <w:vAlign w:val="center"/>
          </w:tcPr>
          <w:p w14:paraId="3A2AA1A1">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非正常排放量t/a</w:t>
            </w:r>
          </w:p>
        </w:tc>
      </w:tr>
      <w:tr w14:paraId="3B22A0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756" w:type="pct"/>
            <w:vMerge w:val="continue"/>
            <w:shd w:val="clear" w:color="auto" w:fill="auto"/>
            <w:vAlign w:val="center"/>
          </w:tcPr>
          <w:p w14:paraId="5C81BEF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730" w:type="pct"/>
            <w:vMerge w:val="continue"/>
            <w:shd w:val="clear" w:color="auto" w:fill="auto"/>
            <w:vAlign w:val="center"/>
          </w:tcPr>
          <w:p w14:paraId="22AEF39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500" w:type="pct"/>
            <w:vMerge w:val="continue"/>
            <w:shd w:val="clear" w:color="auto" w:fill="auto"/>
            <w:vAlign w:val="center"/>
          </w:tcPr>
          <w:p w14:paraId="5194E5F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400" w:type="pct"/>
            <w:vAlign w:val="center"/>
          </w:tcPr>
          <w:p w14:paraId="33D92F25">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高度</w:t>
            </w:r>
          </w:p>
        </w:tc>
        <w:tc>
          <w:tcPr>
            <w:tcW w:w="402" w:type="pct"/>
            <w:vAlign w:val="center"/>
          </w:tcPr>
          <w:p w14:paraId="77330875">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内径</w:t>
            </w:r>
          </w:p>
        </w:tc>
        <w:tc>
          <w:tcPr>
            <w:tcW w:w="401" w:type="pct"/>
            <w:vAlign w:val="center"/>
          </w:tcPr>
          <w:p w14:paraId="7BD6F55D">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烟温</w:t>
            </w:r>
          </w:p>
        </w:tc>
        <w:tc>
          <w:tcPr>
            <w:tcW w:w="480" w:type="pct"/>
            <w:vMerge w:val="continue"/>
            <w:shd w:val="clear" w:color="auto" w:fill="auto"/>
            <w:vAlign w:val="center"/>
          </w:tcPr>
          <w:p w14:paraId="201C191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638" w:type="pct"/>
            <w:vMerge w:val="continue"/>
            <w:shd w:val="clear" w:color="auto" w:fill="auto"/>
            <w:vAlign w:val="center"/>
          </w:tcPr>
          <w:p w14:paraId="4835895F">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690" w:type="pct"/>
            <w:vMerge w:val="continue"/>
            <w:shd w:val="clear" w:color="auto" w:fill="auto"/>
            <w:vAlign w:val="center"/>
          </w:tcPr>
          <w:p w14:paraId="3331CD0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r>
      <w:tr w14:paraId="5F9883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6" w:type="pct"/>
            <w:vMerge w:val="restart"/>
            <w:vAlign w:val="center"/>
          </w:tcPr>
          <w:p w14:paraId="347D7D72">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DA001</w:t>
            </w:r>
          </w:p>
        </w:tc>
        <w:tc>
          <w:tcPr>
            <w:tcW w:w="730" w:type="pct"/>
            <w:shd w:val="clear" w:color="auto" w:fill="auto"/>
            <w:vAlign w:val="center"/>
          </w:tcPr>
          <w:p w14:paraId="6F8C748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氨</w:t>
            </w:r>
          </w:p>
        </w:tc>
        <w:tc>
          <w:tcPr>
            <w:tcW w:w="500" w:type="pct"/>
            <w:vMerge w:val="restart"/>
            <w:shd w:val="clear" w:color="auto" w:fill="auto"/>
            <w:vAlign w:val="center"/>
          </w:tcPr>
          <w:p w14:paraId="2B57C19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8760</w:t>
            </w:r>
          </w:p>
        </w:tc>
        <w:tc>
          <w:tcPr>
            <w:tcW w:w="400" w:type="pct"/>
            <w:vMerge w:val="restart"/>
            <w:vAlign w:val="center"/>
          </w:tcPr>
          <w:p w14:paraId="5FAC973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15 m</w:t>
            </w:r>
          </w:p>
        </w:tc>
        <w:tc>
          <w:tcPr>
            <w:tcW w:w="402" w:type="pct"/>
            <w:vMerge w:val="restart"/>
            <w:vAlign w:val="center"/>
          </w:tcPr>
          <w:p w14:paraId="6EE16B4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wave" w:color="auto"/>
                <w14:textFill>
                  <w14:solidFill>
                    <w14:schemeClr w14:val="tx1"/>
                  </w14:solidFill>
                </w14:textFill>
              </w:rPr>
              <w:t>m</w:t>
            </w:r>
          </w:p>
        </w:tc>
        <w:tc>
          <w:tcPr>
            <w:tcW w:w="401" w:type="pct"/>
            <w:vMerge w:val="restart"/>
            <w:vAlign w:val="center"/>
          </w:tcPr>
          <w:p w14:paraId="625109E0">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25℃</w:t>
            </w:r>
          </w:p>
        </w:tc>
        <w:tc>
          <w:tcPr>
            <w:tcW w:w="480" w:type="pct"/>
            <w:vMerge w:val="restart"/>
            <w:shd w:val="clear" w:color="auto" w:fill="auto"/>
            <w:vAlign w:val="center"/>
          </w:tcPr>
          <w:p w14:paraId="174304B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10</w:t>
            </w:r>
            <w:r>
              <w:rPr>
                <w:rFonts w:hint="default" w:ascii="Times New Roman" w:hAnsi="Times New Roman" w:cs="Times New Roman"/>
                <w:color w:val="000000" w:themeColor="text1"/>
                <w:highlight w:val="none"/>
                <w:u w:val="wave" w:color="auto"/>
                <w14:textFill>
                  <w14:solidFill>
                    <w14:schemeClr w14:val="tx1"/>
                  </w14:solidFill>
                </w14:textFill>
              </w:rPr>
              <w:t>000</w:t>
            </w:r>
          </w:p>
        </w:tc>
        <w:tc>
          <w:tcPr>
            <w:tcW w:w="638" w:type="pct"/>
            <w:shd w:val="clear" w:color="auto" w:fill="auto"/>
            <w:vAlign w:val="bottom"/>
          </w:tcPr>
          <w:p w14:paraId="51013BBA">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0.0519</w:t>
            </w:r>
          </w:p>
        </w:tc>
        <w:tc>
          <w:tcPr>
            <w:tcW w:w="690" w:type="pct"/>
            <w:shd w:val="clear" w:color="auto" w:fill="auto"/>
            <w:vAlign w:val="center"/>
          </w:tcPr>
          <w:p w14:paraId="536F1DF5">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1.038</w:t>
            </w:r>
          </w:p>
        </w:tc>
      </w:tr>
      <w:tr w14:paraId="0FB00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6" w:type="pct"/>
            <w:vMerge w:val="continue"/>
            <w:vAlign w:val="center"/>
          </w:tcPr>
          <w:p w14:paraId="7CFC6C23">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730" w:type="pct"/>
            <w:shd w:val="clear" w:color="auto" w:fill="auto"/>
            <w:vAlign w:val="center"/>
          </w:tcPr>
          <w:p w14:paraId="5A392B2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硫化氢</w:t>
            </w:r>
          </w:p>
        </w:tc>
        <w:tc>
          <w:tcPr>
            <w:tcW w:w="500" w:type="pct"/>
            <w:vMerge w:val="continue"/>
            <w:shd w:val="clear" w:color="auto" w:fill="auto"/>
            <w:vAlign w:val="center"/>
          </w:tcPr>
          <w:p w14:paraId="7F6D909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400" w:type="pct"/>
            <w:vMerge w:val="continue"/>
            <w:vAlign w:val="center"/>
          </w:tcPr>
          <w:p w14:paraId="1A7EEF8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402" w:type="pct"/>
            <w:vMerge w:val="continue"/>
            <w:vAlign w:val="center"/>
          </w:tcPr>
          <w:p w14:paraId="2BD28F90">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401" w:type="pct"/>
            <w:vMerge w:val="continue"/>
            <w:vAlign w:val="center"/>
          </w:tcPr>
          <w:p w14:paraId="4287B87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480" w:type="pct"/>
            <w:vMerge w:val="continue"/>
            <w:shd w:val="clear" w:color="auto" w:fill="auto"/>
            <w:vAlign w:val="center"/>
          </w:tcPr>
          <w:p w14:paraId="3344898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638" w:type="pct"/>
            <w:shd w:val="clear" w:color="auto" w:fill="auto"/>
            <w:vAlign w:val="bottom"/>
          </w:tcPr>
          <w:p w14:paraId="4366E2E8">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020</w:t>
            </w:r>
          </w:p>
        </w:tc>
        <w:tc>
          <w:tcPr>
            <w:tcW w:w="690" w:type="pct"/>
            <w:shd w:val="clear" w:color="auto" w:fill="auto"/>
            <w:vAlign w:val="center"/>
          </w:tcPr>
          <w:p w14:paraId="78698812">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402</w:t>
            </w:r>
          </w:p>
        </w:tc>
      </w:tr>
    </w:tbl>
    <w:p w14:paraId="209069D3">
      <w:pPr>
        <w:pStyle w:val="194"/>
        <w:spacing w:line="240" w:lineRule="auto"/>
        <w:ind w:firstLine="480"/>
        <w:rPr>
          <w:rFonts w:hint="default" w:ascii="Times New Roman" w:hAnsi="Times New Roman" w:cs="Times New Roman"/>
          <w:color w:val="000000" w:themeColor="text1"/>
          <w:highlight w:val="none"/>
          <w:u w:val="wave" w:color="auto"/>
          <w14:textFill>
            <w14:solidFill>
              <w14:schemeClr w14:val="tx1"/>
            </w14:solidFill>
          </w14:textFill>
        </w:rPr>
      </w:pPr>
    </w:p>
    <w:p w14:paraId="422BF2A1">
      <w:pPr>
        <w:pStyle w:val="194"/>
        <w:spacing w:line="240" w:lineRule="auto"/>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表 </w:t>
      </w:r>
      <w:r>
        <w:rPr>
          <w:rFonts w:hint="default" w:ascii="Times New Roman" w:hAnsi="Times New Roman" w:cs="Times New Roman"/>
          <w:color w:val="000000" w:themeColor="text1"/>
          <w:highlight w:val="none"/>
          <w:u w:val="wave" w:color="auto"/>
          <w14:textFill>
            <w14:solidFill>
              <w14:schemeClr w14:val="tx1"/>
            </w14:solidFill>
          </w14:textFill>
        </w:rPr>
        <w:fldChar w:fldCharType="begin"/>
      </w:r>
      <w:r>
        <w:rPr>
          <w:rFonts w:hint="default" w:ascii="Times New Roman" w:hAnsi="Times New Roman" w:cs="Times New Roman"/>
          <w:color w:val="000000" w:themeColor="text1"/>
          <w:highlight w:val="none"/>
          <w:u w:val="wav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wave" w:color="auto"/>
          <w14:textFill>
            <w14:solidFill>
              <w14:schemeClr w14:val="tx1"/>
            </w14:solidFill>
          </w14:textFill>
        </w:rPr>
        <w:fldChar w:fldCharType="separate"/>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fldChar w:fldCharType="end"/>
      </w:r>
      <w:r>
        <w:rPr>
          <w:rFonts w:hint="default" w:ascii="Times New Roman" w:hAnsi="Times New Roman" w:cs="Times New Roman"/>
          <w:color w:val="000000" w:themeColor="text1"/>
          <w:highlight w:val="none"/>
          <w:u w:val="wave" w:color="auto"/>
          <w14:textFill>
            <w14:solidFill>
              <w14:schemeClr w14:val="tx1"/>
            </w14:solidFill>
          </w14:textFill>
        </w:rPr>
        <w:noBreakHyphen/>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wave" w:color="auto"/>
          <w14:textFill>
            <w14:solidFill>
              <w14:schemeClr w14:val="tx1"/>
            </w14:solidFill>
          </w14:textFill>
        </w:rPr>
        <w:t xml:space="preserve"> 无组织预测面源参数表</w:t>
      </w:r>
    </w:p>
    <w:p w14:paraId="058E5156">
      <w:pPr>
        <w:kinsoku w:val="0"/>
        <w:overflowPunct w:val="0"/>
        <w:spacing w:before="4" w:line="10" w:lineRule="exact"/>
        <w:ind w:firstLine="40"/>
        <w:rPr>
          <w:rFonts w:hint="default" w:ascii="Times New Roman" w:hAnsi="Times New Roman" w:cs="Times New Roman" w:eastAsiaTheme="minorEastAsia"/>
          <w:color w:val="000000" w:themeColor="text1"/>
          <w:sz w:val="2"/>
          <w:szCs w:val="2"/>
          <w:highlight w:val="none"/>
          <w:u w:val="wave" w:color="auto"/>
          <w14:textFill>
            <w14:solidFill>
              <w14:schemeClr w14:val="tx1"/>
            </w14:solidFill>
          </w14:textFill>
        </w:rPr>
      </w:pPr>
    </w:p>
    <w:tbl>
      <w:tblPr>
        <w:tblStyle w:val="76"/>
        <w:tblW w:w="506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79"/>
        <w:gridCol w:w="1806"/>
        <w:gridCol w:w="1403"/>
        <w:gridCol w:w="1489"/>
        <w:gridCol w:w="991"/>
        <w:gridCol w:w="991"/>
        <w:gridCol w:w="991"/>
      </w:tblGrid>
      <w:tr w14:paraId="585B7C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776" w:type="dxa"/>
            <w:vMerge w:val="restart"/>
            <w:vAlign w:val="center"/>
          </w:tcPr>
          <w:p w14:paraId="6DAEC155">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序号</w:t>
            </w:r>
          </w:p>
        </w:tc>
        <w:tc>
          <w:tcPr>
            <w:tcW w:w="1800" w:type="dxa"/>
            <w:vMerge w:val="restart"/>
            <w:vAlign w:val="center"/>
          </w:tcPr>
          <w:p w14:paraId="4972EB4D">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装置或车间名称</w:t>
            </w:r>
          </w:p>
        </w:tc>
        <w:tc>
          <w:tcPr>
            <w:tcW w:w="2882" w:type="dxa"/>
            <w:gridSpan w:val="2"/>
            <w:vAlign w:val="center"/>
          </w:tcPr>
          <w:p w14:paraId="063AB1CE">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污染物排放</w:t>
            </w:r>
          </w:p>
        </w:tc>
        <w:tc>
          <w:tcPr>
            <w:tcW w:w="2961" w:type="dxa"/>
            <w:gridSpan w:val="3"/>
            <w:vAlign w:val="center"/>
          </w:tcPr>
          <w:p w14:paraId="38F92E0F">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面源</w:t>
            </w:r>
          </w:p>
        </w:tc>
      </w:tr>
      <w:tr w14:paraId="306E36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776" w:type="dxa"/>
            <w:vMerge w:val="continue"/>
            <w:vAlign w:val="center"/>
          </w:tcPr>
          <w:p w14:paraId="787F30C8">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p>
        </w:tc>
        <w:tc>
          <w:tcPr>
            <w:tcW w:w="1800" w:type="dxa"/>
            <w:vMerge w:val="continue"/>
            <w:vAlign w:val="center"/>
          </w:tcPr>
          <w:p w14:paraId="63FAF5D8">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p>
        </w:tc>
        <w:tc>
          <w:tcPr>
            <w:tcW w:w="1398" w:type="dxa"/>
            <w:vAlign w:val="center"/>
          </w:tcPr>
          <w:p w14:paraId="5462AE1F">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污染物名称</w:t>
            </w:r>
          </w:p>
        </w:tc>
        <w:tc>
          <w:tcPr>
            <w:tcW w:w="1484" w:type="dxa"/>
            <w:vAlign w:val="center"/>
          </w:tcPr>
          <w:p w14:paraId="1AD7ACDE">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排放速率（t/a）</w:t>
            </w:r>
          </w:p>
        </w:tc>
        <w:tc>
          <w:tcPr>
            <w:tcW w:w="987" w:type="dxa"/>
            <w:vAlign w:val="center"/>
          </w:tcPr>
          <w:p w14:paraId="6095BD61">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高（m）</w:t>
            </w:r>
          </w:p>
        </w:tc>
        <w:tc>
          <w:tcPr>
            <w:tcW w:w="987" w:type="dxa"/>
            <w:vAlign w:val="center"/>
          </w:tcPr>
          <w:p w14:paraId="51384D18">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长（m）</w:t>
            </w:r>
          </w:p>
        </w:tc>
        <w:tc>
          <w:tcPr>
            <w:tcW w:w="987" w:type="dxa"/>
            <w:vAlign w:val="center"/>
          </w:tcPr>
          <w:p w14:paraId="0EB87811">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宽（m）</w:t>
            </w:r>
          </w:p>
        </w:tc>
      </w:tr>
      <w:tr w14:paraId="06B11D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8" w:hRule="atLeast"/>
          <w:jc w:val="center"/>
        </w:trPr>
        <w:tc>
          <w:tcPr>
            <w:tcW w:w="776" w:type="dxa"/>
            <w:vAlign w:val="center"/>
          </w:tcPr>
          <w:p w14:paraId="047CE1C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1</w:t>
            </w:r>
          </w:p>
        </w:tc>
        <w:tc>
          <w:tcPr>
            <w:tcW w:w="1800" w:type="dxa"/>
            <w:vMerge w:val="restart"/>
            <w:vAlign w:val="center"/>
          </w:tcPr>
          <w:p w14:paraId="3AE455D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污水处理运行系统</w:t>
            </w:r>
          </w:p>
        </w:tc>
        <w:tc>
          <w:tcPr>
            <w:tcW w:w="1398" w:type="dxa"/>
            <w:vAlign w:val="center"/>
          </w:tcPr>
          <w:p w14:paraId="7A7AAB2B">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NH</w:t>
            </w:r>
            <w:r>
              <w:rPr>
                <w:rFonts w:hint="default" w:ascii="Times New Roman" w:hAnsi="Times New Roman" w:cs="Times New Roman"/>
                <w:color w:val="000000" w:themeColor="text1"/>
                <w:sz w:val="15"/>
                <w:szCs w:val="15"/>
                <w:highlight w:val="none"/>
                <w:u w:val="wave" w:color="auto"/>
                <w14:textFill>
                  <w14:solidFill>
                    <w14:schemeClr w14:val="tx1"/>
                  </w14:solidFill>
                </w14:textFill>
              </w:rPr>
              <w:t>3</w:t>
            </w:r>
          </w:p>
        </w:tc>
        <w:tc>
          <w:tcPr>
            <w:tcW w:w="1484" w:type="dxa"/>
            <w:vAlign w:val="bottom"/>
          </w:tcPr>
          <w:p w14:paraId="05D59A42">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04614</w:t>
            </w:r>
          </w:p>
        </w:tc>
        <w:tc>
          <w:tcPr>
            <w:tcW w:w="987" w:type="dxa"/>
            <w:vMerge w:val="restart"/>
            <w:vAlign w:val="center"/>
          </w:tcPr>
          <w:p w14:paraId="76A16A1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987" w:type="dxa"/>
            <w:vMerge w:val="restart"/>
            <w:vAlign w:val="center"/>
          </w:tcPr>
          <w:p w14:paraId="21CCD17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90</w:t>
            </w:r>
          </w:p>
        </w:tc>
        <w:tc>
          <w:tcPr>
            <w:tcW w:w="987" w:type="dxa"/>
            <w:vMerge w:val="restart"/>
            <w:vAlign w:val="center"/>
          </w:tcPr>
          <w:p w14:paraId="4FE446BC">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45</w:t>
            </w:r>
          </w:p>
        </w:tc>
      </w:tr>
      <w:tr w14:paraId="0EE690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776" w:type="dxa"/>
            <w:vAlign w:val="center"/>
          </w:tcPr>
          <w:p w14:paraId="3DFD51B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2</w:t>
            </w:r>
          </w:p>
        </w:tc>
        <w:tc>
          <w:tcPr>
            <w:tcW w:w="1800" w:type="dxa"/>
            <w:vMerge w:val="continue"/>
            <w:vAlign w:val="center"/>
          </w:tcPr>
          <w:p w14:paraId="2130E01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1398" w:type="dxa"/>
            <w:vAlign w:val="center"/>
          </w:tcPr>
          <w:p w14:paraId="0E9BEDF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H</w:t>
            </w:r>
            <w:r>
              <w:rPr>
                <w:rFonts w:hint="default" w:ascii="Times New Roman" w:hAnsi="Times New Roman" w:cs="Times New Roman"/>
                <w:color w:val="000000" w:themeColor="text1"/>
                <w:sz w:val="15"/>
                <w:szCs w:val="15"/>
                <w:highlight w:val="none"/>
                <w:u w:val="wave" w:color="auto"/>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S</w:t>
            </w:r>
          </w:p>
        </w:tc>
        <w:tc>
          <w:tcPr>
            <w:tcW w:w="1484" w:type="dxa"/>
            <w:vAlign w:val="bottom"/>
          </w:tcPr>
          <w:p w14:paraId="305D2EF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0.001787</w:t>
            </w:r>
          </w:p>
        </w:tc>
        <w:tc>
          <w:tcPr>
            <w:tcW w:w="987" w:type="dxa"/>
            <w:vMerge w:val="continue"/>
            <w:vAlign w:val="center"/>
          </w:tcPr>
          <w:p w14:paraId="7C76FAC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987" w:type="dxa"/>
            <w:vMerge w:val="continue"/>
            <w:vAlign w:val="center"/>
          </w:tcPr>
          <w:p w14:paraId="7E96BEC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987" w:type="dxa"/>
            <w:vMerge w:val="continue"/>
            <w:vAlign w:val="center"/>
          </w:tcPr>
          <w:p w14:paraId="0C658AA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r>
    </w:tbl>
    <w:p w14:paraId="7CDFDCCA">
      <w:pPr>
        <w:pStyle w:val="381"/>
        <w:numPr>
          <w:ilvl w:val="3"/>
          <w:numId w:val="0"/>
        </w:numPr>
        <w:ind w:left="480" w:leftChars="0"/>
        <w:outlineLvl w:val="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14:textFill>
            <w14:solidFill>
              <w14:schemeClr w14:val="tx1"/>
            </w14:solidFill>
          </w14:textFill>
        </w:rPr>
        <w:t>估算模型参数</w:t>
      </w:r>
    </w:p>
    <w:p w14:paraId="439955D0">
      <w:pPr>
        <w:pStyle w:val="194"/>
        <w:spacing w:line="240" w:lineRule="auto"/>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表 </w:t>
      </w:r>
      <w:r>
        <w:rPr>
          <w:rFonts w:hint="default" w:ascii="Times New Roman" w:hAnsi="Times New Roman" w:cs="Times New Roman"/>
          <w:color w:val="000000" w:themeColor="text1"/>
          <w:highlight w:val="none"/>
          <w:u w:val="wave" w:color="auto"/>
          <w14:textFill>
            <w14:solidFill>
              <w14:schemeClr w14:val="tx1"/>
            </w14:solidFill>
          </w14:textFill>
        </w:rPr>
        <w:fldChar w:fldCharType="begin"/>
      </w:r>
      <w:r>
        <w:rPr>
          <w:rFonts w:hint="default" w:ascii="Times New Roman" w:hAnsi="Times New Roman" w:cs="Times New Roman"/>
          <w:color w:val="000000" w:themeColor="text1"/>
          <w:highlight w:val="none"/>
          <w:u w:val="wav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wave" w:color="auto"/>
          <w14:textFill>
            <w14:solidFill>
              <w14:schemeClr w14:val="tx1"/>
            </w14:solidFill>
          </w14:textFill>
        </w:rPr>
        <w:fldChar w:fldCharType="separate"/>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fldChar w:fldCharType="end"/>
      </w:r>
      <w:r>
        <w:rPr>
          <w:rFonts w:hint="default" w:ascii="Times New Roman" w:hAnsi="Times New Roman" w:cs="Times New Roman"/>
          <w:color w:val="000000" w:themeColor="text1"/>
          <w:highlight w:val="none"/>
          <w:u w:val="wave" w:color="auto"/>
          <w14:textFill>
            <w14:solidFill>
              <w14:schemeClr w14:val="tx1"/>
            </w14:solidFill>
          </w14:textFill>
        </w:rPr>
        <w:noBreakHyphen/>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w:t>
      </w:r>
      <w:r>
        <w:rPr>
          <w:rFonts w:hint="default" w:ascii="Times New Roman" w:hAnsi="Times New Roman" w:cs="Times New Roman"/>
          <w:color w:val="000000" w:themeColor="text1"/>
          <w:highlight w:val="none"/>
          <w:u w:val="wave" w:color="auto"/>
          <w14:textFill>
            <w14:solidFill>
              <w14:schemeClr w14:val="tx1"/>
            </w14:solidFill>
          </w14:textFill>
        </w:rPr>
        <w:t xml:space="preserve">   估算模型参数表</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067"/>
        <w:gridCol w:w="3747"/>
        <w:gridCol w:w="1708"/>
      </w:tblGrid>
      <w:tr w14:paraId="65D2FA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0" w:type="auto"/>
            <w:gridSpan w:val="2"/>
            <w:shd w:val="clear" w:color="auto" w:fill="auto"/>
            <w:vAlign w:val="center"/>
          </w:tcPr>
          <w:p w14:paraId="29211FA8">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参数</w:t>
            </w:r>
          </w:p>
        </w:tc>
        <w:tc>
          <w:tcPr>
            <w:tcW w:w="0" w:type="auto"/>
            <w:shd w:val="clear" w:color="auto" w:fill="auto"/>
            <w:noWrap/>
            <w:vAlign w:val="center"/>
          </w:tcPr>
          <w:p w14:paraId="040B4DE3">
            <w:pPr>
              <w:pStyle w:val="192"/>
              <w:keepNext w:val="0"/>
              <w:keepLines w:val="0"/>
              <w:suppressLineNumbers w:val="0"/>
              <w:spacing w:before="0" w:beforeAutospacing="0" w:after="0" w:afterAutospacing="0"/>
              <w:ind w:left="0" w:right="0"/>
              <w:rPr>
                <w:rFonts w:hint="default" w:ascii="Times New Roman" w:hAnsi="Times New Roman" w:cs="Times New Roman"/>
                <w:b/>
                <w:color w:val="000000" w:themeColor="text1"/>
                <w:highlight w:val="none"/>
                <w:u w:val="wave" w:color="auto"/>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取值</w:t>
            </w:r>
          </w:p>
        </w:tc>
      </w:tr>
      <w:tr w14:paraId="208A91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Merge w:val="restart"/>
            <w:shd w:val="clear" w:color="auto" w:fill="auto"/>
            <w:vAlign w:val="center"/>
          </w:tcPr>
          <w:p w14:paraId="479F893F">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城市/农村选项</w:t>
            </w:r>
          </w:p>
        </w:tc>
        <w:tc>
          <w:tcPr>
            <w:tcW w:w="0" w:type="auto"/>
            <w:shd w:val="clear" w:color="auto" w:fill="auto"/>
            <w:noWrap/>
            <w:vAlign w:val="center"/>
          </w:tcPr>
          <w:p w14:paraId="098790D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城市/农村</w:t>
            </w:r>
          </w:p>
        </w:tc>
        <w:tc>
          <w:tcPr>
            <w:tcW w:w="0" w:type="auto"/>
            <w:shd w:val="clear" w:color="auto" w:fill="auto"/>
            <w:noWrap/>
            <w:vAlign w:val="center"/>
          </w:tcPr>
          <w:p w14:paraId="0B3A448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城市</w:t>
            </w:r>
          </w:p>
        </w:tc>
      </w:tr>
      <w:tr w14:paraId="64BC2A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Merge w:val="continue"/>
            <w:shd w:val="clear" w:color="auto" w:fill="auto"/>
            <w:vAlign w:val="center"/>
          </w:tcPr>
          <w:p w14:paraId="108734F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0" w:type="auto"/>
            <w:shd w:val="clear" w:color="auto" w:fill="auto"/>
            <w:noWrap/>
            <w:vAlign w:val="center"/>
          </w:tcPr>
          <w:p w14:paraId="7D9D94E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人口数（城市选项时）</w:t>
            </w:r>
          </w:p>
        </w:tc>
        <w:tc>
          <w:tcPr>
            <w:tcW w:w="0" w:type="auto"/>
            <w:shd w:val="clear" w:color="auto" w:fill="auto"/>
            <w:noWrap/>
            <w:vAlign w:val="center"/>
          </w:tcPr>
          <w:p w14:paraId="481F5604">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4万</w:t>
            </w:r>
          </w:p>
        </w:tc>
      </w:tr>
      <w:tr w14:paraId="0FF512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gridSpan w:val="2"/>
            <w:shd w:val="clear" w:color="auto" w:fill="auto"/>
            <w:vAlign w:val="center"/>
          </w:tcPr>
          <w:p w14:paraId="28BDA305">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最高环境温度/ ℃</w:t>
            </w:r>
          </w:p>
        </w:tc>
        <w:tc>
          <w:tcPr>
            <w:tcW w:w="0" w:type="auto"/>
            <w:shd w:val="clear" w:color="auto" w:fill="auto"/>
            <w:noWrap/>
            <w:vAlign w:val="center"/>
          </w:tcPr>
          <w:p w14:paraId="677CD01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41.5</w:t>
            </w:r>
          </w:p>
        </w:tc>
      </w:tr>
      <w:tr w14:paraId="5A3E25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gridSpan w:val="2"/>
            <w:shd w:val="clear" w:color="auto" w:fill="auto"/>
            <w:vAlign w:val="center"/>
          </w:tcPr>
          <w:p w14:paraId="0984C87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最低环境温度/ ℃</w:t>
            </w:r>
          </w:p>
        </w:tc>
        <w:tc>
          <w:tcPr>
            <w:tcW w:w="0" w:type="auto"/>
            <w:shd w:val="clear" w:color="auto" w:fill="auto"/>
            <w:noWrap/>
            <w:vAlign w:val="center"/>
          </w:tcPr>
          <w:p w14:paraId="0C375F6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5.8</w:t>
            </w:r>
          </w:p>
        </w:tc>
      </w:tr>
      <w:tr w14:paraId="097C6F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gridSpan w:val="2"/>
            <w:shd w:val="clear" w:color="auto" w:fill="auto"/>
            <w:vAlign w:val="center"/>
          </w:tcPr>
          <w:p w14:paraId="4D847F2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土地利用类型</w:t>
            </w:r>
          </w:p>
        </w:tc>
        <w:tc>
          <w:tcPr>
            <w:tcW w:w="0" w:type="auto"/>
            <w:shd w:val="clear" w:color="auto" w:fill="auto"/>
            <w:noWrap/>
            <w:vAlign w:val="center"/>
          </w:tcPr>
          <w:p w14:paraId="31643A83">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排水用地</w:t>
            </w:r>
          </w:p>
        </w:tc>
      </w:tr>
      <w:tr w14:paraId="7F49A7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gridSpan w:val="2"/>
            <w:shd w:val="clear" w:color="auto" w:fill="auto"/>
            <w:vAlign w:val="center"/>
          </w:tcPr>
          <w:p w14:paraId="7F4C339F">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区域湿度条件</w:t>
            </w:r>
          </w:p>
        </w:tc>
        <w:tc>
          <w:tcPr>
            <w:tcW w:w="0" w:type="auto"/>
            <w:shd w:val="clear" w:color="auto" w:fill="auto"/>
            <w:noWrap/>
            <w:vAlign w:val="center"/>
          </w:tcPr>
          <w:p w14:paraId="138CA0F7">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bCs/>
                <w:color w:val="000000" w:themeColor="text1"/>
                <w:szCs w:val="21"/>
                <w:highlight w:val="none"/>
                <w:u w:val="wave" w:color="auto"/>
                <w14:textFill>
                  <w14:solidFill>
                    <w14:schemeClr w14:val="tx1"/>
                  </w14:solidFill>
                </w14:textFill>
              </w:rPr>
              <w:t>潮湿</w:t>
            </w:r>
          </w:p>
        </w:tc>
      </w:tr>
      <w:tr w14:paraId="6AF69A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Merge w:val="restart"/>
            <w:shd w:val="clear" w:color="auto" w:fill="auto"/>
            <w:vAlign w:val="center"/>
          </w:tcPr>
          <w:p w14:paraId="0648CC88">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是否考虑地形</w:t>
            </w:r>
          </w:p>
        </w:tc>
        <w:tc>
          <w:tcPr>
            <w:tcW w:w="0" w:type="auto"/>
            <w:shd w:val="clear" w:color="auto" w:fill="auto"/>
            <w:noWrap/>
            <w:vAlign w:val="center"/>
          </w:tcPr>
          <w:p w14:paraId="1F454AD0">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考虑地形</w:t>
            </w:r>
          </w:p>
        </w:tc>
        <w:tc>
          <w:tcPr>
            <w:tcW w:w="0" w:type="auto"/>
            <w:shd w:val="clear" w:color="auto" w:fill="auto"/>
            <w:noWrap/>
            <w:vAlign w:val="center"/>
          </w:tcPr>
          <w:p w14:paraId="7D9799A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是</w:t>
            </w:r>
          </w:p>
        </w:tc>
      </w:tr>
      <w:tr w14:paraId="1F3979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Merge w:val="continue"/>
            <w:shd w:val="clear" w:color="auto" w:fill="auto"/>
            <w:vAlign w:val="center"/>
          </w:tcPr>
          <w:p w14:paraId="04B1470F">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0" w:type="auto"/>
            <w:shd w:val="clear" w:color="auto" w:fill="auto"/>
            <w:noWrap/>
            <w:vAlign w:val="center"/>
          </w:tcPr>
          <w:p w14:paraId="1DBDA26C">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地形数据分辨率 / m</w:t>
            </w:r>
          </w:p>
        </w:tc>
        <w:tc>
          <w:tcPr>
            <w:tcW w:w="0" w:type="auto"/>
            <w:shd w:val="clear" w:color="auto" w:fill="auto"/>
            <w:noWrap/>
            <w:vAlign w:val="center"/>
          </w:tcPr>
          <w:p w14:paraId="79F8DB4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90</w:t>
            </w:r>
          </w:p>
        </w:tc>
      </w:tr>
      <w:tr w14:paraId="5782C3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Merge w:val="restart"/>
            <w:shd w:val="clear" w:color="auto" w:fill="auto"/>
            <w:vAlign w:val="center"/>
          </w:tcPr>
          <w:p w14:paraId="4572F54E">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是否考虑岸线熏烟</w:t>
            </w:r>
          </w:p>
        </w:tc>
        <w:tc>
          <w:tcPr>
            <w:tcW w:w="0" w:type="auto"/>
            <w:shd w:val="clear" w:color="auto" w:fill="auto"/>
            <w:noWrap/>
            <w:vAlign w:val="center"/>
          </w:tcPr>
          <w:p w14:paraId="2497AC4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考虑岸线熏烟</w:t>
            </w:r>
          </w:p>
        </w:tc>
        <w:tc>
          <w:tcPr>
            <w:tcW w:w="0" w:type="auto"/>
            <w:shd w:val="clear" w:color="auto" w:fill="auto"/>
            <w:noWrap/>
            <w:vAlign w:val="center"/>
          </w:tcPr>
          <w:p w14:paraId="1427098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否</w:t>
            </w:r>
          </w:p>
        </w:tc>
      </w:tr>
      <w:tr w14:paraId="68BB33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Merge w:val="continue"/>
            <w:shd w:val="clear" w:color="auto" w:fill="auto"/>
            <w:vAlign w:val="center"/>
          </w:tcPr>
          <w:p w14:paraId="5D179D0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0" w:type="auto"/>
            <w:shd w:val="clear" w:color="auto" w:fill="auto"/>
            <w:noWrap/>
            <w:vAlign w:val="center"/>
          </w:tcPr>
          <w:p w14:paraId="4985B22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岸线距离/ km</w:t>
            </w:r>
          </w:p>
        </w:tc>
        <w:tc>
          <w:tcPr>
            <w:tcW w:w="0" w:type="auto"/>
            <w:shd w:val="clear" w:color="auto" w:fill="auto"/>
            <w:noWrap/>
            <w:vAlign w:val="center"/>
          </w:tcPr>
          <w:p w14:paraId="5659058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p>
        </w:tc>
      </w:tr>
      <w:tr w14:paraId="0D8CF0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Merge w:val="continue"/>
            <w:shd w:val="clear" w:color="auto" w:fill="auto"/>
            <w:vAlign w:val="center"/>
          </w:tcPr>
          <w:p w14:paraId="702FCA4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p>
        </w:tc>
        <w:tc>
          <w:tcPr>
            <w:tcW w:w="0" w:type="auto"/>
            <w:shd w:val="clear" w:color="auto" w:fill="auto"/>
            <w:noWrap/>
            <w:vAlign w:val="center"/>
          </w:tcPr>
          <w:p w14:paraId="770D09B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岸线方向/ °</w:t>
            </w:r>
          </w:p>
        </w:tc>
        <w:tc>
          <w:tcPr>
            <w:tcW w:w="0" w:type="auto"/>
            <w:shd w:val="clear" w:color="auto" w:fill="auto"/>
            <w:noWrap/>
            <w:vAlign w:val="center"/>
          </w:tcPr>
          <w:p w14:paraId="38B45ED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w:t>
            </w:r>
          </w:p>
        </w:tc>
      </w:tr>
    </w:tbl>
    <w:p w14:paraId="497E3321">
      <w:pPr>
        <w:pStyle w:val="381"/>
        <w:numPr>
          <w:ilvl w:val="3"/>
          <w:numId w:val="0"/>
        </w:numPr>
        <w:ind w:left="480" w:leftChars="0"/>
        <w:outlineLvl w:val="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预测结果</w:t>
      </w:r>
      <w:r>
        <w:rPr>
          <w:rFonts w:hint="default" w:ascii="Times New Roman" w:hAnsi="Times New Roman" w:cs="Times New Roman"/>
          <w:color w:val="000000" w:themeColor="text1"/>
          <w:highlight w:val="none"/>
          <w:u w:val="wave" w:color="auto"/>
          <w14:textFill>
            <w14:solidFill>
              <w14:schemeClr w14:val="tx1"/>
            </w14:solidFill>
          </w14:textFill>
        </w:rPr>
        <w:t xml:space="preserve"> </w:t>
      </w:r>
    </w:p>
    <w:p w14:paraId="2D105102">
      <w:pPr>
        <w:pStyle w:val="446"/>
        <w:adjustRightInd/>
        <w:ind w:firstLine="420" w:firstLineChars="0"/>
        <w:jc w:val="both"/>
        <w:outlineLvl w:val="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预测结果详见</w:t>
      </w:r>
      <w:r>
        <w:rPr>
          <w:rFonts w:hint="eastAsia" w:cs="Times New Roman"/>
          <w:color w:val="000000" w:themeColor="text1"/>
          <w:highlight w:val="none"/>
          <w:u w:val="wave" w:color="auto"/>
          <w:lang w:val="en-US" w:eastAsia="zh-CN"/>
          <w14:textFill>
            <w14:solidFill>
              <w14:schemeClr w14:val="tx1"/>
            </w14:solidFill>
          </w14:textFill>
        </w:rPr>
        <w:t>表5.2-5</w:t>
      </w:r>
      <w:r>
        <w:rPr>
          <w:rFonts w:hint="default" w:ascii="Times New Roman" w:hAnsi="Times New Roman" w:cs="Times New Roman"/>
          <w:color w:val="000000" w:themeColor="text1"/>
          <w:highlight w:val="none"/>
          <w:u w:val="wave" w:color="auto"/>
          <w14:textFill>
            <w14:solidFill>
              <w14:schemeClr w14:val="tx1"/>
            </w14:solidFill>
          </w14:textFill>
        </w:rPr>
        <w:t>。</w:t>
      </w:r>
    </w:p>
    <w:p w14:paraId="04D96EB8">
      <w:pPr>
        <w:pStyle w:val="446"/>
        <w:adjustRightInd/>
        <w:spacing w:line="240" w:lineRule="auto"/>
        <w:ind w:firstLine="420" w:firstLineChars="0"/>
        <w:jc w:val="center"/>
        <w:outlineLvl w:val="9"/>
        <w:rPr>
          <w:rFonts w:hint="default" w:ascii="Times New Roman" w:hAnsi="Times New Roman" w:eastAsia="宋体" w:cs="Times New Roman"/>
          <w:b/>
          <w:bCs/>
          <w:color w:val="000000" w:themeColor="text1"/>
          <w:highlight w:val="none"/>
          <w:u w:val="wave" w:color="auto"/>
          <w:lang w:val="en-US" w:eastAsia="zh-CN"/>
          <w14:textFill>
            <w14:solidFill>
              <w14:schemeClr w14:val="tx1"/>
            </w14:solidFill>
          </w14:textFill>
        </w:rPr>
      </w:pPr>
      <w:r>
        <w:rPr>
          <w:rFonts w:hint="eastAsia" w:cs="Times New Roman"/>
          <w:b/>
          <w:bCs/>
          <w:color w:val="000000" w:themeColor="text1"/>
          <w:highlight w:val="none"/>
          <w:u w:val="wave" w:color="auto"/>
          <w:lang w:val="en-US" w:eastAsia="zh-CN"/>
          <w14:textFill>
            <w14:solidFill>
              <w14:schemeClr w14:val="tx1"/>
            </w14:solidFill>
          </w14:textFill>
        </w:rPr>
        <w:t>表5.2-5 项目污染源估算模型计算结果表</w:t>
      </w:r>
    </w:p>
    <w:tbl>
      <w:tblPr>
        <w:tblStyle w:val="76"/>
        <w:tblW w:w="503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028"/>
        <w:gridCol w:w="978"/>
        <w:gridCol w:w="784"/>
        <w:gridCol w:w="1042"/>
        <w:gridCol w:w="785"/>
        <w:gridCol w:w="1042"/>
        <w:gridCol w:w="783"/>
        <w:gridCol w:w="1170"/>
        <w:gridCol w:w="779"/>
      </w:tblGrid>
      <w:tr w14:paraId="72D689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41" w:hRule="atLeast"/>
          <w:jc w:val="center"/>
        </w:trPr>
        <w:tc>
          <w:tcPr>
            <w:tcW w:w="1024" w:type="dxa"/>
            <w:vMerge w:val="restart"/>
            <w:vAlign w:val="center"/>
          </w:tcPr>
          <w:p w14:paraId="558DC71E">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下风向距离/m</w:t>
            </w:r>
          </w:p>
        </w:tc>
        <w:tc>
          <w:tcPr>
            <w:tcW w:w="3576" w:type="dxa"/>
            <w:gridSpan w:val="4"/>
            <w:vAlign w:val="center"/>
          </w:tcPr>
          <w:p w14:paraId="35326E28">
            <w:pPr>
              <w:pStyle w:val="19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color w:val="000000" w:themeColor="text1"/>
                <w:u w:val="wave" w:color="auto"/>
                <w:lang w:val="en-US" w:eastAsia="zh-CN"/>
                <w14:textFill>
                  <w14:solidFill>
                    <w14:schemeClr w14:val="tx1"/>
                  </w14:solidFill>
                </w14:textFill>
              </w:rPr>
            </w:pPr>
            <w:r>
              <w:rPr>
                <w:rFonts w:hint="eastAsia" w:cs="Times New Roman"/>
                <w:b/>
                <w:color w:val="000000" w:themeColor="text1"/>
                <w:u w:val="wave" w:color="auto"/>
                <w:lang w:val="en-US" w:eastAsia="zh-CN"/>
                <w14:textFill>
                  <w14:solidFill>
                    <w14:schemeClr w14:val="tx1"/>
                  </w14:solidFill>
                </w14:textFill>
              </w:rPr>
              <w:t>DA001排气筒</w:t>
            </w:r>
          </w:p>
        </w:tc>
        <w:tc>
          <w:tcPr>
            <w:tcW w:w="3760" w:type="dxa"/>
            <w:gridSpan w:val="4"/>
            <w:vAlign w:val="center"/>
          </w:tcPr>
          <w:p w14:paraId="3B839E3E">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color w:val="000000" w:themeColor="text1"/>
                <w:u w:val="wave" w:color="auto"/>
                <w:lang w:eastAsia="zh-CN"/>
                <w14:textFill>
                  <w14:solidFill>
                    <w14:schemeClr w14:val="tx1"/>
                  </w14:solidFill>
                </w14:textFill>
              </w:rPr>
            </w:pPr>
            <w:r>
              <w:rPr>
                <w:rFonts w:hint="eastAsia" w:cs="Times New Roman"/>
                <w:b/>
                <w:color w:val="000000" w:themeColor="text1"/>
                <w:u w:val="wave" w:color="auto"/>
                <w:lang w:val="en-US" w:eastAsia="zh-CN"/>
                <w14:textFill>
                  <w14:solidFill>
                    <w14:schemeClr w14:val="tx1"/>
                  </w14:solidFill>
                </w14:textFill>
              </w:rPr>
              <w:t>污水处理区</w:t>
            </w:r>
          </w:p>
        </w:tc>
      </w:tr>
      <w:tr w14:paraId="4F2EA2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41" w:hRule="atLeast"/>
          <w:jc w:val="center"/>
        </w:trPr>
        <w:tc>
          <w:tcPr>
            <w:tcW w:w="1024" w:type="dxa"/>
            <w:vMerge w:val="continue"/>
            <w:vAlign w:val="center"/>
          </w:tcPr>
          <w:p w14:paraId="771114D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p>
        </w:tc>
        <w:tc>
          <w:tcPr>
            <w:tcW w:w="1756" w:type="dxa"/>
            <w:gridSpan w:val="2"/>
            <w:vAlign w:val="center"/>
          </w:tcPr>
          <w:p w14:paraId="7828BAE8">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NH</w:t>
            </w:r>
            <w:r>
              <w:rPr>
                <w:rFonts w:hint="default" w:ascii="Times New Roman" w:hAnsi="Times New Roman" w:cs="Times New Roman"/>
                <w:b/>
                <w:color w:val="000000" w:themeColor="text1"/>
                <w:u w:val="wave" w:color="auto"/>
                <w:vertAlign w:val="subscript"/>
                <w14:textFill>
                  <w14:solidFill>
                    <w14:schemeClr w14:val="tx1"/>
                  </w14:solidFill>
                </w14:textFill>
              </w:rPr>
              <w:t>3</w:t>
            </w:r>
          </w:p>
        </w:tc>
        <w:tc>
          <w:tcPr>
            <w:tcW w:w="1820" w:type="dxa"/>
            <w:gridSpan w:val="2"/>
            <w:vAlign w:val="center"/>
          </w:tcPr>
          <w:p w14:paraId="4126A5B9">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H</w:t>
            </w:r>
            <w:r>
              <w:rPr>
                <w:rFonts w:hint="default" w:ascii="Times New Roman" w:hAnsi="Times New Roman" w:cs="Times New Roman"/>
                <w:b/>
                <w:color w:val="000000" w:themeColor="text1"/>
                <w:u w:val="wave" w:color="auto"/>
                <w:vertAlign w:val="subscript"/>
                <w14:textFill>
                  <w14:solidFill>
                    <w14:schemeClr w14:val="tx1"/>
                  </w14:solidFill>
                </w14:textFill>
              </w:rPr>
              <w:t>2</w:t>
            </w:r>
            <w:r>
              <w:rPr>
                <w:rFonts w:hint="default" w:ascii="Times New Roman" w:hAnsi="Times New Roman" w:cs="Times New Roman"/>
                <w:b/>
                <w:color w:val="000000" w:themeColor="text1"/>
                <w:u w:val="wave" w:color="auto"/>
                <w14:textFill>
                  <w14:solidFill>
                    <w14:schemeClr w14:val="tx1"/>
                  </w14:solidFill>
                </w14:textFill>
              </w:rPr>
              <w:t>S</w:t>
            </w:r>
          </w:p>
        </w:tc>
        <w:tc>
          <w:tcPr>
            <w:tcW w:w="1818" w:type="dxa"/>
            <w:gridSpan w:val="2"/>
            <w:vAlign w:val="center"/>
          </w:tcPr>
          <w:p w14:paraId="68876FC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NH</w:t>
            </w:r>
            <w:r>
              <w:rPr>
                <w:rFonts w:hint="default" w:ascii="Times New Roman" w:hAnsi="Times New Roman" w:cs="Times New Roman"/>
                <w:b/>
                <w:color w:val="000000" w:themeColor="text1"/>
                <w:u w:val="wave" w:color="auto"/>
                <w:vertAlign w:val="subscript"/>
                <w14:textFill>
                  <w14:solidFill>
                    <w14:schemeClr w14:val="tx1"/>
                  </w14:solidFill>
                </w14:textFill>
              </w:rPr>
              <w:t>3</w:t>
            </w:r>
          </w:p>
        </w:tc>
        <w:tc>
          <w:tcPr>
            <w:tcW w:w="1942" w:type="dxa"/>
            <w:gridSpan w:val="2"/>
            <w:vAlign w:val="center"/>
          </w:tcPr>
          <w:p w14:paraId="1E81AFDC">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H</w:t>
            </w:r>
            <w:r>
              <w:rPr>
                <w:rFonts w:hint="default" w:ascii="Times New Roman" w:hAnsi="Times New Roman" w:cs="Times New Roman"/>
                <w:b/>
                <w:color w:val="000000" w:themeColor="text1"/>
                <w:u w:val="wave" w:color="auto"/>
                <w:vertAlign w:val="subscript"/>
                <w14:textFill>
                  <w14:solidFill>
                    <w14:schemeClr w14:val="tx1"/>
                  </w14:solidFill>
                </w14:textFill>
              </w:rPr>
              <w:t>2</w:t>
            </w:r>
            <w:r>
              <w:rPr>
                <w:rFonts w:hint="default" w:ascii="Times New Roman" w:hAnsi="Times New Roman" w:cs="Times New Roman"/>
                <w:b/>
                <w:color w:val="000000" w:themeColor="text1"/>
                <w:u w:val="wave" w:color="auto"/>
                <w14:textFill>
                  <w14:solidFill>
                    <w14:schemeClr w14:val="tx1"/>
                  </w14:solidFill>
                </w14:textFill>
              </w:rPr>
              <w:t>S</w:t>
            </w:r>
          </w:p>
        </w:tc>
      </w:tr>
      <w:tr w14:paraId="2B6AE7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Merge w:val="continue"/>
            <w:vAlign w:val="center"/>
          </w:tcPr>
          <w:p w14:paraId="64F2FF6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p>
        </w:tc>
        <w:tc>
          <w:tcPr>
            <w:tcW w:w="975" w:type="dxa"/>
            <w:vAlign w:val="center"/>
          </w:tcPr>
          <w:p w14:paraId="230B29B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预测质量浓度（ug/m</w:t>
            </w:r>
            <w:r>
              <w:rPr>
                <w:rFonts w:hint="default" w:ascii="Times New Roman" w:hAnsi="Times New Roman" w:cs="Times New Roman"/>
                <w:b/>
                <w:color w:val="000000" w:themeColor="text1"/>
                <w:u w:val="wave" w:color="auto"/>
                <w:vertAlign w:val="superscript"/>
                <w14:textFill>
                  <w14:solidFill>
                    <w14:schemeClr w14:val="tx1"/>
                  </w14:solidFill>
                </w14:textFill>
              </w:rPr>
              <w:t>3</w:t>
            </w:r>
            <w:r>
              <w:rPr>
                <w:rFonts w:hint="default" w:ascii="Times New Roman" w:hAnsi="Times New Roman" w:cs="Times New Roman"/>
                <w:b/>
                <w:color w:val="000000" w:themeColor="text1"/>
                <w:u w:val="wave" w:color="auto"/>
                <w14:textFill>
                  <w14:solidFill>
                    <w14:schemeClr w14:val="tx1"/>
                  </w14:solidFill>
                </w14:textFill>
              </w:rPr>
              <w:t>）</w:t>
            </w:r>
          </w:p>
        </w:tc>
        <w:tc>
          <w:tcPr>
            <w:tcW w:w="781" w:type="dxa"/>
            <w:vAlign w:val="center"/>
          </w:tcPr>
          <w:p w14:paraId="38E15FD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占标率（%）</w:t>
            </w:r>
          </w:p>
        </w:tc>
        <w:tc>
          <w:tcPr>
            <w:tcW w:w="1038" w:type="dxa"/>
            <w:vAlign w:val="center"/>
          </w:tcPr>
          <w:p w14:paraId="165D51A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预测质量浓度（ug/m</w:t>
            </w:r>
            <w:r>
              <w:rPr>
                <w:rFonts w:hint="default" w:ascii="Times New Roman" w:hAnsi="Times New Roman" w:cs="Times New Roman"/>
                <w:b/>
                <w:color w:val="000000" w:themeColor="text1"/>
                <w:u w:val="wave" w:color="auto"/>
                <w:vertAlign w:val="superscript"/>
                <w14:textFill>
                  <w14:solidFill>
                    <w14:schemeClr w14:val="tx1"/>
                  </w14:solidFill>
                </w14:textFill>
              </w:rPr>
              <w:t>3</w:t>
            </w:r>
            <w:r>
              <w:rPr>
                <w:rFonts w:hint="default" w:ascii="Times New Roman" w:hAnsi="Times New Roman" w:cs="Times New Roman"/>
                <w:b/>
                <w:color w:val="000000" w:themeColor="text1"/>
                <w:u w:val="wave" w:color="auto"/>
                <w14:textFill>
                  <w14:solidFill>
                    <w14:schemeClr w14:val="tx1"/>
                  </w14:solidFill>
                </w14:textFill>
              </w:rPr>
              <w:t>）</w:t>
            </w:r>
          </w:p>
        </w:tc>
        <w:tc>
          <w:tcPr>
            <w:tcW w:w="782" w:type="dxa"/>
            <w:vAlign w:val="center"/>
          </w:tcPr>
          <w:p w14:paraId="3AE019A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占标率（%）</w:t>
            </w:r>
          </w:p>
        </w:tc>
        <w:tc>
          <w:tcPr>
            <w:tcW w:w="1038" w:type="dxa"/>
            <w:vAlign w:val="center"/>
          </w:tcPr>
          <w:p w14:paraId="78A95D38">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预测质量浓度（ug/m</w:t>
            </w:r>
            <w:r>
              <w:rPr>
                <w:rFonts w:hint="default" w:ascii="Times New Roman" w:hAnsi="Times New Roman" w:cs="Times New Roman"/>
                <w:b/>
                <w:color w:val="000000" w:themeColor="text1"/>
                <w:u w:val="wave" w:color="auto"/>
                <w:vertAlign w:val="superscript"/>
                <w14:textFill>
                  <w14:solidFill>
                    <w14:schemeClr w14:val="tx1"/>
                  </w14:solidFill>
                </w14:textFill>
              </w:rPr>
              <w:t>3</w:t>
            </w:r>
            <w:r>
              <w:rPr>
                <w:rFonts w:hint="default" w:ascii="Times New Roman" w:hAnsi="Times New Roman" w:cs="Times New Roman"/>
                <w:b/>
                <w:color w:val="000000" w:themeColor="text1"/>
                <w:u w:val="wave" w:color="auto"/>
                <w14:textFill>
                  <w14:solidFill>
                    <w14:schemeClr w14:val="tx1"/>
                  </w14:solidFill>
                </w14:textFill>
              </w:rPr>
              <w:t>）</w:t>
            </w:r>
          </w:p>
        </w:tc>
        <w:tc>
          <w:tcPr>
            <w:tcW w:w="780" w:type="dxa"/>
            <w:vAlign w:val="center"/>
          </w:tcPr>
          <w:p w14:paraId="53B67B94">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占标率（%）</w:t>
            </w:r>
          </w:p>
        </w:tc>
        <w:tc>
          <w:tcPr>
            <w:tcW w:w="1166" w:type="dxa"/>
            <w:vAlign w:val="center"/>
          </w:tcPr>
          <w:p w14:paraId="018650F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预测质量浓度（ug/m</w:t>
            </w:r>
            <w:r>
              <w:rPr>
                <w:rFonts w:hint="default" w:ascii="Times New Roman" w:hAnsi="Times New Roman" w:cs="Times New Roman"/>
                <w:b/>
                <w:color w:val="000000" w:themeColor="text1"/>
                <w:u w:val="wave" w:color="auto"/>
                <w:vertAlign w:val="superscript"/>
                <w14:textFill>
                  <w14:solidFill>
                    <w14:schemeClr w14:val="tx1"/>
                  </w14:solidFill>
                </w14:textFill>
              </w:rPr>
              <w:t>3</w:t>
            </w:r>
            <w:r>
              <w:rPr>
                <w:rFonts w:hint="default" w:ascii="Times New Roman" w:hAnsi="Times New Roman" w:cs="Times New Roman"/>
                <w:b/>
                <w:color w:val="000000" w:themeColor="text1"/>
                <w:u w:val="wave" w:color="auto"/>
                <w14:textFill>
                  <w14:solidFill>
                    <w14:schemeClr w14:val="tx1"/>
                  </w14:solidFill>
                </w14:textFill>
              </w:rPr>
              <w:t>）</w:t>
            </w:r>
          </w:p>
        </w:tc>
        <w:tc>
          <w:tcPr>
            <w:tcW w:w="776" w:type="dxa"/>
            <w:vAlign w:val="center"/>
          </w:tcPr>
          <w:p w14:paraId="4A6DD748">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color w:val="000000" w:themeColor="text1"/>
                <w:u w:val="wave" w:color="auto"/>
                <w14:textFill>
                  <w14:solidFill>
                    <w14:schemeClr w14:val="tx1"/>
                  </w14:solidFill>
                </w14:textFill>
              </w:rPr>
            </w:pPr>
            <w:r>
              <w:rPr>
                <w:rFonts w:hint="default" w:ascii="Times New Roman" w:hAnsi="Times New Roman" w:cs="Times New Roman"/>
                <w:b/>
                <w:color w:val="000000" w:themeColor="text1"/>
                <w:u w:val="wave" w:color="auto"/>
                <w14:textFill>
                  <w14:solidFill>
                    <w14:schemeClr w14:val="tx1"/>
                  </w14:solidFill>
                </w14:textFill>
              </w:rPr>
              <w:t>占标率（%）</w:t>
            </w:r>
          </w:p>
        </w:tc>
      </w:tr>
      <w:tr w14:paraId="4572AD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44F5376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14:textFill>
                  <w14:solidFill>
                    <w14:schemeClr w14:val="tx1"/>
                  </w14:solidFill>
                </w14:textFill>
              </w:rPr>
            </w:pPr>
            <w:r>
              <w:rPr>
                <w:rFonts w:hint="default" w:ascii="Times New Roman" w:hAnsi="Times New Roman" w:cs="Times New Roman"/>
                <w:b w:val="0"/>
                <w:bCs w:val="0"/>
                <w:color w:val="000000" w:themeColor="text1"/>
                <w:u w:val="wave" w:color="auto"/>
                <w14:textFill>
                  <w14:solidFill>
                    <w14:schemeClr w14:val="tx1"/>
                  </w14:solidFill>
                </w14:textFill>
              </w:rPr>
              <w:t>10</w:t>
            </w:r>
          </w:p>
        </w:tc>
        <w:tc>
          <w:tcPr>
            <w:tcW w:w="975" w:type="dxa"/>
            <w:vAlign w:val="center"/>
          </w:tcPr>
          <w:p w14:paraId="27160F38">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val="0"/>
                <w:bCs w:val="0"/>
                <w:color w:val="000000" w:themeColor="text1"/>
                <w:u w:val="wave" w:color="auto"/>
                <w:lang w:val="en-US"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9.87</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3</w:t>
            </w:r>
          </w:p>
        </w:tc>
        <w:tc>
          <w:tcPr>
            <w:tcW w:w="781" w:type="dxa"/>
            <w:vAlign w:val="center"/>
          </w:tcPr>
          <w:p w14:paraId="184F58CE">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0.00</w:t>
            </w:r>
          </w:p>
        </w:tc>
        <w:tc>
          <w:tcPr>
            <w:tcW w:w="1038" w:type="dxa"/>
            <w:vAlign w:val="center"/>
          </w:tcPr>
          <w:p w14:paraId="20AB3B8F">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val="0"/>
                <w:bCs w:val="0"/>
                <w:color w:val="000000" w:themeColor="text1"/>
                <w:u w:val="wave" w:color="auto"/>
                <w:lang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380</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4</w:t>
            </w:r>
          </w:p>
        </w:tc>
        <w:tc>
          <w:tcPr>
            <w:tcW w:w="782" w:type="dxa"/>
            <w:vAlign w:val="center"/>
          </w:tcPr>
          <w:p w14:paraId="48B3C31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0.00</w:t>
            </w:r>
          </w:p>
        </w:tc>
        <w:tc>
          <w:tcPr>
            <w:tcW w:w="1038" w:type="dxa"/>
            <w:vAlign w:val="center"/>
          </w:tcPr>
          <w:p w14:paraId="1A90940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1.86</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w:t>
            </w:r>
            <w:r>
              <w:rPr>
                <w:rFonts w:hint="default" w:ascii="Times New Roman" w:hAnsi="Times New Roman" w:cs="Times New Roman"/>
                <w:b w:val="0"/>
                <w:bCs w:val="0"/>
                <w:color w:val="000000" w:themeColor="text1"/>
                <w:highlight w:val="none"/>
                <w:u w:val="wave" w:color="auto"/>
                <w14:textFill>
                  <w14:solidFill>
                    <w14:schemeClr w14:val="tx1"/>
                  </w14:solidFill>
                </w14:textFill>
              </w:rPr>
              <w:t>0</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0</w:t>
            </w:r>
          </w:p>
        </w:tc>
        <w:tc>
          <w:tcPr>
            <w:tcW w:w="780" w:type="dxa"/>
            <w:vAlign w:val="center"/>
          </w:tcPr>
          <w:p w14:paraId="46826A9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lang w:val="en-US"/>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0.93</w:t>
            </w:r>
          </w:p>
        </w:tc>
        <w:tc>
          <w:tcPr>
            <w:tcW w:w="1166" w:type="dxa"/>
            <w:vAlign w:val="center"/>
          </w:tcPr>
          <w:p w14:paraId="6D0F7AB2">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val="0"/>
                <w:bCs w:val="0"/>
                <w:color w:val="000000" w:themeColor="text1"/>
                <w:u w:val="wave" w:color="auto"/>
                <w:lang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7.21</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2</w:t>
            </w:r>
          </w:p>
        </w:tc>
        <w:tc>
          <w:tcPr>
            <w:tcW w:w="776" w:type="dxa"/>
            <w:vAlign w:val="center"/>
          </w:tcPr>
          <w:p w14:paraId="2F08EA3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lang w:val="en-US"/>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0.72</w:t>
            </w:r>
          </w:p>
        </w:tc>
      </w:tr>
      <w:tr w14:paraId="791F6C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459C0369">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lang w:val="en-US"/>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25</w:t>
            </w:r>
          </w:p>
        </w:tc>
        <w:tc>
          <w:tcPr>
            <w:tcW w:w="975" w:type="dxa"/>
            <w:vAlign w:val="center"/>
          </w:tcPr>
          <w:p w14:paraId="15CE44D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8.17</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2</w:t>
            </w:r>
          </w:p>
        </w:tc>
        <w:tc>
          <w:tcPr>
            <w:tcW w:w="781" w:type="dxa"/>
            <w:vAlign w:val="center"/>
          </w:tcPr>
          <w:p w14:paraId="3BCB56B8">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000000" w:themeColor="text1"/>
                <w:u w:val="wave" w:color="auto"/>
                <w:lang w:val="en-US"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0.04</w:t>
            </w:r>
          </w:p>
        </w:tc>
        <w:tc>
          <w:tcPr>
            <w:tcW w:w="1038" w:type="dxa"/>
            <w:vAlign w:val="center"/>
          </w:tcPr>
          <w:p w14:paraId="3945774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3.15</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3</w:t>
            </w:r>
          </w:p>
        </w:tc>
        <w:tc>
          <w:tcPr>
            <w:tcW w:w="782" w:type="dxa"/>
            <w:vAlign w:val="center"/>
          </w:tcPr>
          <w:p w14:paraId="7096A2F6">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000000" w:themeColor="text1"/>
                <w:u w:val="wave" w:color="auto"/>
                <w:lang w:val="en-US"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0.03</w:t>
            </w:r>
          </w:p>
        </w:tc>
        <w:tc>
          <w:tcPr>
            <w:tcW w:w="1038" w:type="dxa"/>
            <w:vAlign w:val="center"/>
          </w:tcPr>
          <w:p w14:paraId="1BE3D2A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2.37</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w:t>
            </w:r>
            <w:r>
              <w:rPr>
                <w:rFonts w:hint="default" w:ascii="Times New Roman" w:hAnsi="Times New Roman" w:cs="Times New Roman"/>
                <w:b w:val="0"/>
                <w:bCs w:val="0"/>
                <w:color w:val="000000" w:themeColor="text1"/>
                <w:highlight w:val="none"/>
                <w:u w:val="wave" w:color="auto"/>
                <w14:textFill>
                  <w14:solidFill>
                    <w14:schemeClr w14:val="tx1"/>
                  </w14:solidFill>
                </w14:textFill>
              </w:rPr>
              <w:t>0</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0</w:t>
            </w:r>
          </w:p>
        </w:tc>
        <w:tc>
          <w:tcPr>
            <w:tcW w:w="780" w:type="dxa"/>
            <w:vAlign w:val="center"/>
          </w:tcPr>
          <w:p w14:paraId="1A3B1894">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lang w:val="en-US"/>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1.18</w:t>
            </w:r>
          </w:p>
        </w:tc>
        <w:tc>
          <w:tcPr>
            <w:tcW w:w="1166" w:type="dxa"/>
            <w:vAlign w:val="center"/>
          </w:tcPr>
          <w:p w14:paraId="538515A1">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val="0"/>
                <w:bCs w:val="0"/>
                <w:color w:val="000000" w:themeColor="text1"/>
                <w:u w:val="wave" w:color="auto"/>
                <w:lang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9.16</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2</w:t>
            </w:r>
          </w:p>
        </w:tc>
        <w:tc>
          <w:tcPr>
            <w:tcW w:w="776" w:type="dxa"/>
            <w:vAlign w:val="center"/>
          </w:tcPr>
          <w:p w14:paraId="1BDB3B5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lang w:val="en-US"/>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0.92</w:t>
            </w:r>
          </w:p>
        </w:tc>
      </w:tr>
      <w:tr w14:paraId="4CEB8C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295C9A9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lang w:val="en-US"/>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50</w:t>
            </w:r>
          </w:p>
        </w:tc>
        <w:tc>
          <w:tcPr>
            <w:tcW w:w="975" w:type="dxa"/>
            <w:vAlign w:val="center"/>
          </w:tcPr>
          <w:p w14:paraId="41554C19">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val="0"/>
                <w:bCs w:val="0"/>
                <w:color w:val="000000" w:themeColor="text1"/>
                <w:u w:val="wave" w:color="auto"/>
                <w:lang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1.14</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1</w:t>
            </w:r>
          </w:p>
        </w:tc>
        <w:tc>
          <w:tcPr>
            <w:tcW w:w="781" w:type="dxa"/>
            <w:vAlign w:val="center"/>
          </w:tcPr>
          <w:p w14:paraId="0D8BF36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lang w:val="en-US"/>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0.06</w:t>
            </w:r>
          </w:p>
        </w:tc>
        <w:tc>
          <w:tcPr>
            <w:tcW w:w="1038" w:type="dxa"/>
            <w:vAlign w:val="center"/>
          </w:tcPr>
          <w:p w14:paraId="7A9BF707">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val="0"/>
                <w:bCs w:val="0"/>
                <w:color w:val="000000" w:themeColor="text1"/>
                <w:u w:val="wave" w:color="auto"/>
                <w:lang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4.38</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3</w:t>
            </w:r>
          </w:p>
        </w:tc>
        <w:tc>
          <w:tcPr>
            <w:tcW w:w="782" w:type="dxa"/>
            <w:vAlign w:val="center"/>
          </w:tcPr>
          <w:p w14:paraId="3656651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lang w:val="en-US"/>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0.04</w:t>
            </w:r>
          </w:p>
        </w:tc>
        <w:tc>
          <w:tcPr>
            <w:tcW w:w="1038" w:type="dxa"/>
            <w:vAlign w:val="center"/>
          </w:tcPr>
          <w:p w14:paraId="7B32487C">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14:textFill>
                  <w14:solidFill>
                    <w14:schemeClr w14:val="tx1"/>
                  </w14:solidFill>
                </w14:textFill>
              </w:rPr>
            </w:pP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3.0</w:t>
            </w:r>
            <w:r>
              <w:rPr>
                <w:rFonts w:hint="eastAsia" w:cs="Times New Roman"/>
                <w:b w:val="0"/>
                <w:bCs w:val="0"/>
                <w:color w:val="000000" w:themeColor="text1"/>
                <w:highlight w:val="none"/>
                <w:u w:val="wave" w:color="auto"/>
                <w:lang w:val="en-US" w:eastAsia="zh-CN"/>
                <w14:textFill>
                  <w14:solidFill>
                    <w14:schemeClr w14:val="tx1"/>
                  </w14:solidFill>
                </w14:textFill>
              </w:rPr>
              <w:t>2</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w:t>
            </w:r>
            <w:r>
              <w:rPr>
                <w:rFonts w:hint="default" w:ascii="Times New Roman" w:hAnsi="Times New Roman" w:cs="Times New Roman"/>
                <w:b w:val="0"/>
                <w:bCs w:val="0"/>
                <w:color w:val="000000" w:themeColor="text1"/>
                <w:highlight w:val="none"/>
                <w:u w:val="wave" w:color="auto"/>
                <w14:textFill>
                  <w14:solidFill>
                    <w14:schemeClr w14:val="tx1"/>
                  </w14:solidFill>
                </w14:textFill>
              </w:rPr>
              <w:t>0</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0</w:t>
            </w:r>
          </w:p>
        </w:tc>
        <w:tc>
          <w:tcPr>
            <w:tcW w:w="780" w:type="dxa"/>
            <w:vAlign w:val="center"/>
          </w:tcPr>
          <w:p w14:paraId="51C90AE7">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000000" w:themeColor="text1"/>
                <w:u w:val="wave" w:color="auto"/>
                <w:lang w:val="en-US"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1.51</w:t>
            </w:r>
          </w:p>
        </w:tc>
        <w:tc>
          <w:tcPr>
            <w:tcW w:w="1166" w:type="dxa"/>
            <w:vAlign w:val="center"/>
          </w:tcPr>
          <w:p w14:paraId="71254EF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1.17</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1</w:t>
            </w:r>
          </w:p>
        </w:tc>
        <w:tc>
          <w:tcPr>
            <w:tcW w:w="776" w:type="dxa"/>
            <w:vAlign w:val="center"/>
          </w:tcPr>
          <w:p w14:paraId="794CD1D6">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000000" w:themeColor="text1"/>
                <w:u w:val="wave" w:color="auto"/>
                <w:lang w:val="en-US"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1.17</w:t>
            </w:r>
          </w:p>
        </w:tc>
      </w:tr>
      <w:tr w14:paraId="7FA486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35D59A42">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b/>
                <w:bCs/>
                <w:color w:val="000000" w:themeColor="text1"/>
                <w:u w:val="wave" w:color="auto"/>
                <w:lang w:val="en-US" w:eastAsia="zh-CN"/>
                <w14:textFill>
                  <w14:solidFill>
                    <w14:schemeClr w14:val="tx1"/>
                  </w14:solidFill>
                </w14:textFill>
              </w:rPr>
              <w:t>56</w:t>
            </w:r>
          </w:p>
        </w:tc>
        <w:tc>
          <w:tcPr>
            <w:tcW w:w="975" w:type="dxa"/>
            <w:vAlign w:val="center"/>
          </w:tcPr>
          <w:p w14:paraId="0561C080">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000000" w:themeColor="text1"/>
                <w:u w:val="wave" w:color="auto"/>
                <w:lang w:val="en-US"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w:t>
            </w:r>
          </w:p>
        </w:tc>
        <w:tc>
          <w:tcPr>
            <w:tcW w:w="781" w:type="dxa"/>
            <w:vAlign w:val="center"/>
          </w:tcPr>
          <w:p w14:paraId="7E1847D9">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val="0"/>
                <w:bCs w:val="0"/>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w:t>
            </w:r>
          </w:p>
        </w:tc>
        <w:tc>
          <w:tcPr>
            <w:tcW w:w="1038" w:type="dxa"/>
            <w:vAlign w:val="center"/>
          </w:tcPr>
          <w:p w14:paraId="2F3698EB">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val="0"/>
                <w:bCs w:val="0"/>
                <w:color w:val="000000" w:themeColor="text1"/>
                <w:u w:val="wave" w:color="auto"/>
                <w:lang w:val="en-US"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w:t>
            </w:r>
          </w:p>
        </w:tc>
        <w:tc>
          <w:tcPr>
            <w:tcW w:w="782" w:type="dxa"/>
            <w:vAlign w:val="center"/>
          </w:tcPr>
          <w:p w14:paraId="257F6E8C">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val="0"/>
                <w:bCs w:val="0"/>
                <w:color w:val="000000" w:themeColor="text1"/>
                <w:u w:val="wave" w:color="auto"/>
                <w:lang w:val="en-US"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w:t>
            </w:r>
          </w:p>
        </w:tc>
        <w:tc>
          <w:tcPr>
            <w:tcW w:w="1038" w:type="dxa"/>
            <w:vAlign w:val="center"/>
          </w:tcPr>
          <w:p w14:paraId="6F3CEBD4">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3.04</w:t>
            </w:r>
            <w:r>
              <w:rPr>
                <w:rFonts w:hint="default" w:ascii="Times New Roman" w:hAnsi="Times New Roman" w:cs="Times New Roman"/>
                <w:b/>
                <w:bCs/>
                <w:color w:val="000000" w:themeColor="text1"/>
                <w:highlight w:val="none"/>
                <w:u w:val="wave" w:color="auto"/>
                <w14:textFill>
                  <w14:solidFill>
                    <w14:schemeClr w14:val="tx1"/>
                  </w14:solidFill>
                </w14:textFill>
              </w:rPr>
              <w:t>E</w:t>
            </w: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w:t>
            </w:r>
            <w:r>
              <w:rPr>
                <w:rFonts w:hint="default" w:ascii="Times New Roman" w:hAnsi="Times New Roman" w:cs="Times New Roman"/>
                <w:b/>
                <w:bCs/>
                <w:color w:val="000000" w:themeColor="text1"/>
                <w:highlight w:val="none"/>
                <w:u w:val="wave" w:color="auto"/>
                <w14:textFill>
                  <w14:solidFill>
                    <w14:schemeClr w14:val="tx1"/>
                  </w14:solidFill>
                </w14:textFill>
              </w:rPr>
              <w:t>0</w:t>
            </w: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0</w:t>
            </w:r>
          </w:p>
        </w:tc>
        <w:tc>
          <w:tcPr>
            <w:tcW w:w="780" w:type="dxa"/>
            <w:vAlign w:val="center"/>
          </w:tcPr>
          <w:p w14:paraId="31BA35F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eastAsia" w:cs="Times New Roman"/>
                <w:b/>
                <w:bCs/>
                <w:color w:val="000000" w:themeColor="text1"/>
                <w:u w:val="wave" w:color="auto"/>
                <w:lang w:val="en-US" w:eastAsia="zh-CN"/>
                <w14:textFill>
                  <w14:solidFill>
                    <w14:schemeClr w14:val="tx1"/>
                  </w14:solidFill>
                </w14:textFill>
              </w:rPr>
              <w:t>1.52</w:t>
            </w:r>
          </w:p>
        </w:tc>
        <w:tc>
          <w:tcPr>
            <w:tcW w:w="1166" w:type="dxa"/>
            <w:vAlign w:val="center"/>
          </w:tcPr>
          <w:p w14:paraId="2B82495B">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1.18</w:t>
            </w:r>
            <w:r>
              <w:rPr>
                <w:rFonts w:hint="default" w:ascii="Times New Roman" w:hAnsi="Times New Roman" w:cs="Times New Roman"/>
                <w:b/>
                <w:bCs/>
                <w:color w:val="000000" w:themeColor="text1"/>
                <w:highlight w:val="none"/>
                <w:u w:val="wave" w:color="auto"/>
                <w14:textFill>
                  <w14:solidFill>
                    <w14:schemeClr w14:val="tx1"/>
                  </w14:solidFill>
                </w14:textFill>
              </w:rPr>
              <w:t>E-0</w:t>
            </w: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1</w:t>
            </w:r>
          </w:p>
        </w:tc>
        <w:tc>
          <w:tcPr>
            <w:tcW w:w="776" w:type="dxa"/>
            <w:vAlign w:val="center"/>
          </w:tcPr>
          <w:p w14:paraId="549B741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eastAsia" w:cs="Times New Roman"/>
                <w:b/>
                <w:bCs/>
                <w:color w:val="000000" w:themeColor="text1"/>
                <w:u w:val="wave" w:color="auto"/>
                <w:lang w:val="en-US" w:eastAsia="zh-CN"/>
                <w14:textFill>
                  <w14:solidFill>
                    <w14:schemeClr w14:val="tx1"/>
                  </w14:solidFill>
                </w14:textFill>
              </w:rPr>
              <w:t>1.18</w:t>
            </w:r>
          </w:p>
        </w:tc>
      </w:tr>
      <w:tr w14:paraId="0BB139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6D813E89">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b/>
                <w:bCs/>
                <w:color w:val="000000" w:themeColor="text1"/>
                <w:u w:val="wave" w:color="auto"/>
                <w:lang w:val="en-US" w:eastAsia="zh-CN"/>
                <w14:textFill>
                  <w14:solidFill>
                    <w14:schemeClr w14:val="tx1"/>
                  </w14:solidFill>
                </w14:textFill>
              </w:rPr>
              <w:t>71</w:t>
            </w:r>
          </w:p>
        </w:tc>
        <w:tc>
          <w:tcPr>
            <w:tcW w:w="975" w:type="dxa"/>
            <w:vAlign w:val="center"/>
          </w:tcPr>
          <w:p w14:paraId="71AFB129">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00000" w:themeColor="text1"/>
                <w:u w:val="wave" w:color="auto"/>
                <w:lang w:eastAsia="zh-CN"/>
                <w14:textFill>
                  <w14:solidFill>
                    <w14:schemeClr w14:val="tx1"/>
                  </w14:solidFill>
                </w14:textFill>
              </w:rPr>
            </w:pPr>
            <w:r>
              <w:rPr>
                <w:rFonts w:hint="eastAsia" w:cs="Times New Roman"/>
                <w:b/>
                <w:bCs/>
                <w:color w:val="000000" w:themeColor="text1"/>
                <w:u w:val="wave" w:color="auto"/>
                <w:lang w:val="en-US" w:eastAsia="zh-CN"/>
                <w14:textFill>
                  <w14:solidFill>
                    <w14:schemeClr w14:val="tx1"/>
                  </w14:solidFill>
                </w14:textFill>
              </w:rPr>
              <w:t>1.25</w:t>
            </w:r>
            <w:r>
              <w:rPr>
                <w:rFonts w:hint="default" w:ascii="Times New Roman" w:hAnsi="Times New Roman" w:cs="Times New Roman"/>
                <w:b/>
                <w:bCs/>
                <w:color w:val="000000" w:themeColor="text1"/>
                <w:u w:val="wave" w:color="auto"/>
                <w14:textFill>
                  <w14:solidFill>
                    <w14:schemeClr w14:val="tx1"/>
                  </w14:solidFill>
                </w14:textFill>
              </w:rPr>
              <w:t>E-0</w:t>
            </w:r>
            <w:r>
              <w:rPr>
                <w:rFonts w:hint="eastAsia" w:cs="Times New Roman"/>
                <w:b/>
                <w:bCs/>
                <w:color w:val="000000" w:themeColor="text1"/>
                <w:u w:val="wave" w:color="auto"/>
                <w:lang w:val="en-US" w:eastAsia="zh-CN"/>
                <w14:textFill>
                  <w14:solidFill>
                    <w14:schemeClr w14:val="tx1"/>
                  </w14:solidFill>
                </w14:textFill>
              </w:rPr>
              <w:t>1</w:t>
            </w:r>
          </w:p>
        </w:tc>
        <w:tc>
          <w:tcPr>
            <w:tcW w:w="781" w:type="dxa"/>
            <w:vAlign w:val="center"/>
          </w:tcPr>
          <w:p w14:paraId="4F74732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lang w:val="en-US"/>
                <w14:textFill>
                  <w14:solidFill>
                    <w14:schemeClr w14:val="tx1"/>
                  </w14:solidFill>
                </w14:textFill>
              </w:rPr>
            </w:pPr>
            <w:r>
              <w:rPr>
                <w:rFonts w:hint="eastAsia" w:cs="Times New Roman"/>
                <w:b/>
                <w:bCs/>
                <w:color w:val="000000" w:themeColor="text1"/>
                <w:u w:val="wave" w:color="auto"/>
                <w:lang w:val="en-US" w:eastAsia="zh-CN"/>
                <w14:textFill>
                  <w14:solidFill>
                    <w14:schemeClr w14:val="tx1"/>
                  </w14:solidFill>
                </w14:textFill>
              </w:rPr>
              <w:t>0.06</w:t>
            </w:r>
          </w:p>
        </w:tc>
        <w:tc>
          <w:tcPr>
            <w:tcW w:w="1038" w:type="dxa"/>
            <w:vAlign w:val="center"/>
          </w:tcPr>
          <w:p w14:paraId="4831459B">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b/>
                <w:bCs/>
                <w:color w:val="000000" w:themeColor="text1"/>
                <w:u w:val="wave" w:color="auto"/>
                <w:lang w:eastAsia="zh-CN"/>
                <w14:textFill>
                  <w14:solidFill>
                    <w14:schemeClr w14:val="tx1"/>
                  </w14:solidFill>
                </w14:textFill>
              </w:rPr>
            </w:pPr>
            <w:r>
              <w:rPr>
                <w:rFonts w:hint="eastAsia" w:cs="Times New Roman"/>
                <w:b/>
                <w:bCs/>
                <w:color w:val="000000" w:themeColor="text1"/>
                <w:u w:val="wave" w:color="auto"/>
                <w:lang w:val="en-US" w:eastAsia="zh-CN"/>
                <w14:textFill>
                  <w14:solidFill>
                    <w14:schemeClr w14:val="tx1"/>
                  </w14:solidFill>
                </w14:textFill>
              </w:rPr>
              <w:t>4.83</w:t>
            </w:r>
            <w:r>
              <w:rPr>
                <w:rFonts w:hint="default" w:ascii="Times New Roman" w:hAnsi="Times New Roman" w:cs="Times New Roman"/>
                <w:b/>
                <w:bCs/>
                <w:color w:val="000000" w:themeColor="text1"/>
                <w:u w:val="wave" w:color="auto"/>
                <w14:textFill>
                  <w14:solidFill>
                    <w14:schemeClr w14:val="tx1"/>
                  </w14:solidFill>
                </w14:textFill>
              </w:rPr>
              <w:t>E-0</w:t>
            </w:r>
            <w:r>
              <w:rPr>
                <w:rFonts w:hint="eastAsia" w:cs="Times New Roman"/>
                <w:b/>
                <w:bCs/>
                <w:color w:val="000000" w:themeColor="text1"/>
                <w:u w:val="wave" w:color="auto"/>
                <w:lang w:val="en-US" w:eastAsia="zh-CN"/>
                <w14:textFill>
                  <w14:solidFill>
                    <w14:schemeClr w14:val="tx1"/>
                  </w14:solidFill>
                </w14:textFill>
              </w:rPr>
              <w:t>3</w:t>
            </w:r>
          </w:p>
        </w:tc>
        <w:tc>
          <w:tcPr>
            <w:tcW w:w="782" w:type="dxa"/>
            <w:vAlign w:val="center"/>
          </w:tcPr>
          <w:p w14:paraId="6124F51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eastAsia" w:cs="Times New Roman"/>
                <w:b/>
                <w:bCs/>
                <w:color w:val="000000" w:themeColor="text1"/>
                <w:u w:val="wave" w:color="auto"/>
                <w:lang w:val="en-US" w:eastAsia="zh-CN"/>
                <w14:textFill>
                  <w14:solidFill>
                    <w14:schemeClr w14:val="tx1"/>
                  </w14:solidFill>
                </w14:textFill>
              </w:rPr>
              <w:t>0.05</w:t>
            </w:r>
          </w:p>
        </w:tc>
        <w:tc>
          <w:tcPr>
            <w:tcW w:w="1038" w:type="dxa"/>
            <w:vAlign w:val="center"/>
          </w:tcPr>
          <w:p w14:paraId="531795EC">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w:t>
            </w:r>
          </w:p>
        </w:tc>
        <w:tc>
          <w:tcPr>
            <w:tcW w:w="780" w:type="dxa"/>
            <w:vAlign w:val="center"/>
          </w:tcPr>
          <w:p w14:paraId="6CF0E4B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w:t>
            </w:r>
          </w:p>
        </w:tc>
        <w:tc>
          <w:tcPr>
            <w:tcW w:w="1166" w:type="dxa"/>
            <w:vAlign w:val="center"/>
          </w:tcPr>
          <w:p w14:paraId="59E55788">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w:t>
            </w:r>
          </w:p>
        </w:tc>
        <w:tc>
          <w:tcPr>
            <w:tcW w:w="776" w:type="dxa"/>
            <w:vAlign w:val="center"/>
          </w:tcPr>
          <w:p w14:paraId="6D3A370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w:t>
            </w:r>
          </w:p>
        </w:tc>
      </w:tr>
      <w:tr w14:paraId="223AA0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4818E083">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75</w:t>
            </w:r>
          </w:p>
        </w:tc>
        <w:tc>
          <w:tcPr>
            <w:tcW w:w="975" w:type="dxa"/>
            <w:vAlign w:val="center"/>
          </w:tcPr>
          <w:p w14:paraId="69936AE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1.25</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1</w:t>
            </w:r>
          </w:p>
        </w:tc>
        <w:tc>
          <w:tcPr>
            <w:tcW w:w="781" w:type="dxa"/>
            <w:vAlign w:val="center"/>
          </w:tcPr>
          <w:p w14:paraId="6B5F657B">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0.06</w:t>
            </w:r>
          </w:p>
        </w:tc>
        <w:tc>
          <w:tcPr>
            <w:tcW w:w="1038" w:type="dxa"/>
            <w:vAlign w:val="center"/>
          </w:tcPr>
          <w:p w14:paraId="5CAE74FC">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000000" w:themeColor="text1"/>
                <w:u w:val="wave" w:color="auto"/>
                <w:lang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4.80</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4B64918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0.05</w:t>
            </w:r>
          </w:p>
        </w:tc>
        <w:tc>
          <w:tcPr>
            <w:tcW w:w="1038" w:type="dxa"/>
            <w:vAlign w:val="center"/>
          </w:tcPr>
          <w:p w14:paraId="3D1AA2C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2.82</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w:t>
            </w:r>
            <w:r>
              <w:rPr>
                <w:rFonts w:hint="default" w:ascii="Times New Roman" w:hAnsi="Times New Roman" w:cs="Times New Roman"/>
                <w:b w:val="0"/>
                <w:bCs w:val="0"/>
                <w:color w:val="000000" w:themeColor="text1"/>
                <w:highlight w:val="none"/>
                <w:u w:val="wave" w:color="auto"/>
                <w14:textFill>
                  <w14:solidFill>
                    <w14:schemeClr w14:val="tx1"/>
                  </w14:solidFill>
                </w14:textFill>
              </w:rPr>
              <w:t>0</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0</w:t>
            </w:r>
          </w:p>
        </w:tc>
        <w:tc>
          <w:tcPr>
            <w:tcW w:w="780" w:type="dxa"/>
            <w:vAlign w:val="center"/>
          </w:tcPr>
          <w:p w14:paraId="367600E1">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1.41</w:t>
            </w:r>
          </w:p>
        </w:tc>
        <w:tc>
          <w:tcPr>
            <w:tcW w:w="1166" w:type="dxa"/>
            <w:vAlign w:val="center"/>
          </w:tcPr>
          <w:p w14:paraId="330710C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1.09</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1</w:t>
            </w:r>
          </w:p>
        </w:tc>
        <w:tc>
          <w:tcPr>
            <w:tcW w:w="776" w:type="dxa"/>
            <w:vAlign w:val="center"/>
          </w:tcPr>
          <w:p w14:paraId="1712CEF4">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1.09</w:t>
            </w:r>
          </w:p>
        </w:tc>
      </w:tr>
      <w:tr w14:paraId="2DDD60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2E68957B">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100</w:t>
            </w:r>
          </w:p>
        </w:tc>
        <w:tc>
          <w:tcPr>
            <w:tcW w:w="975" w:type="dxa"/>
            <w:vAlign w:val="center"/>
          </w:tcPr>
          <w:p w14:paraId="1EA109BF">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1.16</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1</w:t>
            </w:r>
          </w:p>
        </w:tc>
        <w:tc>
          <w:tcPr>
            <w:tcW w:w="781" w:type="dxa"/>
            <w:vAlign w:val="center"/>
          </w:tcPr>
          <w:p w14:paraId="51B9CAEC">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0.06</w:t>
            </w:r>
          </w:p>
        </w:tc>
        <w:tc>
          <w:tcPr>
            <w:tcW w:w="1038" w:type="dxa"/>
            <w:vAlign w:val="center"/>
          </w:tcPr>
          <w:p w14:paraId="4D8DCF4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4.55</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6227825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0.05</w:t>
            </w:r>
          </w:p>
        </w:tc>
        <w:tc>
          <w:tcPr>
            <w:tcW w:w="1038" w:type="dxa"/>
            <w:vAlign w:val="center"/>
          </w:tcPr>
          <w:p w14:paraId="30FE35A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2.50</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w:t>
            </w:r>
            <w:r>
              <w:rPr>
                <w:rFonts w:hint="default" w:ascii="Times New Roman" w:hAnsi="Times New Roman" w:cs="Times New Roman"/>
                <w:b w:val="0"/>
                <w:bCs w:val="0"/>
                <w:color w:val="000000" w:themeColor="text1"/>
                <w:highlight w:val="none"/>
                <w:u w:val="wave" w:color="auto"/>
                <w14:textFill>
                  <w14:solidFill>
                    <w14:schemeClr w14:val="tx1"/>
                  </w14:solidFill>
                </w14:textFill>
              </w:rPr>
              <w:t>0</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0</w:t>
            </w:r>
          </w:p>
        </w:tc>
        <w:tc>
          <w:tcPr>
            <w:tcW w:w="780" w:type="dxa"/>
            <w:vAlign w:val="center"/>
          </w:tcPr>
          <w:p w14:paraId="7A75CA7E">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1.25</w:t>
            </w:r>
          </w:p>
        </w:tc>
        <w:tc>
          <w:tcPr>
            <w:tcW w:w="1166" w:type="dxa"/>
            <w:vAlign w:val="center"/>
          </w:tcPr>
          <w:p w14:paraId="45C0E8CF">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9.66</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2</w:t>
            </w:r>
          </w:p>
        </w:tc>
        <w:tc>
          <w:tcPr>
            <w:tcW w:w="776" w:type="dxa"/>
            <w:vAlign w:val="center"/>
          </w:tcPr>
          <w:p w14:paraId="2B25551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97</w:t>
            </w:r>
          </w:p>
        </w:tc>
      </w:tr>
      <w:tr w14:paraId="611429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398BFF85">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125</w:t>
            </w:r>
          </w:p>
        </w:tc>
        <w:tc>
          <w:tcPr>
            <w:tcW w:w="975" w:type="dxa"/>
            <w:vAlign w:val="center"/>
          </w:tcPr>
          <w:p w14:paraId="724CF572">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1.07</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1</w:t>
            </w:r>
          </w:p>
        </w:tc>
        <w:tc>
          <w:tcPr>
            <w:tcW w:w="781" w:type="dxa"/>
            <w:vAlign w:val="center"/>
          </w:tcPr>
          <w:p w14:paraId="1971600E">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0.05</w:t>
            </w:r>
          </w:p>
        </w:tc>
        <w:tc>
          <w:tcPr>
            <w:tcW w:w="1038" w:type="dxa"/>
            <w:vAlign w:val="center"/>
          </w:tcPr>
          <w:p w14:paraId="7FC2A7B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4.10</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2FE722A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4</w:t>
            </w:r>
          </w:p>
        </w:tc>
        <w:tc>
          <w:tcPr>
            <w:tcW w:w="1038" w:type="dxa"/>
            <w:vAlign w:val="center"/>
          </w:tcPr>
          <w:p w14:paraId="655D807B">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2.18</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w:t>
            </w:r>
            <w:r>
              <w:rPr>
                <w:rFonts w:hint="default" w:ascii="Times New Roman" w:hAnsi="Times New Roman" w:cs="Times New Roman"/>
                <w:b w:val="0"/>
                <w:bCs w:val="0"/>
                <w:color w:val="000000" w:themeColor="text1"/>
                <w:highlight w:val="none"/>
                <w:u w:val="wave" w:color="auto"/>
                <w14:textFill>
                  <w14:solidFill>
                    <w14:schemeClr w14:val="tx1"/>
                  </w14:solidFill>
                </w14:textFill>
              </w:rPr>
              <w:t>0</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0</w:t>
            </w:r>
          </w:p>
        </w:tc>
        <w:tc>
          <w:tcPr>
            <w:tcW w:w="780" w:type="dxa"/>
            <w:vAlign w:val="center"/>
          </w:tcPr>
          <w:p w14:paraId="409B057D">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1.09</w:t>
            </w:r>
          </w:p>
        </w:tc>
        <w:tc>
          <w:tcPr>
            <w:tcW w:w="1166" w:type="dxa"/>
            <w:vAlign w:val="center"/>
          </w:tcPr>
          <w:p w14:paraId="59D5A3E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8.46</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2</w:t>
            </w:r>
          </w:p>
        </w:tc>
        <w:tc>
          <w:tcPr>
            <w:tcW w:w="776" w:type="dxa"/>
            <w:vAlign w:val="center"/>
          </w:tcPr>
          <w:p w14:paraId="3797697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85</w:t>
            </w:r>
          </w:p>
        </w:tc>
      </w:tr>
      <w:tr w14:paraId="3ED193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1E7ACB99">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150</w:t>
            </w:r>
          </w:p>
        </w:tc>
        <w:tc>
          <w:tcPr>
            <w:tcW w:w="975" w:type="dxa"/>
            <w:vAlign w:val="center"/>
          </w:tcPr>
          <w:p w14:paraId="649E3BF2">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000000" w:themeColor="text1"/>
                <w:u w:val="wave" w:color="auto"/>
                <w:lang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9.81</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247D6D2E">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5</w:t>
            </w:r>
          </w:p>
        </w:tc>
        <w:tc>
          <w:tcPr>
            <w:tcW w:w="1038" w:type="dxa"/>
            <w:vAlign w:val="center"/>
          </w:tcPr>
          <w:p w14:paraId="00ECACE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3.78</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7CD0BB34">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0.04</w:t>
            </w:r>
          </w:p>
        </w:tc>
        <w:tc>
          <w:tcPr>
            <w:tcW w:w="1038" w:type="dxa"/>
            <w:vAlign w:val="center"/>
          </w:tcPr>
          <w:p w14:paraId="44A106C1">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1.89</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w:t>
            </w:r>
            <w:r>
              <w:rPr>
                <w:rFonts w:hint="default" w:ascii="Times New Roman" w:hAnsi="Times New Roman" w:cs="Times New Roman"/>
                <w:b w:val="0"/>
                <w:bCs w:val="0"/>
                <w:color w:val="000000" w:themeColor="text1"/>
                <w:highlight w:val="none"/>
                <w:u w:val="wave" w:color="auto"/>
                <w14:textFill>
                  <w14:solidFill>
                    <w14:schemeClr w14:val="tx1"/>
                  </w14:solidFill>
                </w14:textFill>
              </w:rPr>
              <w:t>0</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0</w:t>
            </w:r>
          </w:p>
        </w:tc>
        <w:tc>
          <w:tcPr>
            <w:tcW w:w="780" w:type="dxa"/>
            <w:vAlign w:val="center"/>
          </w:tcPr>
          <w:p w14:paraId="008336F5">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0.94</w:t>
            </w:r>
          </w:p>
        </w:tc>
        <w:tc>
          <w:tcPr>
            <w:tcW w:w="1166" w:type="dxa"/>
            <w:vAlign w:val="center"/>
          </w:tcPr>
          <w:p w14:paraId="7D8A58B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u w:val="wave" w:color="auto"/>
                <w:lang w:val="en-US" w:eastAsia="zh-CN"/>
                <w14:textFill>
                  <w14:solidFill>
                    <w14:schemeClr w14:val="tx1"/>
                  </w14:solidFill>
                </w14:textFill>
              </w:rPr>
              <w:t>7.32</w:t>
            </w:r>
            <w:r>
              <w:rPr>
                <w:rFonts w:hint="default" w:ascii="Times New Roman" w:hAnsi="Times New Roman" w:cs="Times New Roman"/>
                <w:b w:val="0"/>
                <w:bCs w:val="0"/>
                <w:color w:val="000000" w:themeColor="text1"/>
                <w:u w:val="wave" w:color="auto"/>
                <w14:textFill>
                  <w14:solidFill>
                    <w14:schemeClr w14:val="tx1"/>
                  </w14:solidFill>
                </w14:textFill>
              </w:rPr>
              <w:t>E-0</w:t>
            </w:r>
            <w:r>
              <w:rPr>
                <w:rFonts w:hint="eastAsia" w:cs="Times New Roman"/>
                <w:b w:val="0"/>
                <w:bCs w:val="0"/>
                <w:color w:val="000000" w:themeColor="text1"/>
                <w:u w:val="wave" w:color="auto"/>
                <w:lang w:val="en-US" w:eastAsia="zh-CN"/>
                <w14:textFill>
                  <w14:solidFill>
                    <w14:schemeClr w14:val="tx1"/>
                  </w14:solidFill>
                </w14:textFill>
              </w:rPr>
              <w:t>2</w:t>
            </w:r>
          </w:p>
        </w:tc>
        <w:tc>
          <w:tcPr>
            <w:tcW w:w="776" w:type="dxa"/>
            <w:vAlign w:val="center"/>
          </w:tcPr>
          <w:p w14:paraId="49AA9B4E">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73</w:t>
            </w:r>
          </w:p>
        </w:tc>
      </w:tr>
      <w:tr w14:paraId="244146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3A15A05F">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175</w:t>
            </w:r>
          </w:p>
        </w:tc>
        <w:tc>
          <w:tcPr>
            <w:tcW w:w="975" w:type="dxa"/>
            <w:vAlign w:val="center"/>
          </w:tcPr>
          <w:p w14:paraId="2146A5BF">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8.73</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71002DA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4</w:t>
            </w:r>
          </w:p>
        </w:tc>
        <w:tc>
          <w:tcPr>
            <w:tcW w:w="1038" w:type="dxa"/>
            <w:vAlign w:val="center"/>
          </w:tcPr>
          <w:p w14:paraId="44D6950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3.37</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3BA5B7CF">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0.03</w:t>
            </w:r>
          </w:p>
        </w:tc>
        <w:tc>
          <w:tcPr>
            <w:tcW w:w="1038" w:type="dxa"/>
            <w:vAlign w:val="center"/>
          </w:tcPr>
          <w:p w14:paraId="4CB71B7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1.64</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w:t>
            </w:r>
            <w:r>
              <w:rPr>
                <w:rFonts w:hint="default" w:ascii="Times New Roman" w:hAnsi="Times New Roman" w:cs="Times New Roman"/>
                <w:b w:val="0"/>
                <w:bCs w:val="0"/>
                <w:color w:val="000000" w:themeColor="text1"/>
                <w:highlight w:val="none"/>
                <w:u w:val="wave" w:color="auto"/>
                <w14:textFill>
                  <w14:solidFill>
                    <w14:schemeClr w14:val="tx1"/>
                  </w14:solidFill>
                </w14:textFill>
              </w:rPr>
              <w:t>0</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0</w:t>
            </w:r>
          </w:p>
        </w:tc>
        <w:tc>
          <w:tcPr>
            <w:tcW w:w="780" w:type="dxa"/>
            <w:vAlign w:val="center"/>
          </w:tcPr>
          <w:p w14:paraId="7A401303">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0.82</w:t>
            </w:r>
          </w:p>
        </w:tc>
        <w:tc>
          <w:tcPr>
            <w:tcW w:w="1166" w:type="dxa"/>
            <w:vAlign w:val="center"/>
          </w:tcPr>
          <w:p w14:paraId="619D0181">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000000" w:themeColor="text1"/>
                <w:u w:val="wave" w:color="auto"/>
                <w:lang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6.35</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76" w:type="dxa"/>
            <w:vAlign w:val="center"/>
          </w:tcPr>
          <w:p w14:paraId="2613D83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63</w:t>
            </w:r>
          </w:p>
        </w:tc>
      </w:tr>
      <w:tr w14:paraId="02CC79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790F3CFC">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200</w:t>
            </w:r>
          </w:p>
        </w:tc>
        <w:tc>
          <w:tcPr>
            <w:tcW w:w="975" w:type="dxa"/>
            <w:vAlign w:val="center"/>
          </w:tcPr>
          <w:p w14:paraId="0A9042E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7.81</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734B96D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4</w:t>
            </w:r>
          </w:p>
        </w:tc>
        <w:tc>
          <w:tcPr>
            <w:tcW w:w="1038" w:type="dxa"/>
            <w:vAlign w:val="center"/>
          </w:tcPr>
          <w:p w14:paraId="407F975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3.01</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73A01ED9">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0.03</w:t>
            </w:r>
          </w:p>
        </w:tc>
        <w:tc>
          <w:tcPr>
            <w:tcW w:w="1038" w:type="dxa"/>
            <w:vAlign w:val="center"/>
          </w:tcPr>
          <w:p w14:paraId="761FC72B">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1.43</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w:t>
            </w:r>
            <w:r>
              <w:rPr>
                <w:rFonts w:hint="default" w:ascii="Times New Roman" w:hAnsi="Times New Roman" w:cs="Times New Roman"/>
                <w:b w:val="0"/>
                <w:bCs w:val="0"/>
                <w:color w:val="000000" w:themeColor="text1"/>
                <w:highlight w:val="none"/>
                <w:u w:val="wave" w:color="auto"/>
                <w14:textFill>
                  <w14:solidFill>
                    <w14:schemeClr w14:val="tx1"/>
                  </w14:solidFill>
                </w14:textFill>
              </w:rPr>
              <w:t>0</w:t>
            </w:r>
            <w:r>
              <w:rPr>
                <w:rFonts w:hint="default" w:ascii="Times New Roman" w:hAnsi="Times New Roman" w:cs="Times New Roman"/>
                <w:b w:val="0"/>
                <w:bCs w:val="0"/>
                <w:color w:val="000000" w:themeColor="text1"/>
                <w:highlight w:val="none"/>
                <w:u w:val="wave" w:color="auto"/>
                <w:lang w:val="en-US" w:eastAsia="zh-CN"/>
                <w14:textFill>
                  <w14:solidFill>
                    <w14:schemeClr w14:val="tx1"/>
                  </w14:solidFill>
                </w14:textFill>
              </w:rPr>
              <w:t>0</w:t>
            </w:r>
          </w:p>
        </w:tc>
        <w:tc>
          <w:tcPr>
            <w:tcW w:w="780" w:type="dxa"/>
            <w:vAlign w:val="center"/>
          </w:tcPr>
          <w:p w14:paraId="0905EC4E">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0.72</w:t>
            </w:r>
          </w:p>
        </w:tc>
        <w:tc>
          <w:tcPr>
            <w:tcW w:w="1166" w:type="dxa"/>
            <w:vAlign w:val="center"/>
          </w:tcPr>
          <w:p w14:paraId="2000ECA6">
            <w:pPr>
              <w:pStyle w:val="192"/>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000000" w:themeColor="text1"/>
                <w:u w:val="wave" w:color="auto"/>
                <w:lang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5.55</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76" w:type="dxa"/>
            <w:vAlign w:val="center"/>
          </w:tcPr>
          <w:p w14:paraId="3F30BFF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56</w:t>
            </w:r>
          </w:p>
        </w:tc>
      </w:tr>
      <w:tr w14:paraId="001736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4C61520C">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300</w:t>
            </w:r>
          </w:p>
        </w:tc>
        <w:tc>
          <w:tcPr>
            <w:tcW w:w="975" w:type="dxa"/>
            <w:vAlign w:val="center"/>
          </w:tcPr>
          <w:p w14:paraId="27EBA76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5.96</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2E3C1F0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06A3FE0F">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2</w:t>
            </w:r>
            <w:r>
              <w:rPr>
                <w:rFonts w:hint="eastAsia" w:cs="Times New Roman"/>
                <w:color w:val="000000" w:themeColor="text1"/>
                <w:u w:val="wave" w:color="auto"/>
                <w:lang w:val="en-US" w:eastAsia="zh-CN"/>
                <w14:textFill>
                  <w14:solidFill>
                    <w14:schemeClr w14:val="tx1"/>
                  </w14:solidFill>
                </w14:textFill>
              </w:rPr>
              <w:t>.30</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174187D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69F4FFB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9.12</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1E36D67D">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0.46</w:t>
            </w:r>
          </w:p>
        </w:tc>
        <w:tc>
          <w:tcPr>
            <w:tcW w:w="1166" w:type="dxa"/>
            <w:vAlign w:val="center"/>
          </w:tcPr>
          <w:p w14:paraId="435733CB">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3.53</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76" w:type="dxa"/>
            <w:vAlign w:val="center"/>
          </w:tcPr>
          <w:p w14:paraId="5F9305B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35</w:t>
            </w:r>
          </w:p>
        </w:tc>
      </w:tr>
      <w:tr w14:paraId="5461FB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61590531">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400</w:t>
            </w:r>
          </w:p>
        </w:tc>
        <w:tc>
          <w:tcPr>
            <w:tcW w:w="975" w:type="dxa"/>
            <w:vAlign w:val="center"/>
          </w:tcPr>
          <w:p w14:paraId="688FD0DB">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5.30</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22B8483C">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6966E2F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2.</w:t>
            </w:r>
            <w:r>
              <w:rPr>
                <w:rFonts w:hint="eastAsia" w:cs="Times New Roman"/>
                <w:color w:val="000000" w:themeColor="text1"/>
                <w:u w:val="wave" w:color="auto"/>
                <w:lang w:val="en-US" w:eastAsia="zh-CN"/>
                <w14:textFill>
                  <w14:solidFill>
                    <w14:schemeClr w14:val="tx1"/>
                  </w14:solidFill>
                </w14:textFill>
              </w:rPr>
              <w:t>04</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680DCFA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1F04B1F4">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6.43</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25D05D17">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0.32</w:t>
            </w:r>
          </w:p>
        </w:tc>
        <w:tc>
          <w:tcPr>
            <w:tcW w:w="1166" w:type="dxa"/>
            <w:vAlign w:val="center"/>
          </w:tcPr>
          <w:p w14:paraId="085B8D2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2.49</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76" w:type="dxa"/>
            <w:vAlign w:val="center"/>
          </w:tcPr>
          <w:p w14:paraId="7DE1D13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25</w:t>
            </w:r>
          </w:p>
        </w:tc>
      </w:tr>
      <w:tr w14:paraId="6101C5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024" w:type="dxa"/>
            <w:vAlign w:val="center"/>
          </w:tcPr>
          <w:p w14:paraId="0FBBBC69">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500</w:t>
            </w:r>
          </w:p>
        </w:tc>
        <w:tc>
          <w:tcPr>
            <w:tcW w:w="975" w:type="dxa"/>
            <w:vAlign w:val="center"/>
          </w:tcPr>
          <w:p w14:paraId="60CC80B1">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5.89</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3A69C25E">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0D03AD1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2.</w:t>
            </w:r>
            <w:r>
              <w:rPr>
                <w:rFonts w:hint="eastAsia" w:cs="Times New Roman"/>
                <w:color w:val="000000" w:themeColor="text1"/>
                <w:u w:val="wave" w:color="auto"/>
                <w:lang w:val="en-US" w:eastAsia="zh-CN"/>
                <w14:textFill>
                  <w14:solidFill>
                    <w14:schemeClr w14:val="tx1"/>
                  </w14:solidFill>
                </w14:textFill>
              </w:rPr>
              <w:t>27</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7F5024DF">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600888F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4.86</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4210C7B6">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0.24</w:t>
            </w:r>
          </w:p>
        </w:tc>
        <w:tc>
          <w:tcPr>
            <w:tcW w:w="1166" w:type="dxa"/>
            <w:vAlign w:val="center"/>
          </w:tcPr>
          <w:p w14:paraId="1CAD2BE1">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1.88</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76" w:type="dxa"/>
            <w:vAlign w:val="center"/>
          </w:tcPr>
          <w:p w14:paraId="68FA189F">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19</w:t>
            </w:r>
          </w:p>
        </w:tc>
      </w:tr>
      <w:tr w14:paraId="0A99BF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2A516B2E">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600</w:t>
            </w:r>
          </w:p>
        </w:tc>
        <w:tc>
          <w:tcPr>
            <w:tcW w:w="975" w:type="dxa"/>
            <w:vAlign w:val="center"/>
          </w:tcPr>
          <w:p w14:paraId="4205C4B9">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6.13</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058E8E1C">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5FE64BEC">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2.</w:t>
            </w:r>
            <w:r>
              <w:rPr>
                <w:rFonts w:hint="eastAsia" w:cs="Times New Roman"/>
                <w:color w:val="000000" w:themeColor="text1"/>
                <w:u w:val="wave" w:color="auto"/>
                <w:lang w:val="en-US" w:eastAsia="zh-CN"/>
                <w14:textFill>
                  <w14:solidFill>
                    <w14:schemeClr w14:val="tx1"/>
                  </w14:solidFill>
                </w14:textFill>
              </w:rPr>
              <w:t>36</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17E52968">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4E56B63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3.84</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5C1BE636">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0.19</w:t>
            </w:r>
          </w:p>
        </w:tc>
        <w:tc>
          <w:tcPr>
            <w:tcW w:w="1166" w:type="dxa"/>
            <w:vAlign w:val="center"/>
          </w:tcPr>
          <w:p w14:paraId="1B0B205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1.49</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76" w:type="dxa"/>
            <w:vAlign w:val="center"/>
          </w:tcPr>
          <w:p w14:paraId="36666B4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15</w:t>
            </w:r>
          </w:p>
        </w:tc>
      </w:tr>
      <w:tr w14:paraId="66F034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1CC797EC">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700</w:t>
            </w:r>
          </w:p>
        </w:tc>
        <w:tc>
          <w:tcPr>
            <w:tcW w:w="975" w:type="dxa"/>
            <w:vAlign w:val="center"/>
          </w:tcPr>
          <w:p w14:paraId="4ABD767F">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6.07</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18747EC1">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557F7DE1">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2.</w:t>
            </w:r>
            <w:r>
              <w:rPr>
                <w:rFonts w:hint="eastAsia" w:cs="Times New Roman"/>
                <w:color w:val="000000" w:themeColor="text1"/>
                <w:u w:val="wave" w:color="auto"/>
                <w:lang w:val="en-US" w:eastAsia="zh-CN"/>
                <w14:textFill>
                  <w14:solidFill>
                    <w14:schemeClr w14:val="tx1"/>
                  </w14:solidFill>
                </w14:textFill>
              </w:rPr>
              <w:t>34</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7ACA9154">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090B9BAF">
            <w:pPr>
              <w:pStyle w:val="192"/>
              <w:keepNext w:val="0"/>
              <w:keepLines w:val="0"/>
              <w:suppressLineNumbers w:val="0"/>
              <w:spacing w:before="0" w:beforeAutospacing="0" w:after="0" w:afterAutospacing="0"/>
              <w:ind w:left="0" w:right="0" w:firstLine="0" w:firstLineChars="0"/>
              <w:rPr>
                <w:rFonts w:hint="eastAsia" w:cs="Times New Roman"/>
                <w:b w:val="0"/>
                <w:bCs w:val="0"/>
                <w:color w:val="000000" w:themeColor="text1"/>
                <w:highlight w:val="none"/>
                <w:u w:val="wave" w:color="auto"/>
                <w:lang w:val="en-US" w:eastAsia="zh-CN"/>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3.14</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2A88787A">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0.16</w:t>
            </w:r>
          </w:p>
        </w:tc>
        <w:tc>
          <w:tcPr>
            <w:tcW w:w="1166" w:type="dxa"/>
            <w:vAlign w:val="center"/>
          </w:tcPr>
          <w:p w14:paraId="682586C3">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1.22</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76" w:type="dxa"/>
            <w:vAlign w:val="center"/>
          </w:tcPr>
          <w:p w14:paraId="0A2BF64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12</w:t>
            </w:r>
          </w:p>
        </w:tc>
      </w:tr>
      <w:tr w14:paraId="5A60E8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120510C5">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800</w:t>
            </w:r>
          </w:p>
        </w:tc>
        <w:tc>
          <w:tcPr>
            <w:tcW w:w="975" w:type="dxa"/>
            <w:vAlign w:val="center"/>
          </w:tcPr>
          <w:p w14:paraId="53E465CF">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5.89</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42385406">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63C6586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2.</w:t>
            </w:r>
            <w:r>
              <w:rPr>
                <w:rFonts w:hint="eastAsia" w:cs="Times New Roman"/>
                <w:color w:val="000000" w:themeColor="text1"/>
                <w:u w:val="wave" w:color="auto"/>
                <w:lang w:val="en-US" w:eastAsia="zh-CN"/>
                <w14:textFill>
                  <w14:solidFill>
                    <w14:schemeClr w14:val="tx1"/>
                  </w14:solidFill>
                </w14:textFill>
              </w:rPr>
              <w:t>26</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7A0B0E8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7394E475">
            <w:pPr>
              <w:pStyle w:val="192"/>
              <w:keepNext w:val="0"/>
              <w:keepLines w:val="0"/>
              <w:suppressLineNumbers w:val="0"/>
              <w:spacing w:before="0" w:beforeAutospacing="0" w:after="0" w:afterAutospacing="0"/>
              <w:ind w:left="0" w:right="0" w:firstLine="0" w:firstLineChars="0"/>
              <w:rPr>
                <w:rFonts w:hint="eastAsia" w:cs="Times New Roman"/>
                <w:b w:val="0"/>
                <w:bCs w:val="0"/>
                <w:color w:val="000000" w:themeColor="text1"/>
                <w:highlight w:val="none"/>
                <w:u w:val="wave" w:color="auto"/>
                <w:lang w:val="en-US" w:eastAsia="zh-CN"/>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2.64</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7079E22C">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0.14</w:t>
            </w:r>
          </w:p>
        </w:tc>
        <w:tc>
          <w:tcPr>
            <w:tcW w:w="1166" w:type="dxa"/>
            <w:vAlign w:val="center"/>
          </w:tcPr>
          <w:p w14:paraId="538B851D">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1.02</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76" w:type="dxa"/>
            <w:vAlign w:val="center"/>
          </w:tcPr>
          <w:p w14:paraId="422E2DCE">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10</w:t>
            </w:r>
          </w:p>
        </w:tc>
      </w:tr>
      <w:tr w14:paraId="0F8F54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7F3AF9CE">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900</w:t>
            </w:r>
          </w:p>
        </w:tc>
        <w:tc>
          <w:tcPr>
            <w:tcW w:w="975" w:type="dxa"/>
            <w:vAlign w:val="center"/>
          </w:tcPr>
          <w:p w14:paraId="673D34FD">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5.58</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54DBB705">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2ECDBF3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2.</w:t>
            </w:r>
            <w:r>
              <w:rPr>
                <w:rFonts w:hint="eastAsia" w:cs="Times New Roman"/>
                <w:color w:val="000000" w:themeColor="text1"/>
                <w:u w:val="wave" w:color="auto"/>
                <w:lang w:val="en-US" w:eastAsia="zh-CN"/>
                <w14:textFill>
                  <w14:solidFill>
                    <w14:schemeClr w14:val="tx1"/>
                  </w14:solidFill>
                </w14:textFill>
              </w:rPr>
              <w:t>15</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49F9911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5508B122">
            <w:pPr>
              <w:pStyle w:val="192"/>
              <w:keepNext w:val="0"/>
              <w:keepLines w:val="0"/>
              <w:suppressLineNumbers w:val="0"/>
              <w:spacing w:before="0" w:beforeAutospacing="0" w:after="0" w:afterAutospacing="0"/>
              <w:ind w:left="0" w:right="0" w:firstLine="0" w:firstLineChars="0"/>
              <w:rPr>
                <w:rFonts w:hint="eastAsia" w:cs="Times New Roman"/>
                <w:b w:val="0"/>
                <w:bCs w:val="0"/>
                <w:color w:val="000000" w:themeColor="text1"/>
                <w:highlight w:val="none"/>
                <w:u w:val="wave" w:color="auto"/>
                <w:lang w:val="en-US" w:eastAsia="zh-CN"/>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2.28</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30CA75C3">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0.11</w:t>
            </w:r>
          </w:p>
        </w:tc>
        <w:tc>
          <w:tcPr>
            <w:tcW w:w="1166" w:type="dxa"/>
            <w:vAlign w:val="center"/>
          </w:tcPr>
          <w:p w14:paraId="69DE8449">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8.84</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76" w:type="dxa"/>
            <w:vAlign w:val="center"/>
          </w:tcPr>
          <w:p w14:paraId="48127F5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09</w:t>
            </w:r>
          </w:p>
        </w:tc>
      </w:tr>
      <w:tr w14:paraId="1D192B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6611F9AA">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1000</w:t>
            </w:r>
          </w:p>
        </w:tc>
        <w:tc>
          <w:tcPr>
            <w:tcW w:w="975" w:type="dxa"/>
            <w:vAlign w:val="center"/>
          </w:tcPr>
          <w:p w14:paraId="2E6B7FB8">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5.27</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008A9AA4">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3B7E5F2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2.</w:t>
            </w:r>
            <w:r>
              <w:rPr>
                <w:rFonts w:hint="eastAsia" w:cs="Times New Roman"/>
                <w:color w:val="000000" w:themeColor="text1"/>
                <w:u w:val="wave" w:color="auto"/>
                <w:lang w:val="en-US" w:eastAsia="zh-CN"/>
                <w14:textFill>
                  <w14:solidFill>
                    <w14:schemeClr w14:val="tx1"/>
                  </w14:solidFill>
                </w14:textFill>
              </w:rPr>
              <w:t>03</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3CD751FB">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4AD2BD0E">
            <w:pPr>
              <w:pStyle w:val="192"/>
              <w:keepNext w:val="0"/>
              <w:keepLines w:val="0"/>
              <w:suppressLineNumbers w:val="0"/>
              <w:spacing w:before="0" w:beforeAutospacing="0" w:after="0" w:afterAutospacing="0"/>
              <w:ind w:left="0" w:right="0" w:firstLine="0" w:firstLineChars="0"/>
              <w:rPr>
                <w:rFonts w:hint="eastAsia" w:cs="Times New Roman"/>
                <w:b w:val="0"/>
                <w:bCs w:val="0"/>
                <w:color w:val="000000" w:themeColor="text1"/>
                <w:highlight w:val="none"/>
                <w:u w:val="wave" w:color="auto"/>
                <w:lang w:val="en-US" w:eastAsia="zh-CN"/>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1.98</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0BA494AD">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0.10</w:t>
            </w:r>
          </w:p>
        </w:tc>
        <w:tc>
          <w:tcPr>
            <w:tcW w:w="1166" w:type="dxa"/>
            <w:vAlign w:val="center"/>
          </w:tcPr>
          <w:p w14:paraId="5C46FB97">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7.68</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76" w:type="dxa"/>
            <w:vAlign w:val="center"/>
          </w:tcPr>
          <w:p w14:paraId="61C7236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08</w:t>
            </w:r>
          </w:p>
        </w:tc>
      </w:tr>
      <w:tr w14:paraId="67FAF0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60EC7D26">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1100</w:t>
            </w:r>
          </w:p>
        </w:tc>
        <w:tc>
          <w:tcPr>
            <w:tcW w:w="975" w:type="dxa"/>
            <w:vAlign w:val="center"/>
          </w:tcPr>
          <w:p w14:paraId="230CBF9C">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4.97</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3E79CDD6">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031368B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1.91</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79E1E65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0CAA3AA2">
            <w:pPr>
              <w:pStyle w:val="192"/>
              <w:keepNext w:val="0"/>
              <w:keepLines w:val="0"/>
              <w:suppressLineNumbers w:val="0"/>
              <w:spacing w:before="0" w:beforeAutospacing="0" w:after="0" w:afterAutospacing="0"/>
              <w:ind w:left="0" w:right="0" w:firstLine="0" w:firstLineChars="0"/>
              <w:rPr>
                <w:rFonts w:hint="eastAsia" w:cs="Times New Roman"/>
                <w:b w:val="0"/>
                <w:bCs w:val="0"/>
                <w:color w:val="000000" w:themeColor="text1"/>
                <w:highlight w:val="none"/>
                <w:u w:val="wave" w:color="auto"/>
                <w:lang w:val="en-US" w:eastAsia="zh-CN"/>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1.74</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156A2AF9">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0.09</w:t>
            </w:r>
          </w:p>
        </w:tc>
        <w:tc>
          <w:tcPr>
            <w:tcW w:w="1166" w:type="dxa"/>
            <w:vAlign w:val="center"/>
          </w:tcPr>
          <w:p w14:paraId="2E547F17">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6.75</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76" w:type="dxa"/>
            <w:vAlign w:val="center"/>
          </w:tcPr>
          <w:p w14:paraId="26C0C12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07</w:t>
            </w:r>
          </w:p>
        </w:tc>
      </w:tr>
      <w:tr w14:paraId="50B9BE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2E796C33">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1200</w:t>
            </w:r>
          </w:p>
        </w:tc>
        <w:tc>
          <w:tcPr>
            <w:tcW w:w="975" w:type="dxa"/>
            <w:vAlign w:val="center"/>
          </w:tcPr>
          <w:p w14:paraId="59E22F7A">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4.67</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5FDA4E9A">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2F36C388">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1.80</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71FD429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294B3EBD">
            <w:pPr>
              <w:pStyle w:val="192"/>
              <w:keepNext w:val="0"/>
              <w:keepLines w:val="0"/>
              <w:suppressLineNumbers w:val="0"/>
              <w:spacing w:before="0" w:beforeAutospacing="0" w:after="0" w:afterAutospacing="0"/>
              <w:ind w:left="0" w:right="0" w:firstLine="0" w:firstLineChars="0"/>
              <w:rPr>
                <w:rFonts w:hint="eastAsia" w:cs="Times New Roman"/>
                <w:b w:val="0"/>
                <w:bCs w:val="0"/>
                <w:color w:val="000000" w:themeColor="text1"/>
                <w:highlight w:val="none"/>
                <w:u w:val="wave" w:color="auto"/>
                <w:lang w:val="en-US" w:eastAsia="zh-CN"/>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1.55</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3D648113">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0.08</w:t>
            </w:r>
          </w:p>
        </w:tc>
        <w:tc>
          <w:tcPr>
            <w:tcW w:w="1166" w:type="dxa"/>
            <w:vAlign w:val="center"/>
          </w:tcPr>
          <w:p w14:paraId="1095D176">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6.01</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76" w:type="dxa"/>
            <w:vAlign w:val="center"/>
          </w:tcPr>
          <w:p w14:paraId="4DFD80BB">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u w:val="wave" w:color="auto"/>
                <w:lang w:val="en-US" w:eastAsia="zh-CN"/>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06</w:t>
            </w:r>
          </w:p>
        </w:tc>
      </w:tr>
      <w:tr w14:paraId="1A98CE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21CC7AE9">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1300</w:t>
            </w:r>
          </w:p>
        </w:tc>
        <w:tc>
          <w:tcPr>
            <w:tcW w:w="975" w:type="dxa"/>
            <w:vAlign w:val="center"/>
          </w:tcPr>
          <w:p w14:paraId="40C6E473">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4.39</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147744D6">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3176A90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1.69</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33A9CDD9">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48D317EF">
            <w:pPr>
              <w:pStyle w:val="192"/>
              <w:keepNext w:val="0"/>
              <w:keepLines w:val="0"/>
              <w:suppressLineNumbers w:val="0"/>
              <w:spacing w:before="0" w:beforeAutospacing="0" w:after="0" w:afterAutospacing="0"/>
              <w:ind w:left="0" w:right="0" w:firstLine="0" w:firstLineChars="0"/>
              <w:rPr>
                <w:rFonts w:hint="eastAsia" w:cs="Times New Roman"/>
                <w:b w:val="0"/>
                <w:bCs w:val="0"/>
                <w:color w:val="000000" w:themeColor="text1"/>
                <w:highlight w:val="none"/>
                <w:u w:val="wave" w:color="auto"/>
                <w:lang w:val="en-US" w:eastAsia="zh-CN"/>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1.39</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4D638A69">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0.07</w:t>
            </w:r>
          </w:p>
        </w:tc>
        <w:tc>
          <w:tcPr>
            <w:tcW w:w="1166" w:type="dxa"/>
            <w:vAlign w:val="center"/>
          </w:tcPr>
          <w:p w14:paraId="3E2F9986">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5.39</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76" w:type="dxa"/>
            <w:vAlign w:val="center"/>
          </w:tcPr>
          <w:p w14:paraId="05567F9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05</w:t>
            </w:r>
          </w:p>
        </w:tc>
      </w:tr>
      <w:tr w14:paraId="6E44B5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3D1D24E6">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1400</w:t>
            </w:r>
          </w:p>
        </w:tc>
        <w:tc>
          <w:tcPr>
            <w:tcW w:w="975" w:type="dxa"/>
            <w:vAlign w:val="center"/>
          </w:tcPr>
          <w:p w14:paraId="472E6209">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4.16</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00D1ED6F">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3DA37BA1">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1.60</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3DE62757">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429EBBBF">
            <w:pPr>
              <w:pStyle w:val="192"/>
              <w:keepNext w:val="0"/>
              <w:keepLines w:val="0"/>
              <w:suppressLineNumbers w:val="0"/>
              <w:spacing w:before="0" w:beforeAutospacing="0" w:after="0" w:afterAutospacing="0"/>
              <w:ind w:left="0" w:right="0" w:firstLine="0" w:firstLineChars="0"/>
              <w:rPr>
                <w:rFonts w:hint="eastAsia" w:cs="Times New Roman"/>
                <w:b w:val="0"/>
                <w:bCs w:val="0"/>
                <w:color w:val="000000" w:themeColor="text1"/>
                <w:highlight w:val="none"/>
                <w:u w:val="wave" w:color="auto"/>
                <w:lang w:val="en-US" w:eastAsia="zh-CN"/>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1.26</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56FED255">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0.06</w:t>
            </w:r>
          </w:p>
        </w:tc>
        <w:tc>
          <w:tcPr>
            <w:tcW w:w="1166" w:type="dxa"/>
            <w:vAlign w:val="center"/>
          </w:tcPr>
          <w:p w14:paraId="541A5A2E">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4.88</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76" w:type="dxa"/>
            <w:vAlign w:val="center"/>
          </w:tcPr>
          <w:p w14:paraId="5358821B">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05</w:t>
            </w:r>
          </w:p>
        </w:tc>
      </w:tr>
      <w:tr w14:paraId="2C983A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5538D9FD">
            <w:pPr>
              <w:pStyle w:val="192"/>
              <w:keepNext w:val="0"/>
              <w:keepLines w:val="0"/>
              <w:suppressLineNumbers w:val="0"/>
              <w:spacing w:before="0" w:beforeAutospacing="0" w:after="0" w:afterAutospacing="0"/>
              <w:ind w:left="0" w:right="0" w:firstLine="0" w:firstLineChars="0"/>
              <w:rPr>
                <w:rFonts w:hint="default"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1500</w:t>
            </w:r>
          </w:p>
        </w:tc>
        <w:tc>
          <w:tcPr>
            <w:tcW w:w="975" w:type="dxa"/>
            <w:vAlign w:val="center"/>
          </w:tcPr>
          <w:p w14:paraId="12D02E1E">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3.95</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2</w:t>
            </w:r>
          </w:p>
        </w:tc>
        <w:tc>
          <w:tcPr>
            <w:tcW w:w="781" w:type="dxa"/>
            <w:vAlign w:val="center"/>
          </w:tcPr>
          <w:p w14:paraId="63CE5AA7">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0.03</w:t>
            </w:r>
          </w:p>
        </w:tc>
        <w:tc>
          <w:tcPr>
            <w:tcW w:w="1038" w:type="dxa"/>
            <w:vAlign w:val="center"/>
          </w:tcPr>
          <w:p w14:paraId="271D9C2C">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1.52</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82" w:type="dxa"/>
            <w:vAlign w:val="center"/>
          </w:tcPr>
          <w:p w14:paraId="32624E2F">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0.0</w:t>
            </w:r>
            <w:r>
              <w:rPr>
                <w:rFonts w:hint="eastAsia" w:cs="Times New Roman"/>
                <w:color w:val="000000" w:themeColor="text1"/>
                <w:u w:val="wave" w:color="auto"/>
                <w:lang w:val="en-US" w:eastAsia="zh-CN"/>
                <w14:textFill>
                  <w14:solidFill>
                    <w14:schemeClr w14:val="tx1"/>
                  </w14:solidFill>
                </w14:textFill>
              </w:rPr>
              <w:t>2</w:t>
            </w:r>
          </w:p>
        </w:tc>
        <w:tc>
          <w:tcPr>
            <w:tcW w:w="1038" w:type="dxa"/>
            <w:vAlign w:val="center"/>
          </w:tcPr>
          <w:p w14:paraId="236900BE">
            <w:pPr>
              <w:pStyle w:val="192"/>
              <w:keepNext w:val="0"/>
              <w:keepLines w:val="0"/>
              <w:suppressLineNumbers w:val="0"/>
              <w:spacing w:before="0" w:beforeAutospacing="0" w:after="0" w:afterAutospacing="0"/>
              <w:ind w:left="0" w:right="0" w:firstLine="0" w:firstLineChars="0"/>
              <w:rPr>
                <w:rFonts w:hint="eastAsia" w:cs="Times New Roman"/>
                <w:b w:val="0"/>
                <w:bCs w:val="0"/>
                <w:color w:val="000000" w:themeColor="text1"/>
                <w:highlight w:val="none"/>
                <w:u w:val="wave" w:color="auto"/>
                <w:lang w:val="en-US" w:eastAsia="zh-CN"/>
                <w14:textFill>
                  <w14:solidFill>
                    <w14:schemeClr w14:val="tx1"/>
                  </w14:solidFill>
                </w14:textFill>
              </w:rPr>
            </w:pPr>
            <w:r>
              <w:rPr>
                <w:rFonts w:hint="eastAsia" w:cs="Times New Roman"/>
                <w:b w:val="0"/>
                <w:bCs w:val="0"/>
                <w:color w:val="000000" w:themeColor="text1"/>
                <w:highlight w:val="none"/>
                <w:u w:val="wave" w:color="auto"/>
                <w:lang w:val="en-US" w:eastAsia="zh-CN"/>
                <w14:textFill>
                  <w14:solidFill>
                    <w14:schemeClr w14:val="tx1"/>
                  </w14:solidFill>
                </w14:textFill>
              </w:rPr>
              <w:t>1.15</w:t>
            </w:r>
            <w:r>
              <w:rPr>
                <w:rFonts w:hint="default" w:ascii="Times New Roman" w:hAnsi="Times New Roman" w:cs="Times New Roman"/>
                <w:b w:val="0"/>
                <w:bCs w:val="0"/>
                <w:color w:val="000000" w:themeColor="text1"/>
                <w:highlight w:val="none"/>
                <w:u w:val="wave" w:color="auto"/>
                <w14:textFill>
                  <w14:solidFill>
                    <w14:schemeClr w14:val="tx1"/>
                  </w14:solidFill>
                </w14:textFill>
              </w:rPr>
              <w:t>E</w:t>
            </w: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1</w:t>
            </w:r>
          </w:p>
        </w:tc>
        <w:tc>
          <w:tcPr>
            <w:tcW w:w="780" w:type="dxa"/>
            <w:vAlign w:val="center"/>
          </w:tcPr>
          <w:p w14:paraId="5BE67950">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0.06</w:t>
            </w:r>
          </w:p>
        </w:tc>
        <w:tc>
          <w:tcPr>
            <w:tcW w:w="1166" w:type="dxa"/>
            <w:vAlign w:val="center"/>
          </w:tcPr>
          <w:p w14:paraId="4C53E1CA">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4.45</w:t>
            </w:r>
            <w:r>
              <w:rPr>
                <w:rFonts w:hint="default" w:ascii="Times New Roman" w:hAnsi="Times New Roman" w:cs="Times New Roman"/>
                <w:color w:val="000000" w:themeColor="text1"/>
                <w:u w:val="wave" w:color="auto"/>
                <w14:textFill>
                  <w14:solidFill>
                    <w14:schemeClr w14:val="tx1"/>
                  </w14:solidFill>
                </w14:textFill>
              </w:rPr>
              <w:t>E-0</w:t>
            </w:r>
            <w:r>
              <w:rPr>
                <w:rFonts w:hint="eastAsia" w:cs="Times New Roman"/>
                <w:color w:val="000000" w:themeColor="text1"/>
                <w:u w:val="wave" w:color="auto"/>
                <w:lang w:val="en-US" w:eastAsia="zh-CN"/>
                <w14:textFill>
                  <w14:solidFill>
                    <w14:schemeClr w14:val="tx1"/>
                  </w14:solidFill>
                </w14:textFill>
              </w:rPr>
              <w:t>3</w:t>
            </w:r>
          </w:p>
        </w:tc>
        <w:tc>
          <w:tcPr>
            <w:tcW w:w="776" w:type="dxa"/>
            <w:vAlign w:val="center"/>
          </w:tcPr>
          <w:p w14:paraId="242AFF7C">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lang w:val="en-US"/>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0.</w:t>
            </w:r>
            <w:r>
              <w:rPr>
                <w:rFonts w:hint="eastAsia" w:cs="Times New Roman"/>
                <w:color w:val="000000" w:themeColor="text1"/>
                <w:u w:val="wave" w:color="auto"/>
                <w:lang w:val="en-US" w:eastAsia="zh-CN"/>
                <w14:textFill>
                  <w14:solidFill>
                    <w14:schemeClr w14:val="tx1"/>
                  </w14:solidFill>
                </w14:textFill>
              </w:rPr>
              <w:t>04</w:t>
            </w:r>
          </w:p>
        </w:tc>
      </w:tr>
      <w:tr w14:paraId="0B9918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296C97C0">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下风向最大质量浓度及占标率%</w:t>
            </w:r>
          </w:p>
        </w:tc>
        <w:tc>
          <w:tcPr>
            <w:tcW w:w="975" w:type="dxa"/>
            <w:vAlign w:val="center"/>
          </w:tcPr>
          <w:p w14:paraId="72F9056D">
            <w:pPr>
              <w:pStyle w:val="192"/>
              <w:keepNext w:val="0"/>
              <w:keepLines w:val="0"/>
              <w:suppressLineNumbers w:val="0"/>
              <w:spacing w:before="0" w:beforeAutospacing="0" w:after="0" w:afterAutospacing="0"/>
              <w:ind w:left="0" w:right="0" w:firstLine="0" w:firstLineChars="0"/>
              <w:rPr>
                <w:rFonts w:hint="eastAsia" w:cs="Times New Roman"/>
                <w:b/>
                <w:bCs/>
                <w:color w:val="000000" w:themeColor="text1"/>
                <w:u w:val="wave" w:color="auto"/>
                <w:lang w:val="en-US" w:eastAsia="zh-CN"/>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1.25</w:t>
            </w:r>
            <w:r>
              <w:rPr>
                <w:rFonts w:hint="default" w:ascii="Times New Roman" w:hAnsi="Times New Roman" w:cs="Times New Roman"/>
                <w:b/>
                <w:bCs/>
                <w:color w:val="000000" w:themeColor="text1"/>
                <w:highlight w:val="none"/>
                <w:u w:val="wave" w:color="auto"/>
                <w14:textFill>
                  <w14:solidFill>
                    <w14:schemeClr w14:val="tx1"/>
                  </w14:solidFill>
                </w14:textFill>
              </w:rPr>
              <w:t>E-0</w:t>
            </w: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1</w:t>
            </w:r>
          </w:p>
        </w:tc>
        <w:tc>
          <w:tcPr>
            <w:tcW w:w="781" w:type="dxa"/>
            <w:vAlign w:val="center"/>
          </w:tcPr>
          <w:p w14:paraId="0C729FA1">
            <w:pPr>
              <w:pStyle w:val="192"/>
              <w:keepNext w:val="0"/>
              <w:keepLines w:val="0"/>
              <w:suppressLineNumbers w:val="0"/>
              <w:spacing w:before="0" w:beforeAutospacing="0" w:after="0" w:afterAutospacing="0"/>
              <w:ind w:left="0" w:right="0" w:firstLine="0" w:firstLineChars="0"/>
              <w:rPr>
                <w:rFonts w:hint="eastAsia" w:cs="Times New Roman"/>
                <w:b/>
                <w:bCs/>
                <w:color w:val="000000" w:themeColor="text1"/>
                <w:u w:val="wave" w:color="auto"/>
                <w:lang w:val="en-US" w:eastAsia="zh-CN"/>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0.06</w:t>
            </w:r>
          </w:p>
        </w:tc>
        <w:tc>
          <w:tcPr>
            <w:tcW w:w="1038" w:type="dxa"/>
            <w:vAlign w:val="center"/>
          </w:tcPr>
          <w:p w14:paraId="28A19A88">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4.83</w:t>
            </w:r>
            <w:r>
              <w:rPr>
                <w:rFonts w:hint="default" w:ascii="Times New Roman" w:hAnsi="Times New Roman" w:cs="Times New Roman"/>
                <w:b/>
                <w:bCs/>
                <w:color w:val="000000" w:themeColor="text1"/>
                <w:highlight w:val="none"/>
                <w:u w:val="wave" w:color="auto"/>
                <w14:textFill>
                  <w14:solidFill>
                    <w14:schemeClr w14:val="tx1"/>
                  </w14:solidFill>
                </w14:textFill>
              </w:rPr>
              <w:t>E-0</w:t>
            </w: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3</w:t>
            </w:r>
          </w:p>
        </w:tc>
        <w:tc>
          <w:tcPr>
            <w:tcW w:w="782" w:type="dxa"/>
            <w:vAlign w:val="center"/>
          </w:tcPr>
          <w:p w14:paraId="08D284AB">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0.04</w:t>
            </w:r>
          </w:p>
        </w:tc>
        <w:tc>
          <w:tcPr>
            <w:tcW w:w="1038" w:type="dxa"/>
            <w:vAlign w:val="center"/>
          </w:tcPr>
          <w:p w14:paraId="62A5481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3.04</w:t>
            </w:r>
            <w:r>
              <w:rPr>
                <w:rFonts w:hint="default" w:ascii="Times New Roman" w:hAnsi="Times New Roman" w:cs="Times New Roman"/>
                <w:b/>
                <w:bCs/>
                <w:color w:val="000000" w:themeColor="text1"/>
                <w:highlight w:val="none"/>
                <w:u w:val="wave" w:color="auto"/>
                <w14:textFill>
                  <w14:solidFill>
                    <w14:schemeClr w14:val="tx1"/>
                  </w14:solidFill>
                </w14:textFill>
              </w:rPr>
              <w:t>E</w:t>
            </w: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w:t>
            </w:r>
            <w:r>
              <w:rPr>
                <w:rFonts w:hint="default" w:ascii="Times New Roman" w:hAnsi="Times New Roman" w:cs="Times New Roman"/>
                <w:b/>
                <w:bCs/>
                <w:color w:val="000000" w:themeColor="text1"/>
                <w:highlight w:val="none"/>
                <w:u w:val="wave" w:color="auto"/>
                <w14:textFill>
                  <w14:solidFill>
                    <w14:schemeClr w14:val="tx1"/>
                  </w14:solidFill>
                </w14:textFill>
              </w:rPr>
              <w:t>0</w:t>
            </w: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0</w:t>
            </w:r>
          </w:p>
        </w:tc>
        <w:tc>
          <w:tcPr>
            <w:tcW w:w="780" w:type="dxa"/>
            <w:vAlign w:val="center"/>
          </w:tcPr>
          <w:p w14:paraId="2E029AE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1.52</w:t>
            </w:r>
          </w:p>
        </w:tc>
        <w:tc>
          <w:tcPr>
            <w:tcW w:w="1166" w:type="dxa"/>
            <w:vAlign w:val="center"/>
          </w:tcPr>
          <w:p w14:paraId="3FE6795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1.18</w:t>
            </w:r>
            <w:r>
              <w:rPr>
                <w:rFonts w:hint="default" w:ascii="Times New Roman" w:hAnsi="Times New Roman" w:cs="Times New Roman"/>
                <w:b/>
                <w:bCs/>
                <w:color w:val="000000" w:themeColor="text1"/>
                <w:highlight w:val="none"/>
                <w:u w:val="wave" w:color="auto"/>
                <w14:textFill>
                  <w14:solidFill>
                    <w14:schemeClr w14:val="tx1"/>
                  </w14:solidFill>
                </w14:textFill>
              </w:rPr>
              <w:t>E-0</w:t>
            </w: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1</w:t>
            </w:r>
          </w:p>
        </w:tc>
        <w:tc>
          <w:tcPr>
            <w:tcW w:w="776" w:type="dxa"/>
            <w:vAlign w:val="center"/>
          </w:tcPr>
          <w:p w14:paraId="54C9CD8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1.18</w:t>
            </w:r>
          </w:p>
        </w:tc>
      </w:tr>
      <w:tr w14:paraId="7F5838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24" w:type="dxa"/>
            <w:vAlign w:val="center"/>
          </w:tcPr>
          <w:p w14:paraId="345E522A">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default" w:ascii="Times New Roman" w:hAnsi="Times New Roman" w:cs="Times New Roman"/>
                <w:color w:val="000000" w:themeColor="text1"/>
                <w:u w:val="wave" w:color="auto"/>
                <w14:textFill>
                  <w14:solidFill>
                    <w14:schemeClr w14:val="tx1"/>
                  </w14:solidFill>
                </w14:textFill>
              </w:rPr>
              <w:t>下风向最大质量浓度出现距离m</w:t>
            </w:r>
          </w:p>
        </w:tc>
        <w:tc>
          <w:tcPr>
            <w:tcW w:w="1756" w:type="dxa"/>
            <w:gridSpan w:val="2"/>
            <w:vAlign w:val="center"/>
          </w:tcPr>
          <w:p w14:paraId="36FBB75A">
            <w:pPr>
              <w:pStyle w:val="192"/>
              <w:keepNext w:val="0"/>
              <w:keepLines w:val="0"/>
              <w:suppressLineNumbers w:val="0"/>
              <w:spacing w:before="0" w:beforeAutospacing="0" w:after="0" w:afterAutospacing="0"/>
              <w:ind w:left="0" w:right="0" w:firstLine="0" w:firstLineChars="0"/>
              <w:rPr>
                <w:rFonts w:hint="eastAsia" w:cs="Times New Roman"/>
                <w:color w:val="000000" w:themeColor="text1"/>
                <w:u w:val="wave" w:color="auto"/>
                <w:lang w:val="en-US" w:eastAsia="zh-CN"/>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71</w:t>
            </w:r>
          </w:p>
        </w:tc>
        <w:tc>
          <w:tcPr>
            <w:tcW w:w="1820" w:type="dxa"/>
            <w:gridSpan w:val="2"/>
            <w:vAlign w:val="center"/>
          </w:tcPr>
          <w:p w14:paraId="1351773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71</w:t>
            </w:r>
          </w:p>
        </w:tc>
        <w:tc>
          <w:tcPr>
            <w:tcW w:w="1818" w:type="dxa"/>
            <w:gridSpan w:val="2"/>
            <w:vAlign w:val="center"/>
          </w:tcPr>
          <w:p w14:paraId="32EFC5E8">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eastAsia="宋体" w:cs="Times New Roman"/>
                <w:color w:val="000000" w:themeColor="text1"/>
                <w:u w:val="wave" w:color="auto"/>
                <w:lang w:val="en-US" w:eastAsia="zh-CN"/>
                <w14:textFill>
                  <w14:solidFill>
                    <w14:schemeClr w14:val="tx1"/>
                  </w14:solidFill>
                </w14:textFill>
              </w:rPr>
              <w:t>56</w:t>
            </w:r>
          </w:p>
        </w:tc>
        <w:tc>
          <w:tcPr>
            <w:tcW w:w="1942" w:type="dxa"/>
            <w:gridSpan w:val="2"/>
            <w:vAlign w:val="center"/>
          </w:tcPr>
          <w:p w14:paraId="44FC216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u w:val="wave" w:color="auto"/>
                <w14:textFill>
                  <w14:solidFill>
                    <w14:schemeClr w14:val="tx1"/>
                  </w14:solidFill>
                </w14:textFill>
              </w:rPr>
            </w:pPr>
            <w:r>
              <w:rPr>
                <w:rFonts w:hint="eastAsia" w:cs="Times New Roman"/>
                <w:color w:val="000000" w:themeColor="text1"/>
                <w:u w:val="wave" w:color="auto"/>
                <w:lang w:val="en-US" w:eastAsia="zh-CN"/>
                <w14:textFill>
                  <w14:solidFill>
                    <w14:schemeClr w14:val="tx1"/>
                  </w14:solidFill>
                </w14:textFill>
              </w:rPr>
              <w:t>56</w:t>
            </w:r>
          </w:p>
        </w:tc>
      </w:tr>
    </w:tbl>
    <w:p w14:paraId="68EB3D8C">
      <w:pPr>
        <w:pStyle w:val="189"/>
        <w:ind w:left="0" w:leftChars="0" w:firstLine="0" w:firstLineChars="0"/>
        <w:jc w:val="both"/>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ab/>
      </w:r>
      <w:r>
        <w:rPr>
          <w:rFonts w:hint="default" w:ascii="Times New Roman" w:hAnsi="Times New Roman" w:cs="Times New Roman"/>
          <w:color w:val="000000" w:themeColor="text1"/>
          <w:highlight w:val="none"/>
          <w:u w:val="wave" w:color="auto"/>
          <w14:textFill>
            <w14:solidFill>
              <w14:schemeClr w14:val="tx1"/>
            </w14:solidFill>
          </w14:textFill>
        </w:rPr>
        <w:t>项目大气污染物最大地面空气质量浓度占标率Pmax为</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1.52</w:t>
      </w:r>
      <w:r>
        <w:rPr>
          <w:rFonts w:hint="default" w:ascii="Times New Roman" w:hAnsi="Times New Roman" w:cs="Times New Roman"/>
          <w:color w:val="000000" w:themeColor="text1"/>
          <w:highlight w:val="none"/>
          <w:u w:val="wave" w:color="auto"/>
          <w14:textFill>
            <w14:solidFill>
              <w14:schemeClr w14:val="tx1"/>
            </w14:solidFill>
          </w14:textFill>
        </w:rPr>
        <w:t>%，大于</w:t>
      </w:r>
      <w:r>
        <w:rPr>
          <w:rFonts w:hint="default" w:ascii="Times New Roman" w:hAnsi="Times New Roman" w:cs="Times New Roman"/>
          <w:color w:val="000000" w:themeColor="text1"/>
          <w:kern w:val="2"/>
          <w:highlight w:val="none"/>
          <w:u w:val="wave" w:color="auto"/>
          <w14:textFill>
            <w14:solidFill>
              <w14:schemeClr w14:val="tx1"/>
            </w14:solidFill>
          </w14:textFill>
        </w:rPr>
        <w:t>1%，小于</w:t>
      </w:r>
      <w:r>
        <w:rPr>
          <w:rFonts w:hint="default" w:ascii="Times New Roman" w:hAnsi="Times New Roman" w:cs="Times New Roman"/>
          <w:color w:val="000000" w:themeColor="text1"/>
          <w:highlight w:val="none"/>
          <w:u w:val="wave" w:color="auto"/>
          <w14:textFill>
            <w14:solidFill>
              <w14:schemeClr w14:val="tx1"/>
            </w14:solidFill>
          </w14:textFill>
        </w:rPr>
        <w:t>10%，根据《环境影响评价技术导则 大气环境》（HJ2.2-2018），项目大气环境评价工作等级为二级。</w:t>
      </w:r>
    </w:p>
    <w:p w14:paraId="726501F3">
      <w:pPr>
        <w:pStyle w:val="189"/>
        <w:rPr>
          <w:rFonts w:hint="default" w:ascii="Times New Roman" w:hAnsi="Times New Roman" w:cs="Times New Roman" w:eastAsiaTheme="minorEastAsia"/>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项目有组织氨最大落地浓度为</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0.125</w:t>
      </w:r>
      <w:r>
        <w:rPr>
          <w:rFonts w:hint="default" w:ascii="Times New Roman" w:hAnsi="Times New Roman" w:cs="Times New Roman"/>
          <w:color w:val="000000" w:themeColor="text1"/>
          <w:highlight w:val="none"/>
          <w:u w:val="wave" w:color="auto"/>
          <w14:textFill>
            <w14:solidFill>
              <w14:schemeClr w14:val="tx1"/>
            </w14:solidFill>
          </w14:textFill>
        </w:rPr>
        <w:t>ug/m³，最大占标率为0.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06</w:t>
      </w:r>
      <w:r>
        <w:rPr>
          <w:rFonts w:hint="default" w:ascii="Times New Roman" w:hAnsi="Times New Roman" w:cs="Times New Roman"/>
          <w:color w:val="000000" w:themeColor="text1"/>
          <w:highlight w:val="none"/>
          <w:u w:val="wave" w:color="auto"/>
          <w14:textFill>
            <w14:solidFill>
              <w14:schemeClr w14:val="tx1"/>
            </w14:solidFill>
          </w14:textFill>
        </w:rPr>
        <w:t>%，有组织硫化氢最大落地浓度为0.0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0483</w:t>
      </w:r>
      <w:r>
        <w:rPr>
          <w:rFonts w:hint="default" w:ascii="Times New Roman" w:hAnsi="Times New Roman" w:cs="Times New Roman"/>
          <w:color w:val="000000" w:themeColor="text1"/>
          <w:highlight w:val="none"/>
          <w:u w:val="wave" w:color="auto"/>
          <w14:textFill>
            <w14:solidFill>
              <w14:schemeClr w14:val="tx1"/>
            </w14:solidFill>
          </w14:textFill>
        </w:rPr>
        <w:t>ug/m³，最大占标率为0.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04</w:t>
      </w:r>
      <w:r>
        <w:rPr>
          <w:rFonts w:hint="default" w:ascii="Times New Roman" w:hAnsi="Times New Roman" w:cs="Times New Roman"/>
          <w:color w:val="000000" w:themeColor="text1"/>
          <w:highlight w:val="none"/>
          <w:u w:val="wave" w:color="auto"/>
          <w14:textFill>
            <w14:solidFill>
              <w14:schemeClr w14:val="tx1"/>
            </w14:solidFill>
          </w14:textFill>
        </w:rPr>
        <w:t>%；无组织氨最大占标率为</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1.52</w:t>
      </w:r>
      <w:r>
        <w:rPr>
          <w:rFonts w:hint="default" w:ascii="Times New Roman" w:hAnsi="Times New Roman" w:cs="Times New Roman"/>
          <w:color w:val="000000" w:themeColor="text1"/>
          <w:highlight w:val="none"/>
          <w:u w:val="wave" w:color="auto"/>
          <w14:textFill>
            <w14:solidFill>
              <w14:schemeClr w14:val="tx1"/>
            </w14:solidFill>
          </w14:textFill>
        </w:rPr>
        <w:t>%，最大落地浓度为</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3.04</w:t>
      </w:r>
      <w:r>
        <w:rPr>
          <w:rFonts w:hint="default" w:ascii="Times New Roman" w:hAnsi="Times New Roman" w:cs="Times New Roman"/>
          <w:color w:val="000000" w:themeColor="text1"/>
          <w:highlight w:val="none"/>
          <w:u w:val="wave" w:color="auto"/>
          <w14:textFill>
            <w14:solidFill>
              <w14:schemeClr w14:val="tx1"/>
            </w14:solidFill>
          </w14:textFill>
        </w:rPr>
        <w:t>ug/m³，无组织硫化氢最大占标率为</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1.18</w:t>
      </w:r>
      <w:r>
        <w:rPr>
          <w:rFonts w:hint="default" w:ascii="Times New Roman" w:hAnsi="Times New Roman" w:cs="Times New Roman"/>
          <w:color w:val="000000" w:themeColor="text1"/>
          <w:highlight w:val="none"/>
          <w:u w:val="wave" w:color="auto"/>
          <w14:textFill>
            <w14:solidFill>
              <w14:schemeClr w14:val="tx1"/>
            </w14:solidFill>
          </w14:textFill>
        </w:rPr>
        <w:t>%，最大落地浓度为0.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118</w:t>
      </w:r>
      <w:r>
        <w:rPr>
          <w:rFonts w:hint="default" w:ascii="Times New Roman" w:hAnsi="Times New Roman" w:cs="Times New Roman"/>
          <w:color w:val="000000" w:themeColor="text1"/>
          <w:highlight w:val="none"/>
          <w:u w:val="wave" w:color="auto"/>
          <w14:textFill>
            <w14:solidFill>
              <w14:schemeClr w14:val="tx1"/>
            </w14:solidFill>
          </w14:textFill>
        </w:rPr>
        <w:t>ug/m³，能够满足《环境影响评价技术导则 大气环境》（HJ2.2-2018）附录D中表D.1浓度参考限值（氨气：200ug/m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wave" w:color="auto"/>
          <w14:textFill>
            <w14:solidFill>
              <w14:schemeClr w14:val="tx1"/>
            </w14:solidFill>
          </w14:textFill>
        </w:rPr>
        <w:t>、硫化氢10ug/m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r>
        <w:rPr>
          <w:rFonts w:hint="default" w:ascii="Times New Roman" w:hAnsi="Times New Roman" w:cs="Times New Roman"/>
          <w:color w:val="000000" w:themeColor="text1"/>
          <w:kern w:val="24"/>
          <w:highlight w:val="none"/>
          <w:u w:val="wave" w:color="auto"/>
          <w:lang w:val="en-US" w:eastAsia="zh-CN" w:bidi="ar"/>
          <w14:textFill>
            <w14:solidFill>
              <w14:schemeClr w14:val="tx1"/>
            </w14:solidFill>
          </w14:textFill>
        </w:rPr>
        <w:t>预测结果表明，</w:t>
      </w:r>
      <w:r>
        <w:rPr>
          <w:rFonts w:hint="default" w:ascii="Times New Roman" w:hAnsi="Times New Roman" w:cs="Times New Roman"/>
          <w:color w:val="000000" w:themeColor="text1"/>
          <w:kern w:val="24"/>
          <w:highlight w:val="none"/>
          <w:u w:val="wave" w:color="auto"/>
          <w:lang w:bidi="ar"/>
          <w14:textFill>
            <w14:solidFill>
              <w14:schemeClr w14:val="tx1"/>
            </w14:solidFill>
          </w14:textFill>
        </w:rPr>
        <w:t>项目运营期废气外排对周边环境影响较小</w:t>
      </w:r>
      <w:r>
        <w:rPr>
          <w:rFonts w:hint="default" w:ascii="Times New Roman" w:hAnsi="Times New Roman" w:cs="Times New Roman"/>
          <w:color w:val="000000" w:themeColor="text1"/>
          <w:kern w:val="24"/>
          <w:highlight w:val="none"/>
          <w:u w:val="wave" w:color="auto"/>
          <w:lang w:eastAsia="zh-CN" w:bidi="ar"/>
          <w14:textFill>
            <w14:solidFill>
              <w14:schemeClr w14:val="tx1"/>
            </w14:solidFill>
          </w14:textFill>
        </w:rPr>
        <w:t>。</w:t>
      </w:r>
    </w:p>
    <w:p w14:paraId="42AE9B47">
      <w:pPr>
        <w:pStyle w:val="5"/>
        <w:numPr>
          <w:ilvl w:val="2"/>
          <w:numId w:val="0"/>
        </w:numPr>
        <w:ind w:leftChars="0"/>
        <w:outlineLvl w:val="3"/>
        <w:rPr>
          <w:rFonts w:hint="default" w:ascii="Times New Roman" w:hAnsi="Times New Roman" w:cs="Times New Roman"/>
          <w:color w:val="000000" w:themeColor="text1"/>
          <w:sz w:val="24"/>
          <w:szCs w:val="28"/>
          <w:highlight w:val="none"/>
          <w:u w:val="none" w:color="auto"/>
          <w14:textFill>
            <w14:solidFill>
              <w14:schemeClr w14:val="tx1"/>
            </w14:solidFill>
          </w14:textFill>
        </w:rPr>
      </w:pPr>
      <w:r>
        <w:rPr>
          <w:rFonts w:hint="default" w:ascii="Times New Roman" w:hAnsi="Times New Roman" w:cs="Times New Roman"/>
          <w:color w:val="000000" w:themeColor="text1"/>
          <w:sz w:val="24"/>
          <w:szCs w:val="28"/>
          <w:highlight w:val="none"/>
          <w:u w:val="none" w:color="auto"/>
          <w:lang w:val="en-US" w:eastAsia="zh-CN"/>
          <w14:textFill>
            <w14:solidFill>
              <w14:schemeClr w14:val="tx1"/>
            </w14:solidFill>
          </w14:textFill>
        </w:rPr>
        <w:t xml:space="preserve">5.2.1.2 </w:t>
      </w:r>
      <w:r>
        <w:rPr>
          <w:rFonts w:hint="default" w:ascii="Times New Roman" w:hAnsi="Times New Roman" w:cs="Times New Roman"/>
          <w:color w:val="000000" w:themeColor="text1"/>
          <w:sz w:val="24"/>
          <w:szCs w:val="28"/>
          <w:highlight w:val="none"/>
          <w:u w:val="none" w:color="auto"/>
          <w14:textFill>
            <w14:solidFill>
              <w14:schemeClr w14:val="tx1"/>
            </w14:solidFill>
          </w14:textFill>
        </w:rPr>
        <w:t>大气环境防护距离</w:t>
      </w:r>
    </w:p>
    <w:p w14:paraId="258726D5">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采用《环境影响评价技术导则 大气环境》（HJ2.2-2018）中说明，以下两种情况需设置大气环境防护距离：</w:t>
      </w:r>
      <w:r>
        <w:rPr>
          <w:rFonts w:hint="default" w:ascii="Times New Roman" w:hAnsi="Times New Roman" w:eastAsia="宋体" w:cs="Times New Roman"/>
          <w:color w:val="000000" w:themeColor="text1"/>
          <w:highlight w:val="none"/>
          <w:u w:val="wave" w:color="auto"/>
          <w14:textFill>
            <w14:solidFill>
              <w14:schemeClr w14:val="tx1"/>
            </w14:solidFill>
          </w14:textFill>
        </w:rPr>
        <w:t>①</w:t>
      </w:r>
      <w:r>
        <w:rPr>
          <w:rFonts w:hint="default" w:ascii="Times New Roman" w:hAnsi="Times New Roman" w:cs="Times New Roman"/>
          <w:color w:val="000000" w:themeColor="text1"/>
          <w:highlight w:val="none"/>
          <w:u w:val="wave" w:color="auto"/>
          <w14:textFill>
            <w14:solidFill>
              <w14:schemeClr w14:val="tx1"/>
            </w14:solidFill>
          </w14:textFill>
        </w:rPr>
        <w:t>对于项目厂界浓度满足大气污染物厂界浓度限制，但厂界外大气污染物短期贡献浓度超过环境质量浓度限</w:t>
      </w:r>
      <w:r>
        <w:rPr>
          <w:rFonts w:hint="eastAsia" w:cs="Times New Roman"/>
          <w:color w:val="000000" w:themeColor="text1"/>
          <w:highlight w:val="none"/>
          <w:u w:val="wave" w:color="auto"/>
          <w:lang w:val="en-US" w:eastAsia="zh-CN"/>
          <w14:textFill>
            <w14:solidFill>
              <w14:schemeClr w14:val="tx1"/>
            </w14:solidFill>
          </w14:textFill>
        </w:rPr>
        <w:t>值</w:t>
      </w:r>
      <w:r>
        <w:rPr>
          <w:rFonts w:hint="default" w:ascii="Times New Roman" w:hAnsi="Times New Roman" w:cs="Times New Roman"/>
          <w:color w:val="000000" w:themeColor="text1"/>
          <w:highlight w:val="none"/>
          <w:u w:val="wave" w:color="auto"/>
          <w14:textFill>
            <w14:solidFill>
              <w14:schemeClr w14:val="tx1"/>
            </w14:solidFill>
          </w14:textFill>
        </w:rPr>
        <w:t>的，可以自厂界向外设置一定范围的大气环境防护区域，以确保大气环境防护区域外的污染物贡献浓度满足环境质量标准；</w:t>
      </w:r>
      <w:r>
        <w:rPr>
          <w:rFonts w:hint="default" w:ascii="Times New Roman" w:hAnsi="Times New Roman" w:eastAsia="宋体" w:cs="Times New Roman"/>
          <w:color w:val="000000" w:themeColor="text1"/>
          <w:highlight w:val="none"/>
          <w:u w:val="wave" w:color="auto"/>
          <w14:textFill>
            <w14:solidFill>
              <w14:schemeClr w14:val="tx1"/>
            </w14:solidFill>
          </w14:textFill>
        </w:rPr>
        <w:t>②</w:t>
      </w:r>
      <w:r>
        <w:rPr>
          <w:rFonts w:hint="default" w:ascii="Times New Roman" w:hAnsi="Times New Roman" w:cs="Times New Roman"/>
          <w:color w:val="000000" w:themeColor="text1"/>
          <w:highlight w:val="none"/>
          <w:u w:val="wave" w:color="auto"/>
          <w14:textFill>
            <w14:solidFill>
              <w14:schemeClr w14:val="tx1"/>
            </w14:solidFill>
          </w14:textFill>
        </w:rPr>
        <w:t>对于项目厂界浓度超过大气污染物厂界浓度限值的，应要求削减排放源强或调整工程布局，待满足厂界浓度限制后，再核算大气环境防护距离。</w:t>
      </w:r>
    </w:p>
    <w:p w14:paraId="1C787B04">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根据本项目上面的论述，拟建项目运营后污染物的厂界浓度以及厂界外大气污染物短期贡献值浓度均满足相应的环境质量标准，故拟建项目不需设置大气环境防护距离。</w:t>
      </w:r>
    </w:p>
    <w:p w14:paraId="2E9B4B6A">
      <w:pPr>
        <w:pStyle w:val="5"/>
        <w:numPr>
          <w:ilvl w:val="2"/>
          <w:numId w:val="0"/>
        </w:numPr>
        <w:ind w:leftChars="0"/>
        <w:outlineLvl w:val="3"/>
        <w:rPr>
          <w:rFonts w:hint="default" w:ascii="Times New Roman" w:hAnsi="Times New Roman" w:cs="Times New Roman"/>
          <w:color w:val="000000" w:themeColor="text1"/>
          <w:sz w:val="24"/>
          <w:szCs w:val="28"/>
          <w:highlight w:val="none"/>
          <w:u w:val="none" w:color="auto"/>
          <w14:textFill>
            <w14:solidFill>
              <w14:schemeClr w14:val="tx1"/>
            </w14:solidFill>
          </w14:textFill>
        </w:rPr>
      </w:pPr>
      <w:r>
        <w:rPr>
          <w:rFonts w:hint="default" w:ascii="Times New Roman" w:hAnsi="Times New Roman" w:cs="Times New Roman"/>
          <w:color w:val="000000" w:themeColor="text1"/>
          <w:sz w:val="24"/>
          <w:szCs w:val="28"/>
          <w:highlight w:val="none"/>
          <w:u w:val="none" w:color="auto"/>
          <w:lang w:val="en-US" w:eastAsia="zh-CN"/>
          <w14:textFill>
            <w14:solidFill>
              <w14:schemeClr w14:val="tx1"/>
            </w14:solidFill>
          </w14:textFill>
        </w:rPr>
        <w:t xml:space="preserve">5.2.1.3 </w:t>
      </w:r>
      <w:r>
        <w:rPr>
          <w:rFonts w:hint="default" w:ascii="Times New Roman" w:hAnsi="Times New Roman" w:cs="Times New Roman"/>
          <w:color w:val="000000" w:themeColor="text1"/>
          <w:sz w:val="24"/>
          <w:szCs w:val="28"/>
          <w:highlight w:val="none"/>
          <w:u w:val="none" w:color="auto"/>
          <w14:textFill>
            <w14:solidFill>
              <w14:schemeClr w14:val="tx1"/>
            </w14:solidFill>
          </w14:textFill>
        </w:rPr>
        <w:t xml:space="preserve">项目污染物排放量核算 </w:t>
      </w:r>
    </w:p>
    <w:p w14:paraId="5DE6A4C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根据上述结果，本工程</w:t>
      </w:r>
      <w:r>
        <w:rPr>
          <w:rFonts w:hint="default" w:ascii="Times New Roman" w:hAnsi="Times New Roman" w:cs="Times New Roman"/>
          <w:color w:val="auto"/>
          <w:highlight w:val="none"/>
          <w:u w:val="none" w:color="auto"/>
        </w:rPr>
        <w:t>利用</w:t>
      </w:r>
      <w:r>
        <w:rPr>
          <w:rFonts w:hint="default" w:ascii="Times New Roman" w:hAnsi="Times New Roman" w:cs="Times New Roman"/>
          <w:color w:val="auto"/>
          <w:highlight w:val="none"/>
          <w:u w:val="none" w:color="auto"/>
          <w:lang w:val="en-US" w:eastAsia="zh-CN"/>
        </w:rPr>
        <w:t>生物除臭塔</w:t>
      </w:r>
      <w:r>
        <w:rPr>
          <w:rFonts w:hint="default" w:ascii="Times New Roman" w:hAnsi="Times New Roman" w:cs="Times New Roman"/>
          <w:color w:val="auto"/>
          <w:highlight w:val="none"/>
          <w:u w:val="none" w:color="auto"/>
        </w:rPr>
        <w:t>除去项目运行中产生恶臭气体，得出大气污染物最终的有组织排放量以及无组织排放量，具体见下表。</w:t>
      </w:r>
    </w:p>
    <w:p w14:paraId="648F0683">
      <w:pPr>
        <w:pStyle w:val="194"/>
        <w:spacing w:line="240" w:lineRule="auto"/>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 xml:space="preserve">  本工程大气污染物有组织排放核算表</w:t>
      </w:r>
    </w:p>
    <w:tbl>
      <w:tblPr>
        <w:tblStyle w:val="76"/>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6"/>
        <w:gridCol w:w="1665"/>
        <w:gridCol w:w="907"/>
        <w:gridCol w:w="1696"/>
        <w:gridCol w:w="2302"/>
        <w:gridCol w:w="1407"/>
      </w:tblGrid>
      <w:tr w14:paraId="02DD4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41" w:hRule="atLeast"/>
          <w:jc w:val="center"/>
        </w:trPr>
        <w:tc>
          <w:tcPr>
            <w:tcW w:w="0" w:type="auto"/>
            <w:vAlign w:val="center"/>
          </w:tcPr>
          <w:p w14:paraId="1185BC7D">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序号</w:t>
            </w:r>
          </w:p>
        </w:tc>
        <w:tc>
          <w:tcPr>
            <w:tcW w:w="978" w:type="pct"/>
            <w:shd w:val="clear" w:color="auto" w:fill="auto"/>
            <w:vAlign w:val="center"/>
          </w:tcPr>
          <w:p w14:paraId="760FCD01">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排放口编号</w:t>
            </w:r>
          </w:p>
        </w:tc>
        <w:tc>
          <w:tcPr>
            <w:tcW w:w="533" w:type="pct"/>
            <w:shd w:val="clear" w:color="auto" w:fill="auto"/>
            <w:vAlign w:val="center"/>
          </w:tcPr>
          <w:p w14:paraId="5DAEA16B">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污染物</w:t>
            </w:r>
          </w:p>
        </w:tc>
        <w:tc>
          <w:tcPr>
            <w:tcW w:w="996" w:type="pct"/>
            <w:shd w:val="clear" w:color="auto" w:fill="auto"/>
            <w:vAlign w:val="center"/>
          </w:tcPr>
          <w:p w14:paraId="3DA3CF6F">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核算排放浓度（mg/m</w:t>
            </w:r>
            <w:r>
              <w:rPr>
                <w:rFonts w:hint="default" w:ascii="Times New Roman" w:hAnsi="Times New Roman" w:cs="Times New Roman"/>
                <w:b/>
                <w:bCs/>
                <w:color w:val="auto"/>
                <w:highlight w:val="none"/>
                <w:u w:val="none" w:color="auto"/>
                <w:vertAlign w:val="superscript"/>
              </w:rPr>
              <w:t>3</w:t>
            </w:r>
            <w:r>
              <w:rPr>
                <w:rFonts w:hint="default" w:ascii="Times New Roman" w:hAnsi="Times New Roman" w:cs="Times New Roman"/>
                <w:b/>
                <w:bCs/>
                <w:color w:val="auto"/>
                <w:highlight w:val="none"/>
                <w:u w:val="none" w:color="auto"/>
              </w:rPr>
              <w:t>）</w:t>
            </w:r>
          </w:p>
        </w:tc>
        <w:tc>
          <w:tcPr>
            <w:tcW w:w="1352" w:type="pct"/>
            <w:vAlign w:val="center"/>
          </w:tcPr>
          <w:p w14:paraId="0073DD24">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核算排放速率（kg/h）</w:t>
            </w:r>
          </w:p>
        </w:tc>
        <w:tc>
          <w:tcPr>
            <w:tcW w:w="0" w:type="auto"/>
            <w:shd w:val="clear" w:color="auto" w:fill="auto"/>
            <w:vAlign w:val="center"/>
          </w:tcPr>
          <w:p w14:paraId="346DC249">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核算排放量（t/a）</w:t>
            </w:r>
          </w:p>
        </w:tc>
      </w:tr>
      <w:tr w14:paraId="03C31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5000" w:type="pct"/>
            <w:gridSpan w:val="6"/>
            <w:vAlign w:val="center"/>
          </w:tcPr>
          <w:p w14:paraId="5B4FCBB1">
            <w:pPr>
              <w:pStyle w:val="192"/>
              <w:keepNext w:val="0"/>
              <w:keepLines w:val="0"/>
              <w:suppressLineNumbers w:val="0"/>
              <w:spacing w:before="0" w:beforeAutospacing="0" w:after="0" w:afterAutospacing="0"/>
              <w:ind w:left="0" w:right="0"/>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一般排放口</w:t>
            </w:r>
          </w:p>
        </w:tc>
      </w:tr>
      <w:tr w14:paraId="0B566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81" w:hRule="atLeast"/>
          <w:jc w:val="center"/>
        </w:trPr>
        <w:tc>
          <w:tcPr>
            <w:tcW w:w="0" w:type="auto"/>
            <w:vMerge w:val="restart"/>
            <w:vAlign w:val="center"/>
          </w:tcPr>
          <w:p w14:paraId="23349149">
            <w:pPr>
              <w:pStyle w:val="192"/>
              <w:keepNext w:val="0"/>
              <w:keepLines w:val="0"/>
              <w:suppressLineNumbers w:val="0"/>
              <w:spacing w:before="0" w:beforeAutospacing="0" w:after="0" w:afterAutospacing="0"/>
              <w:ind w:left="0" w:right="0"/>
              <w:rPr>
                <w:rFonts w:hint="default" w:ascii="Times New Roman" w:hAnsi="Times New Roman" w:cs="Times New Roman"/>
                <w:bCs/>
                <w:color w:val="auto"/>
                <w:highlight w:val="none"/>
                <w:u w:val="none" w:color="auto"/>
              </w:rPr>
            </w:pPr>
            <w:r>
              <w:rPr>
                <w:rFonts w:hint="default" w:ascii="Times New Roman" w:hAnsi="Times New Roman" w:cs="Times New Roman"/>
                <w:bCs/>
                <w:color w:val="auto"/>
                <w:highlight w:val="none"/>
                <w:u w:val="none" w:color="auto"/>
              </w:rPr>
              <w:t>1</w:t>
            </w:r>
          </w:p>
        </w:tc>
        <w:tc>
          <w:tcPr>
            <w:tcW w:w="978" w:type="pct"/>
            <w:vMerge w:val="restart"/>
            <w:shd w:val="clear" w:color="auto" w:fill="auto"/>
            <w:vAlign w:val="center"/>
          </w:tcPr>
          <w:p w14:paraId="3239930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DA001</w:t>
            </w:r>
          </w:p>
        </w:tc>
        <w:tc>
          <w:tcPr>
            <w:tcW w:w="533" w:type="pct"/>
            <w:shd w:val="clear" w:color="auto" w:fill="auto"/>
            <w:vAlign w:val="center"/>
          </w:tcPr>
          <w:p w14:paraId="7A1EEBE4">
            <w:pPr>
              <w:pStyle w:val="192"/>
              <w:keepNext w:val="0"/>
              <w:keepLines w:val="0"/>
              <w:suppressLineNumbers w:val="0"/>
              <w:spacing w:before="0" w:beforeAutospacing="0" w:after="0" w:afterAutospacing="0"/>
              <w:ind w:left="0" w:right="0"/>
              <w:rPr>
                <w:rFonts w:hint="default" w:ascii="Times New Roman" w:hAnsi="Times New Roman" w:eastAsia="等线" w:cs="Times New Roman"/>
                <w:color w:val="auto"/>
                <w:highlight w:val="none"/>
                <w:u w:val="none" w:color="auto"/>
              </w:rPr>
            </w:pPr>
            <w:r>
              <w:rPr>
                <w:rFonts w:hint="default" w:ascii="Times New Roman" w:hAnsi="Times New Roman" w:cs="Times New Roman"/>
                <w:color w:val="auto"/>
                <w:highlight w:val="none"/>
                <w:u w:val="none" w:color="auto"/>
              </w:rPr>
              <w:t>氨</w:t>
            </w:r>
          </w:p>
        </w:tc>
        <w:tc>
          <w:tcPr>
            <w:tcW w:w="996" w:type="pct"/>
            <w:shd w:val="clear" w:color="auto" w:fill="auto"/>
            <w:vAlign w:val="center"/>
          </w:tcPr>
          <w:p w14:paraId="3997D9B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1.185</w:t>
            </w:r>
          </w:p>
        </w:tc>
        <w:tc>
          <w:tcPr>
            <w:tcW w:w="1352" w:type="pct"/>
            <w:vAlign w:val="center"/>
          </w:tcPr>
          <w:p w14:paraId="5FB377D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0.</w:t>
            </w:r>
            <w:r>
              <w:rPr>
                <w:rFonts w:hint="default" w:ascii="Times New Roman" w:hAnsi="Times New Roman" w:cs="Times New Roman"/>
                <w:color w:val="auto"/>
                <w:highlight w:val="none"/>
                <w:u w:val="none" w:color="auto"/>
                <w:lang w:val="en-US" w:eastAsia="zh-CN"/>
              </w:rPr>
              <w:t>00592</w:t>
            </w:r>
          </w:p>
        </w:tc>
        <w:tc>
          <w:tcPr>
            <w:tcW w:w="826" w:type="pct"/>
            <w:shd w:val="clear" w:color="auto" w:fill="auto"/>
            <w:vAlign w:val="center"/>
          </w:tcPr>
          <w:p w14:paraId="0D86E54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rPr>
              <w:t>0.</w:t>
            </w:r>
            <w:r>
              <w:rPr>
                <w:rFonts w:hint="default" w:ascii="Times New Roman" w:hAnsi="Times New Roman" w:cs="Times New Roman"/>
                <w:color w:val="auto"/>
                <w:highlight w:val="none"/>
                <w:u w:val="none" w:color="auto"/>
                <w:lang w:val="en-US" w:eastAsia="zh-CN"/>
              </w:rPr>
              <w:t>0519</w:t>
            </w:r>
          </w:p>
        </w:tc>
      </w:tr>
      <w:tr w14:paraId="1C174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0" w:type="auto"/>
            <w:vMerge w:val="continue"/>
            <w:vAlign w:val="center"/>
          </w:tcPr>
          <w:p w14:paraId="35BD98CD">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p>
        </w:tc>
        <w:tc>
          <w:tcPr>
            <w:tcW w:w="978" w:type="pct"/>
            <w:vMerge w:val="continue"/>
            <w:shd w:val="clear" w:color="auto" w:fill="auto"/>
            <w:vAlign w:val="center"/>
          </w:tcPr>
          <w:p w14:paraId="708C3704">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p>
        </w:tc>
        <w:tc>
          <w:tcPr>
            <w:tcW w:w="533" w:type="pct"/>
            <w:shd w:val="clear" w:color="auto" w:fill="auto"/>
            <w:vAlign w:val="center"/>
          </w:tcPr>
          <w:p w14:paraId="22F010D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硫化氢</w:t>
            </w:r>
          </w:p>
        </w:tc>
        <w:tc>
          <w:tcPr>
            <w:tcW w:w="996" w:type="pct"/>
            <w:shd w:val="clear" w:color="auto" w:fill="auto"/>
            <w:vAlign w:val="center"/>
          </w:tcPr>
          <w:p w14:paraId="2EE1C840">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0.0</w:t>
            </w:r>
            <w:r>
              <w:rPr>
                <w:rFonts w:hint="default" w:ascii="Times New Roman" w:hAnsi="Times New Roman" w:cs="Times New Roman"/>
                <w:color w:val="auto"/>
                <w:highlight w:val="none"/>
                <w:u w:val="none" w:color="auto"/>
                <w:lang w:val="en-US" w:eastAsia="zh-CN"/>
              </w:rPr>
              <w:t>459</w:t>
            </w:r>
          </w:p>
        </w:tc>
        <w:tc>
          <w:tcPr>
            <w:tcW w:w="1352" w:type="pct"/>
            <w:vAlign w:val="center"/>
          </w:tcPr>
          <w:p w14:paraId="01A8C2A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rPr>
              <w:t>0.000</w:t>
            </w:r>
            <w:r>
              <w:rPr>
                <w:rFonts w:hint="default" w:ascii="Times New Roman" w:hAnsi="Times New Roman" w:cs="Times New Roman"/>
                <w:color w:val="auto"/>
                <w:highlight w:val="none"/>
                <w:u w:val="none" w:color="auto"/>
                <w:lang w:val="en-US" w:eastAsia="zh-CN"/>
              </w:rPr>
              <w:t>23</w:t>
            </w:r>
          </w:p>
        </w:tc>
        <w:tc>
          <w:tcPr>
            <w:tcW w:w="826" w:type="pct"/>
            <w:shd w:val="clear" w:color="auto" w:fill="auto"/>
            <w:vAlign w:val="center"/>
          </w:tcPr>
          <w:p w14:paraId="581E6FF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rPr>
              <w:t>0.00</w:t>
            </w:r>
            <w:r>
              <w:rPr>
                <w:rFonts w:hint="default" w:ascii="Times New Roman" w:hAnsi="Times New Roman" w:cs="Times New Roman"/>
                <w:color w:val="auto"/>
                <w:highlight w:val="none"/>
                <w:u w:val="none" w:color="auto"/>
                <w:lang w:val="en-US" w:eastAsia="zh-CN"/>
              </w:rPr>
              <w:t>20</w:t>
            </w:r>
          </w:p>
        </w:tc>
      </w:tr>
      <w:tr w14:paraId="1DBC7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291" w:type="pct"/>
            <w:gridSpan w:val="2"/>
            <w:vMerge w:val="restart"/>
            <w:vAlign w:val="center"/>
          </w:tcPr>
          <w:p w14:paraId="62F8AF1F">
            <w:pPr>
              <w:pStyle w:val="192"/>
              <w:keepNext w:val="0"/>
              <w:keepLines w:val="0"/>
              <w:suppressLineNumbers w:val="0"/>
              <w:spacing w:before="0" w:beforeAutospacing="0" w:after="0" w:afterAutospacing="0"/>
              <w:ind w:left="0" w:right="0"/>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一般排放口合计</w:t>
            </w:r>
          </w:p>
        </w:tc>
        <w:tc>
          <w:tcPr>
            <w:tcW w:w="2881" w:type="pct"/>
            <w:gridSpan w:val="3"/>
            <w:shd w:val="clear" w:color="auto" w:fill="auto"/>
            <w:vAlign w:val="center"/>
          </w:tcPr>
          <w:p w14:paraId="01599EF3">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氨</w:t>
            </w:r>
          </w:p>
        </w:tc>
        <w:tc>
          <w:tcPr>
            <w:tcW w:w="1407" w:type="dxa"/>
            <w:shd w:val="clear" w:color="auto" w:fill="auto"/>
            <w:vAlign w:val="center"/>
          </w:tcPr>
          <w:p w14:paraId="59A1A87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w:t>
            </w:r>
            <w:r>
              <w:rPr>
                <w:rFonts w:hint="default" w:ascii="Times New Roman" w:hAnsi="Times New Roman" w:cs="Times New Roman"/>
                <w:color w:val="auto"/>
                <w:highlight w:val="none"/>
                <w:u w:val="none" w:color="auto"/>
                <w:lang w:val="en-US" w:eastAsia="zh-CN"/>
              </w:rPr>
              <w:t>0519</w:t>
            </w:r>
          </w:p>
        </w:tc>
      </w:tr>
      <w:tr w14:paraId="35FB4F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291" w:type="pct"/>
            <w:gridSpan w:val="2"/>
            <w:vMerge w:val="continue"/>
            <w:vAlign w:val="center"/>
          </w:tcPr>
          <w:p w14:paraId="681871C0">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p>
        </w:tc>
        <w:tc>
          <w:tcPr>
            <w:tcW w:w="2881" w:type="pct"/>
            <w:gridSpan w:val="3"/>
            <w:shd w:val="clear" w:color="auto" w:fill="auto"/>
            <w:vAlign w:val="center"/>
          </w:tcPr>
          <w:p w14:paraId="3EBF3B3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硫化氢</w:t>
            </w:r>
          </w:p>
        </w:tc>
        <w:tc>
          <w:tcPr>
            <w:tcW w:w="1407" w:type="dxa"/>
            <w:shd w:val="clear" w:color="auto" w:fill="auto"/>
            <w:vAlign w:val="center"/>
          </w:tcPr>
          <w:p w14:paraId="230C3EE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0.00</w:t>
            </w:r>
            <w:r>
              <w:rPr>
                <w:rFonts w:hint="default" w:ascii="Times New Roman" w:hAnsi="Times New Roman" w:cs="Times New Roman"/>
                <w:color w:val="auto"/>
                <w:highlight w:val="none"/>
                <w:u w:val="none" w:color="auto"/>
                <w:lang w:val="en-US" w:eastAsia="zh-CN"/>
              </w:rPr>
              <w:t>20</w:t>
            </w:r>
          </w:p>
        </w:tc>
      </w:tr>
      <w:tr w14:paraId="57E03F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000" w:type="pct"/>
            <w:gridSpan w:val="6"/>
            <w:vAlign w:val="center"/>
          </w:tcPr>
          <w:p w14:paraId="6450B325">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全厂有组织排放总计</w:t>
            </w:r>
          </w:p>
        </w:tc>
      </w:tr>
      <w:tr w14:paraId="26631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7" w:hRule="atLeast"/>
          <w:jc w:val="center"/>
        </w:trPr>
        <w:tc>
          <w:tcPr>
            <w:tcW w:w="1291" w:type="pct"/>
            <w:gridSpan w:val="2"/>
            <w:vMerge w:val="restart"/>
            <w:vAlign w:val="center"/>
          </w:tcPr>
          <w:p w14:paraId="27FCFA45">
            <w:pPr>
              <w:pStyle w:val="192"/>
              <w:keepNext w:val="0"/>
              <w:keepLines w:val="0"/>
              <w:suppressLineNumbers w:val="0"/>
              <w:spacing w:before="0" w:beforeAutospacing="0" w:after="0" w:afterAutospacing="0"/>
              <w:ind w:left="0" w:right="0"/>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全厂有组织排放总计</w:t>
            </w:r>
          </w:p>
        </w:tc>
        <w:tc>
          <w:tcPr>
            <w:tcW w:w="2881" w:type="pct"/>
            <w:gridSpan w:val="3"/>
            <w:shd w:val="clear" w:color="auto" w:fill="auto"/>
            <w:vAlign w:val="center"/>
          </w:tcPr>
          <w:p w14:paraId="3C83F1C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氨</w:t>
            </w:r>
          </w:p>
        </w:tc>
        <w:tc>
          <w:tcPr>
            <w:tcW w:w="1407" w:type="dxa"/>
            <w:shd w:val="clear" w:color="auto" w:fill="auto"/>
            <w:vAlign w:val="center"/>
          </w:tcPr>
          <w:p w14:paraId="78CFE29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w:t>
            </w:r>
            <w:r>
              <w:rPr>
                <w:rFonts w:hint="default" w:ascii="Times New Roman" w:hAnsi="Times New Roman" w:cs="Times New Roman"/>
                <w:color w:val="auto"/>
                <w:highlight w:val="none"/>
                <w:u w:val="none" w:color="auto"/>
                <w:lang w:val="en-US" w:eastAsia="zh-CN"/>
              </w:rPr>
              <w:t>0519</w:t>
            </w:r>
          </w:p>
        </w:tc>
      </w:tr>
      <w:tr w14:paraId="5816D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291" w:type="pct"/>
            <w:gridSpan w:val="2"/>
            <w:vMerge w:val="continue"/>
            <w:vAlign w:val="center"/>
          </w:tcPr>
          <w:p w14:paraId="7F46FB07">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lang w:val="en-US" w:eastAsia="zh-CN"/>
              </w:rPr>
            </w:pPr>
          </w:p>
        </w:tc>
        <w:tc>
          <w:tcPr>
            <w:tcW w:w="2881" w:type="pct"/>
            <w:gridSpan w:val="3"/>
            <w:shd w:val="clear" w:color="auto" w:fill="auto"/>
            <w:vAlign w:val="center"/>
          </w:tcPr>
          <w:p w14:paraId="201193E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硫化氢</w:t>
            </w:r>
          </w:p>
        </w:tc>
        <w:tc>
          <w:tcPr>
            <w:tcW w:w="1407" w:type="dxa"/>
            <w:shd w:val="clear" w:color="auto" w:fill="auto"/>
            <w:vAlign w:val="center"/>
          </w:tcPr>
          <w:p w14:paraId="7DC6E45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0.00</w:t>
            </w:r>
            <w:r>
              <w:rPr>
                <w:rFonts w:hint="default" w:ascii="Times New Roman" w:hAnsi="Times New Roman" w:cs="Times New Roman"/>
                <w:color w:val="auto"/>
                <w:highlight w:val="none"/>
                <w:u w:val="none" w:color="auto"/>
                <w:lang w:val="en-US" w:eastAsia="zh-CN"/>
              </w:rPr>
              <w:t>20</w:t>
            </w:r>
          </w:p>
        </w:tc>
      </w:tr>
    </w:tbl>
    <w:p w14:paraId="2E2BBB80">
      <w:pPr>
        <w:pStyle w:val="194"/>
        <w:spacing w:line="240" w:lineRule="auto"/>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7</w:t>
      </w:r>
      <w:r>
        <w:rPr>
          <w:rFonts w:hint="default" w:ascii="Times New Roman" w:hAnsi="Times New Roman" w:cs="Times New Roman"/>
          <w:color w:val="auto"/>
          <w:highlight w:val="none"/>
          <w:u w:val="none" w:color="auto"/>
        </w:rPr>
        <w:t xml:space="preserve">   本工程大气污染物无组织排放核算表</w:t>
      </w:r>
    </w:p>
    <w:tbl>
      <w:tblPr>
        <w:tblStyle w:val="76"/>
        <w:tblW w:w="5139"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15"/>
        <w:gridCol w:w="806"/>
        <w:gridCol w:w="668"/>
        <w:gridCol w:w="2282"/>
        <w:gridCol w:w="2013"/>
        <w:gridCol w:w="1482"/>
        <w:gridCol w:w="901"/>
      </w:tblGrid>
      <w:tr w14:paraId="547ACD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9" w:hRule="atLeast"/>
          <w:jc w:val="center"/>
        </w:trPr>
        <w:tc>
          <w:tcPr>
            <w:tcW w:w="414" w:type="dxa"/>
            <w:vMerge w:val="restart"/>
            <w:vAlign w:val="center"/>
          </w:tcPr>
          <w:p w14:paraId="7F1A84C5">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序号</w:t>
            </w:r>
          </w:p>
        </w:tc>
        <w:tc>
          <w:tcPr>
            <w:tcW w:w="803" w:type="dxa"/>
            <w:vMerge w:val="restart"/>
            <w:vAlign w:val="center"/>
          </w:tcPr>
          <w:p w14:paraId="4533E0AC">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产污环节</w:t>
            </w:r>
          </w:p>
        </w:tc>
        <w:tc>
          <w:tcPr>
            <w:tcW w:w="666" w:type="dxa"/>
            <w:vMerge w:val="restart"/>
            <w:vAlign w:val="center"/>
          </w:tcPr>
          <w:p w14:paraId="746E52E0">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污染物</w:t>
            </w:r>
          </w:p>
        </w:tc>
        <w:tc>
          <w:tcPr>
            <w:tcW w:w="2274" w:type="dxa"/>
            <w:vMerge w:val="restart"/>
            <w:vAlign w:val="center"/>
          </w:tcPr>
          <w:p w14:paraId="78F46AA5">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主要污染防治措施</w:t>
            </w:r>
          </w:p>
        </w:tc>
        <w:tc>
          <w:tcPr>
            <w:tcW w:w="3483" w:type="dxa"/>
            <w:gridSpan w:val="2"/>
            <w:vAlign w:val="center"/>
          </w:tcPr>
          <w:p w14:paraId="17F83017">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污染物排放标准</w:t>
            </w:r>
          </w:p>
        </w:tc>
        <w:tc>
          <w:tcPr>
            <w:tcW w:w="898" w:type="dxa"/>
            <w:vMerge w:val="restart"/>
            <w:vAlign w:val="center"/>
          </w:tcPr>
          <w:p w14:paraId="1724F985">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年排放量（t/a）</w:t>
            </w:r>
          </w:p>
        </w:tc>
      </w:tr>
      <w:tr w14:paraId="519395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3" w:hRule="atLeast"/>
          <w:jc w:val="center"/>
        </w:trPr>
        <w:tc>
          <w:tcPr>
            <w:tcW w:w="414" w:type="dxa"/>
            <w:vMerge w:val="continue"/>
            <w:vAlign w:val="center"/>
          </w:tcPr>
          <w:p w14:paraId="057BAFA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803" w:type="dxa"/>
            <w:vMerge w:val="continue"/>
            <w:vAlign w:val="center"/>
          </w:tcPr>
          <w:p w14:paraId="1040B0E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666" w:type="dxa"/>
            <w:vMerge w:val="continue"/>
            <w:vAlign w:val="center"/>
          </w:tcPr>
          <w:p w14:paraId="2F228B8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274" w:type="dxa"/>
            <w:vMerge w:val="continue"/>
            <w:vAlign w:val="center"/>
          </w:tcPr>
          <w:p w14:paraId="50AAA7F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006" w:type="dxa"/>
            <w:vAlign w:val="center"/>
          </w:tcPr>
          <w:p w14:paraId="75EFFDE3">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标准名称</w:t>
            </w:r>
          </w:p>
        </w:tc>
        <w:tc>
          <w:tcPr>
            <w:tcW w:w="1477" w:type="dxa"/>
            <w:vAlign w:val="center"/>
          </w:tcPr>
          <w:p w14:paraId="3FAB0AFF">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浓度限值（mg/m</w:t>
            </w:r>
            <w:r>
              <w:rPr>
                <w:rFonts w:hint="default" w:ascii="Times New Roman" w:hAnsi="Times New Roman" w:cs="Times New Roman"/>
                <w:b/>
                <w:bCs/>
                <w:color w:val="auto"/>
                <w:highlight w:val="none"/>
                <w:u w:val="none" w:color="auto"/>
                <w:vertAlign w:val="superscript"/>
              </w:rPr>
              <w:t>3</w:t>
            </w:r>
            <w:r>
              <w:rPr>
                <w:rFonts w:hint="default" w:ascii="Times New Roman" w:hAnsi="Times New Roman" w:cs="Times New Roman"/>
                <w:b/>
                <w:bCs/>
                <w:color w:val="auto"/>
                <w:highlight w:val="none"/>
                <w:u w:val="none" w:color="auto"/>
              </w:rPr>
              <w:t>）</w:t>
            </w:r>
          </w:p>
        </w:tc>
        <w:tc>
          <w:tcPr>
            <w:tcW w:w="898" w:type="dxa"/>
            <w:vMerge w:val="continue"/>
            <w:vAlign w:val="center"/>
          </w:tcPr>
          <w:p w14:paraId="3B68227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r>
      <w:tr w14:paraId="3C245B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87" w:hRule="atLeast"/>
          <w:jc w:val="center"/>
        </w:trPr>
        <w:tc>
          <w:tcPr>
            <w:tcW w:w="414" w:type="dxa"/>
            <w:vMerge w:val="restart"/>
            <w:vAlign w:val="center"/>
          </w:tcPr>
          <w:p w14:paraId="3D9E24C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p>
        </w:tc>
        <w:tc>
          <w:tcPr>
            <w:tcW w:w="803" w:type="dxa"/>
            <w:vMerge w:val="restart"/>
            <w:vAlign w:val="center"/>
          </w:tcPr>
          <w:p w14:paraId="6C8D8E2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污水处理过程</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污泥处理</w:t>
            </w:r>
          </w:p>
        </w:tc>
        <w:tc>
          <w:tcPr>
            <w:tcW w:w="666" w:type="dxa"/>
            <w:vAlign w:val="center"/>
          </w:tcPr>
          <w:p w14:paraId="0341DB2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NH</w:t>
            </w:r>
            <w:r>
              <w:rPr>
                <w:rFonts w:hint="default" w:ascii="Times New Roman" w:hAnsi="Times New Roman" w:cs="Times New Roman"/>
                <w:color w:val="auto"/>
                <w:sz w:val="15"/>
                <w:szCs w:val="15"/>
                <w:highlight w:val="none"/>
                <w:u w:val="none" w:color="auto"/>
              </w:rPr>
              <w:t>3</w:t>
            </w:r>
          </w:p>
        </w:tc>
        <w:tc>
          <w:tcPr>
            <w:tcW w:w="2274" w:type="dxa"/>
            <w:vMerge w:val="restart"/>
            <w:vAlign w:val="center"/>
          </w:tcPr>
          <w:p w14:paraId="420F4F8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主要产气源加盖，加强通风</w:t>
            </w:r>
            <w:r>
              <w:rPr>
                <w:rFonts w:hint="default" w:ascii="Times New Roman" w:hAnsi="Times New Roman" w:cs="Times New Roman"/>
                <w:color w:val="auto"/>
                <w:highlight w:val="none"/>
                <w:u w:val="none" w:color="auto"/>
                <w:lang w:val="en-US" w:eastAsia="zh-CN"/>
              </w:rPr>
              <w:t>及厂区绿化</w:t>
            </w:r>
          </w:p>
        </w:tc>
        <w:tc>
          <w:tcPr>
            <w:tcW w:w="2006" w:type="dxa"/>
            <w:vMerge w:val="restart"/>
            <w:vAlign w:val="center"/>
          </w:tcPr>
          <w:p w14:paraId="4D80E55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cs="Times New Roman"/>
                <w:color w:val="auto"/>
                <w:highlight w:val="none"/>
                <w:u w:val="none" w:color="auto"/>
              </w:rPr>
              <w:t>中二级标准</w:t>
            </w:r>
          </w:p>
        </w:tc>
        <w:tc>
          <w:tcPr>
            <w:tcW w:w="1477" w:type="dxa"/>
            <w:vAlign w:val="center"/>
          </w:tcPr>
          <w:p w14:paraId="798827F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1.5</w:t>
            </w:r>
          </w:p>
        </w:tc>
        <w:tc>
          <w:tcPr>
            <w:tcW w:w="898" w:type="dxa"/>
            <w:vAlign w:val="center"/>
          </w:tcPr>
          <w:p w14:paraId="3D4EF41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0.04614</w:t>
            </w:r>
          </w:p>
        </w:tc>
      </w:tr>
      <w:tr w14:paraId="046EE9F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10" w:hRule="atLeast"/>
          <w:jc w:val="center"/>
        </w:trPr>
        <w:tc>
          <w:tcPr>
            <w:tcW w:w="414" w:type="dxa"/>
            <w:vMerge w:val="continue"/>
            <w:vAlign w:val="center"/>
          </w:tcPr>
          <w:p w14:paraId="2738B63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803" w:type="dxa"/>
            <w:vMerge w:val="continue"/>
            <w:vAlign w:val="center"/>
          </w:tcPr>
          <w:p w14:paraId="6B4DF8C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666" w:type="dxa"/>
            <w:vAlign w:val="center"/>
          </w:tcPr>
          <w:p w14:paraId="235F7DD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H</w:t>
            </w:r>
            <w:r>
              <w:rPr>
                <w:rFonts w:hint="default" w:ascii="Times New Roman" w:hAnsi="Times New Roman" w:cs="Times New Roman"/>
                <w:color w:val="auto"/>
                <w:sz w:val="15"/>
                <w:szCs w:val="15"/>
                <w:highlight w:val="none"/>
                <w:u w:val="none" w:color="auto"/>
              </w:rPr>
              <w:t>2</w:t>
            </w:r>
            <w:r>
              <w:rPr>
                <w:rFonts w:hint="default" w:ascii="Times New Roman" w:hAnsi="Times New Roman" w:cs="Times New Roman"/>
                <w:color w:val="auto"/>
                <w:highlight w:val="none"/>
                <w:u w:val="none" w:color="auto"/>
              </w:rPr>
              <w:t>S</w:t>
            </w:r>
          </w:p>
        </w:tc>
        <w:tc>
          <w:tcPr>
            <w:tcW w:w="2274" w:type="dxa"/>
            <w:vMerge w:val="continue"/>
            <w:vAlign w:val="center"/>
          </w:tcPr>
          <w:p w14:paraId="206CC3E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2006" w:type="dxa"/>
            <w:vMerge w:val="continue"/>
            <w:vAlign w:val="center"/>
          </w:tcPr>
          <w:p w14:paraId="209F32E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1477" w:type="dxa"/>
            <w:vAlign w:val="center"/>
          </w:tcPr>
          <w:p w14:paraId="587F51B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0.06</w:t>
            </w:r>
          </w:p>
        </w:tc>
        <w:tc>
          <w:tcPr>
            <w:tcW w:w="898" w:type="dxa"/>
            <w:vAlign w:val="center"/>
          </w:tcPr>
          <w:p w14:paraId="2CF5C13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0.001787</w:t>
            </w:r>
          </w:p>
        </w:tc>
      </w:tr>
      <w:tr w14:paraId="1B86DF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3" w:hRule="atLeast"/>
          <w:jc w:val="center"/>
        </w:trPr>
        <w:tc>
          <w:tcPr>
            <w:tcW w:w="8538" w:type="dxa"/>
            <w:gridSpan w:val="7"/>
            <w:vAlign w:val="center"/>
          </w:tcPr>
          <w:p w14:paraId="7A8FAA2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全无有组织排放总计</w:t>
            </w:r>
          </w:p>
        </w:tc>
      </w:tr>
      <w:tr w14:paraId="473BCE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0" w:hRule="atLeast"/>
          <w:jc w:val="center"/>
        </w:trPr>
        <w:tc>
          <w:tcPr>
            <w:tcW w:w="1883" w:type="dxa"/>
            <w:gridSpan w:val="3"/>
            <w:vMerge w:val="restart"/>
            <w:vAlign w:val="center"/>
          </w:tcPr>
          <w:p w14:paraId="3E15E3B5">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全厂无组织排放总计</w:t>
            </w:r>
          </w:p>
        </w:tc>
        <w:tc>
          <w:tcPr>
            <w:tcW w:w="5757" w:type="dxa"/>
            <w:gridSpan w:val="3"/>
            <w:vAlign w:val="center"/>
          </w:tcPr>
          <w:p w14:paraId="383ED05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氨</w:t>
            </w:r>
          </w:p>
        </w:tc>
        <w:tc>
          <w:tcPr>
            <w:tcW w:w="898" w:type="dxa"/>
            <w:vAlign w:val="center"/>
          </w:tcPr>
          <w:p w14:paraId="5689CC4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0.04614</w:t>
            </w:r>
          </w:p>
        </w:tc>
      </w:tr>
      <w:tr w14:paraId="373EA4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5" w:hRule="atLeast"/>
          <w:jc w:val="center"/>
        </w:trPr>
        <w:tc>
          <w:tcPr>
            <w:tcW w:w="1883" w:type="dxa"/>
            <w:gridSpan w:val="3"/>
            <w:vMerge w:val="continue"/>
            <w:tcBorders>
              <w:bottom w:val="single" w:color="000000" w:sz="12" w:space="0"/>
            </w:tcBorders>
            <w:vAlign w:val="center"/>
          </w:tcPr>
          <w:p w14:paraId="606E83F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5757" w:type="dxa"/>
            <w:gridSpan w:val="3"/>
            <w:tcBorders>
              <w:bottom w:val="single" w:color="000000" w:sz="12" w:space="0"/>
            </w:tcBorders>
            <w:vAlign w:val="center"/>
          </w:tcPr>
          <w:p w14:paraId="7C841A28">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硫化氢</w:t>
            </w:r>
          </w:p>
        </w:tc>
        <w:tc>
          <w:tcPr>
            <w:tcW w:w="898" w:type="dxa"/>
            <w:tcBorders>
              <w:bottom w:val="single" w:color="000000" w:sz="12" w:space="0"/>
            </w:tcBorders>
            <w:vAlign w:val="center"/>
          </w:tcPr>
          <w:p w14:paraId="319C0AE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0.001787</w:t>
            </w:r>
          </w:p>
        </w:tc>
      </w:tr>
    </w:tbl>
    <w:p w14:paraId="059BA929">
      <w:pPr>
        <w:pStyle w:val="194"/>
        <w:spacing w:line="240" w:lineRule="auto"/>
        <w:ind w:firstLine="48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8</w:t>
      </w:r>
      <w:r>
        <w:rPr>
          <w:rFonts w:hint="default" w:ascii="Times New Roman" w:hAnsi="Times New Roman" w:cs="Times New Roman"/>
          <w:color w:val="auto"/>
          <w:highlight w:val="none"/>
          <w:u w:val="none" w:color="auto"/>
        </w:rPr>
        <w:t xml:space="preserve"> </w:t>
      </w:r>
      <w:r>
        <w:rPr>
          <w:rFonts w:hint="default" w:ascii="Times New Roman" w:hAnsi="Times New Roman" w:cs="Times New Roman"/>
          <w:color w:val="auto"/>
          <w:highlight w:val="none"/>
          <w:u w:val="none" w:color="auto"/>
          <w:lang w:val="en-US" w:eastAsia="zh-CN"/>
        </w:rPr>
        <w:t>大气污染物年排放量核算一览表</w:t>
      </w:r>
    </w:p>
    <w:tbl>
      <w:tblPr>
        <w:tblStyle w:val="76"/>
        <w:tblW w:w="507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41"/>
        <w:gridCol w:w="3646"/>
        <w:gridCol w:w="2556"/>
      </w:tblGrid>
      <w:tr w14:paraId="31FCA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1412" w:type="pct"/>
            <w:shd w:val="clear" w:color="auto" w:fill="auto"/>
            <w:vAlign w:val="center"/>
          </w:tcPr>
          <w:p w14:paraId="25C656FB">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序号</w:t>
            </w:r>
          </w:p>
        </w:tc>
        <w:tc>
          <w:tcPr>
            <w:tcW w:w="2109" w:type="pct"/>
            <w:shd w:val="clear" w:color="auto" w:fill="auto"/>
            <w:vAlign w:val="center"/>
          </w:tcPr>
          <w:p w14:paraId="1CEB26D9">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污染物</w:t>
            </w:r>
          </w:p>
        </w:tc>
        <w:tc>
          <w:tcPr>
            <w:tcW w:w="1478" w:type="pct"/>
            <w:shd w:val="clear" w:color="auto" w:fill="auto"/>
            <w:vAlign w:val="center"/>
          </w:tcPr>
          <w:p w14:paraId="6AE50B4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年排放量（t/a）</w:t>
            </w:r>
          </w:p>
        </w:tc>
      </w:tr>
      <w:tr w14:paraId="56E250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1412" w:type="pct"/>
            <w:shd w:val="clear" w:color="auto" w:fill="auto"/>
            <w:vAlign w:val="center"/>
          </w:tcPr>
          <w:p w14:paraId="286A9C18">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1</w:t>
            </w:r>
          </w:p>
        </w:tc>
        <w:tc>
          <w:tcPr>
            <w:tcW w:w="2109" w:type="pct"/>
            <w:shd w:val="clear" w:color="auto" w:fill="auto"/>
            <w:vAlign w:val="center"/>
          </w:tcPr>
          <w:p w14:paraId="4E121AE8">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氨</w:t>
            </w:r>
          </w:p>
        </w:tc>
        <w:tc>
          <w:tcPr>
            <w:tcW w:w="1478" w:type="pct"/>
            <w:shd w:val="clear" w:color="auto" w:fill="auto"/>
            <w:vAlign w:val="center"/>
          </w:tcPr>
          <w:p w14:paraId="19E5149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rPr>
              <w:t>0.</w:t>
            </w:r>
            <w:r>
              <w:rPr>
                <w:rFonts w:hint="default" w:ascii="Times New Roman" w:hAnsi="Times New Roman" w:cs="Times New Roman"/>
                <w:color w:val="auto"/>
                <w:highlight w:val="none"/>
                <w:u w:val="none" w:color="auto"/>
                <w:lang w:val="en-US" w:eastAsia="zh-CN"/>
              </w:rPr>
              <w:t>09804</w:t>
            </w:r>
          </w:p>
        </w:tc>
      </w:tr>
      <w:tr w14:paraId="7E6E0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412" w:type="pct"/>
            <w:shd w:val="clear" w:color="auto" w:fill="auto"/>
            <w:vAlign w:val="center"/>
          </w:tcPr>
          <w:p w14:paraId="08A5EE1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2</w:t>
            </w:r>
          </w:p>
        </w:tc>
        <w:tc>
          <w:tcPr>
            <w:tcW w:w="2109" w:type="pct"/>
            <w:shd w:val="clear" w:color="auto" w:fill="auto"/>
            <w:vAlign w:val="center"/>
          </w:tcPr>
          <w:p w14:paraId="5E539612">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硫化氢</w:t>
            </w:r>
          </w:p>
        </w:tc>
        <w:tc>
          <w:tcPr>
            <w:tcW w:w="1478" w:type="pct"/>
            <w:shd w:val="clear" w:color="auto" w:fill="auto"/>
            <w:vAlign w:val="center"/>
          </w:tcPr>
          <w:p w14:paraId="060C6FC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0.003787</w:t>
            </w:r>
          </w:p>
        </w:tc>
      </w:tr>
    </w:tbl>
    <w:p w14:paraId="7436F507">
      <w:pPr>
        <w:pStyle w:val="194"/>
        <w:spacing w:line="240" w:lineRule="auto"/>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表5.2-9 </w:t>
      </w:r>
      <w:r>
        <w:rPr>
          <w:rFonts w:hint="default" w:ascii="Times New Roman" w:hAnsi="Times New Roman" w:cs="Times New Roman"/>
          <w:color w:val="auto"/>
          <w:highlight w:val="none"/>
          <w:u w:val="none" w:color="auto"/>
        </w:rPr>
        <w:t>本工程大气污染物非正常排放核算表</w:t>
      </w:r>
    </w:p>
    <w:tbl>
      <w:tblPr>
        <w:tblStyle w:val="76"/>
        <w:tblW w:w="510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52"/>
        <w:gridCol w:w="855"/>
        <w:gridCol w:w="927"/>
        <w:gridCol w:w="798"/>
        <w:gridCol w:w="1194"/>
        <w:gridCol w:w="1193"/>
        <w:gridCol w:w="928"/>
        <w:gridCol w:w="674"/>
        <w:gridCol w:w="1592"/>
      </w:tblGrid>
      <w:tr w14:paraId="429441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56" w:hRule="atLeast"/>
          <w:jc w:val="center"/>
        </w:trPr>
        <w:tc>
          <w:tcPr>
            <w:tcW w:w="383" w:type="dxa"/>
            <w:tcBorders>
              <w:bottom w:val="single" w:color="000000" w:sz="6" w:space="0"/>
            </w:tcBorders>
            <w:vAlign w:val="center"/>
          </w:tcPr>
          <w:p w14:paraId="20CE9908">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序 号</w:t>
            </w:r>
          </w:p>
        </w:tc>
        <w:tc>
          <w:tcPr>
            <w:tcW w:w="930" w:type="dxa"/>
            <w:tcBorders>
              <w:bottom w:val="single" w:color="000000" w:sz="6" w:space="0"/>
            </w:tcBorders>
            <w:vAlign w:val="center"/>
          </w:tcPr>
          <w:p w14:paraId="43DDDC24">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污染源</w:t>
            </w:r>
          </w:p>
        </w:tc>
        <w:tc>
          <w:tcPr>
            <w:tcW w:w="1009" w:type="dxa"/>
            <w:tcBorders>
              <w:bottom w:val="single" w:color="000000" w:sz="6" w:space="0"/>
            </w:tcBorders>
            <w:vAlign w:val="center"/>
          </w:tcPr>
          <w:p w14:paraId="20BC3FF6">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非正常排放原因</w:t>
            </w:r>
          </w:p>
        </w:tc>
        <w:tc>
          <w:tcPr>
            <w:tcW w:w="868" w:type="dxa"/>
            <w:tcBorders>
              <w:bottom w:val="single" w:color="000000" w:sz="6" w:space="0"/>
            </w:tcBorders>
            <w:vAlign w:val="center"/>
          </w:tcPr>
          <w:p w14:paraId="1FD3F7C6">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污染物</w:t>
            </w:r>
          </w:p>
        </w:tc>
        <w:tc>
          <w:tcPr>
            <w:tcW w:w="1299" w:type="dxa"/>
            <w:tcBorders>
              <w:bottom w:val="single" w:color="000000" w:sz="6" w:space="0"/>
            </w:tcBorders>
            <w:vAlign w:val="center"/>
          </w:tcPr>
          <w:p w14:paraId="4FC35279">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非正常排放浓度（mg/m</w:t>
            </w:r>
            <w:r>
              <w:rPr>
                <w:rFonts w:hint="default" w:ascii="Times New Roman" w:hAnsi="Times New Roman" w:cs="Times New Roman"/>
                <w:b/>
                <w:bCs/>
                <w:color w:val="auto"/>
                <w:highlight w:val="none"/>
                <w:u w:val="none" w:color="auto"/>
                <w:vertAlign w:val="superscript"/>
              </w:rPr>
              <w:t>3</w:t>
            </w:r>
            <w:r>
              <w:rPr>
                <w:rFonts w:hint="default" w:ascii="Times New Roman" w:hAnsi="Times New Roman" w:cs="Times New Roman"/>
                <w:b/>
                <w:bCs/>
                <w:color w:val="auto"/>
                <w:highlight w:val="none"/>
                <w:u w:val="none" w:color="auto"/>
              </w:rPr>
              <w:t>）</w:t>
            </w:r>
          </w:p>
        </w:tc>
        <w:tc>
          <w:tcPr>
            <w:tcW w:w="1298" w:type="dxa"/>
            <w:vAlign w:val="center"/>
          </w:tcPr>
          <w:p w14:paraId="4744DF43">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非正常排放速率（kg/h）</w:t>
            </w:r>
          </w:p>
        </w:tc>
        <w:tc>
          <w:tcPr>
            <w:tcW w:w="1010" w:type="dxa"/>
            <w:vAlign w:val="center"/>
          </w:tcPr>
          <w:p w14:paraId="1FB20632">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单次持续时间</w:t>
            </w:r>
          </w:p>
        </w:tc>
        <w:tc>
          <w:tcPr>
            <w:tcW w:w="734" w:type="dxa"/>
            <w:vAlign w:val="center"/>
          </w:tcPr>
          <w:p w14:paraId="71D99EB6">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年发生频次</w:t>
            </w:r>
          </w:p>
        </w:tc>
        <w:tc>
          <w:tcPr>
            <w:tcW w:w="1733" w:type="dxa"/>
            <w:tcBorders>
              <w:bottom w:val="single" w:color="000000" w:sz="6" w:space="0"/>
            </w:tcBorders>
            <w:vAlign w:val="center"/>
          </w:tcPr>
          <w:p w14:paraId="4348A643">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应对措施</w:t>
            </w:r>
          </w:p>
        </w:tc>
      </w:tr>
      <w:tr w14:paraId="482B37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53" w:hRule="atLeast"/>
          <w:jc w:val="center"/>
        </w:trPr>
        <w:tc>
          <w:tcPr>
            <w:tcW w:w="383" w:type="dxa"/>
            <w:vMerge w:val="restart"/>
            <w:vAlign w:val="center"/>
          </w:tcPr>
          <w:p w14:paraId="67DAE73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p>
        </w:tc>
        <w:tc>
          <w:tcPr>
            <w:tcW w:w="930" w:type="dxa"/>
            <w:vMerge w:val="restart"/>
            <w:vAlign w:val="center"/>
          </w:tcPr>
          <w:p w14:paraId="5574126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DA001</w:t>
            </w:r>
          </w:p>
        </w:tc>
        <w:tc>
          <w:tcPr>
            <w:tcW w:w="1009" w:type="dxa"/>
            <w:vMerge w:val="restart"/>
            <w:vAlign w:val="center"/>
          </w:tcPr>
          <w:p w14:paraId="0B2FF79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除臭系统失效</w:t>
            </w:r>
          </w:p>
        </w:tc>
        <w:tc>
          <w:tcPr>
            <w:tcW w:w="868" w:type="dxa"/>
            <w:vAlign w:val="center"/>
          </w:tcPr>
          <w:p w14:paraId="265775E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NH</w:t>
            </w:r>
            <w:r>
              <w:rPr>
                <w:rFonts w:hint="default" w:ascii="Times New Roman" w:hAnsi="Times New Roman" w:cs="Times New Roman"/>
                <w:color w:val="auto"/>
                <w:sz w:val="15"/>
                <w:szCs w:val="15"/>
                <w:highlight w:val="none"/>
                <w:u w:val="none" w:color="auto"/>
              </w:rPr>
              <w:t>3</w:t>
            </w:r>
          </w:p>
        </w:tc>
        <w:tc>
          <w:tcPr>
            <w:tcW w:w="1299" w:type="dxa"/>
            <w:vAlign w:val="center"/>
          </w:tcPr>
          <w:p w14:paraId="61BA7FC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11.85</w:t>
            </w:r>
          </w:p>
        </w:tc>
        <w:tc>
          <w:tcPr>
            <w:tcW w:w="1298" w:type="dxa"/>
            <w:vAlign w:val="center"/>
          </w:tcPr>
          <w:p w14:paraId="6B75178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rPr>
              <w:t>0.</w:t>
            </w:r>
            <w:r>
              <w:rPr>
                <w:rFonts w:hint="default" w:ascii="Times New Roman" w:hAnsi="Times New Roman" w:cs="Times New Roman"/>
                <w:color w:val="auto"/>
                <w:highlight w:val="none"/>
                <w:u w:val="none" w:color="auto"/>
                <w:lang w:val="en-US" w:eastAsia="zh-CN"/>
              </w:rPr>
              <w:t>1185</w:t>
            </w:r>
          </w:p>
        </w:tc>
        <w:tc>
          <w:tcPr>
            <w:tcW w:w="1010" w:type="dxa"/>
            <w:vMerge w:val="restart"/>
            <w:vAlign w:val="center"/>
          </w:tcPr>
          <w:p w14:paraId="742F5FB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1h内</w:t>
            </w:r>
          </w:p>
        </w:tc>
        <w:tc>
          <w:tcPr>
            <w:tcW w:w="734" w:type="dxa"/>
            <w:vMerge w:val="restart"/>
            <w:vAlign w:val="center"/>
          </w:tcPr>
          <w:p w14:paraId="33CE4DB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不确定</w:t>
            </w:r>
          </w:p>
        </w:tc>
        <w:tc>
          <w:tcPr>
            <w:tcW w:w="1733" w:type="dxa"/>
            <w:vMerge w:val="restart"/>
            <w:vAlign w:val="center"/>
          </w:tcPr>
          <w:p w14:paraId="4365B51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加强污染治理措施的运维管理，使其处于良好的运行状态；对污染治理设施进行定期检修，发现异常，及时修</w:t>
            </w:r>
          </w:p>
          <w:p w14:paraId="61C35D53">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复。</w:t>
            </w:r>
          </w:p>
        </w:tc>
      </w:tr>
      <w:tr w14:paraId="59A2A8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7" w:hRule="atLeast"/>
          <w:jc w:val="center"/>
        </w:trPr>
        <w:tc>
          <w:tcPr>
            <w:tcW w:w="383" w:type="dxa"/>
            <w:vMerge w:val="continue"/>
            <w:vAlign w:val="center"/>
          </w:tcPr>
          <w:p w14:paraId="1AB6711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930" w:type="dxa"/>
            <w:vMerge w:val="continue"/>
            <w:vAlign w:val="center"/>
          </w:tcPr>
          <w:p w14:paraId="057D3F4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1009" w:type="dxa"/>
            <w:vMerge w:val="continue"/>
            <w:vAlign w:val="center"/>
          </w:tcPr>
          <w:p w14:paraId="6D0E0B7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868" w:type="dxa"/>
            <w:vAlign w:val="center"/>
          </w:tcPr>
          <w:p w14:paraId="486D02F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H</w:t>
            </w:r>
            <w:r>
              <w:rPr>
                <w:rFonts w:hint="default" w:ascii="Times New Roman" w:hAnsi="Times New Roman" w:cs="Times New Roman"/>
                <w:color w:val="auto"/>
                <w:sz w:val="15"/>
                <w:szCs w:val="15"/>
                <w:highlight w:val="none"/>
                <w:u w:val="none" w:color="auto"/>
              </w:rPr>
              <w:t>2</w:t>
            </w:r>
            <w:r>
              <w:rPr>
                <w:rFonts w:hint="default" w:ascii="Times New Roman" w:hAnsi="Times New Roman" w:cs="Times New Roman"/>
                <w:color w:val="auto"/>
                <w:highlight w:val="none"/>
                <w:u w:val="none" w:color="auto"/>
              </w:rPr>
              <w:t>S</w:t>
            </w:r>
          </w:p>
        </w:tc>
        <w:tc>
          <w:tcPr>
            <w:tcW w:w="1299" w:type="dxa"/>
            <w:vAlign w:val="center"/>
          </w:tcPr>
          <w:p w14:paraId="1671D5A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0.</w:t>
            </w:r>
            <w:r>
              <w:rPr>
                <w:rFonts w:hint="default" w:ascii="Times New Roman" w:hAnsi="Times New Roman" w:cs="Times New Roman"/>
                <w:color w:val="auto"/>
                <w:highlight w:val="none"/>
                <w:u w:val="none" w:color="auto"/>
                <w:lang w:val="en-US" w:eastAsia="zh-CN"/>
              </w:rPr>
              <w:t>459</w:t>
            </w:r>
          </w:p>
        </w:tc>
        <w:tc>
          <w:tcPr>
            <w:tcW w:w="1298" w:type="dxa"/>
            <w:vAlign w:val="center"/>
          </w:tcPr>
          <w:p w14:paraId="1332881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rPr>
              <w:t>0.00</w:t>
            </w:r>
            <w:r>
              <w:rPr>
                <w:rFonts w:hint="default" w:ascii="Times New Roman" w:hAnsi="Times New Roman" w:cs="Times New Roman"/>
                <w:color w:val="auto"/>
                <w:highlight w:val="none"/>
                <w:u w:val="none" w:color="auto"/>
                <w:lang w:val="en-US" w:eastAsia="zh-CN"/>
              </w:rPr>
              <w:t>46</w:t>
            </w:r>
          </w:p>
        </w:tc>
        <w:tc>
          <w:tcPr>
            <w:tcW w:w="1010" w:type="dxa"/>
            <w:vMerge w:val="continue"/>
            <w:vAlign w:val="center"/>
          </w:tcPr>
          <w:p w14:paraId="6A898E5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734" w:type="dxa"/>
            <w:vMerge w:val="continue"/>
            <w:vAlign w:val="center"/>
          </w:tcPr>
          <w:p w14:paraId="49EF900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p>
        </w:tc>
        <w:tc>
          <w:tcPr>
            <w:tcW w:w="1733" w:type="dxa"/>
            <w:vMerge w:val="continue"/>
            <w:vAlign w:val="center"/>
          </w:tcPr>
          <w:p w14:paraId="3175E5A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bl>
    <w:p w14:paraId="08AB832B">
      <w:pPr>
        <w:pStyle w:val="5"/>
        <w:numPr>
          <w:ilvl w:val="2"/>
          <w:numId w:val="0"/>
        </w:numPr>
        <w:ind w:leftChars="0"/>
        <w:outlineLvl w:val="3"/>
        <w:rPr>
          <w:rFonts w:hint="default" w:ascii="Times New Roman" w:hAnsi="Times New Roman" w:cs="Times New Roman"/>
          <w:color w:val="auto"/>
          <w:sz w:val="24"/>
          <w:szCs w:val="28"/>
          <w:highlight w:val="none"/>
          <w:u w:val="none" w:color="auto"/>
        </w:rPr>
      </w:pPr>
      <w:r>
        <w:rPr>
          <w:rFonts w:hint="default" w:ascii="Times New Roman" w:hAnsi="Times New Roman" w:cs="Times New Roman"/>
          <w:color w:val="auto"/>
          <w:sz w:val="24"/>
          <w:szCs w:val="28"/>
          <w:highlight w:val="none"/>
          <w:u w:val="none" w:color="auto"/>
          <w:lang w:val="en-US" w:eastAsia="zh-CN"/>
        </w:rPr>
        <w:t>5.2.1.4 排气筒设置合理性分析</w:t>
      </w:r>
      <w:r>
        <w:rPr>
          <w:rFonts w:hint="default" w:ascii="Times New Roman" w:hAnsi="Times New Roman" w:cs="Times New Roman"/>
          <w:color w:val="auto"/>
          <w:sz w:val="24"/>
          <w:szCs w:val="28"/>
          <w:highlight w:val="none"/>
          <w:u w:val="none" w:color="auto"/>
        </w:rPr>
        <w:t xml:space="preserve"> </w:t>
      </w:r>
    </w:p>
    <w:p w14:paraId="03067F02">
      <w:pPr>
        <w:rPr>
          <w:rFonts w:hint="default" w:ascii="Times New Roman" w:hAnsi="Times New Roman" w:cs="Times New Roman"/>
          <w:highlight w:val="none"/>
        </w:rPr>
      </w:pPr>
      <w:r>
        <w:rPr>
          <w:rFonts w:hint="default" w:ascii="Times New Roman" w:hAnsi="Times New Roman" w:cs="Times New Roman"/>
          <w:highlight w:val="none"/>
          <w:lang w:val="en-US" w:eastAsia="zh-CN"/>
        </w:rPr>
        <w:t xml:space="preserve">① </w:t>
      </w:r>
      <w:r>
        <w:rPr>
          <w:rFonts w:hint="default" w:ascii="Times New Roman" w:hAnsi="Times New Roman" w:cs="Times New Roman"/>
          <w:highlight w:val="none"/>
        </w:rPr>
        <w:t>数量合理性</w:t>
      </w:r>
    </w:p>
    <w:p w14:paraId="7DF9357D">
      <w:pPr>
        <w:rPr>
          <w:rFonts w:hint="default" w:ascii="Times New Roman" w:hAnsi="Times New Roman" w:cs="Times New Roman"/>
          <w:highlight w:val="none"/>
        </w:rPr>
      </w:pPr>
      <w:r>
        <w:rPr>
          <w:rFonts w:hint="default" w:ascii="Times New Roman" w:hAnsi="Times New Roman" w:cs="Times New Roman"/>
          <w:highlight w:val="none"/>
        </w:rPr>
        <w:t>项目共设置</w:t>
      </w:r>
      <w:r>
        <w:rPr>
          <w:rFonts w:hint="eastAsia" w:cs="Times New Roman"/>
          <w:highlight w:val="none"/>
          <w:lang w:val="en-US" w:eastAsia="zh-CN"/>
        </w:rPr>
        <w:t>1</w:t>
      </w:r>
      <w:r>
        <w:rPr>
          <w:rFonts w:hint="default" w:ascii="Times New Roman" w:hAnsi="Times New Roman" w:cs="Times New Roman"/>
          <w:highlight w:val="none"/>
        </w:rPr>
        <w:t>个恶臭废气排气筒。</w:t>
      </w:r>
    </w:p>
    <w:p w14:paraId="46CDC217">
      <w:pPr>
        <w:rPr>
          <w:rFonts w:hint="default" w:ascii="Times New Roman" w:hAnsi="Times New Roman" w:cs="Times New Roman"/>
          <w:highlight w:val="none"/>
        </w:rPr>
      </w:pPr>
      <w:r>
        <w:rPr>
          <w:rFonts w:hint="default" w:ascii="Times New Roman" w:hAnsi="Times New Roman" w:cs="Times New Roman"/>
          <w:highlight w:val="none"/>
          <w:lang w:val="en-US" w:eastAsia="zh-CN"/>
        </w:rPr>
        <w:t xml:space="preserve">② </w:t>
      </w:r>
      <w:r>
        <w:rPr>
          <w:rFonts w:hint="default" w:ascii="Times New Roman" w:hAnsi="Times New Roman" w:cs="Times New Roman"/>
          <w:highlight w:val="none"/>
        </w:rPr>
        <w:t>高度合理性</w:t>
      </w:r>
    </w:p>
    <w:p w14:paraId="6E7C3FD0">
      <w:pPr>
        <w:rPr>
          <w:rFonts w:hint="default" w:ascii="Times New Roman" w:hAnsi="Times New Roman" w:cs="Times New Roman"/>
          <w:highlight w:val="none"/>
        </w:rPr>
      </w:pPr>
      <w:r>
        <w:rPr>
          <w:rFonts w:hint="default" w:ascii="Times New Roman" w:hAnsi="Times New Roman" w:cs="Times New Roman"/>
          <w:highlight w:val="none"/>
        </w:rPr>
        <w:t>根据《恶臭污染物排放标准》（GB14554-93），排气筒高度应不低于15m，本项目恶臭废气排气简设置为15m，排气筒高度合理。</w:t>
      </w:r>
    </w:p>
    <w:p w14:paraId="7CF3EDE7">
      <w:pPr>
        <w:rPr>
          <w:rFonts w:hint="default" w:ascii="Times New Roman" w:hAnsi="Times New Roman" w:cs="Times New Roman"/>
          <w:highlight w:val="none"/>
        </w:rPr>
      </w:pPr>
      <w:r>
        <w:rPr>
          <w:rFonts w:hint="default" w:ascii="Times New Roman" w:hAnsi="Times New Roman" w:cs="Times New Roman"/>
          <w:highlight w:val="none"/>
          <w:lang w:val="en-US" w:eastAsia="zh-CN"/>
        </w:rPr>
        <w:t xml:space="preserve">③ </w:t>
      </w:r>
      <w:r>
        <w:rPr>
          <w:rFonts w:hint="default" w:ascii="Times New Roman" w:hAnsi="Times New Roman" w:cs="Times New Roman"/>
          <w:highlight w:val="none"/>
        </w:rPr>
        <w:t>气流速度合理性</w:t>
      </w:r>
    </w:p>
    <w:p w14:paraId="613A46BA">
      <w:pPr>
        <w:rPr>
          <w:rFonts w:hint="default" w:ascii="Times New Roman" w:hAnsi="Times New Roman" w:cs="Times New Roman"/>
          <w:highlight w:val="none"/>
        </w:rPr>
      </w:pPr>
      <w:r>
        <w:rPr>
          <w:rFonts w:hint="default" w:ascii="Times New Roman" w:hAnsi="Times New Roman" w:cs="Times New Roman"/>
          <w:highlight w:val="none"/>
        </w:rPr>
        <w:t>根据《大气污染治理工程技术导则》（HJ2000-2010）“排气筒的出口直径应根据出口流速确定，流速宜取15m/s 左右。当采用钢管烟囱且高度较高时或烟气量较大时，可适当提高出口流速至20m/s~25m/s 左右。”项目废气正常排放时，排气简烟气流速</w:t>
      </w:r>
      <w:r>
        <w:rPr>
          <w:rFonts w:hint="default" w:ascii="Times New Roman" w:hAnsi="Times New Roman" w:cs="Times New Roman"/>
          <w:highlight w:val="none"/>
          <w:lang w:val="en-US" w:eastAsia="zh-CN"/>
        </w:rPr>
        <w:t>约</w:t>
      </w:r>
      <w:r>
        <w:rPr>
          <w:rFonts w:hint="default" w:ascii="Times New Roman" w:hAnsi="Times New Roman" w:cs="Times New Roman"/>
          <w:highlight w:val="none"/>
        </w:rPr>
        <w:t xml:space="preserve">为 </w:t>
      </w:r>
      <w:r>
        <w:rPr>
          <w:rFonts w:hint="default" w:ascii="Times New Roman" w:hAnsi="Times New Roman" w:cs="Times New Roman"/>
          <w:highlight w:val="none"/>
          <w:lang w:val="en-US" w:eastAsia="zh-CN"/>
        </w:rPr>
        <w:t>14.1</w:t>
      </w:r>
      <w:r>
        <w:rPr>
          <w:rFonts w:hint="default" w:ascii="Times New Roman" w:hAnsi="Times New Roman" w:cs="Times New Roman"/>
          <w:highlight w:val="none"/>
        </w:rPr>
        <w:t>5m/s，在15m/s左右，可以满足要求。</w:t>
      </w:r>
    </w:p>
    <w:p w14:paraId="6FCF951D">
      <w:pPr>
        <w:pStyle w:val="5"/>
        <w:numPr>
          <w:ilvl w:val="2"/>
          <w:numId w:val="0"/>
        </w:numPr>
        <w:ind w:leftChars="0"/>
        <w:outlineLvl w:val="3"/>
        <w:rPr>
          <w:rFonts w:hint="default" w:ascii="Times New Roman" w:hAnsi="Times New Roman" w:cs="Times New Roman"/>
          <w:color w:val="auto"/>
          <w:sz w:val="24"/>
          <w:szCs w:val="28"/>
          <w:highlight w:val="none"/>
          <w:u w:val="none" w:color="auto"/>
          <w:lang w:val="en-US"/>
        </w:rPr>
      </w:pPr>
      <w:r>
        <w:rPr>
          <w:rFonts w:hint="default" w:ascii="Times New Roman" w:hAnsi="Times New Roman" w:cs="Times New Roman"/>
          <w:color w:val="auto"/>
          <w:sz w:val="24"/>
          <w:szCs w:val="28"/>
          <w:highlight w:val="none"/>
          <w:u w:val="none" w:color="auto"/>
          <w:lang w:val="en-US" w:eastAsia="zh-CN"/>
        </w:rPr>
        <w:t>5.2.1.5 大气环境影响评价结论</w:t>
      </w:r>
    </w:p>
    <w:p w14:paraId="58EBE8E4">
      <w:pPr>
        <w:ind w:left="0" w:leftChars="0" w:firstLine="420" w:firstLineChars="0"/>
        <w:rPr>
          <w:rFonts w:hint="default" w:ascii="Times New Roman" w:hAnsi="Times New Roman" w:cs="Times New Roman"/>
          <w:highlight w:val="none"/>
        </w:rPr>
      </w:pPr>
      <w:r>
        <w:rPr>
          <w:rFonts w:hint="default" w:ascii="Times New Roman" w:hAnsi="Times New Roman" w:cs="Times New Roman"/>
          <w:highlight w:val="none"/>
        </w:rPr>
        <w:t>本项目主要污染物经收集处理后做有组织排放，大气为二级评价，根据预测，本项目废气排放浓度均能满足区域环境空气质量要求，恶臭气体对周边环境影响较小</w:t>
      </w:r>
      <w:r>
        <w:rPr>
          <w:rFonts w:hint="default" w:ascii="Times New Roman" w:hAnsi="Times New Roman" w:cs="Times New Roman"/>
          <w:highlight w:val="none"/>
          <w:lang w:eastAsia="zh-CN"/>
        </w:rPr>
        <w:t>，因此，本项目大气环境影响评价结论为可接受</w:t>
      </w:r>
      <w:r>
        <w:rPr>
          <w:rFonts w:hint="default" w:ascii="Times New Roman" w:hAnsi="Times New Roman" w:cs="Times New Roman"/>
          <w:highlight w:val="none"/>
        </w:rPr>
        <w:t>。</w:t>
      </w:r>
    </w:p>
    <w:p w14:paraId="51B4791C">
      <w:pPr>
        <w:pStyle w:val="4"/>
        <w:numPr>
          <w:ilvl w:val="1"/>
          <w:numId w:val="0"/>
        </w:numPr>
        <w:ind w:leftChars="0"/>
        <w:outlineLvl w:val="2"/>
        <w:rPr>
          <w:rFonts w:hint="default" w:ascii="Times New Roman" w:hAnsi="Times New Roman" w:cs="Times New Roman"/>
          <w:color w:val="auto"/>
          <w:sz w:val="28"/>
          <w:szCs w:val="28"/>
          <w:highlight w:val="none"/>
          <w:u w:val="none" w:color="auto"/>
        </w:rPr>
      </w:pPr>
      <w:r>
        <w:rPr>
          <w:rFonts w:hint="default" w:ascii="Times New Roman" w:hAnsi="Times New Roman" w:cs="Times New Roman"/>
          <w:color w:val="auto"/>
          <w:sz w:val="28"/>
          <w:szCs w:val="28"/>
          <w:highlight w:val="none"/>
          <w:u w:val="none" w:color="auto"/>
          <w:lang w:val="en-US" w:eastAsia="zh-CN"/>
        </w:rPr>
        <w:t xml:space="preserve">5.2.2 </w:t>
      </w:r>
      <w:r>
        <w:rPr>
          <w:rFonts w:hint="default" w:ascii="Times New Roman" w:hAnsi="Times New Roman" w:cs="Times New Roman"/>
          <w:color w:val="auto"/>
          <w:sz w:val="28"/>
          <w:szCs w:val="28"/>
          <w:highlight w:val="none"/>
          <w:u w:val="none" w:color="auto"/>
        </w:rPr>
        <w:t xml:space="preserve">运营期地表水环境影响预测与分析 </w:t>
      </w:r>
    </w:p>
    <w:p w14:paraId="05CDEFF4">
      <w:pPr>
        <w:pStyle w:val="441"/>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highlight w:val="none"/>
          <w:lang w:val="en-US" w:eastAsia="zh-CN"/>
        </w:rPr>
        <w:t>项目运营期地表水环境影响预测与分析详见大通湖工业园污水处理厂提质改造建设项目入河排污口设置论证专章</w:t>
      </w:r>
      <w:r>
        <w:rPr>
          <w:rFonts w:hint="default" w:ascii="Times New Roman" w:hAnsi="Times New Roman" w:eastAsia="宋体" w:cs="Times New Roman"/>
          <w:highlight w:val="none"/>
          <w:lang w:val="en-US" w:eastAsia="zh-CN"/>
        </w:rPr>
        <w:t>。</w:t>
      </w:r>
    </w:p>
    <w:p w14:paraId="655FD514">
      <w:pPr>
        <w:pStyle w:val="4"/>
        <w:numPr>
          <w:ilvl w:val="1"/>
          <w:numId w:val="0"/>
        </w:numPr>
        <w:ind w:leftChars="0"/>
        <w:outlineLvl w:val="2"/>
        <w:rPr>
          <w:rFonts w:hint="default" w:ascii="Times New Roman" w:hAnsi="Times New Roman" w:cs="Times New Roman"/>
          <w:color w:val="000000" w:themeColor="text1"/>
          <w:highlight w:val="none"/>
          <w:u w:val="none" w:color="auto"/>
          <w14:textFill>
            <w14:solidFill>
              <w14:schemeClr w14:val="tx1"/>
            </w14:solidFill>
          </w14:textFill>
        </w:rPr>
      </w:pPr>
      <w:bookmarkStart w:id="119" w:name="_Toc9627"/>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5.2.3 </w:t>
      </w:r>
      <w:r>
        <w:rPr>
          <w:rFonts w:hint="default" w:ascii="Times New Roman" w:hAnsi="Times New Roman" w:cs="Times New Roman"/>
          <w:color w:val="000000" w:themeColor="text1"/>
          <w:highlight w:val="none"/>
          <w:u w:val="none" w:color="auto"/>
          <w14:textFill>
            <w14:solidFill>
              <w14:schemeClr w14:val="tx1"/>
            </w14:solidFill>
          </w14:textFill>
        </w:rPr>
        <w:t>运营期地下水环境影响预测与分析</w:t>
      </w:r>
      <w:bookmarkEnd w:id="119"/>
    </w:p>
    <w:p w14:paraId="12279601">
      <w:pPr>
        <w:pStyle w:val="5"/>
        <w:numPr>
          <w:ilvl w:val="2"/>
          <w:numId w:val="0"/>
        </w:numPr>
        <w:outlineLvl w:val="3"/>
        <w:rPr>
          <w:rFonts w:hint="default" w:ascii="Times New Roman" w:hAnsi="Times New Roman" w:cs="Times New Roman"/>
          <w:color w:val="000000" w:themeColor="text1"/>
          <w:sz w:val="24"/>
          <w:szCs w:val="28"/>
          <w:highlight w:val="none"/>
          <w:u w:val="none" w:color="auto"/>
          <w14:textFill>
            <w14:solidFill>
              <w14:schemeClr w14:val="tx1"/>
            </w14:solidFill>
          </w14:textFill>
        </w:rPr>
      </w:pPr>
      <w:r>
        <w:rPr>
          <w:rFonts w:hint="default" w:ascii="Times New Roman" w:hAnsi="Times New Roman" w:cs="Times New Roman"/>
          <w:color w:val="000000" w:themeColor="text1"/>
          <w:sz w:val="24"/>
          <w:szCs w:val="28"/>
          <w:highlight w:val="none"/>
          <w:u w:val="none" w:color="auto"/>
          <w:lang w:val="en-US" w:eastAsia="zh-CN"/>
          <w14:textFill>
            <w14:solidFill>
              <w14:schemeClr w14:val="tx1"/>
            </w14:solidFill>
          </w14:textFill>
        </w:rPr>
        <w:t xml:space="preserve">5.2.3.1 </w:t>
      </w:r>
      <w:r>
        <w:rPr>
          <w:rFonts w:hint="default" w:ascii="Times New Roman" w:hAnsi="Times New Roman" w:cs="Times New Roman"/>
          <w:color w:val="000000" w:themeColor="text1"/>
          <w:sz w:val="24"/>
          <w:szCs w:val="28"/>
          <w:highlight w:val="none"/>
          <w:u w:val="none" w:color="auto"/>
          <w14:textFill>
            <w14:solidFill>
              <w14:schemeClr w14:val="tx1"/>
            </w14:solidFill>
          </w14:textFill>
        </w:rPr>
        <w:t>评价预测原则</w:t>
      </w:r>
    </w:p>
    <w:p w14:paraId="748E4225">
      <w:pPr>
        <w:pStyle w:val="179"/>
        <w:ind w:firstLine="48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依据《建设项目环境影响评价技术导则 总纲》（HJ2.1-2016）和《环境影响评价技术导则 地下水环境》（HJ610-2016）的规定，以能反映污染因子在含水层中的运动规律为基本原则，同时结合区域水文地质条件进行本次地下水环境影响预测评价。</w:t>
      </w:r>
    </w:p>
    <w:p w14:paraId="7026DE46">
      <w:pPr>
        <w:pStyle w:val="179"/>
        <w:ind w:firstLine="48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考虑到地下水环境污染的隐蔽性和难恢复性，项目的地下水环境影响评价遵循环境安全性原则，为评价各方案的环境安全和环境保护措施的合理性提供依据。根据《环境影响评价技术导则 地下水环境（HJ 610-2016）》附录A行业类别，建设项目地下水环境影响评价项目类别为Ⅰ类，预测项目对地下水水质可能产生的影响。</w:t>
      </w:r>
    </w:p>
    <w:p w14:paraId="1D7CB03F">
      <w:pPr>
        <w:pStyle w:val="438"/>
        <w:numPr>
          <w:ilvl w:val="4"/>
          <w:numId w:val="0"/>
        </w:numPr>
        <w:ind w:left="0" w:leftChars="0" w:firstLine="482" w:firstLineChars="200"/>
        <w:outlineLvl w:val="9"/>
        <w:rPr>
          <w:rFonts w:hint="default" w:ascii="Times New Roman" w:hAnsi="Times New Roman" w:cs="Times New Roman"/>
          <w:color w:val="auto"/>
          <w:highlight w:val="none"/>
        </w:rPr>
      </w:pP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表</w:t>
      </w:r>
      <w:r>
        <w:rPr>
          <w:rFonts w:hint="default" w:ascii="Times New Roman" w:hAnsi="Times New Roman" w:cs="Times New Roman"/>
          <w:b/>
          <w:color w:val="000000" w:themeColor="text1"/>
          <w:kern w:val="0"/>
          <w:sz w:val="24"/>
          <w:szCs w:val="24"/>
          <w:highlight w:val="none"/>
          <w:lang w:val="en-US" w:eastAsia="zh-CN" w:bidi="ar-SA"/>
          <w14:textFill>
            <w14:solidFill>
              <w14:schemeClr w14:val="tx1"/>
            </w14:solidFill>
          </w14:textFill>
        </w:rPr>
        <w:t>5.2</w:t>
      </w: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-1</w:t>
      </w:r>
      <w:r>
        <w:rPr>
          <w:rFonts w:hint="default" w:ascii="Times New Roman" w:hAnsi="Times New Roman" w:cs="Times New Roman"/>
          <w:b/>
          <w:color w:val="000000" w:themeColor="text1"/>
          <w:kern w:val="0"/>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 xml:space="preserve"> </w:t>
      </w:r>
      <w:r>
        <w:rPr>
          <w:rFonts w:hint="default" w:ascii="Times New Roman" w:hAnsi="Times New Roman" w:cs="Times New Roman"/>
          <w:color w:val="auto"/>
          <w:highlight w:val="none"/>
        </w:rPr>
        <w:t>地下水环境影响评价行业分类表</w:t>
      </w:r>
    </w:p>
    <w:tbl>
      <w:tblPr>
        <w:tblStyle w:val="7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94"/>
        <w:gridCol w:w="1083"/>
        <w:gridCol w:w="1083"/>
        <w:gridCol w:w="1619"/>
        <w:gridCol w:w="1625"/>
      </w:tblGrid>
      <w:tr w14:paraId="69650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9" w:type="pct"/>
            <w:vMerge w:val="restart"/>
            <w:tcBorders>
              <w:tl2br w:val="single" w:color="auto" w:sz="4" w:space="0"/>
            </w:tcBorders>
            <w:vAlign w:val="center"/>
          </w:tcPr>
          <w:p w14:paraId="5446EE4E">
            <w:pPr>
              <w:keepNext w:val="0"/>
              <w:keepLines w:val="0"/>
              <w:widowControl/>
              <w:suppressLineNumbers w:val="0"/>
              <w:spacing w:before="0" w:beforeAutospacing="0" w:after="0" w:afterAutospacing="0" w:line="240" w:lineRule="auto"/>
              <w:ind w:left="0" w:right="0"/>
              <w:jc w:val="right"/>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环评类别</w:t>
            </w:r>
          </w:p>
          <w:p w14:paraId="16DE9FC4">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仿宋_GB2312" w:cs="Times New Roman"/>
                <w:b/>
                <w:bCs/>
                <w:color w:val="auto"/>
                <w:sz w:val="21"/>
                <w:szCs w:val="21"/>
                <w:highlight w:val="none"/>
              </w:rPr>
            </w:pPr>
            <w:r>
              <w:rPr>
                <w:rFonts w:hint="default" w:ascii="Times New Roman" w:hAnsi="Times New Roman" w:cs="Times New Roman"/>
                <w:b/>
                <w:bCs/>
                <w:color w:val="auto"/>
                <w:sz w:val="21"/>
                <w:szCs w:val="21"/>
                <w:highlight w:val="none"/>
                <w:lang w:bidi="ar"/>
              </w:rPr>
              <w:t>行业类别</w:t>
            </w:r>
          </w:p>
        </w:tc>
        <w:tc>
          <w:tcPr>
            <w:tcW w:w="637" w:type="pct"/>
            <w:vMerge w:val="restart"/>
            <w:tcBorders>
              <w:tl2br w:val="nil"/>
              <w:tr2bl w:val="nil"/>
            </w:tcBorders>
            <w:vAlign w:val="center"/>
          </w:tcPr>
          <w:p w14:paraId="5389381B">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报告书</w:t>
            </w:r>
          </w:p>
        </w:tc>
        <w:tc>
          <w:tcPr>
            <w:tcW w:w="637" w:type="pct"/>
            <w:vMerge w:val="restart"/>
            <w:tcBorders>
              <w:tl2br w:val="nil"/>
              <w:tr2bl w:val="nil"/>
            </w:tcBorders>
            <w:vAlign w:val="center"/>
          </w:tcPr>
          <w:p w14:paraId="61F8F3AB">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报告表</w:t>
            </w:r>
          </w:p>
        </w:tc>
        <w:tc>
          <w:tcPr>
            <w:tcW w:w="1905" w:type="pct"/>
            <w:gridSpan w:val="2"/>
            <w:tcBorders>
              <w:tl2br w:val="nil"/>
              <w:tr2bl w:val="nil"/>
            </w:tcBorders>
            <w:vAlign w:val="center"/>
          </w:tcPr>
          <w:p w14:paraId="67BA3D29">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地下水环境影响评价类别</w:t>
            </w:r>
          </w:p>
        </w:tc>
      </w:tr>
      <w:tr w14:paraId="4DBD0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9" w:type="pct"/>
            <w:vMerge w:val="continue"/>
            <w:tcBorders>
              <w:tl2br w:val="nil"/>
              <w:tr2bl w:val="nil"/>
            </w:tcBorders>
            <w:vAlign w:val="center"/>
          </w:tcPr>
          <w:p w14:paraId="763A2BDD">
            <w:pPr>
              <w:keepNext w:val="0"/>
              <w:keepLines w:val="0"/>
              <w:widowControl w:val="0"/>
              <w:suppressLineNumbers w:val="0"/>
              <w:autoSpaceDE w:val="0"/>
              <w:autoSpaceDN w:val="0"/>
              <w:adjustRightInd w:val="0"/>
              <w:spacing w:before="0" w:beforeAutospacing="0" w:after="0" w:afterAutospacing="0" w:line="240" w:lineRule="auto"/>
              <w:ind w:left="0" w:right="0" w:firstLine="454"/>
              <w:jc w:val="center"/>
              <w:rPr>
                <w:rFonts w:hint="default" w:ascii="Times New Roman" w:hAnsi="Times New Roman" w:eastAsia="仿宋_GB2312" w:cs="Times New Roman"/>
                <w:b/>
                <w:bCs/>
                <w:color w:val="auto"/>
                <w:sz w:val="21"/>
                <w:szCs w:val="21"/>
                <w:highlight w:val="none"/>
              </w:rPr>
            </w:pPr>
          </w:p>
        </w:tc>
        <w:tc>
          <w:tcPr>
            <w:tcW w:w="637" w:type="pct"/>
            <w:vMerge w:val="continue"/>
            <w:tcBorders>
              <w:tl2br w:val="nil"/>
              <w:tr2bl w:val="nil"/>
            </w:tcBorders>
            <w:vAlign w:val="center"/>
          </w:tcPr>
          <w:p w14:paraId="19522965">
            <w:pPr>
              <w:keepNext w:val="0"/>
              <w:keepLines w:val="0"/>
              <w:widowControl w:val="0"/>
              <w:suppressLineNumbers w:val="0"/>
              <w:autoSpaceDE w:val="0"/>
              <w:autoSpaceDN w:val="0"/>
              <w:adjustRightInd w:val="0"/>
              <w:spacing w:before="0" w:beforeAutospacing="0" w:after="0" w:afterAutospacing="0" w:line="240" w:lineRule="auto"/>
              <w:ind w:left="0" w:right="0" w:firstLine="454"/>
              <w:jc w:val="center"/>
              <w:rPr>
                <w:rFonts w:hint="default" w:ascii="Times New Roman" w:hAnsi="Times New Roman" w:eastAsia="仿宋_GB2312" w:cs="Times New Roman"/>
                <w:b/>
                <w:bCs/>
                <w:color w:val="auto"/>
                <w:sz w:val="21"/>
                <w:szCs w:val="21"/>
                <w:highlight w:val="none"/>
              </w:rPr>
            </w:pPr>
          </w:p>
        </w:tc>
        <w:tc>
          <w:tcPr>
            <w:tcW w:w="637" w:type="pct"/>
            <w:vMerge w:val="continue"/>
            <w:tcBorders>
              <w:tl2br w:val="nil"/>
              <w:tr2bl w:val="nil"/>
            </w:tcBorders>
            <w:vAlign w:val="center"/>
          </w:tcPr>
          <w:p w14:paraId="00985A72">
            <w:pPr>
              <w:keepNext w:val="0"/>
              <w:keepLines w:val="0"/>
              <w:widowControl w:val="0"/>
              <w:suppressLineNumbers w:val="0"/>
              <w:autoSpaceDE w:val="0"/>
              <w:autoSpaceDN w:val="0"/>
              <w:adjustRightInd w:val="0"/>
              <w:spacing w:before="0" w:beforeAutospacing="0" w:after="0" w:afterAutospacing="0" w:line="240" w:lineRule="auto"/>
              <w:ind w:left="0" w:right="0" w:firstLine="454"/>
              <w:jc w:val="center"/>
              <w:rPr>
                <w:rFonts w:hint="default" w:ascii="Times New Roman" w:hAnsi="Times New Roman" w:eastAsia="仿宋_GB2312" w:cs="Times New Roman"/>
                <w:b/>
                <w:bCs/>
                <w:color w:val="auto"/>
                <w:sz w:val="21"/>
                <w:szCs w:val="21"/>
                <w:highlight w:val="none"/>
              </w:rPr>
            </w:pPr>
          </w:p>
        </w:tc>
        <w:tc>
          <w:tcPr>
            <w:tcW w:w="952" w:type="pct"/>
            <w:tcBorders>
              <w:tl2br w:val="nil"/>
              <w:tr2bl w:val="nil"/>
            </w:tcBorders>
            <w:vAlign w:val="center"/>
          </w:tcPr>
          <w:p w14:paraId="5FA9C13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报告书</w:t>
            </w:r>
          </w:p>
        </w:tc>
        <w:tc>
          <w:tcPr>
            <w:tcW w:w="952" w:type="pct"/>
            <w:tcBorders>
              <w:tl2br w:val="nil"/>
              <w:tr2bl w:val="nil"/>
            </w:tcBorders>
            <w:vAlign w:val="center"/>
          </w:tcPr>
          <w:p w14:paraId="4173EEDC">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报告表</w:t>
            </w:r>
          </w:p>
        </w:tc>
      </w:tr>
      <w:tr w14:paraId="744D8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349F4EF3">
            <w:pPr>
              <w:keepNext w:val="0"/>
              <w:keepLines w:val="0"/>
              <w:widowControl/>
              <w:suppressLineNumbers w:val="0"/>
              <w:spacing w:before="0" w:beforeAutospacing="0" w:after="0" w:afterAutospacing="0" w:line="240" w:lineRule="auto"/>
              <w:ind w:left="0" w:right="0"/>
              <w:jc w:val="both"/>
              <w:rPr>
                <w:rFonts w:hint="default" w:ascii="Times New Roman" w:hAnsi="Times New Roman" w:eastAsia="仿宋_GB2312" w:cs="Times New Roman"/>
                <w:color w:val="auto"/>
                <w:sz w:val="21"/>
                <w:szCs w:val="21"/>
                <w:highlight w:val="none"/>
              </w:rPr>
            </w:pPr>
            <w:r>
              <w:rPr>
                <w:rFonts w:hint="default" w:ascii="Times New Roman" w:hAnsi="Times New Roman" w:cs="Times New Roman"/>
                <w:b/>
                <w:bCs/>
                <w:color w:val="auto"/>
                <w:sz w:val="21"/>
                <w:szCs w:val="21"/>
                <w:highlight w:val="none"/>
                <w:lang w:bidi="ar"/>
              </w:rPr>
              <w:t>U 城镇基础设施及房地产</w:t>
            </w:r>
          </w:p>
        </w:tc>
      </w:tr>
      <w:tr w14:paraId="2F87B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9" w:type="pct"/>
            <w:tcBorders>
              <w:tl2br w:val="nil"/>
              <w:tr2bl w:val="nil"/>
            </w:tcBorders>
            <w:vAlign w:val="center"/>
          </w:tcPr>
          <w:p w14:paraId="20E6C7F0">
            <w:pPr>
              <w:keepNext w:val="0"/>
              <w:keepLines w:val="0"/>
              <w:widowControl/>
              <w:suppressLineNumbers w:val="0"/>
              <w:spacing w:before="0" w:beforeAutospacing="0" w:after="0" w:afterAutospacing="0" w:line="240" w:lineRule="auto"/>
              <w:ind w:left="0" w:right="0"/>
              <w:jc w:val="both"/>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145、工业废水集中处理</w:t>
            </w:r>
          </w:p>
        </w:tc>
        <w:tc>
          <w:tcPr>
            <w:tcW w:w="637" w:type="pct"/>
            <w:tcBorders>
              <w:tl2br w:val="nil"/>
              <w:tr2bl w:val="nil"/>
            </w:tcBorders>
            <w:vAlign w:val="center"/>
          </w:tcPr>
          <w:p w14:paraId="17EB0BB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全部</w:t>
            </w:r>
          </w:p>
        </w:tc>
        <w:tc>
          <w:tcPr>
            <w:tcW w:w="637" w:type="pct"/>
            <w:tcBorders>
              <w:tl2br w:val="nil"/>
              <w:tr2bl w:val="nil"/>
            </w:tcBorders>
            <w:vAlign w:val="center"/>
          </w:tcPr>
          <w:p w14:paraId="144E57F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w:t>
            </w:r>
          </w:p>
        </w:tc>
        <w:tc>
          <w:tcPr>
            <w:tcW w:w="952" w:type="pct"/>
            <w:tcBorders>
              <w:tl2br w:val="nil"/>
              <w:tr2bl w:val="nil"/>
            </w:tcBorders>
            <w:vAlign w:val="center"/>
          </w:tcPr>
          <w:p w14:paraId="6EDFA3A9">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I类</w:t>
            </w:r>
          </w:p>
        </w:tc>
        <w:tc>
          <w:tcPr>
            <w:tcW w:w="952" w:type="pct"/>
            <w:tcBorders>
              <w:tl2br w:val="nil"/>
              <w:tr2bl w:val="nil"/>
            </w:tcBorders>
            <w:vAlign w:val="center"/>
          </w:tcPr>
          <w:p w14:paraId="31F30C6F">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bidi="ar"/>
              </w:rPr>
            </w:pPr>
          </w:p>
        </w:tc>
      </w:tr>
    </w:tbl>
    <w:p w14:paraId="0927B054">
      <w:pPr>
        <w:pStyle w:val="5"/>
        <w:numPr>
          <w:ilvl w:val="2"/>
          <w:numId w:val="0"/>
        </w:numPr>
        <w:outlineLvl w:val="3"/>
        <w:rPr>
          <w:rFonts w:hint="default" w:ascii="Times New Roman" w:hAnsi="Times New Roman" w:cs="Times New Roman"/>
          <w:color w:val="000000" w:themeColor="text1"/>
          <w:sz w:val="24"/>
          <w:szCs w:val="28"/>
          <w:highlight w:val="none"/>
          <w:u w:val="none" w:color="auto"/>
          <w14:textFill>
            <w14:solidFill>
              <w14:schemeClr w14:val="tx1"/>
            </w14:solidFill>
          </w14:textFill>
        </w:rPr>
      </w:pPr>
      <w:r>
        <w:rPr>
          <w:rFonts w:hint="default" w:ascii="Times New Roman" w:hAnsi="Times New Roman" w:cs="Times New Roman"/>
          <w:color w:val="000000" w:themeColor="text1"/>
          <w:sz w:val="24"/>
          <w:szCs w:val="28"/>
          <w:highlight w:val="none"/>
          <w:u w:val="none" w:color="auto"/>
          <w:lang w:val="en-US" w:eastAsia="zh-CN"/>
          <w14:textFill>
            <w14:solidFill>
              <w14:schemeClr w14:val="tx1"/>
            </w14:solidFill>
          </w14:textFill>
        </w:rPr>
        <w:t xml:space="preserve">5.2.3.2 </w:t>
      </w:r>
      <w:r>
        <w:rPr>
          <w:rFonts w:hint="default" w:ascii="Times New Roman" w:hAnsi="Times New Roman" w:cs="Times New Roman"/>
          <w:color w:val="000000" w:themeColor="text1"/>
          <w:sz w:val="24"/>
          <w:szCs w:val="28"/>
          <w:highlight w:val="none"/>
          <w:u w:val="none" w:color="auto"/>
          <w14:textFill>
            <w14:solidFill>
              <w14:schemeClr w14:val="tx1"/>
            </w14:solidFill>
          </w14:textFill>
        </w:rPr>
        <w:t>评价预测基本情况</w:t>
      </w:r>
    </w:p>
    <w:p w14:paraId="4889F19B">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预测范围：根据项目场区所处的地理位置，从水文地质条件上分析，工程建设后会对附近地下水产生污染潜势，本次确定地下水环境影响预测范围与调查评价范围一致，即厂址周边</w:t>
      </w:r>
      <w:r>
        <w:rPr>
          <w:rFonts w:hint="default" w:ascii="Times New Roman" w:hAnsi="Times New Roman" w:cs="Times New Roman"/>
          <w:color w:val="000000" w:themeColor="text1"/>
          <w:highlight w:val="none"/>
          <w:u w:val="none" w:color="auto"/>
          <w:lang w:eastAsia="zh-CN"/>
          <w14:textFill>
            <w14:solidFill>
              <w14:schemeClr w14:val="tx1"/>
            </w14:solidFill>
          </w14:textFill>
        </w:rPr>
        <w:t>6km</w:t>
      </w:r>
      <w:r>
        <w:rPr>
          <w:rFonts w:hint="default" w:ascii="Times New Roman" w:hAnsi="Times New Roman" w:cs="Times New Roman"/>
          <w:color w:val="000000" w:themeColor="text1"/>
          <w:highlight w:val="none"/>
          <w:u w:val="none" w:color="auto"/>
          <w:vertAlign w:val="superscript"/>
          <w:lang w:eastAsia="zh-CN"/>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的区域。</w:t>
      </w:r>
    </w:p>
    <w:p w14:paraId="359D89E4">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预测内容：一般情况下，污水处理厂各池体均按照相关技术规范进行了防渗，故本评价主要预测非正常工况下，对场址及附近潜水影响进行预测评价。</w:t>
      </w:r>
    </w:p>
    <w:p w14:paraId="2FBD6645">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预测因子：以同样浓度和体积的污染物注入含水层，如果氨氮含量不超标，则其余非持久性污染物基本都不会超标，因此计算选取对地下水环境质量影响负荷较大的氨氮指标作为非持久性污染物代表性污染物进行模拟预测，《地下水质量标准》(GB/T14848-2017)</w:t>
      </w:r>
      <w:r>
        <w:rPr>
          <w:rFonts w:hint="default" w:ascii="Times New Roman" w:hAnsi="Times New Roman" w:eastAsia="宋体" w:cs="Times New Roman"/>
          <w:color w:val="000000" w:themeColor="text1"/>
          <w:highlight w:val="none"/>
          <w:u w:val="none" w:color="auto"/>
          <w14:textFill>
            <w14:solidFill>
              <w14:schemeClr w14:val="tx1"/>
            </w14:solidFill>
          </w14:textFill>
        </w:rPr>
        <w:t>Ⅲ</w:t>
      </w:r>
      <w:r>
        <w:rPr>
          <w:rFonts w:hint="default" w:ascii="Times New Roman" w:hAnsi="Times New Roman" w:cs="Times New Roman"/>
          <w:color w:val="000000" w:themeColor="text1"/>
          <w:highlight w:val="none"/>
          <w:u w:val="none" w:color="auto"/>
          <w14:textFill>
            <w14:solidFill>
              <w14:schemeClr w14:val="tx1"/>
            </w14:solidFill>
          </w14:textFill>
        </w:rPr>
        <w:t>类标准值为0.5mg/L。</w:t>
      </w:r>
    </w:p>
    <w:p w14:paraId="6838A6FB">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评价预测时段：根据本建设项目的类型，结合《环境影响评价技术导则-地下水环境》(HJ 610-2016)的规定，拟建项目的评价预测时段可以分为以下三个关键时段：污染发生后100天、污染发生后1000天和污染发生后</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t>000天。</w:t>
      </w:r>
    </w:p>
    <w:p w14:paraId="784F74F2">
      <w:pPr>
        <w:pStyle w:val="5"/>
        <w:numPr>
          <w:ilvl w:val="2"/>
          <w:numId w:val="0"/>
        </w:numPr>
        <w:ind w:leftChars="0" w:firstLine="482" w:firstLineChars="200"/>
        <w:outlineLvl w:val="3"/>
        <w:rPr>
          <w:rFonts w:hint="default" w:ascii="Times New Roman" w:hAnsi="Times New Roman" w:cs="Times New Roman"/>
          <w:color w:val="000000" w:themeColor="text1"/>
          <w:sz w:val="24"/>
          <w:szCs w:val="28"/>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z w:val="24"/>
          <w:szCs w:val="28"/>
          <w:highlight w:val="none"/>
          <w:u w:val="wave" w:color="auto"/>
          <w:lang w:val="en-US" w:eastAsia="zh-CN"/>
          <w14:textFill>
            <w14:solidFill>
              <w14:schemeClr w14:val="tx1"/>
            </w14:solidFill>
          </w14:textFill>
        </w:rPr>
        <w:t>5.2.3.3 预测方法</w:t>
      </w:r>
    </w:p>
    <w:p w14:paraId="404F712E">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由于项目所处位置水文地质条件简单，按《环境影响评价技术导则-地下水环境》(HJ 610-2016)的要求，本次采用评价方法为解析法。</w:t>
      </w:r>
    </w:p>
    <w:p w14:paraId="1E27175D">
      <w:pPr>
        <w:pStyle w:val="398"/>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（1）水文地质条件概化</w:t>
      </w:r>
    </w:p>
    <w:p w14:paraId="55DCF1B3">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项目所在区域</w:t>
      </w:r>
      <w:r>
        <w:rPr>
          <w:rFonts w:hint="default" w:ascii="Times New Roman" w:hAnsi="Times New Roman" w:cs="Times New Roman"/>
          <w:color w:val="000000" w:themeColor="text1"/>
          <w:highlight w:val="none"/>
          <w:u w:val="wave" w:color="auto"/>
          <w14:textFill>
            <w14:solidFill>
              <w14:schemeClr w14:val="tx1"/>
            </w14:solidFill>
          </w14:textFill>
        </w:rPr>
        <w:t>主要分布于第</w:t>
      </w:r>
      <w:r>
        <w:rPr>
          <w:rFonts w:hint="default" w:ascii="Times New Roman" w:hAnsi="Times New Roman" w:eastAsia="宋体" w:cs="Times New Roman"/>
          <w:color w:val="000000" w:themeColor="text1"/>
          <w:highlight w:val="none"/>
          <w:u w:val="wave" w:color="auto"/>
          <w14:textFill>
            <w14:solidFill>
              <w14:schemeClr w14:val="tx1"/>
            </w14:solidFill>
          </w14:textFill>
        </w:rPr>
        <w:t>②</w:t>
      </w:r>
      <w:r>
        <w:rPr>
          <w:rFonts w:hint="default" w:ascii="Times New Roman" w:hAnsi="Times New Roman" w:cs="Times New Roman"/>
          <w:color w:val="000000" w:themeColor="text1"/>
          <w:highlight w:val="none"/>
          <w:u w:val="wave" w:color="auto"/>
          <w14:textFill>
            <w14:solidFill>
              <w14:schemeClr w14:val="tx1"/>
            </w14:solidFill>
          </w14:textFill>
        </w:rPr>
        <w:t>层</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粉质</w:t>
      </w:r>
      <w:r>
        <w:rPr>
          <w:rFonts w:hint="default" w:ascii="Times New Roman" w:hAnsi="Times New Roman" w:cs="Times New Roman"/>
          <w:color w:val="000000" w:themeColor="text1"/>
          <w:highlight w:val="none"/>
          <w:u w:val="wave" w:color="auto"/>
          <w14:textFill>
            <w14:solidFill>
              <w14:schemeClr w14:val="tx1"/>
            </w14:solidFill>
          </w14:textFill>
        </w:rPr>
        <w:t>及第</w:t>
      </w:r>
      <w:r>
        <w:rPr>
          <w:rFonts w:hint="default" w:ascii="Times New Roman" w:hAnsi="Times New Roman" w:eastAsia="宋体" w:cs="Times New Roman"/>
          <w:color w:val="000000" w:themeColor="text1"/>
          <w:highlight w:val="none"/>
          <w:u w:val="wave" w:color="auto"/>
          <w14:textFill>
            <w14:solidFill>
              <w14:schemeClr w14:val="tx1"/>
            </w14:solidFill>
          </w14:textFill>
        </w:rPr>
        <w:t>③</w:t>
      </w:r>
      <w:r>
        <w:rPr>
          <w:rFonts w:hint="default" w:ascii="Times New Roman" w:hAnsi="Times New Roman" w:cs="Times New Roman"/>
          <w:color w:val="000000" w:themeColor="text1"/>
          <w:highlight w:val="none"/>
          <w:u w:val="wave" w:color="auto"/>
          <w14:textFill>
            <w14:solidFill>
              <w14:schemeClr w14:val="tx1"/>
            </w14:solidFill>
          </w14:textFill>
        </w:rPr>
        <w:t>层粉质黏土中的孔隙潜水，水量较小，场地地势较低洼，地下水补给条件较好，主要补给为大气降水下渗，水位及水量受季节变化影响较大，地下水排泄方式以蒸发排泄及低洼地段渗流排泄为主。地下水埋藏较浅，地下水分布较均匀，地下水力坡度较缓，地下水总体由西</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北</w:t>
      </w:r>
      <w:r>
        <w:rPr>
          <w:rFonts w:hint="default" w:ascii="Times New Roman" w:hAnsi="Times New Roman" w:cs="Times New Roman"/>
          <w:color w:val="000000" w:themeColor="text1"/>
          <w:highlight w:val="none"/>
          <w:u w:val="wave" w:color="auto"/>
          <w14:textFill>
            <w14:solidFill>
              <w14:schemeClr w14:val="tx1"/>
            </w14:solidFill>
          </w14:textFill>
        </w:rPr>
        <w:t>向东</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南</w:t>
      </w:r>
      <w:r>
        <w:rPr>
          <w:rFonts w:hint="default" w:ascii="Times New Roman" w:hAnsi="Times New Roman" w:cs="Times New Roman"/>
          <w:color w:val="000000" w:themeColor="text1"/>
          <w:highlight w:val="none"/>
          <w:u w:val="wave" w:color="auto"/>
          <w14:textFill>
            <w14:solidFill>
              <w14:schemeClr w14:val="tx1"/>
            </w14:solidFill>
          </w14:textFill>
        </w:rPr>
        <w:t>分散排泄。故将本厂区水文地质条件概化为“单层且含水介质均匀的含水层”水文地质模型。</w:t>
      </w:r>
    </w:p>
    <w:p w14:paraId="5C7A17CC">
      <w:pPr>
        <w:pStyle w:val="398"/>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（2）污染源概化</w:t>
      </w:r>
    </w:p>
    <w:p w14:paraId="41E8C6F7">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本区污染源应为本工程通过污水管道收集的污水，工程运行后，在事故状态下，主要考虑污水未处理前调节池的防渗设施损坏，造成污染物穿过防渗层及包气带进入地下含水层，使地下水受到污染，此时，污染源的排放规律可以概化为连续排放。</w:t>
      </w:r>
    </w:p>
    <w:p w14:paraId="17B12214">
      <w:pPr>
        <w:pStyle w:val="5"/>
        <w:numPr>
          <w:ilvl w:val="2"/>
          <w:numId w:val="0"/>
        </w:numPr>
        <w:ind w:leftChars="0" w:firstLine="482" w:firstLineChars="200"/>
        <w:outlineLvl w:val="3"/>
        <w:rPr>
          <w:rFonts w:hint="default" w:ascii="Times New Roman" w:hAnsi="Times New Roman" w:cs="Times New Roman"/>
          <w:color w:val="000000" w:themeColor="text1"/>
          <w:sz w:val="24"/>
          <w:szCs w:val="28"/>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z w:val="24"/>
          <w:szCs w:val="28"/>
          <w:highlight w:val="none"/>
          <w:u w:val="wave" w:color="auto"/>
          <w:lang w:val="en-US" w:eastAsia="zh-CN"/>
          <w14:textFill>
            <w14:solidFill>
              <w14:schemeClr w14:val="tx1"/>
            </w14:solidFill>
          </w14:textFill>
        </w:rPr>
        <w:t>5.2.3.4 预测场景与源强</w:t>
      </w:r>
    </w:p>
    <w:p w14:paraId="1FD7A1EA">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工程投产运行5年后由于各种原因，在调节池底部5%面积出现裂缝，并持续渗漏，进入到地下水中渗漏量可根据达西定律计算。公式入如下：</w:t>
      </w:r>
    </w:p>
    <w:p w14:paraId="74C72509">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Q=K·F·I   </w:t>
      </w:r>
    </w:p>
    <w:p w14:paraId="62532B8A">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式中：Q——单位时间渗透量（m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wave" w:color="auto"/>
          <w14:textFill>
            <w14:solidFill>
              <w14:schemeClr w14:val="tx1"/>
            </w14:solidFill>
          </w14:textFill>
        </w:rPr>
        <w:t>/d）；</w:t>
      </w:r>
    </w:p>
    <w:p w14:paraId="16FD1C47">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K——为渗透系数（m/d）；K取</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w:t>
      </w:r>
      <w:r>
        <w:rPr>
          <w:rFonts w:hint="default" w:ascii="Times New Roman" w:hAnsi="Times New Roman" w:cs="Times New Roman"/>
          <w:color w:val="000000" w:themeColor="text1"/>
          <w:highlight w:val="none"/>
          <w:u w:val="wave" w:color="auto"/>
          <w14:textFill>
            <w14:solidFill>
              <w14:schemeClr w14:val="tx1"/>
            </w14:solidFill>
          </w14:textFill>
        </w:rPr>
        <w:t>×10</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-5</w:t>
      </w:r>
      <w:r>
        <w:rPr>
          <w:rFonts w:hint="default" w:ascii="Times New Roman" w:hAnsi="Times New Roman" w:cs="Times New Roman"/>
          <w:color w:val="000000" w:themeColor="text1"/>
          <w:highlight w:val="none"/>
          <w:u w:val="wave" w:color="auto"/>
          <w14:textFill>
            <w14:solidFill>
              <w14:schemeClr w14:val="tx1"/>
            </w14:solidFill>
          </w14:textFill>
        </w:rPr>
        <w:t>cm/s（即0.05m/d）。</w:t>
      </w:r>
    </w:p>
    <w:p w14:paraId="5B8CC71B">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F——污水池破损面积；取</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136</w:t>
      </w:r>
      <w:r>
        <w:rPr>
          <w:rFonts w:hint="default" w:ascii="Times New Roman" w:hAnsi="Times New Roman" w:cs="Times New Roman"/>
          <w:color w:val="000000" w:themeColor="text1"/>
          <w:highlight w:val="none"/>
          <w:u w:val="wave" w:color="auto"/>
          <w14:textFill>
            <w14:solidFill>
              <w14:schemeClr w14:val="tx1"/>
            </w14:solidFill>
          </w14:textFill>
        </w:rPr>
        <w:t>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×5%=</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6.8</w:t>
      </w:r>
      <w:r>
        <w:rPr>
          <w:rFonts w:hint="default" w:ascii="Times New Roman" w:hAnsi="Times New Roman" w:cs="Times New Roman"/>
          <w:color w:val="000000" w:themeColor="text1"/>
          <w:highlight w:val="none"/>
          <w:u w:val="wave" w:color="auto"/>
          <w14:textFill>
            <w14:solidFill>
              <w14:schemeClr w14:val="tx1"/>
            </w14:solidFill>
          </w14:textFill>
        </w:rPr>
        <w:t>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w:t>
      </w:r>
    </w:p>
    <w:p w14:paraId="6E6C5991">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I——为水力坡</w:t>
      </w:r>
      <w:r>
        <w:rPr>
          <w:rFonts w:hint="eastAsia" w:cs="Times New Roman"/>
          <w:color w:val="000000" w:themeColor="text1"/>
          <w:highlight w:val="none"/>
          <w:u w:val="wave" w:color="auto"/>
          <w:lang w:val="en-US" w:eastAsia="zh-CN"/>
          <w14:textFill>
            <w14:solidFill>
              <w14:schemeClr w14:val="tx1"/>
            </w14:solidFill>
          </w14:textFill>
        </w:rPr>
        <w:t>降</w:t>
      </w:r>
      <w:r>
        <w:rPr>
          <w:rFonts w:hint="default" w:ascii="Times New Roman" w:hAnsi="Times New Roman" w:cs="Times New Roman"/>
          <w:color w:val="000000" w:themeColor="text1"/>
          <w:highlight w:val="none"/>
          <w:u w:val="wave" w:color="auto"/>
          <w14:textFill>
            <w14:solidFill>
              <w14:schemeClr w14:val="tx1"/>
            </w14:solidFill>
          </w14:textFill>
        </w:rPr>
        <w:t>；池内水位高4米，砼厚1米，I近似等于4。</w:t>
      </w:r>
    </w:p>
    <w:p w14:paraId="61694FB4">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计算得污水池事故工况下：渗透量为</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1.36</w:t>
      </w:r>
      <w:r>
        <w:rPr>
          <w:rFonts w:hint="default" w:ascii="Times New Roman" w:hAnsi="Times New Roman" w:cs="Times New Roman"/>
          <w:color w:val="000000" w:themeColor="text1"/>
          <w:highlight w:val="none"/>
          <w:u w:val="wave" w:color="auto"/>
          <w14:textFill>
            <w14:solidFill>
              <w14:schemeClr w14:val="tx1"/>
            </w14:solidFill>
          </w14:textFill>
        </w:rPr>
        <w:t>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wave" w:color="auto"/>
          <w14:textFill>
            <w14:solidFill>
              <w14:schemeClr w14:val="tx1"/>
            </w14:solidFill>
          </w14:textFill>
        </w:rPr>
        <w:t>/d。</w:t>
      </w:r>
    </w:p>
    <w:p w14:paraId="1615BFBB">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假设污水中的氨氮（NH</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3</w:t>
      </w:r>
      <w:r>
        <w:rPr>
          <w:rFonts w:hint="default" w:ascii="Times New Roman" w:hAnsi="Times New Roman" w:cs="Times New Roman"/>
          <w:color w:val="000000" w:themeColor="text1"/>
          <w:highlight w:val="none"/>
          <w:u w:val="wave" w:color="auto"/>
          <w14:textFill>
            <w14:solidFill>
              <w14:schemeClr w14:val="tx1"/>
            </w14:solidFill>
          </w14:textFill>
        </w:rPr>
        <w:t>-N）浓度为进水浓度</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45</w:t>
      </w:r>
      <w:r>
        <w:rPr>
          <w:rFonts w:hint="default" w:ascii="Times New Roman" w:hAnsi="Times New Roman" w:cs="Times New Roman"/>
          <w:color w:val="000000" w:themeColor="text1"/>
          <w:highlight w:val="none"/>
          <w:u w:val="wave" w:color="auto"/>
          <w14:textFill>
            <w14:solidFill>
              <w14:schemeClr w14:val="tx1"/>
            </w14:solidFill>
          </w14:textFill>
        </w:rPr>
        <w:t>mg/L。按最不利情况考虑，不考虑土壤的吸附情况下进行预测。</w:t>
      </w:r>
    </w:p>
    <w:p w14:paraId="5F243554">
      <w:pPr>
        <w:pStyle w:val="5"/>
        <w:numPr>
          <w:ilvl w:val="2"/>
          <w:numId w:val="0"/>
        </w:numPr>
        <w:ind w:leftChars="0" w:firstLine="482" w:firstLineChars="200"/>
        <w:outlineLvl w:val="3"/>
        <w:rPr>
          <w:rFonts w:hint="default" w:ascii="Times New Roman" w:hAnsi="Times New Roman" w:cs="Times New Roman"/>
          <w:color w:val="000000" w:themeColor="text1"/>
          <w:sz w:val="24"/>
          <w:szCs w:val="28"/>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z w:val="24"/>
          <w:szCs w:val="28"/>
          <w:highlight w:val="none"/>
          <w:u w:val="wave" w:color="auto"/>
          <w:lang w:val="en-US" w:eastAsia="zh-CN"/>
          <w14:textFill>
            <w14:solidFill>
              <w14:schemeClr w14:val="tx1"/>
            </w14:solidFill>
          </w14:textFill>
        </w:rPr>
        <w:t>5.2.3.5 观测模型的建立</w:t>
      </w:r>
    </w:p>
    <w:p w14:paraId="0A1AABDE">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本次评价预测在厂区防渗措施破损的情况下，废水池发生泄漏事故时对地下水环境可能造成的影响。事故状态下污染物的运移可概化为示踪剂瞬时（事故时）注入的一维稳定流动二维水动力弥散问题。根据《环境影响评价技术导则地下水环境》（HJ610－2016），本文采用导则D.1.2.2一维稳定流动二维水动力弥散问题中的“连续注入示踪剂——平面连续点源”模型。具体公式如下：</w:t>
      </w:r>
    </w:p>
    <w:p w14:paraId="0D30FC14">
      <w:pPr>
        <w:pStyle w:val="179"/>
        <w:ind w:firstLine="480"/>
        <w:rPr>
          <w:rStyle w:val="190"/>
          <w:rFonts w:hint="default" w:ascii="Times New Roman" w:hAnsi="Times New Roman" w:cs="Times New Roman"/>
          <w:color w:val="000000" w:themeColor="text1"/>
          <w:highlight w:val="none"/>
          <w:u w:val="wave" w:color="auto"/>
          <w14:textFill>
            <w14:solidFill>
              <w14:schemeClr w14:val="tx1"/>
            </w14:solidFill>
          </w14:textFill>
        </w:rPr>
      </w:pPr>
      <w:r>
        <w:rPr>
          <w:rStyle w:val="190"/>
          <w:rFonts w:hint="default" w:ascii="Times New Roman" w:hAnsi="Times New Roman" w:cs="Times New Roman"/>
          <w:color w:val="000000" w:themeColor="text1"/>
          <w:highlight w:val="none"/>
          <w:u w:val="wave" w:color="auto"/>
          <w14:textFill>
            <w14:solidFill>
              <w14:schemeClr w14:val="tx1"/>
            </w14:solidFill>
          </w14:textFill>
        </w:rPr>
        <w:t>D1.2.2.2连续注入示踪剂——平面连续点源的（D.4、D.5）式：</w:t>
      </w:r>
    </w:p>
    <w:p w14:paraId="0B7C8412">
      <w:pPr>
        <w:pStyle w:val="179"/>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drawing>
          <wp:inline distT="0" distB="0" distL="0" distR="0">
            <wp:extent cx="3754120" cy="1057275"/>
            <wp:effectExtent l="0" t="0" r="0" b="952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54582" cy="1057491"/>
                    </a:xfrm>
                    <a:prstGeom prst="rect">
                      <a:avLst/>
                    </a:prstGeom>
                    <a:noFill/>
                    <a:ln>
                      <a:noFill/>
                    </a:ln>
                  </pic:spPr>
                </pic:pic>
              </a:graphicData>
            </a:graphic>
          </wp:inline>
        </w:drawing>
      </w:r>
      <w:r>
        <w:rPr>
          <w:rFonts w:hint="default" w:ascii="Times New Roman" w:hAnsi="Times New Roman" w:cs="Times New Roman"/>
          <w:color w:val="000000" w:themeColor="text1"/>
          <w:highlight w:val="none"/>
          <w:u w:val="wave" w:color="auto"/>
          <w14:textFill>
            <w14:solidFill>
              <w14:schemeClr w14:val="tx1"/>
            </w14:solidFill>
          </w14:textFill>
        </w:rPr>
        <w:t xml:space="preserve">  </w:t>
      </w:r>
    </w:p>
    <w:p w14:paraId="1039FE22">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式中：</w:t>
      </w:r>
    </w:p>
    <w:p w14:paraId="46BF97D1">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x，y—计算点处的位置坐标；</w:t>
      </w:r>
    </w:p>
    <w:p w14:paraId="046E6006">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t—时间，d；</w:t>
      </w:r>
    </w:p>
    <w:p w14:paraId="4148A0AD">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C(x,y,t)—t时刻点x，y处的示踪剂浓度，mg/L；</w:t>
      </w:r>
    </w:p>
    <w:p w14:paraId="5641D811">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M——承压含水层的厚度，m；</w:t>
      </w:r>
    </w:p>
    <w:p w14:paraId="595D3AEF">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mt——单位时间注入的示踪剂的质量，kg；</w:t>
      </w:r>
    </w:p>
    <w:p w14:paraId="4C9C6AD0">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u——水流速度，m/d；</w:t>
      </w:r>
    </w:p>
    <w:p w14:paraId="1BB77A5D">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n——有效孔隙度，无量纲；</w:t>
      </w:r>
    </w:p>
    <w:p w14:paraId="321B071D">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DL——纵向弥散系数，m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/d；</w:t>
      </w:r>
    </w:p>
    <w:p w14:paraId="267A9770">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DT——横向弥散系数，m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/d；</w:t>
      </w:r>
    </w:p>
    <w:p w14:paraId="11F4F637">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π——圆周率；</w:t>
      </w:r>
    </w:p>
    <w:p w14:paraId="77EB3065">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drawing>
          <wp:inline distT="0" distB="0" distL="0" distR="0">
            <wp:extent cx="518160" cy="23622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36">
                      <a:clrChange>
                        <a:clrFrom>
                          <a:srgbClr val="FFFFFF"/>
                        </a:clrFrom>
                        <a:clrTo>
                          <a:srgbClr val="FFFFFF">
                            <a:alpha val="0"/>
                          </a:srgbClr>
                        </a:clrTo>
                      </a:clrChange>
                    </a:blip>
                    <a:stretch>
                      <a:fillRect/>
                    </a:stretch>
                  </pic:blipFill>
                  <pic:spPr>
                    <a:xfrm>
                      <a:off x="0" y="0"/>
                      <a:ext cx="518205" cy="236240"/>
                    </a:xfrm>
                    <a:prstGeom prst="rect">
                      <a:avLst/>
                    </a:prstGeom>
                  </pic:spPr>
                </pic:pic>
              </a:graphicData>
            </a:graphic>
          </wp:inline>
        </w:drawing>
      </w:r>
      <w:r>
        <w:rPr>
          <w:rFonts w:hint="default" w:ascii="Times New Roman" w:hAnsi="Times New Roman" w:cs="Times New Roman"/>
          <w:color w:val="000000" w:themeColor="text1"/>
          <w:highlight w:val="none"/>
          <w:u w:val="wave" w:color="auto"/>
          <w14:textFill>
            <w14:solidFill>
              <w14:schemeClr w14:val="tx1"/>
            </w14:solidFill>
          </w14:textFill>
        </w:rPr>
        <w:t xml:space="preserve">——第二类零阶修正塞尔函数，（可查《地下水动力学》获得）； </w:t>
      </w:r>
    </w:p>
    <w:p w14:paraId="4F8C0959">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drawing>
          <wp:inline distT="0" distB="0" distL="0" distR="0">
            <wp:extent cx="789305" cy="34798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37">
                      <a:clrChange>
                        <a:clrFrom>
                          <a:srgbClr val="FFFFFF"/>
                        </a:clrFrom>
                        <a:clrTo>
                          <a:srgbClr val="FFFFFF">
                            <a:alpha val="0"/>
                          </a:srgbClr>
                        </a:clrTo>
                      </a:clrChange>
                    </a:blip>
                    <a:stretch>
                      <a:fillRect/>
                    </a:stretch>
                  </pic:blipFill>
                  <pic:spPr>
                    <a:xfrm>
                      <a:off x="0" y="0"/>
                      <a:ext cx="787309" cy="347502"/>
                    </a:xfrm>
                    <a:prstGeom prst="rect">
                      <a:avLst/>
                    </a:prstGeom>
                  </pic:spPr>
                </pic:pic>
              </a:graphicData>
            </a:graphic>
          </wp:inline>
        </w:drawing>
      </w:r>
      <w:r>
        <w:rPr>
          <w:rFonts w:hint="default" w:ascii="Times New Roman" w:hAnsi="Times New Roman" w:cs="Times New Roman"/>
          <w:color w:val="000000" w:themeColor="text1"/>
          <w:highlight w:val="none"/>
          <w:u w:val="wave" w:color="auto"/>
          <w14:textFill>
            <w14:solidFill>
              <w14:schemeClr w14:val="tx1"/>
            </w14:solidFill>
          </w14:textFill>
        </w:rPr>
        <w:t>——第一类越流系统井函数，（可查《地下水动力学》获得）。</w:t>
      </w:r>
    </w:p>
    <w:p w14:paraId="148A843A">
      <w:pPr>
        <w:pStyle w:val="5"/>
        <w:numPr>
          <w:ilvl w:val="2"/>
          <w:numId w:val="0"/>
        </w:numPr>
        <w:ind w:leftChars="0"/>
        <w:outlineLvl w:val="3"/>
        <w:rPr>
          <w:rFonts w:hint="default" w:ascii="Times New Roman" w:hAnsi="Times New Roman" w:cs="Times New Roman"/>
          <w:color w:val="000000" w:themeColor="text1"/>
          <w:sz w:val="24"/>
          <w:szCs w:val="28"/>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sz w:val="24"/>
          <w:szCs w:val="28"/>
          <w:highlight w:val="none"/>
          <w:u w:val="wave" w:color="auto"/>
          <w:lang w:val="en-US" w:eastAsia="zh-CN"/>
          <w14:textFill>
            <w14:solidFill>
              <w14:schemeClr w14:val="tx1"/>
            </w14:solidFill>
          </w14:textFill>
        </w:rPr>
        <w:t>5.2.3.6 模型参数的选取</w:t>
      </w:r>
    </w:p>
    <w:p w14:paraId="63F356D6">
      <w:pPr>
        <w:pStyle w:val="179"/>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由上述模型可知，模型需要的参数有：注入的示踪剂质量m；含水层厚度M；有效孔隙度n；水流速度u；纵向弥散系数D</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L</w:t>
      </w:r>
      <w:r>
        <w:rPr>
          <w:rFonts w:hint="default" w:ascii="Times New Roman" w:hAnsi="Times New Roman" w:cs="Times New Roman"/>
          <w:color w:val="000000" w:themeColor="text1"/>
          <w:highlight w:val="none"/>
          <w:u w:val="wave" w:color="auto"/>
          <w14:textFill>
            <w14:solidFill>
              <w14:schemeClr w14:val="tx1"/>
            </w14:solidFill>
          </w14:textFill>
        </w:rPr>
        <w:t>；横向弥散系数D</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T</w:t>
      </w:r>
      <w:r>
        <w:rPr>
          <w:rFonts w:hint="default" w:ascii="Times New Roman" w:hAnsi="Times New Roman" w:cs="Times New Roman"/>
          <w:color w:val="000000" w:themeColor="text1"/>
          <w:highlight w:val="none"/>
          <w:u w:val="wave" w:color="auto"/>
          <w14:textFill>
            <w14:solidFill>
              <w14:schemeClr w14:val="tx1"/>
            </w14:solidFill>
          </w14:textFill>
        </w:rPr>
        <w:t>。</w:t>
      </w:r>
    </w:p>
    <w:p w14:paraId="72597C46">
      <w:pPr>
        <w:pStyle w:val="179"/>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（1）注入的示踪剂质量</w:t>
      </w:r>
    </w:p>
    <w:p w14:paraId="27DFB66A">
      <w:pPr>
        <w:pStyle w:val="179"/>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污水处理池发生泄漏事故状态下，按照事故泄露持续</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wave" w:color="auto"/>
          <w14:textFill>
            <w14:solidFill>
              <w14:schemeClr w14:val="tx1"/>
            </w14:solidFill>
          </w14:textFill>
        </w:rPr>
        <w:t>d，废水全部进入土壤，污染最大的情形进行预测，污水中污染物的质量m（氨氮）=0.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123</w:t>
      </w:r>
      <w:r>
        <w:rPr>
          <w:rFonts w:hint="default" w:ascii="Times New Roman" w:hAnsi="Times New Roman" w:cs="Times New Roman"/>
          <w:color w:val="000000" w:themeColor="text1"/>
          <w:highlight w:val="none"/>
          <w:u w:val="wave" w:color="auto"/>
          <w14:textFill>
            <w14:solidFill>
              <w14:schemeClr w14:val="tx1"/>
            </w14:solidFill>
          </w14:textFill>
        </w:rPr>
        <w:t>kg。</w:t>
      </w:r>
    </w:p>
    <w:p w14:paraId="15728C31">
      <w:pPr>
        <w:pStyle w:val="179"/>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（2）含水层厚度</w:t>
      </w:r>
    </w:p>
    <w:p w14:paraId="3457148B">
      <w:pPr>
        <w:pStyle w:val="179"/>
        <w:ind w:firstLine="448"/>
        <w:rPr>
          <w:rFonts w:hint="default" w:ascii="Times New Roman" w:hAnsi="Times New Roman" w:cs="Times New Roman"/>
          <w:color w:val="000000" w:themeColor="text1"/>
          <w:spacing w:val="-8"/>
          <w:highlight w:val="none"/>
          <w:u w:val="wave" w:color="auto"/>
          <w14:textFill>
            <w14:solidFill>
              <w14:schemeClr w14:val="tx1"/>
            </w14:solidFill>
          </w14:textFill>
        </w:rPr>
      </w:pPr>
      <w:r>
        <w:rPr>
          <w:rFonts w:hint="default" w:ascii="Times New Roman" w:hAnsi="Times New Roman" w:cs="Times New Roman"/>
          <w:color w:val="000000" w:themeColor="text1"/>
          <w:spacing w:val="-8"/>
          <w:highlight w:val="none"/>
          <w:u w:val="wave" w:color="auto"/>
          <w14:textFill>
            <w14:solidFill>
              <w14:schemeClr w14:val="tx1"/>
            </w14:solidFill>
          </w14:textFill>
        </w:rPr>
        <w:t>根据当地资料可知，场区</w:t>
      </w:r>
      <w:r>
        <w:rPr>
          <w:rFonts w:hint="default" w:ascii="Times New Roman" w:hAnsi="Times New Roman" w:cs="Times New Roman"/>
          <w:color w:val="000000" w:themeColor="text1"/>
          <w:highlight w:val="none"/>
          <w:u w:val="wave" w:color="auto"/>
          <w14:textFill>
            <w14:solidFill>
              <w14:schemeClr w14:val="tx1"/>
            </w14:solidFill>
          </w14:textFill>
        </w:rPr>
        <w:t>粉质黏土</w:t>
      </w:r>
      <w:r>
        <w:rPr>
          <w:rFonts w:hint="default" w:ascii="Times New Roman" w:hAnsi="Times New Roman" w:cs="Times New Roman"/>
          <w:color w:val="000000" w:themeColor="text1"/>
          <w:spacing w:val="-8"/>
          <w:highlight w:val="none"/>
          <w:u w:val="wave" w:color="auto"/>
          <w14:textFill>
            <w14:solidFill>
              <w14:schemeClr w14:val="tx1"/>
            </w14:solidFill>
          </w14:textFill>
        </w:rPr>
        <w:t>层为主要含水层，其厚度合计约8.7m。</w:t>
      </w:r>
    </w:p>
    <w:p w14:paraId="417CB1CB">
      <w:pPr>
        <w:pStyle w:val="179"/>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（3）有效孔隙度</w:t>
      </w:r>
    </w:p>
    <w:p w14:paraId="60F3CBA4">
      <w:pPr>
        <w:pStyle w:val="179"/>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eastAsia="zh-CN"/>
          <w14:textFill>
            <w14:solidFill>
              <w14:schemeClr w14:val="tx1"/>
            </w14:solidFill>
          </w14:textFill>
        </w:rPr>
        <w:t>根据历史资料</w:t>
      </w:r>
      <w:r>
        <w:rPr>
          <w:rFonts w:hint="default" w:ascii="Times New Roman" w:hAnsi="Times New Roman" w:cs="Times New Roman"/>
          <w:color w:val="000000" w:themeColor="text1"/>
          <w:highlight w:val="none"/>
          <w:u w:val="wave" w:color="auto"/>
          <w14:textFill>
            <w14:solidFill>
              <w14:schemeClr w14:val="tx1"/>
            </w14:solidFill>
          </w14:textFill>
        </w:rPr>
        <w:t>，厂区孔隙度平均值e=1.005，根据公式n=e/(1+e)，计算得出，场区含水层有效孔隙度n=0.50。</w:t>
      </w:r>
    </w:p>
    <w:p w14:paraId="260E17A4">
      <w:pPr>
        <w:pStyle w:val="179"/>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（4）水流速度                                                                                                                                   </w:t>
      </w:r>
    </w:p>
    <w:p w14:paraId="36AA4664">
      <w:pPr>
        <w:ind w:firstLine="480"/>
        <w:rPr>
          <w:rFonts w:hint="default" w:ascii="Times New Roman" w:hAnsi="Times New Roman" w:cs="Times New Roman"/>
          <w:color w:val="000000" w:themeColor="text1"/>
          <w:szCs w:val="2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厂区岩层的渗透系数约为6×10</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-5</w:t>
      </w:r>
      <w:r>
        <w:rPr>
          <w:rFonts w:hint="default" w:ascii="Times New Roman" w:hAnsi="Times New Roman" w:cs="Times New Roman"/>
          <w:color w:val="000000" w:themeColor="text1"/>
          <w:highlight w:val="none"/>
          <w:u w:val="wave" w:color="auto"/>
          <w14:textFill>
            <w14:solidFill>
              <w14:schemeClr w14:val="tx1"/>
            </w14:solidFill>
          </w14:textFill>
        </w:rPr>
        <w:t>cm/s（即0.05m/d）</w:t>
      </w:r>
      <w:r>
        <w:rPr>
          <w:rFonts w:hint="default" w:ascii="Times New Roman" w:hAnsi="Times New Roman" w:cs="Times New Roman"/>
          <w:color w:val="000000" w:themeColor="text1"/>
          <w:szCs w:val="20"/>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14:textFill>
            <w14:solidFill>
              <w14:schemeClr w14:val="tx1"/>
            </w14:solidFill>
          </w14:textFill>
        </w:rPr>
        <w:t>场区附近水力坡度约为1.2×10</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-4</w:t>
      </w:r>
      <w:r>
        <w:rPr>
          <w:rFonts w:hint="default" w:ascii="Times New Roman" w:hAnsi="Times New Roman" w:cs="Times New Roman"/>
          <w:color w:val="000000" w:themeColor="text1"/>
          <w:highlight w:val="none"/>
          <w:u w:val="wave" w:color="auto"/>
          <w14:textFill>
            <w14:solidFill>
              <w14:schemeClr w14:val="tx1"/>
            </w14:solidFill>
          </w14:textFill>
        </w:rPr>
        <w:t>，因此，地下水的渗透流速：V=KI=0.05m/d×</w:t>
      </w:r>
      <w:r>
        <w:rPr>
          <w:rFonts w:hint="default" w:ascii="Times New Roman" w:hAnsi="Times New Roman" w:cs="Times New Roman"/>
          <w:color w:val="000000" w:themeColor="text1"/>
          <w:szCs w:val="21"/>
          <w:highlight w:val="none"/>
          <w:u w:val="wave" w:color="auto"/>
          <w14:textFill>
            <w14:solidFill>
              <w14:schemeClr w14:val="tx1"/>
            </w14:solidFill>
          </w14:textFill>
        </w:rPr>
        <w:t>0.00012</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szCs w:val="21"/>
          <w:highlight w:val="none"/>
          <w:u w:val="wave" w:color="auto"/>
          <w14:textFill>
            <w14:solidFill>
              <w14:schemeClr w14:val="tx1"/>
            </w14:solidFill>
          </w14:textFill>
        </w:rPr>
        <w:t>0.6×10</w:t>
      </w:r>
      <w:r>
        <w:rPr>
          <w:rFonts w:hint="default" w:ascii="Times New Roman" w:hAnsi="Times New Roman" w:cs="Times New Roman"/>
          <w:color w:val="000000" w:themeColor="text1"/>
          <w:szCs w:val="21"/>
          <w:highlight w:val="none"/>
          <w:u w:val="wave" w:color="auto"/>
          <w:vertAlign w:val="superscript"/>
          <w14:textFill>
            <w14:solidFill>
              <w14:schemeClr w14:val="tx1"/>
            </w14:solidFill>
          </w14:textFill>
        </w:rPr>
        <w:t>-5</w:t>
      </w:r>
      <w:r>
        <w:rPr>
          <w:rFonts w:hint="default" w:ascii="Times New Roman" w:hAnsi="Times New Roman" w:cs="Times New Roman"/>
          <w:color w:val="000000" w:themeColor="text1"/>
          <w:highlight w:val="none"/>
          <w:u w:val="wave" w:color="auto"/>
          <w14:textFill>
            <w14:solidFill>
              <w14:schemeClr w14:val="tx1"/>
            </w14:solidFill>
          </w14:textFill>
        </w:rPr>
        <w:t>m/d，平均实际流速：u=V/n=0.12</w:t>
      </w:r>
      <w:r>
        <w:rPr>
          <w:rFonts w:hint="default" w:ascii="Times New Roman" w:hAnsi="Times New Roman" w:cs="Times New Roman"/>
          <w:color w:val="000000" w:themeColor="text1"/>
          <w:szCs w:val="21"/>
          <w:highlight w:val="none"/>
          <w:u w:val="wave" w:color="auto"/>
          <w14:textFill>
            <w14:solidFill>
              <w14:schemeClr w14:val="tx1"/>
            </w14:solidFill>
          </w14:textFill>
        </w:rPr>
        <w:t>×10</w:t>
      </w:r>
      <w:r>
        <w:rPr>
          <w:rFonts w:hint="default" w:ascii="Times New Roman" w:hAnsi="Times New Roman" w:cs="Times New Roman"/>
          <w:color w:val="000000" w:themeColor="text1"/>
          <w:szCs w:val="21"/>
          <w:highlight w:val="none"/>
          <w:u w:val="wave" w:color="auto"/>
          <w:vertAlign w:val="superscript"/>
          <w14:textFill>
            <w14:solidFill>
              <w14:schemeClr w14:val="tx1"/>
            </w14:solidFill>
          </w14:textFill>
        </w:rPr>
        <w:t>-4</w:t>
      </w:r>
      <w:r>
        <w:rPr>
          <w:rFonts w:hint="default" w:ascii="Times New Roman" w:hAnsi="Times New Roman" w:cs="Times New Roman"/>
          <w:color w:val="000000" w:themeColor="text1"/>
          <w:highlight w:val="none"/>
          <w:u w:val="wave" w:color="auto"/>
          <w14:textFill>
            <w14:solidFill>
              <w14:schemeClr w14:val="tx1"/>
            </w14:solidFill>
          </w14:textFill>
        </w:rPr>
        <w:t>m/d。</w:t>
      </w:r>
    </w:p>
    <w:p w14:paraId="62DAFABC">
      <w:pPr>
        <w:pStyle w:val="179"/>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（5）弥散系数</w:t>
      </w:r>
    </w:p>
    <w:p w14:paraId="18364262">
      <w:pPr>
        <w:pStyle w:val="179"/>
        <w:ind w:firstLine="472"/>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spacing w:val="-2"/>
          <w:highlight w:val="none"/>
          <w:u w:val="wave" w:color="auto"/>
          <w14:textFill>
            <w14:solidFill>
              <w14:schemeClr w14:val="tx1"/>
            </w14:solidFill>
          </w14:textFill>
        </w:rPr>
        <w:t>弥散度是地下水动力弥散理论中用来描述空隙介质弥散特征的一个重要参数，具有尺度效应性质，它反映了含水层介质空间结构的非均质性，本次充分收集了大量国内外在不同试验尺度下和实验条件下分别运用解析方法和数值方法所得的纵向弥散度资料，结合工作区的实际条件，考虑到局部规模与区域规模的差别，确定纵向弥散</w:t>
      </w:r>
      <w:r>
        <w:rPr>
          <w:rFonts w:hint="default" w:ascii="Times New Roman" w:hAnsi="Times New Roman" w:cs="Times New Roman"/>
          <w:color w:val="000000" w:themeColor="text1"/>
          <w:spacing w:val="-2"/>
          <w:highlight w:val="none"/>
          <w:u w:val="wave" w:color="auto"/>
          <w:lang w:val="en-US" w:eastAsia="zh-CN"/>
          <w14:textFill>
            <w14:solidFill>
              <w14:schemeClr w14:val="tx1"/>
            </w14:solidFill>
          </w14:textFill>
        </w:rPr>
        <w:t>系数</w:t>
      </w:r>
      <w:r>
        <w:rPr>
          <w:rFonts w:hint="default" w:ascii="Times New Roman" w:hAnsi="Times New Roman" w:cs="Times New Roman"/>
          <w:color w:val="000000" w:themeColor="text1"/>
          <w:highlight w:val="none"/>
          <w:u w:val="wave" w:color="auto"/>
          <w14:textFill>
            <w14:solidFill>
              <w14:schemeClr w14:val="tx1"/>
            </w14:solidFill>
          </w14:textFill>
        </w:rPr>
        <w:t>D</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L</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0.3</w:t>
      </w:r>
      <w:r>
        <w:rPr>
          <w:rFonts w:hint="default" w:ascii="Times New Roman" w:hAnsi="Times New Roman" w:cs="Times New Roman"/>
          <w:color w:val="000000" w:themeColor="text1"/>
          <w:highlight w:val="none"/>
          <w:u w:val="wave" w:color="auto"/>
          <w14:textFill>
            <w14:solidFill>
              <w14:schemeClr w14:val="tx1"/>
            </w14:solidFill>
          </w14:textFill>
        </w:rPr>
        <w:t>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/d，</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横向y方向的弥散系数</w:t>
      </w:r>
      <w:r>
        <w:rPr>
          <w:rFonts w:hint="default" w:ascii="Times New Roman" w:hAnsi="Times New Roman" w:cs="Times New Roman"/>
          <w:color w:val="000000" w:themeColor="text1"/>
          <w:highlight w:val="none"/>
          <w:u w:val="wave" w:color="auto"/>
          <w14:textFill>
            <w14:solidFill>
              <w14:schemeClr w14:val="tx1"/>
            </w14:solidFill>
          </w14:textFill>
        </w:rPr>
        <w:t>D</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T</w:t>
      </w:r>
      <w:r>
        <w:rPr>
          <w:rFonts w:hint="default" w:ascii="Times New Roman" w:hAnsi="Times New Roman" w:cs="Times New Roman"/>
          <w:color w:val="000000" w:themeColor="text1"/>
          <w:highlight w:val="none"/>
          <w:u w:val="wave" w:color="auto"/>
          <w:vertAlign w:val="baseline"/>
          <w:lang w:val="en-US" w:eastAsia="zh-CN"/>
          <w14:textFill>
            <w14:solidFill>
              <w14:schemeClr w14:val="tx1"/>
            </w14:solidFill>
          </w14:textFill>
        </w:rPr>
        <w:t>，根据经验，</w:t>
      </w:r>
      <w:r>
        <w:rPr>
          <w:rFonts w:hint="default" w:ascii="Times New Roman" w:hAnsi="Times New Roman" w:cs="Times New Roman"/>
          <w:color w:val="000000" w:themeColor="text1"/>
          <w:highlight w:val="none"/>
          <w:u w:val="wave" w:color="auto"/>
          <w14:textFill>
            <w14:solidFill>
              <w14:schemeClr w14:val="tx1"/>
            </w14:solidFill>
          </w14:textFill>
        </w:rPr>
        <w:t>D</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T</w:t>
      </w:r>
      <w:r>
        <w:rPr>
          <w:rFonts w:hint="default" w:ascii="Times New Roman" w:hAnsi="Times New Roman" w:cs="Times New Roman"/>
          <w:color w:val="000000" w:themeColor="text1"/>
          <w:highlight w:val="none"/>
          <w:u w:val="wave" w:color="auto"/>
          <w:vertAlign w:val="baseline"/>
          <w:lang w:val="en-US" w:eastAsia="zh-CN"/>
          <w14:textFill>
            <w14:solidFill>
              <w14:schemeClr w14:val="tx1"/>
            </w14:solidFill>
          </w14:textFill>
        </w:rPr>
        <w:t>/</w:t>
      </w:r>
      <w:r>
        <w:rPr>
          <w:rFonts w:hint="default" w:ascii="Times New Roman" w:hAnsi="Times New Roman" w:cs="Times New Roman"/>
          <w:color w:val="000000" w:themeColor="text1"/>
          <w:highlight w:val="none"/>
          <w:u w:val="wave" w:color="auto"/>
          <w14:textFill>
            <w14:solidFill>
              <w14:schemeClr w14:val="tx1"/>
            </w14:solidFill>
          </w14:textFill>
        </w:rPr>
        <w:t>D</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L</w:t>
      </w:r>
      <w:r>
        <w:rPr>
          <w:rFonts w:hint="default" w:ascii="Times New Roman" w:hAnsi="Times New Roman" w:cs="Times New Roman"/>
          <w:color w:val="000000" w:themeColor="text1"/>
          <w:highlight w:val="none"/>
          <w:u w:val="wave" w:color="auto"/>
          <w:vertAlign w:val="baseline"/>
          <w:lang w:val="en-US" w:eastAsia="zh-CN"/>
          <w14:textFill>
            <w14:solidFill>
              <w14:schemeClr w14:val="tx1"/>
            </w14:solidFill>
          </w14:textFill>
        </w:rPr>
        <w:t>=0.1，因此</w:t>
      </w:r>
      <w:r>
        <w:rPr>
          <w:rFonts w:hint="default" w:ascii="Times New Roman" w:hAnsi="Times New Roman" w:cs="Times New Roman"/>
          <w:color w:val="000000" w:themeColor="text1"/>
          <w:highlight w:val="none"/>
          <w:u w:val="wave" w:color="auto"/>
          <w14:textFill>
            <w14:solidFill>
              <w14:schemeClr w14:val="tx1"/>
            </w14:solidFill>
          </w14:textFill>
        </w:rPr>
        <w:t>D</w:t>
      </w:r>
      <w:r>
        <w:rPr>
          <w:rFonts w:hint="default" w:ascii="Times New Roman" w:hAnsi="Times New Roman" w:cs="Times New Roman"/>
          <w:color w:val="000000" w:themeColor="text1"/>
          <w:highlight w:val="none"/>
          <w:u w:val="wave" w:color="auto"/>
          <w:vertAlign w:val="subscript"/>
          <w14:textFill>
            <w14:solidFill>
              <w14:schemeClr w14:val="tx1"/>
            </w14:solidFill>
          </w14:textFill>
        </w:rPr>
        <w:t>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取0.03</w:t>
      </w:r>
      <w:r>
        <w:rPr>
          <w:rFonts w:hint="default" w:ascii="Times New Roman" w:hAnsi="Times New Roman" w:cs="Times New Roman"/>
          <w:color w:val="000000" w:themeColor="text1"/>
          <w:highlight w:val="none"/>
          <w:u w:val="wave" w:color="auto"/>
          <w14:textFill>
            <w14:solidFill>
              <w14:schemeClr w14:val="tx1"/>
            </w14:solidFill>
          </w14:textFill>
        </w:rPr>
        <w:t>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/d。</w:t>
      </w:r>
    </w:p>
    <w:p w14:paraId="7CF4F356">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项目所在区域水文地质条件参数见下表。 </w:t>
      </w:r>
    </w:p>
    <w:p w14:paraId="244DA650">
      <w:pPr>
        <w:pStyle w:val="194"/>
        <w:spacing w:line="240" w:lineRule="auto"/>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表 </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5.2</w:t>
      </w:r>
      <w:r>
        <w:rPr>
          <w:rFonts w:hint="default" w:ascii="Times New Roman" w:hAnsi="Times New Roman" w:cs="Times New Roman"/>
          <w:color w:val="000000" w:themeColor="text1"/>
          <w:highlight w:val="none"/>
          <w:u w:val="wave" w:color="auto"/>
          <w14:textFill>
            <w14:solidFill>
              <w14:schemeClr w14:val="tx1"/>
            </w14:solidFill>
          </w14:textFill>
        </w:rPr>
        <w:noBreakHyphen/>
      </w:r>
      <w:r>
        <w:rPr>
          <w:rFonts w:hint="default" w:ascii="Times New Roman" w:hAnsi="Times New Roman" w:cs="Times New Roman"/>
          <w:color w:val="000000" w:themeColor="text1"/>
          <w:highlight w:val="none"/>
          <w:u w:val="wave" w:color="auto"/>
          <w14:textFill>
            <w14:solidFill>
              <w14:schemeClr w14:val="tx1"/>
            </w14:solidFill>
          </w14:textFill>
        </w:rPr>
        <w:fldChar w:fldCharType="begin"/>
      </w:r>
      <w:r>
        <w:rPr>
          <w:rFonts w:hint="default" w:ascii="Times New Roman" w:hAnsi="Times New Roman" w:cs="Times New Roman"/>
          <w:color w:val="000000" w:themeColor="text1"/>
          <w:highlight w:val="none"/>
          <w:u w:val="wave" w:color="auto"/>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u w:val="wave" w:color="auto"/>
          <w14:textFill>
            <w14:solidFill>
              <w14:schemeClr w14:val="tx1"/>
            </w14:solidFill>
          </w14:textFill>
        </w:rPr>
        <w:fldChar w:fldCharType="separate"/>
      </w:r>
      <w:r>
        <w:rPr>
          <w:rFonts w:hint="default" w:ascii="Times New Roman" w:hAnsi="Times New Roman" w:cs="Times New Roman"/>
          <w:color w:val="000000" w:themeColor="text1"/>
          <w:highlight w:val="none"/>
          <w:u w:val="wave" w:color="auto"/>
          <w14:textFill>
            <w14:solidFill>
              <w14:schemeClr w14:val="tx1"/>
            </w14:solidFill>
          </w14:textFill>
        </w:rPr>
        <w:t>1</w:t>
      </w:r>
      <w:r>
        <w:rPr>
          <w:rFonts w:hint="default" w:ascii="Times New Roman" w:hAnsi="Times New Roman" w:cs="Times New Roman"/>
          <w:color w:val="000000" w:themeColor="text1"/>
          <w:highlight w:val="none"/>
          <w:u w:val="wave" w:color="auto"/>
          <w14:textFill>
            <w14:solidFill>
              <w14:schemeClr w14:val="tx1"/>
            </w14:solidFill>
          </w14:textFill>
        </w:rPr>
        <w:fldChar w:fldCharType="end"/>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w:t>
      </w:r>
      <w:r>
        <w:rPr>
          <w:rFonts w:hint="default" w:ascii="Times New Roman" w:hAnsi="Times New Roman" w:cs="Times New Roman"/>
          <w:color w:val="000000" w:themeColor="text1"/>
          <w:highlight w:val="none"/>
          <w:u w:val="wave" w:color="auto"/>
          <w14:textFill>
            <w14:solidFill>
              <w14:schemeClr w14:val="tx1"/>
            </w14:solidFill>
          </w14:textFill>
        </w:rPr>
        <w:t xml:space="preserve"> 项目所在区域水文地质参数一览表</w:t>
      </w:r>
    </w:p>
    <w:tbl>
      <w:tblPr>
        <w:tblStyle w:val="7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1"/>
        <w:gridCol w:w="1020"/>
        <w:gridCol w:w="1290"/>
        <w:gridCol w:w="945"/>
        <w:gridCol w:w="1065"/>
        <w:gridCol w:w="1054"/>
        <w:gridCol w:w="1045"/>
        <w:gridCol w:w="972"/>
      </w:tblGrid>
      <w:tr w14:paraId="06012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1" w:type="dxa"/>
            <w:vMerge w:val="restart"/>
            <w:vAlign w:val="center"/>
          </w:tcPr>
          <w:p w14:paraId="15A2A1C6">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t xml:space="preserve">有效孔隙度n (无量纲) </w:t>
            </w:r>
          </w:p>
        </w:tc>
        <w:tc>
          <w:tcPr>
            <w:tcW w:w="1020" w:type="dxa"/>
            <w:vMerge w:val="restart"/>
            <w:vAlign w:val="center"/>
          </w:tcPr>
          <w:p w14:paraId="3A297690">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t xml:space="preserve">示踪剂质量m(kg) </w:t>
            </w:r>
          </w:p>
        </w:tc>
        <w:tc>
          <w:tcPr>
            <w:tcW w:w="1290" w:type="dxa"/>
            <w:vMerge w:val="restart"/>
            <w:vAlign w:val="center"/>
          </w:tcPr>
          <w:p w14:paraId="230626AD">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t xml:space="preserve">含水层渗透系数K(m/d)* </w:t>
            </w:r>
          </w:p>
        </w:tc>
        <w:tc>
          <w:tcPr>
            <w:tcW w:w="945" w:type="dxa"/>
            <w:vMerge w:val="restart"/>
            <w:vAlign w:val="center"/>
          </w:tcPr>
          <w:p w14:paraId="2B1F7F6A">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t xml:space="preserve">水力坡度 I(%) </w:t>
            </w:r>
          </w:p>
        </w:tc>
        <w:tc>
          <w:tcPr>
            <w:tcW w:w="1065" w:type="dxa"/>
            <w:vMerge w:val="restart"/>
            <w:vAlign w:val="center"/>
          </w:tcPr>
          <w:p w14:paraId="7D5A7BE6">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t xml:space="preserve">水流速度u(m/d) </w:t>
            </w:r>
          </w:p>
        </w:tc>
        <w:tc>
          <w:tcPr>
            <w:tcW w:w="2099" w:type="dxa"/>
            <w:gridSpan w:val="2"/>
            <w:vAlign w:val="center"/>
          </w:tcPr>
          <w:p w14:paraId="1334B271">
            <w:pPr>
              <w:pStyle w:val="192"/>
              <w:keepNext w:val="0"/>
              <w:keepLines w:val="0"/>
              <w:suppressLineNumbers w:val="0"/>
              <w:spacing w:before="0" w:beforeAutospacing="0" w:after="0" w:afterAutospacing="0"/>
              <w:ind w:left="0" w:right="0"/>
              <w:jc w:val="both"/>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t>弥散系数 (m</w:t>
            </w:r>
            <w:r>
              <w:rPr>
                <w:rFonts w:hint="default" w:ascii="Times New Roman" w:hAnsi="Times New Roman" w:cs="Times New Roman" w:eastAsiaTheme="minorEastAsia"/>
                <w:b/>
                <w:bCs/>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t xml:space="preserve">/d)* </w:t>
            </w:r>
          </w:p>
        </w:tc>
        <w:tc>
          <w:tcPr>
            <w:tcW w:w="972" w:type="dxa"/>
            <w:vMerge w:val="restart"/>
            <w:vAlign w:val="center"/>
          </w:tcPr>
          <w:p w14:paraId="2AA1DC45">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t xml:space="preserve">含水层厚度(m) </w:t>
            </w:r>
          </w:p>
        </w:tc>
      </w:tr>
      <w:tr w14:paraId="0EF42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131" w:type="dxa"/>
            <w:vMerge w:val="continue"/>
            <w:vAlign w:val="center"/>
          </w:tcPr>
          <w:p w14:paraId="1527623B">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p>
        </w:tc>
        <w:tc>
          <w:tcPr>
            <w:tcW w:w="1020" w:type="dxa"/>
            <w:vMerge w:val="continue"/>
            <w:vAlign w:val="center"/>
          </w:tcPr>
          <w:p w14:paraId="438ECF6E">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p>
        </w:tc>
        <w:tc>
          <w:tcPr>
            <w:tcW w:w="1290" w:type="dxa"/>
            <w:vMerge w:val="continue"/>
            <w:vAlign w:val="center"/>
          </w:tcPr>
          <w:p w14:paraId="3023CF7D">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p>
        </w:tc>
        <w:tc>
          <w:tcPr>
            <w:tcW w:w="945" w:type="dxa"/>
            <w:vMerge w:val="continue"/>
            <w:vAlign w:val="center"/>
          </w:tcPr>
          <w:p w14:paraId="688E97F0">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p>
        </w:tc>
        <w:tc>
          <w:tcPr>
            <w:tcW w:w="1065" w:type="dxa"/>
            <w:vMerge w:val="continue"/>
            <w:vAlign w:val="center"/>
          </w:tcPr>
          <w:p w14:paraId="1CE87E13">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p>
        </w:tc>
        <w:tc>
          <w:tcPr>
            <w:tcW w:w="1054" w:type="dxa"/>
            <w:vAlign w:val="center"/>
          </w:tcPr>
          <w:p w14:paraId="12F0CFDA">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t>DL</w:t>
            </w:r>
          </w:p>
        </w:tc>
        <w:tc>
          <w:tcPr>
            <w:tcW w:w="1045" w:type="dxa"/>
            <w:vAlign w:val="center"/>
          </w:tcPr>
          <w:p w14:paraId="14507304">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b/>
                <w:bCs/>
                <w:color w:val="000000" w:themeColor="text1"/>
                <w:highlight w:val="none"/>
                <w:u w:val="wave" w:color="auto"/>
                <w14:textFill>
                  <w14:solidFill>
                    <w14:schemeClr w14:val="tx1"/>
                  </w14:solidFill>
                </w14:textFill>
              </w:rPr>
              <w:t>DT</w:t>
            </w:r>
          </w:p>
        </w:tc>
        <w:tc>
          <w:tcPr>
            <w:tcW w:w="972" w:type="dxa"/>
            <w:vMerge w:val="continue"/>
            <w:vAlign w:val="center"/>
          </w:tcPr>
          <w:p w14:paraId="5FCB50B4">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p>
        </w:tc>
      </w:tr>
      <w:tr w14:paraId="1489C1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131" w:type="dxa"/>
            <w:vAlign w:val="center"/>
          </w:tcPr>
          <w:p w14:paraId="3374B073">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color w:val="000000" w:themeColor="text1"/>
                <w:highlight w:val="none"/>
                <w:u w:val="wave" w:color="auto"/>
                <w14:textFill>
                  <w14:solidFill>
                    <w14:schemeClr w14:val="tx1"/>
                  </w14:solidFill>
                </w14:textFill>
              </w:rPr>
              <w:t xml:space="preserve">0.50 </w:t>
            </w:r>
          </w:p>
        </w:tc>
        <w:tc>
          <w:tcPr>
            <w:tcW w:w="1020" w:type="dxa"/>
            <w:vAlign w:val="center"/>
          </w:tcPr>
          <w:p w14:paraId="1B3CE53A">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u w:val="wave" w:color="auto"/>
                <w14:textFill>
                  <w14:solidFill>
                    <w14:schemeClr w14:val="tx1"/>
                  </w14:solidFill>
                </w14:textFill>
              </w:rPr>
              <w:t>0.</w:t>
            </w:r>
            <w:r>
              <w:rPr>
                <w:rFonts w:hint="default" w:ascii="Times New Roman" w:hAnsi="Times New Roman" w:cs="Times New Roman" w:eastAsiaTheme="minorEastAsia"/>
                <w:color w:val="000000" w:themeColor="text1"/>
                <w:highlight w:val="none"/>
                <w:u w:val="wave" w:color="auto"/>
                <w:lang w:val="en-US" w:eastAsia="zh-CN"/>
                <w14:textFill>
                  <w14:solidFill>
                    <w14:schemeClr w14:val="tx1"/>
                  </w14:solidFill>
                </w14:textFill>
              </w:rPr>
              <w:t>0612</w:t>
            </w:r>
          </w:p>
        </w:tc>
        <w:tc>
          <w:tcPr>
            <w:tcW w:w="1290" w:type="dxa"/>
            <w:vAlign w:val="center"/>
          </w:tcPr>
          <w:p w14:paraId="2A64C0CA">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color w:val="000000" w:themeColor="text1"/>
                <w:highlight w:val="none"/>
                <w:u w:val="wave" w:color="auto"/>
                <w14:textFill>
                  <w14:solidFill>
                    <w14:schemeClr w14:val="tx1"/>
                  </w14:solidFill>
                </w14:textFill>
              </w:rPr>
              <w:t xml:space="preserve">0.05 </w:t>
            </w:r>
          </w:p>
        </w:tc>
        <w:tc>
          <w:tcPr>
            <w:tcW w:w="945" w:type="dxa"/>
            <w:vAlign w:val="center"/>
          </w:tcPr>
          <w:p w14:paraId="7372312F">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1.2×10</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-4</w:t>
            </w:r>
            <w:r>
              <w:rPr>
                <w:rFonts w:hint="default" w:ascii="Times New Roman" w:hAnsi="Times New Roman" w:cs="Times New Roman" w:eastAsiaTheme="minorEastAsia"/>
                <w:color w:val="000000" w:themeColor="text1"/>
                <w:highlight w:val="none"/>
                <w:u w:val="wave" w:color="auto"/>
                <w14:textFill>
                  <w14:solidFill>
                    <w14:schemeClr w14:val="tx1"/>
                  </w14:solidFill>
                </w14:textFill>
              </w:rPr>
              <w:t xml:space="preserve"> </w:t>
            </w:r>
          </w:p>
        </w:tc>
        <w:tc>
          <w:tcPr>
            <w:tcW w:w="1065" w:type="dxa"/>
            <w:vAlign w:val="center"/>
          </w:tcPr>
          <w:p w14:paraId="5D34A77B">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0.12×10</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-4</w:t>
            </w:r>
          </w:p>
        </w:tc>
        <w:tc>
          <w:tcPr>
            <w:tcW w:w="1054" w:type="dxa"/>
            <w:vAlign w:val="center"/>
          </w:tcPr>
          <w:p w14:paraId="1DE5ED6C">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2.4×10</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-4</w:t>
            </w:r>
          </w:p>
        </w:tc>
        <w:tc>
          <w:tcPr>
            <w:tcW w:w="1045" w:type="dxa"/>
            <w:vAlign w:val="center"/>
          </w:tcPr>
          <w:p w14:paraId="2E7CD178">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0.36×10</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-4</w:t>
            </w:r>
            <w:r>
              <w:rPr>
                <w:rFonts w:hint="default" w:ascii="Times New Roman" w:hAnsi="Times New Roman" w:cs="Times New Roman" w:eastAsiaTheme="minorEastAsia"/>
                <w:color w:val="000000" w:themeColor="text1"/>
                <w:highlight w:val="none"/>
                <w:u w:val="wave" w:color="auto"/>
                <w14:textFill>
                  <w14:solidFill>
                    <w14:schemeClr w14:val="tx1"/>
                  </w14:solidFill>
                </w14:textFill>
              </w:rPr>
              <w:t xml:space="preserve"> </w:t>
            </w:r>
          </w:p>
        </w:tc>
        <w:tc>
          <w:tcPr>
            <w:tcW w:w="972" w:type="dxa"/>
            <w:vAlign w:val="center"/>
          </w:tcPr>
          <w:p w14:paraId="1F8B6C7E">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highlight w:val="none"/>
                <w:u w:val="wave" w:color="auto"/>
                <w14:textFill>
                  <w14:solidFill>
                    <w14:schemeClr w14:val="tx1"/>
                  </w14:solidFill>
                </w14:textFill>
              </w:rPr>
            </w:pPr>
            <w:r>
              <w:rPr>
                <w:rFonts w:hint="default" w:ascii="Times New Roman" w:hAnsi="Times New Roman" w:cs="Times New Roman" w:eastAsiaTheme="minorEastAsia"/>
                <w:color w:val="000000" w:themeColor="text1"/>
                <w:highlight w:val="none"/>
                <w:u w:val="wave" w:color="auto"/>
                <w14:textFill>
                  <w14:solidFill>
                    <w14:schemeClr w14:val="tx1"/>
                  </w14:solidFill>
                </w14:textFill>
              </w:rPr>
              <w:t>8.7</w:t>
            </w:r>
          </w:p>
        </w:tc>
      </w:tr>
    </w:tbl>
    <w:p w14:paraId="122643F4">
      <w:pPr>
        <w:pStyle w:val="5"/>
        <w:numPr>
          <w:ilvl w:val="2"/>
          <w:numId w:val="0"/>
        </w:numPr>
        <w:ind w:leftChars="0"/>
        <w:outlineLvl w:val="3"/>
        <w:rPr>
          <w:rFonts w:hint="default" w:ascii="Times New Roman" w:hAnsi="Times New Roman" w:cs="Times New Roman"/>
          <w:color w:val="000000" w:themeColor="text1"/>
          <w:sz w:val="24"/>
          <w:szCs w:val="28"/>
          <w:highlight w:val="none"/>
          <w:u w:val="wave" w:color="auto"/>
          <w14:textFill>
            <w14:solidFill>
              <w14:schemeClr w14:val="tx1"/>
            </w14:solidFill>
          </w14:textFill>
        </w:rPr>
      </w:pPr>
      <w:r>
        <w:rPr>
          <w:rFonts w:hint="default" w:ascii="Times New Roman" w:hAnsi="Times New Roman" w:cs="Times New Roman"/>
          <w:color w:val="000000" w:themeColor="text1"/>
          <w:sz w:val="24"/>
          <w:szCs w:val="28"/>
          <w:highlight w:val="none"/>
          <w:u w:val="wave" w:color="auto"/>
          <w:lang w:val="en-US" w:eastAsia="zh-CN"/>
          <w14:textFill>
            <w14:solidFill>
              <w14:schemeClr w14:val="tx1"/>
            </w14:solidFill>
          </w14:textFill>
        </w:rPr>
        <w:t xml:space="preserve">5.2.3.7 </w:t>
      </w:r>
      <w:r>
        <w:rPr>
          <w:rFonts w:hint="default" w:ascii="Times New Roman" w:hAnsi="Times New Roman" w:cs="Times New Roman"/>
          <w:color w:val="000000" w:themeColor="text1"/>
          <w:sz w:val="24"/>
          <w:szCs w:val="28"/>
          <w:highlight w:val="none"/>
          <w:u w:val="wave" w:color="auto"/>
          <w14:textFill>
            <w14:solidFill>
              <w14:schemeClr w14:val="tx1"/>
            </w14:solidFill>
          </w14:textFill>
        </w:rPr>
        <w:t>预测结果及评价</w:t>
      </w:r>
    </w:p>
    <w:p w14:paraId="63FDB026">
      <w:pPr>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在防渗措施破损的情况下，根据模拟情景进行预测。预测结果如下。</w:t>
      </w:r>
    </w:p>
    <w:p w14:paraId="0109C0A4">
      <w:pPr>
        <w:ind w:firstLine="480"/>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泄露事故发生100d后，氨氮超标距离为下游18m，预测超标面积为：288m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；影响距离为下游25m，预测影响面积为：612m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p>
    <w:p w14:paraId="69100DE2">
      <w:pPr>
        <w:ind w:firstLine="480"/>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泄露事故发生100</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w:t>
      </w:r>
      <w:r>
        <w:rPr>
          <w:rFonts w:hint="default" w:ascii="Times New Roman" w:hAnsi="Times New Roman" w:cs="Times New Roman"/>
          <w:color w:val="000000" w:themeColor="text1"/>
          <w:highlight w:val="none"/>
          <w:u w:val="wave" w:color="auto"/>
          <w14:textFill>
            <w14:solidFill>
              <w14:schemeClr w14:val="tx1"/>
            </w14:solidFill>
          </w14:textFill>
        </w:rPr>
        <w:t>d后，</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氨氮</w:t>
      </w:r>
      <w:r>
        <w:rPr>
          <w:rFonts w:hint="default" w:ascii="Times New Roman" w:hAnsi="Times New Roman" w:cs="Times New Roman"/>
          <w:color w:val="000000" w:themeColor="text1"/>
          <w:highlight w:val="none"/>
          <w:u w:val="wave" w:color="auto"/>
          <w14:textFill>
            <w14:solidFill>
              <w14:schemeClr w14:val="tx1"/>
            </w14:solidFill>
          </w14:textFill>
        </w:rPr>
        <w:t>超标距离为下游55m，预测超标面积为：2956m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；影响距离为下游79m，预测影响面积为：6094m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p>
    <w:p w14:paraId="509C7E08">
      <w:pPr>
        <w:ind w:firstLine="480"/>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泄露事故发生5000</w:t>
      </w:r>
      <w:r>
        <w:rPr>
          <w:rFonts w:hint="eastAsia" w:cs="Times New Roman"/>
          <w:color w:val="000000" w:themeColor="text1"/>
          <w:highlight w:val="none"/>
          <w:u w:val="wave" w:color="auto"/>
          <w:lang w:val="en-US" w:eastAsia="zh-CN"/>
          <w14:textFill>
            <w14:solidFill>
              <w14:schemeClr w14:val="tx1"/>
            </w14:solidFill>
          </w14:textFill>
        </w:rPr>
        <w:t>d后</w:t>
      </w:r>
      <w:r>
        <w:rPr>
          <w:rFonts w:hint="default" w:ascii="Times New Roman" w:hAnsi="Times New Roman" w:cs="Times New Roman"/>
          <w:color w:val="000000" w:themeColor="text1"/>
          <w:highlight w:val="none"/>
          <w:u w:val="wave" w:color="auto"/>
          <w14:textFill>
            <w14:solidFill>
              <w14:schemeClr w14:val="tx1"/>
            </w14:solidFill>
          </w14:textFill>
        </w:rPr>
        <w:t>，超标距离为下游123m，预测超标面积为：14812m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；影响距离为下游176m，预测影响面积为：30428m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2</w:t>
      </w:r>
      <w:r>
        <w:rPr>
          <w:rFonts w:hint="default" w:ascii="Times New Roman" w:hAnsi="Times New Roman" w:cs="Times New Roman"/>
          <w:color w:val="000000" w:themeColor="text1"/>
          <w:highlight w:val="none"/>
          <w:u w:val="wave" w:color="auto"/>
          <w:lang w:eastAsia="zh-CN"/>
          <w14:textFill>
            <w14:solidFill>
              <w14:schemeClr w14:val="tx1"/>
            </w14:solidFill>
          </w14:textFill>
        </w:rPr>
        <w:t>。</w:t>
      </w:r>
    </w:p>
    <w:p w14:paraId="30EE9CC2">
      <w:pPr>
        <w:ind w:firstLine="48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spacing w:val="10"/>
          <w:highlight w:val="none"/>
          <w:u w:val="wave" w:color="auto"/>
          <w14:textFill>
            <w14:solidFill>
              <w14:schemeClr w14:val="tx1"/>
            </w14:solidFill>
          </w14:textFill>
        </w:rPr>
        <w:t>具体</w:t>
      </w:r>
      <w:r>
        <w:rPr>
          <w:rFonts w:hint="default" w:ascii="Times New Roman" w:hAnsi="Times New Roman" w:cs="Times New Roman"/>
          <w:color w:val="000000" w:themeColor="text1"/>
          <w:highlight w:val="none"/>
          <w:u w:val="wave" w:color="auto"/>
          <w14:textFill>
            <w14:solidFill>
              <w14:schemeClr w14:val="tx1"/>
            </w14:solidFill>
          </w14:textFill>
        </w:rPr>
        <w:t>预测结果见图</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5.2-5</w:t>
      </w:r>
      <w:r>
        <w:rPr>
          <w:rFonts w:hint="default" w:ascii="Times New Roman" w:hAnsi="Times New Roman" w:cs="Times New Roman"/>
          <w:color w:val="000000" w:themeColor="text1"/>
          <w:highlight w:val="none"/>
          <w:u w:val="wave" w:color="auto"/>
          <w14:textFill>
            <w14:solidFill>
              <w14:schemeClr w14:val="tx1"/>
            </w14:solidFill>
          </w14:textFill>
        </w:rPr>
        <w:t>~图</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5.2-7</w:t>
      </w:r>
      <w:r>
        <w:rPr>
          <w:rFonts w:hint="default" w:ascii="Times New Roman" w:hAnsi="Times New Roman" w:cs="Times New Roman"/>
          <w:color w:val="000000" w:themeColor="text1"/>
          <w:highlight w:val="none"/>
          <w:u w:val="wave" w:color="auto"/>
          <w14:textFill>
            <w14:solidFill>
              <w14:schemeClr w14:val="tx1"/>
            </w14:solidFill>
          </w14:textFill>
        </w:rPr>
        <w:t>。</w:t>
      </w:r>
    </w:p>
    <w:p w14:paraId="59DC79A7">
      <w:pPr>
        <w:pStyle w:val="21"/>
        <w:ind w:firstLine="0" w:firstLineChars="0"/>
        <w:jc w:val="cente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drawing>
          <wp:inline distT="0" distB="0" distL="114300" distR="114300">
            <wp:extent cx="5266690" cy="3512820"/>
            <wp:effectExtent l="0" t="0" r="635" b="1905"/>
            <wp:docPr id="55" name="图片 55" descr="e723f238f87a001df05ad21ce24a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723f238f87a001df05ad21ce24a2353"/>
                    <pic:cNvPicPr>
                      <a:picLocks noChangeAspect="1"/>
                    </pic:cNvPicPr>
                  </pic:nvPicPr>
                  <pic:blipFill>
                    <a:blip r:embed="rId38"/>
                    <a:stretch>
                      <a:fillRect/>
                    </a:stretch>
                  </pic:blipFill>
                  <pic:spPr>
                    <a:xfrm>
                      <a:off x="0" y="0"/>
                      <a:ext cx="5266690" cy="3512820"/>
                    </a:xfrm>
                    <a:prstGeom prst="rect">
                      <a:avLst/>
                    </a:prstGeom>
                  </pic:spPr>
                </pic:pic>
              </a:graphicData>
            </a:graphic>
          </wp:inline>
        </w:drawing>
      </w:r>
    </w:p>
    <w:p w14:paraId="16D3A1DB">
      <w:pPr>
        <w:pStyle w:val="194"/>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图 </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5.2</w:t>
      </w:r>
      <w:r>
        <w:rPr>
          <w:rFonts w:hint="default" w:ascii="Times New Roman" w:hAnsi="Times New Roman" w:cs="Times New Roman"/>
          <w:color w:val="000000" w:themeColor="text1"/>
          <w:highlight w:val="none"/>
          <w:u w:val="wave" w:color="auto"/>
          <w14:textFill>
            <w14:solidFill>
              <w14:schemeClr w14:val="tx1"/>
            </w14:solidFill>
          </w14:textFill>
        </w:rPr>
        <w:noBreakHyphen/>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w:t>
      </w:r>
      <w:r>
        <w:rPr>
          <w:rFonts w:hint="default" w:ascii="Times New Roman" w:hAnsi="Times New Roman" w:cs="Times New Roman"/>
          <w:color w:val="000000" w:themeColor="text1"/>
          <w:highlight w:val="none"/>
          <w:u w:val="wave" w:color="auto"/>
          <w14:textFill>
            <w14:solidFill>
              <w14:schemeClr w14:val="tx1"/>
            </w14:solidFill>
          </w14:textFill>
        </w:rPr>
        <w:t xml:space="preserve">  事故发生100d后氨氮的污染范围</w:t>
      </w:r>
    </w:p>
    <w:p w14:paraId="5C06B620">
      <w:pPr>
        <w:spacing w:line="240" w:lineRule="auto"/>
        <w:ind w:firstLine="0" w:firstLineChars="0"/>
        <w:jc w:val="cente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drawing>
          <wp:inline distT="0" distB="0" distL="114300" distR="114300">
            <wp:extent cx="5345430" cy="3210560"/>
            <wp:effectExtent l="0" t="0" r="7620" b="8890"/>
            <wp:docPr id="56" name="图片 56" descr="e6d1eb35fae89620fcaa83a8dfd1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6d1eb35fae89620fcaa83a8dfd16378"/>
                    <pic:cNvPicPr>
                      <a:picLocks noChangeAspect="1"/>
                    </pic:cNvPicPr>
                  </pic:nvPicPr>
                  <pic:blipFill>
                    <a:blip r:embed="rId39"/>
                    <a:srcRect t="10241"/>
                    <a:stretch>
                      <a:fillRect/>
                    </a:stretch>
                  </pic:blipFill>
                  <pic:spPr>
                    <a:xfrm>
                      <a:off x="0" y="0"/>
                      <a:ext cx="5345430" cy="3210560"/>
                    </a:xfrm>
                    <a:prstGeom prst="rect">
                      <a:avLst/>
                    </a:prstGeom>
                  </pic:spPr>
                </pic:pic>
              </a:graphicData>
            </a:graphic>
          </wp:inline>
        </w:drawing>
      </w:r>
    </w:p>
    <w:p w14:paraId="1568F92F">
      <w:pPr>
        <w:pStyle w:val="194"/>
        <w:spacing w:line="240" w:lineRule="auto"/>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图 </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5.2</w:t>
      </w:r>
      <w:r>
        <w:rPr>
          <w:rFonts w:hint="default" w:ascii="Times New Roman" w:hAnsi="Times New Roman" w:cs="Times New Roman"/>
          <w:color w:val="000000" w:themeColor="text1"/>
          <w:highlight w:val="none"/>
          <w:u w:val="wave" w:color="auto"/>
          <w14:textFill>
            <w14:solidFill>
              <w14:schemeClr w14:val="tx1"/>
            </w14:solidFill>
          </w14:textFill>
        </w:rPr>
        <w:noBreakHyphen/>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w:t>
      </w:r>
      <w:r>
        <w:rPr>
          <w:rFonts w:hint="default" w:ascii="Times New Roman" w:hAnsi="Times New Roman" w:cs="Times New Roman"/>
          <w:color w:val="000000" w:themeColor="text1"/>
          <w:highlight w:val="none"/>
          <w:u w:val="wave" w:color="auto"/>
          <w14:textFill>
            <w14:solidFill>
              <w14:schemeClr w14:val="tx1"/>
            </w14:solidFill>
          </w14:textFill>
        </w:rPr>
        <w:t xml:space="preserve">  事故发生1000d后氨氮的污染范围</w:t>
      </w:r>
    </w:p>
    <w:p w14:paraId="0854D52A">
      <w:pPr>
        <w:spacing w:line="240" w:lineRule="auto"/>
        <w:ind w:firstLine="0" w:firstLineChars="0"/>
        <w:jc w:val="cente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eastAsia="zh-CN"/>
          <w14:textFill>
            <w14:solidFill>
              <w14:schemeClr w14:val="tx1"/>
            </w14:solidFill>
          </w14:textFill>
        </w:rPr>
        <w:drawing>
          <wp:inline distT="0" distB="0" distL="114300" distR="114300">
            <wp:extent cx="5273040" cy="3312160"/>
            <wp:effectExtent l="0" t="0" r="0" b="0"/>
            <wp:docPr id="57" name="图片 57" descr="eb2db49850145367a2550b50b10e0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b2db49850145367a2550b50b10e03d9"/>
                    <pic:cNvPicPr>
                      <a:picLocks noChangeAspect="1"/>
                    </pic:cNvPicPr>
                  </pic:nvPicPr>
                  <pic:blipFill>
                    <a:blip r:embed="rId40"/>
                    <a:srcRect t="6540"/>
                    <a:stretch>
                      <a:fillRect/>
                    </a:stretch>
                  </pic:blipFill>
                  <pic:spPr>
                    <a:xfrm>
                      <a:off x="0" y="0"/>
                      <a:ext cx="5273040" cy="3312160"/>
                    </a:xfrm>
                    <a:prstGeom prst="rect">
                      <a:avLst/>
                    </a:prstGeom>
                  </pic:spPr>
                </pic:pic>
              </a:graphicData>
            </a:graphic>
          </wp:inline>
        </w:drawing>
      </w:r>
    </w:p>
    <w:p w14:paraId="5E3E6DE3">
      <w:pPr>
        <w:pStyle w:val="194"/>
        <w:spacing w:line="240" w:lineRule="auto"/>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图 </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5.2</w:t>
      </w:r>
      <w:r>
        <w:rPr>
          <w:rFonts w:hint="default" w:ascii="Times New Roman" w:hAnsi="Times New Roman" w:cs="Times New Roman"/>
          <w:color w:val="000000" w:themeColor="text1"/>
          <w:highlight w:val="none"/>
          <w:u w:val="wave" w:color="auto"/>
          <w14:textFill>
            <w14:solidFill>
              <w14:schemeClr w14:val="tx1"/>
            </w14:solidFill>
          </w14:textFill>
        </w:rPr>
        <w:noBreakHyphen/>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7</w:t>
      </w:r>
      <w:r>
        <w:rPr>
          <w:rFonts w:hint="default" w:ascii="Times New Roman" w:hAnsi="Times New Roman" w:cs="Times New Roman"/>
          <w:color w:val="000000" w:themeColor="text1"/>
          <w:highlight w:val="none"/>
          <w:u w:val="wave" w:color="auto"/>
          <w14:textFill>
            <w14:solidFill>
              <w14:schemeClr w14:val="tx1"/>
            </w14:solidFill>
          </w14:textFill>
        </w:rPr>
        <w:t xml:space="preserve">  事故发生</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5000</w:t>
      </w:r>
      <w:r>
        <w:rPr>
          <w:rFonts w:hint="default" w:ascii="Times New Roman" w:hAnsi="Times New Roman" w:cs="Times New Roman"/>
          <w:color w:val="000000" w:themeColor="text1"/>
          <w:highlight w:val="none"/>
          <w:u w:val="wave" w:color="auto"/>
          <w14:textFill>
            <w14:solidFill>
              <w14:schemeClr w14:val="tx1"/>
            </w14:solidFill>
          </w14:textFill>
        </w:rPr>
        <w:t>d后氨氮的污染范围</w:t>
      </w:r>
    </w:p>
    <w:p w14:paraId="6FA3C868">
      <w:pPr>
        <w:pStyle w:val="4"/>
        <w:numPr>
          <w:ilvl w:val="1"/>
          <w:numId w:val="0"/>
        </w:numPr>
        <w:ind w:leftChars="0"/>
        <w:outlineLvl w:val="2"/>
        <w:rPr>
          <w:rFonts w:hint="default" w:ascii="Times New Roman" w:hAnsi="Times New Roman" w:cs="Times New Roman"/>
          <w:color w:val="000000" w:themeColor="text1"/>
          <w:sz w:val="28"/>
          <w:szCs w:val="28"/>
          <w:highlight w:val="none"/>
          <w:u w:val="none" w:color="auto"/>
          <w14:textFill>
            <w14:solidFill>
              <w14:schemeClr w14:val="tx1"/>
            </w14:solidFill>
          </w14:textFill>
        </w:rPr>
      </w:pPr>
      <w:bookmarkStart w:id="120" w:name="_Toc23029"/>
      <w:r>
        <w:rPr>
          <w:rFonts w:hint="default" w:ascii="Times New Roman" w:hAnsi="Times New Roman" w:cs="Times New Roman"/>
          <w:color w:val="000000" w:themeColor="text1"/>
          <w:sz w:val="28"/>
          <w:szCs w:val="28"/>
          <w:highlight w:val="none"/>
          <w:u w:val="none" w:color="auto"/>
          <w:lang w:val="en-US" w:eastAsia="zh-CN"/>
          <w14:textFill>
            <w14:solidFill>
              <w14:schemeClr w14:val="tx1"/>
            </w14:solidFill>
          </w14:textFill>
        </w:rPr>
        <w:t xml:space="preserve">5.2.4 </w:t>
      </w:r>
      <w:r>
        <w:rPr>
          <w:rFonts w:hint="default" w:ascii="Times New Roman" w:hAnsi="Times New Roman" w:cs="Times New Roman"/>
          <w:color w:val="000000" w:themeColor="text1"/>
          <w:sz w:val="28"/>
          <w:szCs w:val="28"/>
          <w:highlight w:val="none"/>
          <w:u w:val="none" w:color="auto"/>
          <w14:textFill>
            <w14:solidFill>
              <w14:schemeClr w14:val="tx1"/>
            </w14:solidFill>
          </w14:textFill>
        </w:rPr>
        <w:t>运营期声环境环境影响预测与评价</w:t>
      </w:r>
      <w:bookmarkEnd w:id="120"/>
    </w:p>
    <w:p w14:paraId="4CAA37BC">
      <w:pPr>
        <w:autoSpaceDE/>
        <w:autoSpaceDN/>
        <w:adjustRightInd w:val="0"/>
        <w:snapToGrid w:val="0"/>
        <w:spacing w:line="360" w:lineRule="auto"/>
        <w:jc w:val="both"/>
        <w:outlineLvl w:val="3"/>
        <w:rPr>
          <w:rFonts w:hint="default" w:ascii="Times New Roman" w:hAnsi="Times New Roman" w:eastAsia="宋体" w:cs="Times New Roman"/>
          <w:b/>
          <w:color w:val="000000" w:themeColor="text1"/>
          <w:sz w:val="24"/>
          <w:szCs w:val="24"/>
          <w:highlight w:val="none"/>
          <w:u w:val="none" w:color="auto"/>
          <w14:textFill>
            <w14:solidFill>
              <w14:schemeClr w14:val="tx1"/>
            </w14:solidFill>
          </w14:textFill>
        </w:rPr>
      </w:pPr>
      <w:r>
        <w:rPr>
          <w:rFonts w:hint="default" w:ascii="Times New Roman" w:hAnsi="Times New Roman" w:cs="Times New Roman"/>
          <w:b/>
          <w:color w:val="000000" w:themeColor="text1"/>
          <w:sz w:val="24"/>
          <w:szCs w:val="24"/>
          <w:highlight w:val="none"/>
          <w:u w:val="none" w:color="auto"/>
          <w14:textFill>
            <w14:solidFill>
              <w14:schemeClr w14:val="tx1"/>
            </w14:solidFill>
          </w14:textFill>
        </w:rPr>
        <w:t>5.</w:t>
      </w:r>
      <w:r>
        <w:rPr>
          <w:rFonts w:hint="default" w:ascii="Times New Roman" w:hAnsi="Times New Roman" w:cs="Times New Roman"/>
          <w:b/>
          <w:color w:val="000000" w:themeColor="text1"/>
          <w:sz w:val="24"/>
          <w:szCs w:val="24"/>
          <w:highlight w:val="none"/>
          <w:u w:val="none" w:color="auto"/>
          <w:lang w:val="en-US" w:eastAsia="zh-CN"/>
          <w14:textFill>
            <w14:solidFill>
              <w14:schemeClr w14:val="tx1"/>
            </w14:solidFill>
          </w14:textFill>
        </w:rPr>
        <w:t>2.4.1</w:t>
      </w:r>
      <w:r>
        <w:rPr>
          <w:rFonts w:hint="default" w:ascii="Times New Roman" w:hAnsi="Times New Roman" w:eastAsia="宋体" w:cs="Times New Roman"/>
          <w:b/>
          <w:color w:val="000000" w:themeColor="text1"/>
          <w:sz w:val="24"/>
          <w:szCs w:val="24"/>
          <w:highlight w:val="none"/>
          <w:u w:val="none" w:color="auto"/>
          <w14:textFill>
            <w14:solidFill>
              <w14:schemeClr w14:val="tx1"/>
            </w14:solidFill>
          </w14:textFill>
        </w:rPr>
        <w:t>评价范围与标准</w:t>
      </w:r>
    </w:p>
    <w:p w14:paraId="4DAAEAB5">
      <w:pPr>
        <w:spacing w:line="360" w:lineRule="auto"/>
        <w:ind w:firstLine="480"/>
        <w:rPr>
          <w:rFonts w:hint="default" w:ascii="Times New Roman" w:hAnsi="Times New Roman" w:eastAsia="宋体" w:cs="Times New Roman"/>
          <w:color w:val="000000" w:themeColor="text1"/>
          <w:sz w:val="24"/>
          <w:szCs w:val="24"/>
          <w:highlight w:val="none"/>
          <w:u w:val="none" w:color="auto"/>
          <w:lang w:val="zh-CN" w:eastAsia="zh-CN" w:bidi="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zh-CN" w:eastAsia="zh-CN" w:bidi="zh-CN"/>
          <w14:textFill>
            <w14:solidFill>
              <w14:schemeClr w14:val="tx1"/>
            </w14:solidFill>
          </w14:textFill>
        </w:rPr>
        <w:t>噪声评价范围是厂内及厂区边界外200米包络线的区域范围，本项目所在区域环境噪声属</w:t>
      </w:r>
      <w:r>
        <w:rPr>
          <w:rFonts w:hint="default" w:ascii="Times New Roman" w:hAnsi="Times New Roman" w:eastAsia="宋体" w:cs="Times New Roman"/>
          <w:color w:val="000000" w:themeColor="text1"/>
          <w:sz w:val="24"/>
          <w:szCs w:val="24"/>
          <w:highlight w:val="none"/>
          <w:u w:val="none" w:color="auto"/>
          <w:lang w:val="en-US" w:eastAsia="zh-CN" w:bidi="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color="auto"/>
          <w:lang w:val="zh-CN" w:eastAsia="zh-CN" w:bidi="zh-CN"/>
          <w14:textFill>
            <w14:solidFill>
              <w14:schemeClr w14:val="tx1"/>
            </w14:solidFill>
          </w14:textFill>
        </w:rPr>
        <w:t>类区，</w:t>
      </w:r>
      <w:r>
        <w:rPr>
          <w:rFonts w:hint="default" w:ascii="Times New Roman" w:hAnsi="Times New Roman" w:eastAsia="宋体" w:cs="Times New Roman"/>
          <w:color w:val="000000" w:themeColor="text1"/>
          <w:sz w:val="24"/>
          <w:szCs w:val="24"/>
          <w:highlight w:val="none"/>
          <w:u w:val="none" w:color="auto"/>
          <w:lang w:val="en-US" w:eastAsia="zh-CN" w:bidi="zh-CN"/>
          <w14:textFill>
            <w14:solidFill>
              <w14:schemeClr w14:val="tx1"/>
            </w14:solidFill>
          </w14:textFill>
        </w:rPr>
        <w:t>噪声敏感点</w:t>
      </w:r>
      <w:r>
        <w:rPr>
          <w:rFonts w:hint="default" w:ascii="Times New Roman" w:hAnsi="Times New Roman" w:eastAsia="宋体" w:cs="Times New Roman"/>
          <w:color w:val="000000" w:themeColor="text1"/>
          <w:sz w:val="24"/>
          <w:szCs w:val="24"/>
          <w:highlight w:val="none"/>
          <w:u w:val="none" w:color="auto"/>
          <w:lang w:val="zh-CN" w:eastAsia="zh-CN" w:bidi="zh-CN"/>
          <w14:textFill>
            <w14:solidFill>
              <w14:schemeClr w14:val="tx1"/>
            </w14:solidFill>
          </w14:textFill>
        </w:rPr>
        <w:t>执行《声环境质量标准》(GB3096-2008)</w:t>
      </w:r>
      <w:r>
        <w:rPr>
          <w:rFonts w:hint="default" w:ascii="Times New Roman" w:hAnsi="Times New Roman" w:eastAsia="宋体" w:cs="Times New Roman"/>
          <w:color w:val="000000" w:themeColor="text1"/>
          <w:sz w:val="24"/>
          <w:szCs w:val="24"/>
          <w:highlight w:val="none"/>
          <w:u w:val="none" w:color="auto"/>
          <w:lang w:val="en-US" w:eastAsia="zh-CN" w:bidi="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color="auto"/>
          <w:lang w:val="zh-CN" w:eastAsia="zh-CN" w:bidi="zh-CN"/>
          <w14:textFill>
            <w14:solidFill>
              <w14:schemeClr w14:val="tx1"/>
            </w14:solidFill>
          </w14:textFill>
        </w:rPr>
        <w:t>类标准。</w:t>
      </w:r>
    </w:p>
    <w:p w14:paraId="1D58F1BB">
      <w:pPr>
        <w:autoSpaceDE/>
        <w:autoSpaceDN/>
        <w:adjustRightInd w:val="0"/>
        <w:snapToGrid w:val="0"/>
        <w:spacing w:line="360" w:lineRule="auto"/>
        <w:jc w:val="both"/>
        <w:outlineLvl w:val="3"/>
        <w:rPr>
          <w:rFonts w:hint="default" w:ascii="Times New Roman" w:hAnsi="Times New Roman" w:eastAsia="宋体" w:cs="Times New Roman"/>
          <w:b/>
          <w:color w:val="000000" w:themeColor="text1"/>
          <w:sz w:val="24"/>
          <w:szCs w:val="24"/>
          <w:highlight w:val="none"/>
          <w:u w:val="none" w:color="auto"/>
          <w14:textFill>
            <w14:solidFill>
              <w14:schemeClr w14:val="tx1"/>
            </w14:solidFill>
          </w14:textFill>
        </w:rPr>
      </w:pPr>
      <w:bookmarkStart w:id="121" w:name="_Toc3500"/>
      <w:r>
        <w:rPr>
          <w:rFonts w:hint="default" w:ascii="Times New Roman" w:hAnsi="Times New Roman" w:eastAsia="宋体" w:cs="Times New Roman"/>
          <w:b/>
          <w:color w:val="000000" w:themeColor="text1"/>
          <w:sz w:val="24"/>
          <w:szCs w:val="24"/>
          <w:highlight w:val="none"/>
          <w:u w:val="none" w:color="auto"/>
          <w:lang w:val="en-US" w:eastAsia="zh-CN"/>
          <w14:textFill>
            <w14:solidFill>
              <w14:schemeClr w14:val="tx1"/>
            </w14:solidFill>
          </w14:textFill>
        </w:rPr>
        <w:t>5.2.4.2</w:t>
      </w:r>
      <w:r>
        <w:rPr>
          <w:rFonts w:hint="default" w:ascii="Times New Roman" w:hAnsi="Times New Roman" w:eastAsia="宋体" w:cs="Times New Roman"/>
          <w:b/>
          <w:color w:val="000000" w:themeColor="text1"/>
          <w:sz w:val="24"/>
          <w:szCs w:val="24"/>
          <w:highlight w:val="none"/>
          <w:u w:val="none" w:color="auto"/>
          <w14:textFill>
            <w14:solidFill>
              <w14:schemeClr w14:val="tx1"/>
            </w14:solidFill>
          </w14:textFill>
        </w:rPr>
        <w:t>评价方法</w:t>
      </w:r>
      <w:bookmarkEnd w:id="121"/>
    </w:p>
    <w:p w14:paraId="00B1F298">
      <w:pPr>
        <w:spacing w:line="360" w:lineRule="auto"/>
        <w:ind w:firstLine="480" w:firstLineChars="200"/>
        <w:rPr>
          <w:rFonts w:hint="default" w:ascii="Times New Roman" w:hAnsi="Times New Roman" w:cs="Times New Roman"/>
          <w:color w:val="000000" w:themeColor="text1"/>
          <w:sz w:val="24"/>
          <w:highlight w:val="none"/>
          <w:u w:val="singl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根据《环境影响评价技术导则  声环境》（HJ 2.4-2021）的相关要求，评价项目</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运行期运行噪声厂界是否达到《工业企业厂界环境噪声排放标准》(GB12348.2008) 3类标准，西侧居民敏感点是否达到《声</w:t>
      </w:r>
      <w:r>
        <w:rPr>
          <w:rFonts w:hint="default" w:ascii="Times New Roman" w:hAnsi="Times New Roman" w:eastAsia="宋体" w:cs="Times New Roman"/>
          <w:color w:val="000000" w:themeColor="text1"/>
          <w:sz w:val="24"/>
          <w:szCs w:val="24"/>
          <w:highlight w:val="none"/>
          <w:u w:val="none" w:color="auto"/>
          <w:lang w:val="zh-CN" w:eastAsia="zh-CN" w:bidi="zh-CN"/>
          <w14:textFill>
            <w14:solidFill>
              <w14:schemeClr w14:val="tx1"/>
            </w14:solidFill>
          </w14:textFill>
        </w:rPr>
        <w:t>环境质量标准》(GB3096-2008)</w:t>
      </w:r>
      <w:r>
        <w:rPr>
          <w:rFonts w:hint="default" w:ascii="Times New Roman" w:hAnsi="Times New Roman" w:eastAsia="宋体" w:cs="Times New Roman"/>
          <w:color w:val="000000" w:themeColor="text1"/>
          <w:sz w:val="24"/>
          <w:szCs w:val="24"/>
          <w:highlight w:val="none"/>
          <w:u w:val="none" w:color="auto"/>
          <w:lang w:val="en-US" w:eastAsia="zh-CN" w:bidi="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color="auto"/>
          <w:lang w:val="zh-CN" w:eastAsia="zh-CN" w:bidi="zh-CN"/>
          <w14:textFill>
            <w14:solidFill>
              <w14:schemeClr w14:val="tx1"/>
            </w14:solidFill>
          </w14:textFill>
        </w:rPr>
        <w:t>类标准</w:t>
      </w:r>
      <w:r>
        <w:rPr>
          <w:rFonts w:hint="default" w:ascii="Times New Roman" w:hAnsi="Times New Roman" w:cs="Times New Roman"/>
          <w:color w:val="000000" w:themeColor="text1"/>
          <w:sz w:val="24"/>
          <w:highlight w:val="none"/>
          <w:u w:val="none" w:color="auto"/>
          <w14:textFill>
            <w14:solidFill>
              <w14:schemeClr w14:val="tx1"/>
            </w14:solidFill>
          </w14:textFill>
        </w:rPr>
        <w:t>。</w:t>
      </w:r>
    </w:p>
    <w:p w14:paraId="3623E3B7">
      <w:pPr>
        <w:autoSpaceDE/>
        <w:autoSpaceDN/>
        <w:adjustRightInd w:val="0"/>
        <w:snapToGrid w:val="0"/>
        <w:spacing w:line="360" w:lineRule="auto"/>
        <w:jc w:val="both"/>
        <w:outlineLvl w:val="3"/>
        <w:rPr>
          <w:rFonts w:hint="default" w:ascii="Times New Roman" w:hAnsi="Times New Roman" w:eastAsia="宋体" w:cs="Times New Roman"/>
          <w:b/>
          <w:color w:val="000000" w:themeColor="text1"/>
          <w:sz w:val="24"/>
          <w:szCs w:val="24"/>
          <w:highlight w:val="none"/>
          <w:u w:val="none" w:color="auto"/>
          <w:lang w:val="en-US" w:eastAsia="zh-CN"/>
          <w14:textFill>
            <w14:solidFill>
              <w14:schemeClr w14:val="tx1"/>
            </w14:solidFill>
          </w14:textFill>
        </w:rPr>
      </w:pPr>
      <w:bookmarkStart w:id="122" w:name="_Toc9874"/>
      <w:r>
        <w:rPr>
          <w:rFonts w:hint="default" w:ascii="Times New Roman" w:hAnsi="Times New Roman" w:eastAsia="宋体" w:cs="Times New Roman"/>
          <w:b/>
          <w:color w:val="000000" w:themeColor="text1"/>
          <w:sz w:val="24"/>
          <w:szCs w:val="24"/>
          <w:highlight w:val="none"/>
          <w:u w:val="none" w:color="auto"/>
          <w:lang w:val="en-US" w:eastAsia="zh-CN"/>
          <w14:textFill>
            <w14:solidFill>
              <w14:schemeClr w14:val="tx1"/>
            </w14:solidFill>
          </w14:textFill>
        </w:rPr>
        <w:t>5.2.4.3噪声预测模式</w:t>
      </w:r>
      <w:bookmarkEnd w:id="122"/>
    </w:p>
    <w:p w14:paraId="507D699A">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t>根据《环境影响评价技术导则  声环境》（HJ2.4-2021），本次评价采用下述噪声预测模式：</w:t>
      </w:r>
    </w:p>
    <w:p w14:paraId="0A994C4D">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begin"/>
      </w:r>
      <w:r>
        <w:rPr>
          <w:rFonts w:hint="default" w:ascii="Times New Roman" w:hAnsi="Times New Roman" w:cs="Times New Roman"/>
          <w:bCs/>
          <w:color w:val="000000" w:themeColor="text1"/>
          <w:sz w:val="24"/>
          <w:highlight w:val="none"/>
          <w:u w:val="none" w:color="auto"/>
          <w14:textFill>
            <w14:solidFill>
              <w14:schemeClr w14:val="tx1"/>
            </w14:solidFill>
          </w14:textFill>
        </w:rPr>
        <w:instrText xml:space="preserve"> = 1 \* GB3 </w:instrText>
      </w: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separate"/>
      </w:r>
      <w:r>
        <w:rPr>
          <w:rFonts w:hint="default" w:ascii="Times New Roman" w:hAnsi="Times New Roman" w:cs="Times New Roman"/>
          <w:bCs/>
          <w:color w:val="000000" w:themeColor="text1"/>
          <w:sz w:val="24"/>
          <w:highlight w:val="none"/>
          <w:u w:val="none" w:color="auto"/>
          <w14:textFill>
            <w14:solidFill>
              <w14:schemeClr w14:val="tx1"/>
            </w14:solidFill>
          </w14:textFill>
        </w:rPr>
        <w:t>①</w:t>
      </w: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end"/>
      </w:r>
      <w:r>
        <w:rPr>
          <w:rFonts w:hint="default" w:ascii="Times New Roman" w:hAnsi="Times New Roman" w:cs="Times New Roman"/>
          <w:bCs/>
          <w:color w:val="000000" w:themeColor="text1"/>
          <w:sz w:val="24"/>
          <w:highlight w:val="none"/>
          <w:u w:val="none" w:color="auto"/>
          <w14:textFill>
            <w14:solidFill>
              <w14:schemeClr w14:val="tx1"/>
            </w14:solidFill>
          </w14:textFill>
        </w:rPr>
        <w:t>室外声源在预测点产生的声级计算模型</w:t>
      </w:r>
    </w:p>
    <w:p w14:paraId="27751B25">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t>本项目室外声源在预测点产生的声级计算模型主要采用附录A中户外声传播衰减公式：</w:t>
      </w:r>
    </w:p>
    <w:p w14:paraId="582AD9CF">
      <w:pPr>
        <w:adjustRightInd w:val="0"/>
        <w:snapToGrid w:val="0"/>
        <w:spacing w:line="360" w:lineRule="auto"/>
        <w:ind w:firstLine="480" w:firstLineChars="200"/>
        <w:jc w:val="center"/>
        <w:rPr>
          <w:rFonts w:hint="default" w:ascii="Times New Roman" w:hAnsi="Times New Roman" w:cs="Times New Roman"/>
          <w:bCs/>
          <w:i/>
          <w:color w:val="000000" w:themeColor="text1"/>
          <w:sz w:val="24"/>
          <w:highlight w:val="none"/>
          <w:u w:val="none" w:color="auto"/>
          <w14:textFill>
            <w14:solidFill>
              <w14:schemeClr w14:val="tx1"/>
            </w14:solidFill>
          </w14:textFill>
        </w:rPr>
      </w:pPr>
      <m:oMathPara>
        <m:oMath>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p</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d>
            <m:dPr>
              <m:begChr m:val="（"/>
              <m:endChr m:val="）"/>
              <m:ctrlPr>
                <w:rPr>
                  <w:rFonts w:hint="default" w:ascii="Cambria Math" w:hAnsi="Cambria Math" w:cs="Times New Roman"/>
                  <w:i/>
                  <w:color w:val="000000" w:themeColor="text1"/>
                  <w:sz w:val="24"/>
                  <w:highlight w:val="none"/>
                  <w:u w:val="none" w:color="auto"/>
                  <w14:textFill>
                    <w14:solidFill>
                      <w14:schemeClr w14:val="tx1"/>
                    </w14:solidFill>
                  </w14:textFill>
                </w:rPr>
              </m:ctrlPr>
            </m:d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r</m:t>
              </m:r>
              <m:ctrlPr>
                <w:rPr>
                  <w:rFonts w:hint="default" w:ascii="Cambria Math" w:hAnsi="Cambria Math" w:cs="Times New Roman"/>
                  <w:i/>
                  <w:color w:val="000000" w:themeColor="text1"/>
                  <w:sz w:val="24"/>
                  <w:highlight w:val="none"/>
                  <w:u w:val="none" w:color="auto"/>
                  <w14:textFill>
                    <w14:solidFill>
                      <w14:schemeClr w14:val="tx1"/>
                    </w14:solidFill>
                  </w14:textFill>
                </w:rPr>
              </m:ctrlPr>
            </m:e>
          </m:d>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W</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D</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C</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div</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atm</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gr</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bar</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misc</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oMath>
      </m:oMathPara>
    </w:p>
    <w:p w14:paraId="4DF52797">
      <w:pPr>
        <w:adjustRightInd w:val="0"/>
        <w:snapToGrid w:val="0"/>
        <w:spacing w:line="360" w:lineRule="auto"/>
        <w:ind w:firstLine="480" w:firstLineChars="200"/>
        <w:jc w:val="center"/>
        <w:rPr>
          <w:rFonts w:hint="default" w:ascii="Times New Roman" w:hAnsi="Times New Roman" w:cs="Times New Roman"/>
          <w:bCs/>
          <w:i/>
          <w:color w:val="000000" w:themeColor="text1"/>
          <w:sz w:val="24"/>
          <w:highlight w:val="none"/>
          <w:u w:val="none" w:color="auto"/>
          <w14:textFill>
            <w14:solidFill>
              <w14:schemeClr w14:val="tx1"/>
            </w14:solidFill>
          </w14:textFill>
        </w:rPr>
      </w:pPr>
      <m:oMathPara>
        <m:oMath>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p</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d>
            <m:dPr>
              <m:begChr m:val="（"/>
              <m:endChr m:val="）"/>
              <m:ctrlPr>
                <w:rPr>
                  <w:rFonts w:hint="default" w:ascii="Cambria Math" w:hAnsi="Cambria Math" w:cs="Times New Roman"/>
                  <w:i/>
                  <w:color w:val="000000" w:themeColor="text1"/>
                  <w:sz w:val="24"/>
                  <w:highlight w:val="none"/>
                  <w:u w:val="none" w:color="auto"/>
                  <w14:textFill>
                    <w14:solidFill>
                      <w14:schemeClr w14:val="tx1"/>
                    </w14:solidFill>
                  </w14:textFill>
                </w:rPr>
              </m:ctrlPr>
            </m:d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r</m:t>
              </m:r>
              <m:ctrlPr>
                <w:rPr>
                  <w:rFonts w:hint="default" w:ascii="Cambria Math" w:hAnsi="Cambria Math" w:cs="Times New Roman"/>
                  <w:i/>
                  <w:color w:val="000000" w:themeColor="text1"/>
                  <w:sz w:val="24"/>
                  <w:highlight w:val="none"/>
                  <w:u w:val="none" w:color="auto"/>
                  <w14:textFill>
                    <w14:solidFill>
                      <w14:schemeClr w14:val="tx1"/>
                    </w14:solidFill>
                  </w14:textFill>
                </w:rPr>
              </m:ctrlPr>
            </m:e>
          </m:d>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p</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d>
            <m:dPr>
              <m:begChr m:val="（"/>
              <m:endChr m:val="）"/>
              <m:ctrlPr>
                <w:rPr>
                  <w:rFonts w:hint="default" w:ascii="Cambria Math" w:hAnsi="Cambria Math" w:cs="Times New Roman"/>
                  <w:i/>
                  <w:color w:val="000000" w:themeColor="text1"/>
                  <w:sz w:val="24"/>
                  <w:highlight w:val="none"/>
                  <w:u w:val="none" w:color="auto"/>
                  <w14:textFill>
                    <w14:solidFill>
                      <w14:schemeClr w14:val="tx1"/>
                    </w14:solidFill>
                  </w14:textFill>
                </w:rPr>
              </m:ctrlPr>
            </m:dPr>
            <m:e>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r</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0</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ctrlPr>
                <w:rPr>
                  <w:rFonts w:hint="default" w:ascii="Cambria Math" w:hAnsi="Cambria Math" w:cs="Times New Roman"/>
                  <w:i/>
                  <w:color w:val="000000" w:themeColor="text1"/>
                  <w:sz w:val="24"/>
                  <w:highlight w:val="none"/>
                  <w:u w:val="none" w:color="auto"/>
                  <w14:textFill>
                    <w14:solidFill>
                      <w14:schemeClr w14:val="tx1"/>
                    </w14:solidFill>
                  </w14:textFill>
                </w:rPr>
              </m:ctrlPr>
            </m:e>
          </m:d>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D</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C</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div</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atm</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gr</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bar</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misc</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oMath>
      </m:oMathPara>
    </w:p>
    <w:p w14:paraId="6AF7D82A">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begin"/>
      </w:r>
      <w:r>
        <w:rPr>
          <w:rFonts w:hint="default" w:ascii="Times New Roman" w:hAnsi="Times New Roman" w:cs="Times New Roman"/>
          <w:bCs/>
          <w:color w:val="000000" w:themeColor="text1"/>
          <w:sz w:val="24"/>
          <w:highlight w:val="none"/>
          <w:u w:val="none" w:color="auto"/>
          <w14:textFill>
            <w14:solidFill>
              <w14:schemeClr w14:val="tx1"/>
            </w14:solidFill>
          </w14:textFill>
        </w:rPr>
        <w:instrText xml:space="preserve"> = 2 \* GB3 \* MERGEFORMAT </w:instrText>
      </w: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separate"/>
      </w:r>
      <w:r>
        <w:rPr>
          <w:rFonts w:hint="default" w:ascii="Times New Roman" w:hAnsi="Times New Roman" w:cs="Times New Roman"/>
          <w:bCs/>
          <w:color w:val="000000" w:themeColor="text1"/>
          <w:sz w:val="24"/>
          <w:highlight w:val="none"/>
          <w:u w:val="none" w:color="auto"/>
          <w14:textFill>
            <w14:solidFill>
              <w14:schemeClr w14:val="tx1"/>
            </w14:solidFill>
          </w14:textFill>
        </w:rPr>
        <w:t>②</w:t>
      </w: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end"/>
      </w:r>
      <w:r>
        <w:rPr>
          <w:rFonts w:hint="default" w:ascii="Times New Roman" w:hAnsi="Times New Roman" w:cs="Times New Roman"/>
          <w:bCs/>
          <w:color w:val="000000" w:themeColor="text1"/>
          <w:sz w:val="24"/>
          <w:highlight w:val="none"/>
          <w:u w:val="none" w:color="auto"/>
          <w14:textFill>
            <w14:solidFill>
              <w14:schemeClr w14:val="tx1"/>
            </w14:solidFill>
          </w14:textFill>
        </w:rPr>
        <w:t>室内声源等效室外声源声功率级计算方法</w:t>
      </w:r>
    </w:p>
    <w:p w14:paraId="25A6C696">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t>本项目位于室内的声源，室内声源采用等效室外声源声功率级法进行计算。室外的倍频带声压级参考附录B中B.1公式近似求出：</w:t>
      </w:r>
    </w:p>
    <w:p w14:paraId="4C680A14">
      <w:pPr>
        <w:adjustRightInd w:val="0"/>
        <w:snapToGrid w:val="0"/>
        <w:spacing w:line="360" w:lineRule="auto"/>
        <w:ind w:firstLine="480" w:firstLineChars="200"/>
        <w:jc w:val="center"/>
        <w:rPr>
          <w:rFonts w:hint="default" w:ascii="Times New Roman" w:hAnsi="Times New Roman" w:cs="Times New Roman"/>
          <w:bCs/>
          <w:color w:val="000000" w:themeColor="text1"/>
          <w:sz w:val="24"/>
          <w:highlight w:val="none"/>
          <w:u w:val="none" w:color="auto"/>
          <w14:textFill>
            <w14:solidFill>
              <w14:schemeClr w14:val="tx1"/>
            </w14:solidFill>
          </w14:textFill>
        </w:rPr>
      </w:pPr>
      <m:oMathPara>
        <m:oMath>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P</m:t>
              </m:r>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2</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P</m:t>
              </m:r>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1</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TL</m:t>
          </m:r>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+6）</m:t>
          </m:r>
        </m:oMath>
      </m:oMathPara>
    </w:p>
    <w:p w14:paraId="2785465B">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begin"/>
      </w:r>
      <w:r>
        <w:rPr>
          <w:rFonts w:hint="default" w:ascii="Times New Roman" w:hAnsi="Times New Roman" w:cs="Times New Roman"/>
          <w:bCs/>
          <w:color w:val="000000" w:themeColor="text1"/>
          <w:sz w:val="24"/>
          <w:highlight w:val="none"/>
          <w:u w:val="none" w:color="auto"/>
          <w14:textFill>
            <w14:solidFill>
              <w14:schemeClr w14:val="tx1"/>
            </w14:solidFill>
          </w14:textFill>
        </w:rPr>
        <w:instrText xml:space="preserve"> = 3 \* GB3 </w:instrText>
      </w: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separate"/>
      </w:r>
      <w:r>
        <w:rPr>
          <w:rFonts w:hint="default" w:ascii="Times New Roman" w:hAnsi="Times New Roman" w:cs="Times New Roman"/>
          <w:bCs/>
          <w:color w:val="000000" w:themeColor="text1"/>
          <w:sz w:val="24"/>
          <w:highlight w:val="none"/>
          <w:u w:val="none" w:color="auto"/>
          <w14:textFill>
            <w14:solidFill>
              <w14:schemeClr w14:val="tx1"/>
            </w14:solidFill>
          </w14:textFill>
        </w:rPr>
        <w:t>③</w:t>
      </w: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end"/>
      </w:r>
      <w:r>
        <w:rPr>
          <w:rFonts w:hint="default" w:ascii="Times New Roman" w:hAnsi="Times New Roman" w:cs="Times New Roman"/>
          <w:bCs/>
          <w:color w:val="000000" w:themeColor="text1"/>
          <w:sz w:val="24"/>
          <w:highlight w:val="none"/>
          <w:u w:val="none" w:color="auto"/>
          <w14:textFill>
            <w14:solidFill>
              <w14:schemeClr w14:val="tx1"/>
            </w14:solidFill>
          </w14:textFill>
        </w:rPr>
        <w:t>衰减项的计算</w:t>
      </w:r>
    </w:p>
    <w:p w14:paraId="0DBE97EA">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t>本项目衰减项的计算主要考虑点声源的几何发散衰减，公式如下：</w:t>
      </w:r>
    </w:p>
    <w:p w14:paraId="7F8BEDD1">
      <w:pPr>
        <w:adjustRightInd w:val="0"/>
        <w:snapToGrid w:val="0"/>
        <w:spacing w:line="360" w:lineRule="auto"/>
        <w:ind w:firstLine="480" w:firstLineChars="200"/>
        <w:jc w:val="center"/>
        <w:rPr>
          <w:rFonts w:hint="default" w:ascii="Times New Roman" w:hAnsi="Times New Roman" w:cs="Times New Roman"/>
          <w:bCs/>
          <w:i/>
          <w:color w:val="000000" w:themeColor="text1"/>
          <w:sz w:val="24"/>
          <w:highlight w:val="none"/>
          <w:u w:val="none" w:color="auto"/>
          <w14:textFill>
            <w14:solidFill>
              <w14:schemeClr w14:val="tx1"/>
            </w14:solidFill>
          </w14:textFill>
        </w:rPr>
      </w:pPr>
      <m:oMathPara>
        <m:oMath>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d>
            <m:dPr>
              <m:begChr m:val="（"/>
              <m:endChr m:val="）"/>
              <m:ctrlPr>
                <w:rPr>
                  <w:rFonts w:hint="default" w:ascii="Cambria Math" w:hAnsi="Cambria Math" w:cs="Times New Roman"/>
                  <w:i/>
                  <w:color w:val="000000" w:themeColor="text1"/>
                  <w:sz w:val="24"/>
                  <w:highlight w:val="none"/>
                  <w:u w:val="none" w:color="auto"/>
                  <w14:textFill>
                    <w14:solidFill>
                      <w14:schemeClr w14:val="tx1"/>
                    </w14:solidFill>
                  </w14:textFill>
                </w:rPr>
              </m:ctrlPr>
            </m:d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r</m:t>
              </m:r>
              <m:ctrlPr>
                <w:rPr>
                  <w:rFonts w:hint="default" w:ascii="Cambria Math" w:hAnsi="Cambria Math" w:cs="Times New Roman"/>
                  <w:i/>
                  <w:color w:val="000000" w:themeColor="text1"/>
                  <w:sz w:val="24"/>
                  <w:highlight w:val="none"/>
                  <w:u w:val="none" w:color="auto"/>
                  <w14:textFill>
                    <w14:solidFill>
                      <w14:schemeClr w14:val="tx1"/>
                    </w14:solidFill>
                  </w14:textFill>
                </w:rPr>
              </m:ctrlPr>
            </m:e>
          </m:d>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d>
            <m:dPr>
              <m:begChr m:val="（"/>
              <m:endChr m:val="）"/>
              <m:ctrlPr>
                <w:rPr>
                  <w:rFonts w:hint="default" w:ascii="Cambria Math" w:hAnsi="Cambria Math" w:cs="Times New Roman"/>
                  <w:i/>
                  <w:color w:val="000000" w:themeColor="text1"/>
                  <w:sz w:val="24"/>
                  <w:highlight w:val="none"/>
                  <w:u w:val="none" w:color="auto"/>
                  <w14:textFill>
                    <w14:solidFill>
                      <w14:schemeClr w14:val="tx1"/>
                    </w14:solidFill>
                  </w14:textFill>
                </w:rPr>
              </m:ctrlPr>
            </m:dPr>
            <m:e>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r</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0</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ctrlPr>
                <w:rPr>
                  <w:rFonts w:hint="default" w:ascii="Cambria Math" w:hAnsi="Cambria Math" w:cs="Times New Roman"/>
                  <w:i/>
                  <w:color w:val="000000" w:themeColor="text1"/>
                  <w:sz w:val="24"/>
                  <w:highlight w:val="none"/>
                  <w:u w:val="none" w:color="auto"/>
                  <w14:textFill>
                    <w14:solidFill>
                      <w14:schemeClr w14:val="tx1"/>
                    </w14:solidFill>
                  </w14:textFill>
                </w:rPr>
              </m:ctrlPr>
            </m:e>
          </m:d>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-20</m:t>
          </m:r>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lg</m:t>
          </m:r>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f>
            <m:fPr>
              <m:ctrlPr>
                <w:rPr>
                  <w:rFonts w:hint="default" w:ascii="Cambria Math" w:hAnsi="Cambria Math" w:cs="Times New Roman"/>
                  <w:i/>
                  <w:color w:val="000000" w:themeColor="text1"/>
                  <w:sz w:val="24"/>
                  <w:highlight w:val="none"/>
                  <w:u w:val="none" w:color="auto"/>
                  <w14:textFill>
                    <w14:solidFill>
                      <w14:schemeClr w14:val="tx1"/>
                    </w14:solidFill>
                  </w14:textFill>
                </w:rPr>
              </m:ctrlPr>
            </m:fPr>
            <m:num>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r</m:t>
              </m:r>
              <m:ctrlPr>
                <w:rPr>
                  <w:rFonts w:hint="default" w:ascii="Cambria Math" w:hAnsi="Cambria Math" w:cs="Times New Roman"/>
                  <w:i/>
                  <w:color w:val="000000" w:themeColor="text1"/>
                  <w:sz w:val="24"/>
                  <w:highlight w:val="none"/>
                  <w:u w:val="none" w:color="auto"/>
                  <w14:textFill>
                    <w14:solidFill>
                      <w14:schemeClr w14:val="tx1"/>
                    </w14:solidFill>
                  </w14:textFill>
                </w:rPr>
              </m:ctrlPr>
            </m:num>
            <m:den>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r</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0</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ctrlPr>
                <w:rPr>
                  <w:rFonts w:hint="default" w:ascii="Cambria Math" w:hAnsi="Cambria Math" w:cs="Times New Roman"/>
                  <w:i/>
                  <w:color w:val="000000" w:themeColor="text1"/>
                  <w:sz w:val="24"/>
                  <w:highlight w:val="none"/>
                  <w:u w:val="none" w:color="auto"/>
                  <w14:textFill>
                    <w14:solidFill>
                      <w14:schemeClr w14:val="tx1"/>
                    </w14:solidFill>
                  </w14:textFill>
                </w:rPr>
              </m:ctrlPr>
            </m:den>
          </m:f>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oMath>
      </m:oMathPara>
    </w:p>
    <w:p w14:paraId="16E8F5E3">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begin"/>
      </w:r>
      <w:r>
        <w:rPr>
          <w:rFonts w:hint="default" w:ascii="Times New Roman" w:hAnsi="Times New Roman" w:cs="Times New Roman"/>
          <w:bCs/>
          <w:color w:val="000000" w:themeColor="text1"/>
          <w:sz w:val="24"/>
          <w:highlight w:val="none"/>
          <w:u w:val="none" w:color="auto"/>
          <w14:textFill>
            <w14:solidFill>
              <w14:schemeClr w14:val="tx1"/>
            </w14:solidFill>
          </w14:textFill>
        </w:rPr>
        <w:instrText xml:space="preserve"> = 4 \* GB3 \* MERGEFORMAT </w:instrText>
      </w: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separate"/>
      </w:r>
      <w:r>
        <w:rPr>
          <w:rFonts w:hint="default" w:ascii="Times New Roman" w:hAnsi="Times New Roman" w:cs="Times New Roman"/>
          <w:bCs/>
          <w:color w:val="000000" w:themeColor="text1"/>
          <w:sz w:val="24"/>
          <w:highlight w:val="none"/>
          <w:u w:val="none" w:color="auto"/>
          <w14:textFill>
            <w14:solidFill>
              <w14:schemeClr w14:val="tx1"/>
            </w14:solidFill>
          </w14:textFill>
        </w:rPr>
        <w:t>④</w:t>
      </w: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end"/>
      </w:r>
      <w:r>
        <w:rPr>
          <w:rFonts w:hint="default" w:ascii="Times New Roman" w:hAnsi="Times New Roman" w:cs="Times New Roman"/>
          <w:bCs/>
          <w:color w:val="000000" w:themeColor="text1"/>
          <w:sz w:val="24"/>
          <w:highlight w:val="none"/>
          <w:u w:val="none" w:color="auto"/>
          <w14:textFill>
            <w14:solidFill>
              <w14:schemeClr w14:val="tx1"/>
            </w14:solidFill>
          </w14:textFill>
        </w:rPr>
        <w:t>噪声贡献值计算</w:t>
      </w:r>
    </w:p>
    <w:p w14:paraId="6ADA0A52">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t>由建设项目自身声源在预测点产生的声级。</w:t>
      </w:r>
    </w:p>
    <w:p w14:paraId="4BE043D2">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t>噪声贡献值（L</w:t>
      </w:r>
      <w:r>
        <w:rPr>
          <w:rFonts w:hint="default" w:ascii="Times New Roman" w:hAnsi="Times New Roman" w:cs="Times New Roman"/>
          <w:bCs/>
          <w:color w:val="000000" w:themeColor="text1"/>
          <w:sz w:val="24"/>
          <w:highlight w:val="none"/>
          <w:u w:val="none" w:color="auto"/>
          <w:vertAlign w:val="subscript"/>
          <w14:textFill>
            <w14:solidFill>
              <w14:schemeClr w14:val="tx1"/>
            </w14:solidFill>
          </w14:textFill>
        </w:rPr>
        <w:t>eqg</w:t>
      </w:r>
      <w:r>
        <w:rPr>
          <w:rFonts w:hint="default" w:ascii="Times New Roman" w:hAnsi="Times New Roman" w:cs="Times New Roman"/>
          <w:bCs/>
          <w:color w:val="000000" w:themeColor="text1"/>
          <w:sz w:val="24"/>
          <w:highlight w:val="none"/>
          <w:u w:val="none" w:color="auto"/>
          <w14:textFill>
            <w14:solidFill>
              <w14:schemeClr w14:val="tx1"/>
            </w14:solidFill>
          </w14:textFill>
        </w:rPr>
        <w:t>）计算公式为：</w:t>
      </w:r>
    </w:p>
    <w:p w14:paraId="0F0690B4">
      <w:pPr>
        <w:adjustRightInd w:val="0"/>
        <w:snapToGrid w:val="0"/>
        <w:spacing w:line="360" w:lineRule="auto"/>
        <w:ind w:firstLine="480" w:firstLineChars="200"/>
        <w:jc w:val="center"/>
        <w:rPr>
          <w:rFonts w:hint="default" w:ascii="Times New Roman" w:hAnsi="Times New Roman" w:cs="Times New Roman"/>
          <w:bCs/>
          <w:i/>
          <w:color w:val="000000" w:themeColor="text1"/>
          <w:sz w:val="24"/>
          <w:highlight w:val="none"/>
          <w:u w:val="none" w:color="auto"/>
          <w14:textFill>
            <w14:solidFill>
              <w14:schemeClr w14:val="tx1"/>
            </w14:solidFill>
          </w14:textFill>
        </w:rPr>
      </w:pPr>
      <m:oMathPara>
        <m:oMath>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eqg</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=10</m:t>
          </m:r>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lg</m:t>
          </m:r>
          <m:d>
            <m:dPr>
              <m:begChr m:val="["/>
              <m:endChr m:val="]"/>
              <m:ctrlPr>
                <w:rPr>
                  <w:rFonts w:hint="default" w:ascii="Cambria Math" w:hAnsi="Cambria Math" w:cs="Times New Roman"/>
                  <w:i/>
                  <w:color w:val="000000" w:themeColor="text1"/>
                  <w:sz w:val="24"/>
                  <w:highlight w:val="none"/>
                  <w:u w:val="none" w:color="auto"/>
                  <w14:textFill>
                    <w14:solidFill>
                      <w14:schemeClr w14:val="tx1"/>
                    </w14:solidFill>
                  </w14:textFill>
                </w:rPr>
              </m:ctrlPr>
            </m:dPr>
            <m:e>
              <m:f>
                <m:fPr>
                  <m:ctrlPr>
                    <w:rPr>
                      <w:rFonts w:hint="default" w:ascii="Cambria Math" w:hAnsi="Cambria Math" w:cs="Times New Roman"/>
                      <w:i/>
                      <w:color w:val="000000" w:themeColor="text1"/>
                      <w:sz w:val="24"/>
                      <w:highlight w:val="none"/>
                      <w:u w:val="none" w:color="auto"/>
                      <w14:textFill>
                        <w14:solidFill>
                          <w14:schemeClr w14:val="tx1"/>
                        </w14:solidFill>
                      </w14:textFill>
                    </w:rPr>
                  </m:ctrlPr>
                </m:fPr>
                <m:num>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1</m:t>
                  </m:r>
                  <m:ctrlPr>
                    <w:rPr>
                      <w:rFonts w:hint="default" w:ascii="Cambria Math" w:hAnsi="Cambria Math" w:cs="Times New Roman"/>
                      <w:i/>
                      <w:color w:val="000000" w:themeColor="text1"/>
                      <w:sz w:val="24"/>
                      <w:highlight w:val="none"/>
                      <w:u w:val="none" w:color="auto"/>
                      <w14:textFill>
                        <w14:solidFill>
                          <w14:schemeClr w14:val="tx1"/>
                        </w14:solidFill>
                      </w14:textFill>
                    </w:rPr>
                  </m:ctrlPr>
                </m:num>
                <m:den>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T</m:t>
                  </m:r>
                  <m:ctrlPr>
                    <w:rPr>
                      <w:rFonts w:hint="default" w:ascii="Cambria Math" w:hAnsi="Cambria Math" w:cs="Times New Roman"/>
                      <w:i/>
                      <w:color w:val="000000" w:themeColor="text1"/>
                      <w:sz w:val="24"/>
                      <w:highlight w:val="none"/>
                      <w:u w:val="none" w:color="auto"/>
                      <w14:textFill>
                        <w14:solidFill>
                          <w14:schemeClr w14:val="tx1"/>
                        </w14:solidFill>
                      </w14:textFill>
                    </w:rPr>
                  </m:ctrlPr>
                </m:den>
              </m:f>
              <m:d>
                <m:dPr>
                  <m:ctrlPr>
                    <w:rPr>
                      <w:rFonts w:hint="default" w:ascii="Cambria Math" w:hAnsi="Cambria Math" w:cs="Times New Roman"/>
                      <w:i/>
                      <w:color w:val="000000" w:themeColor="text1"/>
                      <w:sz w:val="24"/>
                      <w:highlight w:val="none"/>
                      <w:u w:val="none" w:color="auto"/>
                      <w14:textFill>
                        <w14:solidFill>
                          <w14:schemeClr w14:val="tx1"/>
                        </w14:solidFill>
                      </w14:textFill>
                    </w:rPr>
                  </m:ctrlPr>
                </m:dPr>
                <m:e>
                  <m:nary>
                    <m:naryPr>
                      <m:chr m:val="∑"/>
                      <m:limLoc m:val="undOvr"/>
                      <m:ctrlPr>
                        <w:rPr>
                          <w:rFonts w:hint="default" w:ascii="Cambria Math" w:hAnsi="Cambria Math" w:cs="Times New Roman"/>
                          <w:i/>
                          <w:color w:val="000000" w:themeColor="text1"/>
                          <w:sz w:val="24"/>
                          <w:highlight w:val="none"/>
                          <w:u w:val="none" w:color="auto"/>
                          <w14:textFill>
                            <w14:solidFill>
                              <w14:schemeClr w14:val="tx1"/>
                            </w14:solidFill>
                          </w14:textFill>
                        </w:rPr>
                      </m:ctrlPr>
                    </m:naryPr>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i</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up>
                      <m:ctrlPr>
                        <w:rPr>
                          <w:rFonts w:hint="default" w:ascii="Cambria Math" w:hAnsi="Cambria Math" w:cs="Times New Roman"/>
                          <w:i/>
                          <w:color w:val="000000" w:themeColor="text1"/>
                          <w:sz w:val="24"/>
                          <w:highlight w:val="none"/>
                          <w:u w:val="none" w:color="auto"/>
                          <w14:textFill>
                            <w14:solidFill>
                              <w14:schemeClr w14:val="tx1"/>
                            </w14:solidFill>
                          </w14:textFill>
                        </w:rPr>
                      </m:ctrlPr>
                    </m:sup>
                    <m:e>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t</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i</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sSup>
                        <m:sSupPr>
                          <m:ctrlPr>
                            <w:rPr>
                              <w:rFonts w:hint="default" w:ascii="Cambria Math" w:hAnsi="Cambria Math" w:cs="Times New Roman"/>
                              <w:i/>
                              <w:color w:val="000000" w:themeColor="text1"/>
                              <w:sz w:val="24"/>
                              <w:highlight w:val="none"/>
                              <w:u w:val="none" w:color="auto"/>
                              <w14:textFill>
                                <w14:solidFill>
                                  <w14:schemeClr w14:val="tx1"/>
                                </w14:solidFill>
                              </w14:textFill>
                            </w:rPr>
                          </m:ctrlPr>
                        </m:sSupPr>
                        <m:e>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10</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p>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0.1</m:t>
                          </m:r>
                          <m:ctrlPr>
                            <w:rPr>
                              <w:rFonts w:hint="default" w:ascii="Cambria Math" w:hAnsi="Cambria Math" w:cs="Times New Roman"/>
                              <w:i/>
                              <w:color w:val="000000" w:themeColor="text1"/>
                              <w:sz w:val="24"/>
                              <w:highlight w:val="none"/>
                              <w:u w:val="none" w:color="auto"/>
                              <w14:textFill>
                                <w14:solidFill>
                                  <w14:schemeClr w14:val="tx1"/>
                                </w14:solidFill>
                              </w14:textFill>
                            </w:rPr>
                          </m:ctrlPr>
                        </m:sup>
                      </m:sSup>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Ai</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ctrlPr>
                        <w:rPr>
                          <w:rFonts w:hint="default" w:ascii="Cambria Math" w:hAnsi="Cambria Math" w:cs="Times New Roman"/>
                          <w:i/>
                          <w:color w:val="000000" w:themeColor="text1"/>
                          <w:sz w:val="24"/>
                          <w:highlight w:val="none"/>
                          <w:u w:val="none" w:color="auto"/>
                          <w14:textFill>
                            <w14:solidFill>
                              <w14:schemeClr w14:val="tx1"/>
                            </w14:solidFill>
                          </w14:textFill>
                        </w:rPr>
                      </m:ctrlPr>
                    </m:e>
                  </m:nary>
                  <m:ctrlPr>
                    <w:rPr>
                      <w:rFonts w:hint="default" w:ascii="Cambria Math" w:hAnsi="Cambria Math" w:cs="Times New Roman"/>
                      <w:i/>
                      <w:color w:val="000000" w:themeColor="text1"/>
                      <w:sz w:val="24"/>
                      <w:highlight w:val="none"/>
                      <w:u w:val="none" w:color="auto"/>
                      <w14:textFill>
                        <w14:solidFill>
                          <w14:schemeClr w14:val="tx1"/>
                        </w14:solidFill>
                      </w14:textFill>
                    </w:rPr>
                  </m:ctrlPr>
                </m:e>
              </m:d>
              <m:ctrlPr>
                <w:rPr>
                  <w:rFonts w:hint="default" w:ascii="Cambria Math" w:hAnsi="Cambria Math" w:cs="Times New Roman"/>
                  <w:i/>
                  <w:color w:val="000000" w:themeColor="text1"/>
                  <w:sz w:val="24"/>
                  <w:highlight w:val="none"/>
                  <w:u w:val="none" w:color="auto"/>
                  <w14:textFill>
                    <w14:solidFill>
                      <w14:schemeClr w14:val="tx1"/>
                    </w14:solidFill>
                  </w14:textFill>
                </w:rPr>
              </m:ctrlPr>
            </m:e>
          </m:d>
        </m:oMath>
      </m:oMathPara>
    </w:p>
    <w:p w14:paraId="156E1555">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begin"/>
      </w:r>
      <w:r>
        <w:rPr>
          <w:rFonts w:hint="default" w:ascii="Times New Roman" w:hAnsi="Times New Roman" w:cs="Times New Roman"/>
          <w:bCs/>
          <w:color w:val="000000" w:themeColor="text1"/>
          <w:sz w:val="24"/>
          <w:highlight w:val="none"/>
          <w:u w:val="none" w:color="auto"/>
          <w14:textFill>
            <w14:solidFill>
              <w14:schemeClr w14:val="tx1"/>
            </w14:solidFill>
          </w14:textFill>
        </w:rPr>
        <w:instrText xml:space="preserve"> = 5 \* GB3 </w:instrText>
      </w: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separate"/>
      </w:r>
      <w:r>
        <w:rPr>
          <w:rFonts w:hint="default" w:ascii="Times New Roman" w:hAnsi="Times New Roman" w:cs="Times New Roman"/>
          <w:bCs/>
          <w:color w:val="000000" w:themeColor="text1"/>
          <w:sz w:val="24"/>
          <w:highlight w:val="none"/>
          <w:u w:val="none" w:color="auto"/>
          <w14:textFill>
            <w14:solidFill>
              <w14:schemeClr w14:val="tx1"/>
            </w14:solidFill>
          </w14:textFill>
        </w:rPr>
        <w:t>⑤</w:t>
      </w:r>
      <w:r>
        <w:rPr>
          <w:rFonts w:hint="default" w:ascii="Times New Roman" w:hAnsi="Times New Roman" w:cs="Times New Roman"/>
          <w:bCs/>
          <w:color w:val="000000" w:themeColor="text1"/>
          <w:sz w:val="24"/>
          <w:highlight w:val="none"/>
          <w:u w:val="none" w:color="auto"/>
          <w14:textFill>
            <w14:solidFill>
              <w14:schemeClr w14:val="tx1"/>
            </w14:solidFill>
          </w14:textFill>
        </w:rPr>
        <w:fldChar w:fldCharType="end"/>
      </w:r>
      <w:r>
        <w:rPr>
          <w:rFonts w:hint="default" w:ascii="Times New Roman" w:hAnsi="Times New Roman" w:cs="Times New Roman"/>
          <w:bCs/>
          <w:color w:val="000000" w:themeColor="text1"/>
          <w:sz w:val="24"/>
          <w:highlight w:val="none"/>
          <w:u w:val="none" w:color="auto"/>
          <w14:textFill>
            <w14:solidFill>
              <w14:schemeClr w14:val="tx1"/>
            </w14:solidFill>
          </w14:textFill>
        </w:rPr>
        <w:t>噪声预测值计算</w:t>
      </w:r>
    </w:p>
    <w:p w14:paraId="477C5550">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t>预测点的贡献值和背景值按能量叠加方法计算得到的声级。</w:t>
      </w:r>
    </w:p>
    <w:p w14:paraId="7C024400">
      <w:pPr>
        <w:adjustRightInd w:val="0"/>
        <w:snapToGrid w:val="0"/>
        <w:spacing w:line="360" w:lineRule="auto"/>
        <w:ind w:firstLine="480" w:firstLineChars="200"/>
        <w:rPr>
          <w:rFonts w:hint="default" w:ascii="Times New Roman" w:hAnsi="Times New Roman" w:cs="Times New Roman"/>
          <w:bCs/>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t>噪声预测值（L</w:t>
      </w:r>
      <w:r>
        <w:rPr>
          <w:rFonts w:hint="default" w:ascii="Times New Roman" w:hAnsi="Times New Roman" w:cs="Times New Roman"/>
          <w:bCs/>
          <w:color w:val="000000" w:themeColor="text1"/>
          <w:sz w:val="24"/>
          <w:highlight w:val="none"/>
          <w:u w:val="none" w:color="auto"/>
          <w:vertAlign w:val="subscript"/>
          <w14:textFill>
            <w14:solidFill>
              <w14:schemeClr w14:val="tx1"/>
            </w14:solidFill>
          </w14:textFill>
        </w:rPr>
        <w:t>eq</w:t>
      </w:r>
      <w:r>
        <w:rPr>
          <w:rFonts w:hint="default" w:ascii="Times New Roman" w:hAnsi="Times New Roman" w:cs="Times New Roman"/>
          <w:bCs/>
          <w:color w:val="000000" w:themeColor="text1"/>
          <w:sz w:val="24"/>
          <w:highlight w:val="none"/>
          <w:u w:val="none" w:color="auto"/>
          <w14:textFill>
            <w14:solidFill>
              <w14:schemeClr w14:val="tx1"/>
            </w14:solidFill>
          </w14:textFill>
        </w:rPr>
        <w:t>）计算公式为：</w:t>
      </w:r>
    </w:p>
    <w:p w14:paraId="186BF383">
      <w:pPr>
        <w:adjustRightInd w:val="0"/>
        <w:snapToGrid w:val="0"/>
        <w:spacing w:line="360" w:lineRule="auto"/>
        <w:ind w:firstLine="480" w:firstLineChars="200"/>
        <w:jc w:val="center"/>
        <w:rPr>
          <w:rFonts w:hint="default" w:ascii="Times New Roman" w:hAnsi="Times New Roman" w:cs="Times New Roman"/>
          <w:bCs/>
          <w:i/>
          <w:color w:val="000000" w:themeColor="text1"/>
          <w:sz w:val="24"/>
          <w:highlight w:val="none"/>
          <w:u w:val="none" w:color="auto"/>
          <w14:textFill>
            <w14:solidFill>
              <w14:schemeClr w14:val="tx1"/>
            </w14:solidFill>
          </w14:textFill>
        </w:rPr>
      </w:pPr>
      <m:oMathPara>
        <m:oMath>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eq</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=10lg⁡</m:t>
          </m:r>
          <m:d>
            <m:dPr>
              <m:ctrlPr>
                <w:rPr>
                  <w:rFonts w:hint="default" w:ascii="Cambria Math" w:hAnsi="Cambria Math" w:cs="Times New Roman"/>
                  <w:color w:val="000000" w:themeColor="text1"/>
                  <w:sz w:val="24"/>
                  <w:highlight w:val="none"/>
                  <w:u w:val="none" w:color="auto"/>
                  <w14:textFill>
                    <w14:solidFill>
                      <w14:schemeClr w14:val="tx1"/>
                    </w14:solidFill>
                  </w14:textFill>
                </w:rPr>
              </m:ctrlPr>
            </m:dPr>
            <m:e>
              <m:sSup>
                <m:sSupPr>
                  <m:ctrlPr>
                    <w:rPr>
                      <w:rFonts w:hint="default" w:ascii="Cambria Math" w:hAnsi="Cambria Math" w:cs="Times New Roman"/>
                      <w:i/>
                      <w:color w:val="000000" w:themeColor="text1"/>
                      <w:sz w:val="24"/>
                      <w:highlight w:val="none"/>
                      <w:u w:val="none" w:color="auto"/>
                      <w14:textFill>
                        <w14:solidFill>
                          <w14:schemeClr w14:val="tx1"/>
                        </w14:solidFill>
                      </w14:textFill>
                    </w:rPr>
                  </m:ctrlPr>
                </m:sSupPr>
                <m:e>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10</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p>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0.1</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eqg</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ctrlPr>
                    <w:rPr>
                      <w:rFonts w:hint="default" w:ascii="Cambria Math" w:hAnsi="Cambria Math" w:cs="Times New Roman"/>
                      <w:i/>
                      <w:color w:val="000000" w:themeColor="text1"/>
                      <w:sz w:val="24"/>
                      <w:highlight w:val="none"/>
                      <w:u w:val="none" w:color="auto"/>
                      <w14:textFill>
                        <w14:solidFill>
                          <w14:schemeClr w14:val="tx1"/>
                        </w14:solidFill>
                      </w14:textFill>
                    </w:rPr>
                  </m:ctrlPr>
                </m:sup>
              </m:sSup>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m:t>
              </m:r>
              <m:sSup>
                <m:sSupPr>
                  <m:ctrlPr>
                    <w:rPr>
                      <w:rFonts w:hint="default" w:ascii="Cambria Math" w:hAnsi="Cambria Math" w:cs="Times New Roman"/>
                      <w:i/>
                      <w:color w:val="000000" w:themeColor="text1"/>
                      <w:sz w:val="24"/>
                      <w:highlight w:val="none"/>
                      <w:u w:val="none" w:color="auto"/>
                      <w14:textFill>
                        <w14:solidFill>
                          <w14:schemeClr w14:val="tx1"/>
                        </w14:solidFill>
                      </w14:textFill>
                    </w:rPr>
                  </m:ctrlPr>
                </m:sSupPr>
                <m:e>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10</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p>
                  <m:r>
                    <m:rPr>
                      <m:nor/>
                      <m:sty m:val="p"/>
                    </m:rPr>
                    <w:rPr>
                      <w:rFonts w:hint="default" w:ascii="Times New Roman" w:hAnsi="Times New Roman" w:cs="Times New Roman"/>
                      <w:b w:val="0"/>
                      <w:i w:val="0"/>
                      <w:color w:val="000000" w:themeColor="text1"/>
                      <w:sz w:val="24"/>
                      <w:highlight w:val="none"/>
                      <w:u w:val="none" w:color="auto"/>
                      <w14:textFill>
                        <w14:solidFill>
                          <w14:schemeClr w14:val="tx1"/>
                        </w14:solidFill>
                      </w14:textFill>
                    </w:rPr>
                    <m:t>0.1</m:t>
                  </m:r>
                  <m:sSub>
                    <m:sSubPr>
                      <m:ctrlPr>
                        <w:rPr>
                          <w:rFonts w:hint="default" w:ascii="Cambria Math" w:hAnsi="Cambria Math" w:cs="Times New Roman"/>
                          <w:i/>
                          <w:color w:val="000000" w:themeColor="text1"/>
                          <w:sz w:val="24"/>
                          <w:highlight w:val="none"/>
                          <w:u w:val="none" w:color="auto"/>
                          <w14:textFill>
                            <w14:solidFill>
                              <w14:schemeClr w14:val="tx1"/>
                            </w14:solidFill>
                          </w14:textFill>
                        </w:rPr>
                      </m:ctrlPr>
                    </m:sSubPr>
                    <m:e>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L</m:t>
                      </m:r>
                      <m:ctrlPr>
                        <w:rPr>
                          <w:rFonts w:hint="default" w:ascii="Cambria Math" w:hAnsi="Cambria Math" w:cs="Times New Roman"/>
                          <w:i/>
                          <w:color w:val="000000" w:themeColor="text1"/>
                          <w:sz w:val="24"/>
                          <w:highlight w:val="none"/>
                          <w:u w:val="none" w:color="auto"/>
                          <w14:textFill>
                            <w14:solidFill>
                              <w14:schemeClr w14:val="tx1"/>
                            </w14:solidFill>
                          </w14:textFill>
                        </w:rPr>
                      </m:ctrlPr>
                    </m:e>
                    <m:sub>
                      <m:r>
                        <m:rPr>
                          <m:nor/>
                        </m:rPr>
                        <w:rPr>
                          <w:rFonts w:hint="default" w:ascii="Times New Roman" w:hAnsi="Times New Roman" w:cs="Times New Roman"/>
                          <w:i/>
                          <w:color w:val="000000" w:themeColor="text1"/>
                          <w:sz w:val="24"/>
                          <w:highlight w:val="none"/>
                          <w:u w:val="none" w:color="auto"/>
                          <w14:textFill>
                            <w14:solidFill>
                              <w14:schemeClr w14:val="tx1"/>
                            </w14:solidFill>
                          </w14:textFill>
                        </w:rPr>
                        <m:t>eqb</m:t>
                      </m:r>
                      <m:ctrlPr>
                        <w:rPr>
                          <w:rFonts w:hint="default" w:ascii="Cambria Math" w:hAnsi="Cambria Math" w:cs="Times New Roman"/>
                          <w:i/>
                          <w:color w:val="000000" w:themeColor="text1"/>
                          <w:sz w:val="24"/>
                          <w:highlight w:val="none"/>
                          <w:u w:val="none" w:color="auto"/>
                          <w14:textFill>
                            <w14:solidFill>
                              <w14:schemeClr w14:val="tx1"/>
                            </w14:solidFill>
                          </w14:textFill>
                        </w:rPr>
                      </m:ctrlPr>
                    </m:sub>
                  </m:sSub>
                  <m:ctrlPr>
                    <w:rPr>
                      <w:rFonts w:hint="default" w:ascii="Cambria Math" w:hAnsi="Cambria Math" w:cs="Times New Roman"/>
                      <w:i/>
                      <w:color w:val="000000" w:themeColor="text1"/>
                      <w:sz w:val="24"/>
                      <w:highlight w:val="none"/>
                      <w:u w:val="none" w:color="auto"/>
                      <w14:textFill>
                        <w14:solidFill>
                          <w14:schemeClr w14:val="tx1"/>
                        </w14:solidFill>
                      </w14:textFill>
                    </w:rPr>
                  </m:ctrlPr>
                </m:sup>
              </m:sSup>
              <m:ctrlPr>
                <w:rPr>
                  <w:rFonts w:hint="default" w:ascii="Cambria Math" w:hAnsi="Cambria Math" w:cs="Times New Roman"/>
                  <w:color w:val="000000" w:themeColor="text1"/>
                  <w:sz w:val="24"/>
                  <w:highlight w:val="none"/>
                  <w:u w:val="none" w:color="auto"/>
                  <w14:textFill>
                    <w14:solidFill>
                      <w14:schemeClr w14:val="tx1"/>
                    </w14:solidFill>
                  </w14:textFill>
                </w:rPr>
              </m:ctrlPr>
            </m:e>
          </m:d>
        </m:oMath>
      </m:oMathPara>
    </w:p>
    <w:p w14:paraId="2B4CA637">
      <w:pPr>
        <w:spacing w:line="360" w:lineRule="auto"/>
        <w:ind w:firstLine="480" w:firstLineChars="200"/>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bCs/>
          <w:color w:val="000000" w:themeColor="text1"/>
          <w:sz w:val="24"/>
          <w:highlight w:val="none"/>
          <w:u w:val="none" w:color="auto"/>
          <w14:textFill>
            <w14:solidFill>
              <w14:schemeClr w14:val="tx1"/>
            </w14:solidFill>
          </w14:textFill>
        </w:rPr>
        <w:t>以上公式符号详见《环境影响评价技术导则  声环境》（HJ2.4-2021）。</w:t>
      </w:r>
    </w:p>
    <w:p w14:paraId="22ADF7CB">
      <w:pPr>
        <w:autoSpaceDE/>
        <w:autoSpaceDN/>
        <w:adjustRightInd w:val="0"/>
        <w:snapToGrid w:val="0"/>
        <w:spacing w:line="360" w:lineRule="auto"/>
        <w:ind w:firstLine="0" w:firstLineChars="0"/>
        <w:jc w:val="both"/>
        <w:outlineLvl w:val="3"/>
        <w:rPr>
          <w:rFonts w:hint="default" w:ascii="Times New Roman" w:hAnsi="Times New Roman" w:eastAsia="宋体" w:cs="Times New Roman"/>
          <w:b/>
          <w:color w:val="000000" w:themeColor="text1"/>
          <w:sz w:val="24"/>
          <w:szCs w:val="24"/>
          <w:highlight w:val="none"/>
          <w:u w:val="non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color="auto"/>
          <w:lang w:val="en-US" w:eastAsia="zh-CN" w:bidi="zh-CN"/>
          <w14:textFill>
            <w14:solidFill>
              <w14:schemeClr w14:val="tx1"/>
            </w14:solidFill>
          </w14:textFill>
        </w:rPr>
        <w:t>5.2.4.4预测源强及参数</w:t>
      </w:r>
    </w:p>
    <w:p w14:paraId="62698452">
      <w:pPr>
        <w:autoSpaceDE/>
        <w:autoSpaceDN/>
        <w:adjustRightInd w:val="0"/>
        <w:snapToGrid w:val="0"/>
        <w:spacing w:line="360" w:lineRule="auto"/>
        <w:ind w:left="0" w:leftChars="0" w:firstLine="420" w:firstLineChars="0"/>
        <w:jc w:val="both"/>
        <w:outlineLvl w:val="9"/>
        <w:rPr>
          <w:rFonts w:hint="default" w:ascii="Times New Roman" w:hAnsi="Times New Roman" w:eastAsia="宋体" w:cs="Times New Roman"/>
          <w:b w:val="0"/>
          <w:bCs/>
          <w:color w:val="000000" w:themeColor="text1"/>
          <w:sz w:val="24"/>
          <w:szCs w:val="22"/>
          <w:highlight w:val="none"/>
          <w:u w:val="none" w:color="auto"/>
          <w:lang w:val="en-US" w:eastAsia="zh-CN" w:bidi="zh-CN"/>
          <w14:textFill>
            <w14:solidFill>
              <w14:schemeClr w14:val="tx1"/>
            </w14:solidFill>
          </w14:textFill>
        </w:rPr>
      </w:pPr>
      <w:bookmarkStart w:id="123" w:name="_bookmark38"/>
      <w:bookmarkEnd w:id="123"/>
      <w:bookmarkStart w:id="124" w:name="_Toc17864"/>
      <w:bookmarkStart w:id="125" w:name="_Toc82593175"/>
      <w:bookmarkStart w:id="126" w:name="_Toc101452846"/>
      <w:r>
        <w:rPr>
          <w:rFonts w:hint="default" w:ascii="Times New Roman" w:hAnsi="Times New Roman" w:eastAsia="宋体" w:cs="Times New Roman"/>
          <w:b w:val="0"/>
          <w:bCs/>
          <w:color w:val="000000" w:themeColor="text1"/>
          <w:sz w:val="24"/>
          <w:szCs w:val="22"/>
          <w:highlight w:val="none"/>
          <w:u w:val="none" w:color="auto"/>
          <w:lang w:val="en-US" w:eastAsia="zh-CN" w:bidi="zh-CN"/>
          <w14:textFill>
            <w14:solidFill>
              <w14:schemeClr w14:val="tx1"/>
            </w14:solidFill>
          </w14:textFill>
        </w:rPr>
        <w:t>（1）噪声源强参数</w:t>
      </w:r>
    </w:p>
    <w:p w14:paraId="2C096520">
      <w:pPr>
        <w:autoSpaceDE/>
        <w:autoSpaceDN/>
        <w:adjustRightInd w:val="0"/>
        <w:snapToGrid w:val="0"/>
        <w:spacing w:line="360" w:lineRule="auto"/>
        <w:ind w:left="0" w:leftChars="0" w:firstLine="420" w:firstLineChars="0"/>
        <w:jc w:val="both"/>
        <w:outlineLvl w:val="9"/>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4"/>
          <w:szCs w:val="22"/>
          <w:highlight w:val="none"/>
          <w:u w:val="none" w:color="auto"/>
          <w:lang w:val="en-US" w:eastAsia="zh-CN" w:bidi="zh-CN"/>
          <w14:textFill>
            <w14:solidFill>
              <w14:schemeClr w14:val="tx1"/>
            </w14:solidFill>
          </w14:textFill>
        </w:rPr>
        <w:t>拟建项目噪声源衰减量包括遮挡物衰减量、空气吸收衰减量、地面效应引起的衰减量，其中主要为遮挡物衰减量，而空气和地面引起的衰减量与距离衰减相比很小。因此，本评价预测主要考虑设备降噪和厂房围护结构引起的衰减量，其衰减量通过估算得到，</w:t>
      </w:r>
      <w:r>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t>预测噪声源强及参数见表5.2-1</w:t>
      </w:r>
      <w:r>
        <w:rPr>
          <w:rFonts w:hint="default" w:ascii="Times New Roman" w:hAnsi="Times New Roman" w:cs="Times New Roman"/>
          <w:color w:val="000000" w:themeColor="text1"/>
          <w:kern w:val="0"/>
          <w:sz w:val="24"/>
          <w:szCs w:val="24"/>
          <w:highlight w:val="none"/>
          <w:u w:val="none" w:color="auto"/>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t>。</w:t>
      </w:r>
    </w:p>
    <w:p w14:paraId="246BCFD4">
      <w:pPr>
        <w:autoSpaceDE/>
        <w:autoSpaceDN/>
        <w:adjustRightInd w:val="0"/>
        <w:snapToGrid w:val="0"/>
        <w:spacing w:line="240" w:lineRule="auto"/>
        <w:ind w:firstLine="0" w:firstLineChars="0"/>
        <w:jc w:val="center"/>
        <w:outlineLvl w:val="9"/>
        <w:rPr>
          <w:rFonts w:hint="default" w:ascii="Times New Roman" w:hAnsi="Times New Roman" w:eastAsia="宋体" w:cs="Times New Roman"/>
          <w:b/>
          <w:color w:val="000000" w:themeColor="text1"/>
          <w:sz w:val="24"/>
          <w:szCs w:val="22"/>
          <w:highlight w:val="none"/>
          <w:u w:val="non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4"/>
          <w:szCs w:val="22"/>
          <w:highlight w:val="none"/>
          <w:u w:val="none" w:color="auto"/>
          <w:lang w:val="en-US" w:eastAsia="zh-CN" w:bidi="zh-CN"/>
          <w14:textFill>
            <w14:solidFill>
              <w14:schemeClr w14:val="tx1"/>
            </w14:solidFill>
          </w14:textFill>
        </w:rPr>
        <w:t>表5.2-1</w:t>
      </w:r>
      <w:r>
        <w:rPr>
          <w:rFonts w:hint="default" w:ascii="Times New Roman" w:hAnsi="Times New Roman" w:cs="Times New Roman"/>
          <w:b/>
          <w:color w:val="000000" w:themeColor="text1"/>
          <w:sz w:val="24"/>
          <w:szCs w:val="22"/>
          <w:highlight w:val="none"/>
          <w:u w:val="none" w:color="auto"/>
          <w:lang w:val="en-US" w:eastAsia="zh-CN" w:bidi="zh-CN"/>
          <w14:textFill>
            <w14:solidFill>
              <w14:schemeClr w14:val="tx1"/>
            </w14:solidFill>
          </w14:textFill>
        </w:rPr>
        <w:t>7</w:t>
      </w:r>
      <w:r>
        <w:rPr>
          <w:rFonts w:hint="default" w:ascii="Times New Roman" w:hAnsi="Times New Roman" w:eastAsia="宋体" w:cs="Times New Roman"/>
          <w:b/>
          <w:color w:val="000000" w:themeColor="text1"/>
          <w:sz w:val="24"/>
          <w:szCs w:val="22"/>
          <w:highlight w:val="none"/>
          <w:u w:val="none" w:color="auto"/>
          <w:lang w:val="en-US" w:eastAsia="zh-CN" w:bidi="zh-CN"/>
          <w14:textFill>
            <w14:solidFill>
              <w14:schemeClr w14:val="tx1"/>
            </w14:solidFill>
          </w14:textFill>
        </w:rPr>
        <w:t>项目主要噪声设备一览表</w:t>
      </w:r>
    </w:p>
    <w:tbl>
      <w:tblPr>
        <w:tblStyle w:val="76"/>
        <w:tblW w:w="497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2929"/>
        <w:gridCol w:w="1582"/>
        <w:gridCol w:w="1086"/>
        <w:gridCol w:w="1598"/>
      </w:tblGrid>
      <w:tr w14:paraId="136C30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88" w:type="dxa"/>
            <w:tcBorders>
              <w:tl2br w:val="nil"/>
              <w:tr2bl w:val="nil"/>
            </w:tcBorders>
            <w:vAlign w:val="center"/>
          </w:tcPr>
          <w:p w14:paraId="1382B81D">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序号</w:t>
            </w:r>
          </w:p>
        </w:tc>
        <w:tc>
          <w:tcPr>
            <w:tcW w:w="2919" w:type="dxa"/>
            <w:tcBorders>
              <w:tl2br w:val="nil"/>
              <w:tr2bl w:val="nil"/>
            </w:tcBorders>
            <w:vAlign w:val="center"/>
          </w:tcPr>
          <w:p w14:paraId="5A5D290D">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设备名称</w:t>
            </w:r>
          </w:p>
        </w:tc>
        <w:tc>
          <w:tcPr>
            <w:tcW w:w="1576" w:type="dxa"/>
            <w:tcBorders>
              <w:tl2br w:val="nil"/>
              <w:tr2bl w:val="nil"/>
            </w:tcBorders>
            <w:vAlign w:val="center"/>
          </w:tcPr>
          <w:p w14:paraId="3A9AAE76">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highlight w:val="none"/>
                <w:u w:val="none" w:color="auto"/>
                <w14:textFill>
                  <w14:solidFill>
                    <w14:schemeClr w14:val="tx1"/>
                  </w14:solidFill>
                </w14:textFill>
              </w:rPr>
              <w:t>单位</w:t>
            </w:r>
          </w:p>
        </w:tc>
        <w:tc>
          <w:tcPr>
            <w:tcW w:w="1082" w:type="dxa"/>
            <w:tcBorders>
              <w:tl2br w:val="nil"/>
              <w:tr2bl w:val="nil"/>
            </w:tcBorders>
            <w:vAlign w:val="center"/>
          </w:tcPr>
          <w:p w14:paraId="77DA2008">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工况</w:t>
            </w:r>
          </w:p>
        </w:tc>
        <w:tc>
          <w:tcPr>
            <w:tcW w:w="1592" w:type="dxa"/>
            <w:tcBorders>
              <w:tl2br w:val="nil"/>
              <w:tr2bl w:val="nil"/>
            </w:tcBorders>
            <w:vAlign w:val="center"/>
          </w:tcPr>
          <w:p w14:paraId="135D22DB">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单机噪声级</w:t>
            </w:r>
          </w:p>
        </w:tc>
      </w:tr>
      <w:tr w14:paraId="17DE09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088" w:type="dxa"/>
            <w:tcBorders>
              <w:tl2br w:val="nil"/>
              <w:tr2bl w:val="nil"/>
            </w:tcBorders>
            <w:vAlign w:val="center"/>
          </w:tcPr>
          <w:p w14:paraId="2D2B63D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w:t>
            </w:r>
          </w:p>
        </w:tc>
        <w:tc>
          <w:tcPr>
            <w:tcW w:w="2919" w:type="dxa"/>
            <w:tcBorders>
              <w:tl2br w:val="nil"/>
              <w:tr2bl w:val="nil"/>
            </w:tcBorders>
            <w:vAlign w:val="center"/>
          </w:tcPr>
          <w:p w14:paraId="6348D7DC">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污泥</w:t>
            </w:r>
            <w:r>
              <w:rPr>
                <w:rFonts w:hint="default" w:ascii="Times New Roman" w:hAnsi="Times New Roman" w:cs="Times New Roman"/>
                <w:color w:val="000000" w:themeColor="text1"/>
                <w:highlight w:val="none"/>
                <w:u w:val="none" w:color="auto"/>
                <w14:textFill>
                  <w14:solidFill>
                    <w14:schemeClr w14:val="tx1"/>
                  </w14:solidFill>
                </w14:textFill>
              </w:rPr>
              <w:t>泵</w:t>
            </w:r>
          </w:p>
        </w:tc>
        <w:tc>
          <w:tcPr>
            <w:tcW w:w="1576" w:type="dxa"/>
            <w:tcBorders>
              <w:tl2br w:val="nil"/>
              <w:tr2bl w:val="nil"/>
            </w:tcBorders>
            <w:vAlign w:val="center"/>
          </w:tcPr>
          <w:p w14:paraId="2AB4362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8台</w:t>
            </w:r>
          </w:p>
        </w:tc>
        <w:tc>
          <w:tcPr>
            <w:tcW w:w="1082" w:type="dxa"/>
            <w:tcBorders>
              <w:tl2br w:val="nil"/>
              <w:tr2bl w:val="nil"/>
            </w:tcBorders>
            <w:vAlign w:val="center"/>
          </w:tcPr>
          <w:p w14:paraId="06B97DE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连续</w:t>
            </w:r>
          </w:p>
        </w:tc>
        <w:tc>
          <w:tcPr>
            <w:tcW w:w="1592" w:type="dxa"/>
            <w:tcBorders>
              <w:tl2br w:val="nil"/>
              <w:tr2bl w:val="nil"/>
            </w:tcBorders>
            <w:vAlign w:val="center"/>
          </w:tcPr>
          <w:p w14:paraId="57E1BEF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p>
        </w:tc>
      </w:tr>
      <w:tr w14:paraId="285175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088" w:type="dxa"/>
            <w:tcBorders>
              <w:tl2br w:val="nil"/>
              <w:tr2bl w:val="nil"/>
            </w:tcBorders>
            <w:vAlign w:val="center"/>
          </w:tcPr>
          <w:p w14:paraId="60C7FA6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w:t>
            </w:r>
          </w:p>
        </w:tc>
        <w:tc>
          <w:tcPr>
            <w:tcW w:w="2919" w:type="dxa"/>
            <w:tcBorders>
              <w:tl2br w:val="nil"/>
              <w:tr2bl w:val="nil"/>
            </w:tcBorders>
            <w:vAlign w:val="center"/>
          </w:tcPr>
          <w:p w14:paraId="2CD596C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回流</w:t>
            </w:r>
            <w:r>
              <w:rPr>
                <w:rFonts w:hint="default" w:ascii="Times New Roman" w:hAnsi="Times New Roman" w:cs="Times New Roman"/>
                <w:color w:val="000000" w:themeColor="text1"/>
                <w:highlight w:val="none"/>
                <w:u w:val="none" w:color="auto"/>
                <w:lang w:eastAsia="zh-CN"/>
                <w14:textFill>
                  <w14:solidFill>
                    <w14:schemeClr w14:val="tx1"/>
                  </w14:solidFill>
                </w14:textFill>
              </w:rPr>
              <w:t>泵</w:t>
            </w:r>
          </w:p>
        </w:tc>
        <w:tc>
          <w:tcPr>
            <w:tcW w:w="1576" w:type="dxa"/>
            <w:tcBorders>
              <w:tl2br w:val="nil"/>
              <w:tr2bl w:val="nil"/>
            </w:tcBorders>
            <w:vAlign w:val="center"/>
          </w:tcPr>
          <w:p w14:paraId="7B48F74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8台</w:t>
            </w:r>
          </w:p>
        </w:tc>
        <w:tc>
          <w:tcPr>
            <w:tcW w:w="1082" w:type="dxa"/>
            <w:tcBorders>
              <w:tl2br w:val="nil"/>
              <w:tr2bl w:val="nil"/>
            </w:tcBorders>
            <w:vAlign w:val="center"/>
          </w:tcPr>
          <w:p w14:paraId="6E2D836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连续</w:t>
            </w:r>
          </w:p>
        </w:tc>
        <w:tc>
          <w:tcPr>
            <w:tcW w:w="1592" w:type="dxa"/>
            <w:tcBorders>
              <w:tl2br w:val="nil"/>
              <w:tr2bl w:val="nil"/>
            </w:tcBorders>
            <w:vAlign w:val="center"/>
          </w:tcPr>
          <w:p w14:paraId="4CA2A96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w:t>
            </w:r>
          </w:p>
        </w:tc>
      </w:tr>
      <w:tr w14:paraId="56084D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088" w:type="dxa"/>
            <w:tcBorders>
              <w:tl2br w:val="nil"/>
              <w:tr2bl w:val="nil"/>
            </w:tcBorders>
            <w:vAlign w:val="center"/>
          </w:tcPr>
          <w:p w14:paraId="60A4FE7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p>
        </w:tc>
        <w:tc>
          <w:tcPr>
            <w:tcW w:w="2919" w:type="dxa"/>
            <w:tcBorders>
              <w:tl2br w:val="nil"/>
              <w:tr2bl w:val="nil"/>
            </w:tcBorders>
            <w:vAlign w:val="center"/>
          </w:tcPr>
          <w:p w14:paraId="55ACA00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浓缩进料</w:t>
            </w:r>
            <w:r>
              <w:rPr>
                <w:rFonts w:hint="default" w:ascii="Times New Roman" w:hAnsi="Times New Roman" w:cs="Times New Roman"/>
                <w:color w:val="000000" w:themeColor="text1"/>
                <w:highlight w:val="none"/>
                <w:u w:val="none" w:color="auto"/>
                <w:lang w:eastAsia="zh-CN"/>
                <w14:textFill>
                  <w14:solidFill>
                    <w14:schemeClr w14:val="tx1"/>
                  </w14:solidFill>
                </w14:textFill>
              </w:rPr>
              <w:t>泵</w:t>
            </w:r>
          </w:p>
        </w:tc>
        <w:tc>
          <w:tcPr>
            <w:tcW w:w="1576" w:type="dxa"/>
            <w:tcBorders>
              <w:tl2br w:val="nil"/>
              <w:tr2bl w:val="nil"/>
            </w:tcBorders>
            <w:vAlign w:val="center"/>
          </w:tcPr>
          <w:p w14:paraId="06D9ED4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2台（1用1备）</w:t>
            </w:r>
          </w:p>
        </w:tc>
        <w:tc>
          <w:tcPr>
            <w:tcW w:w="1082" w:type="dxa"/>
            <w:tcBorders>
              <w:tl2br w:val="nil"/>
              <w:tr2bl w:val="nil"/>
            </w:tcBorders>
            <w:vAlign w:val="center"/>
          </w:tcPr>
          <w:p w14:paraId="4AE340D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连续</w:t>
            </w:r>
          </w:p>
        </w:tc>
        <w:tc>
          <w:tcPr>
            <w:tcW w:w="1592" w:type="dxa"/>
            <w:tcBorders>
              <w:tl2br w:val="nil"/>
              <w:tr2bl w:val="nil"/>
            </w:tcBorders>
            <w:vAlign w:val="center"/>
          </w:tcPr>
          <w:p w14:paraId="75E5473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8</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w:t>
            </w:r>
          </w:p>
        </w:tc>
      </w:tr>
      <w:tr w14:paraId="083887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088" w:type="dxa"/>
            <w:tcBorders>
              <w:tl2br w:val="nil"/>
              <w:tr2bl w:val="nil"/>
            </w:tcBorders>
            <w:vAlign w:val="center"/>
          </w:tcPr>
          <w:p w14:paraId="4D3D8D8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w:t>
            </w:r>
          </w:p>
        </w:tc>
        <w:tc>
          <w:tcPr>
            <w:tcW w:w="2919" w:type="dxa"/>
            <w:tcBorders>
              <w:tl2br w:val="nil"/>
              <w:tr2bl w:val="nil"/>
            </w:tcBorders>
            <w:vAlign w:val="center"/>
          </w:tcPr>
          <w:p w14:paraId="7DF95B3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压榨进料泵</w:t>
            </w:r>
          </w:p>
        </w:tc>
        <w:tc>
          <w:tcPr>
            <w:tcW w:w="1576" w:type="dxa"/>
            <w:tcBorders>
              <w:tl2br w:val="nil"/>
              <w:tr2bl w:val="nil"/>
            </w:tcBorders>
            <w:vAlign w:val="center"/>
          </w:tcPr>
          <w:p w14:paraId="63D5021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2台</w:t>
            </w:r>
          </w:p>
        </w:tc>
        <w:tc>
          <w:tcPr>
            <w:tcW w:w="1082" w:type="dxa"/>
            <w:tcBorders>
              <w:tl2br w:val="nil"/>
              <w:tr2bl w:val="nil"/>
            </w:tcBorders>
            <w:vAlign w:val="center"/>
          </w:tcPr>
          <w:p w14:paraId="088CF54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间歇</w:t>
            </w:r>
          </w:p>
        </w:tc>
        <w:tc>
          <w:tcPr>
            <w:tcW w:w="1592" w:type="dxa"/>
            <w:tcBorders>
              <w:tl2br w:val="nil"/>
              <w:tr2bl w:val="nil"/>
            </w:tcBorders>
            <w:vAlign w:val="center"/>
          </w:tcPr>
          <w:p w14:paraId="22CE9C4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75</w:t>
            </w:r>
          </w:p>
        </w:tc>
      </w:tr>
      <w:tr w14:paraId="446411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088" w:type="dxa"/>
            <w:tcBorders>
              <w:tl2br w:val="nil"/>
              <w:tr2bl w:val="nil"/>
            </w:tcBorders>
            <w:vAlign w:val="center"/>
          </w:tcPr>
          <w:p w14:paraId="316DEA2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p>
        </w:tc>
        <w:tc>
          <w:tcPr>
            <w:tcW w:w="2919" w:type="dxa"/>
            <w:tcBorders>
              <w:tl2br w:val="nil"/>
              <w:tr2bl w:val="nil"/>
            </w:tcBorders>
            <w:vAlign w:val="center"/>
          </w:tcPr>
          <w:p w14:paraId="4F56936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搅拌机</w:t>
            </w:r>
          </w:p>
        </w:tc>
        <w:tc>
          <w:tcPr>
            <w:tcW w:w="1576" w:type="dxa"/>
            <w:tcBorders>
              <w:tl2br w:val="nil"/>
              <w:tr2bl w:val="nil"/>
            </w:tcBorders>
            <w:vAlign w:val="center"/>
          </w:tcPr>
          <w:p w14:paraId="11E0DE3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14台</w:t>
            </w:r>
          </w:p>
        </w:tc>
        <w:tc>
          <w:tcPr>
            <w:tcW w:w="1082" w:type="dxa"/>
            <w:tcBorders>
              <w:tl2br w:val="nil"/>
              <w:tr2bl w:val="nil"/>
            </w:tcBorders>
            <w:vAlign w:val="center"/>
          </w:tcPr>
          <w:p w14:paraId="35ECB15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连续</w:t>
            </w:r>
          </w:p>
        </w:tc>
        <w:tc>
          <w:tcPr>
            <w:tcW w:w="1592" w:type="dxa"/>
            <w:tcBorders>
              <w:tl2br w:val="nil"/>
              <w:tr2bl w:val="nil"/>
            </w:tcBorders>
            <w:vAlign w:val="center"/>
          </w:tcPr>
          <w:p w14:paraId="7793752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70</w:t>
            </w:r>
          </w:p>
        </w:tc>
      </w:tr>
      <w:tr w14:paraId="1AB47B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088" w:type="dxa"/>
            <w:tcBorders>
              <w:tl2br w:val="nil"/>
              <w:tr2bl w:val="nil"/>
            </w:tcBorders>
            <w:vAlign w:val="center"/>
          </w:tcPr>
          <w:p w14:paraId="2EEF3D5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w:t>
            </w:r>
          </w:p>
        </w:tc>
        <w:tc>
          <w:tcPr>
            <w:tcW w:w="2919" w:type="dxa"/>
            <w:tcBorders>
              <w:tl2br w:val="nil"/>
              <w:tr2bl w:val="nil"/>
            </w:tcBorders>
            <w:vAlign w:val="center"/>
          </w:tcPr>
          <w:p w14:paraId="071E9C0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高压清洗泵</w:t>
            </w:r>
          </w:p>
        </w:tc>
        <w:tc>
          <w:tcPr>
            <w:tcW w:w="1576" w:type="dxa"/>
            <w:tcBorders>
              <w:tl2br w:val="nil"/>
              <w:tr2bl w:val="nil"/>
            </w:tcBorders>
            <w:vAlign w:val="center"/>
          </w:tcPr>
          <w:p w14:paraId="56BE89E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2台（1用1备）</w:t>
            </w:r>
          </w:p>
        </w:tc>
        <w:tc>
          <w:tcPr>
            <w:tcW w:w="1082" w:type="dxa"/>
            <w:tcBorders>
              <w:tl2br w:val="nil"/>
              <w:tr2bl w:val="nil"/>
            </w:tcBorders>
            <w:vAlign w:val="center"/>
          </w:tcPr>
          <w:p w14:paraId="5BE0BDA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间歇</w:t>
            </w:r>
          </w:p>
        </w:tc>
        <w:tc>
          <w:tcPr>
            <w:tcW w:w="1592" w:type="dxa"/>
            <w:tcBorders>
              <w:tl2br w:val="nil"/>
              <w:tr2bl w:val="nil"/>
            </w:tcBorders>
            <w:vAlign w:val="center"/>
          </w:tcPr>
          <w:p w14:paraId="435BDED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eastAsia" w:cs="Times New Roman"/>
                <w:color w:val="000000" w:themeColor="text1"/>
                <w:highlight w:val="none"/>
                <w:u w:val="none" w:color="auto"/>
                <w:lang w:val="en-US" w:eastAsia="zh-CN"/>
                <w14:textFill>
                  <w14:solidFill>
                    <w14:schemeClr w14:val="tx1"/>
                  </w14:solidFill>
                </w14:textFill>
              </w:rPr>
              <w:t>85</w:t>
            </w:r>
          </w:p>
        </w:tc>
      </w:tr>
      <w:tr w14:paraId="65671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088" w:type="dxa"/>
            <w:tcBorders>
              <w:tl2br w:val="nil"/>
              <w:tr2bl w:val="nil"/>
            </w:tcBorders>
            <w:vAlign w:val="center"/>
          </w:tcPr>
          <w:p w14:paraId="42616F1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w:t>
            </w:r>
          </w:p>
        </w:tc>
        <w:tc>
          <w:tcPr>
            <w:tcW w:w="2919" w:type="dxa"/>
            <w:tcBorders>
              <w:tl2br w:val="nil"/>
              <w:tr2bl w:val="nil"/>
            </w:tcBorders>
            <w:vAlign w:val="center"/>
          </w:tcPr>
          <w:p w14:paraId="1452CB6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叠螺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式污泥压缩</w:t>
            </w:r>
            <w:r>
              <w:rPr>
                <w:rFonts w:hint="default" w:ascii="Times New Roman" w:hAnsi="Times New Roman" w:cs="Times New Roman"/>
                <w:color w:val="000000" w:themeColor="text1"/>
                <w:highlight w:val="none"/>
                <w:u w:val="none" w:color="auto"/>
                <w14:textFill>
                  <w14:solidFill>
                    <w14:schemeClr w14:val="tx1"/>
                  </w14:solidFill>
                </w14:textFill>
              </w:rPr>
              <w:t>机</w:t>
            </w:r>
          </w:p>
        </w:tc>
        <w:tc>
          <w:tcPr>
            <w:tcW w:w="1576" w:type="dxa"/>
            <w:tcBorders>
              <w:tl2br w:val="nil"/>
              <w:tr2bl w:val="nil"/>
            </w:tcBorders>
            <w:vAlign w:val="center"/>
          </w:tcPr>
          <w:p w14:paraId="739881D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1台</w:t>
            </w:r>
          </w:p>
        </w:tc>
        <w:tc>
          <w:tcPr>
            <w:tcW w:w="1082" w:type="dxa"/>
            <w:tcBorders>
              <w:tl2br w:val="nil"/>
              <w:tr2bl w:val="nil"/>
            </w:tcBorders>
            <w:vAlign w:val="center"/>
          </w:tcPr>
          <w:p w14:paraId="78F51AB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间歇</w:t>
            </w:r>
          </w:p>
        </w:tc>
        <w:tc>
          <w:tcPr>
            <w:tcW w:w="1592" w:type="dxa"/>
            <w:tcBorders>
              <w:tl2br w:val="nil"/>
              <w:tr2bl w:val="nil"/>
            </w:tcBorders>
            <w:vAlign w:val="center"/>
          </w:tcPr>
          <w:p w14:paraId="601E3D0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75</w:t>
            </w:r>
          </w:p>
        </w:tc>
      </w:tr>
      <w:tr w14:paraId="6E1787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088" w:type="dxa"/>
            <w:tcBorders>
              <w:tl2br w:val="nil"/>
              <w:tr2bl w:val="nil"/>
            </w:tcBorders>
            <w:vAlign w:val="center"/>
          </w:tcPr>
          <w:p w14:paraId="7F77850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w:t>
            </w:r>
          </w:p>
        </w:tc>
        <w:tc>
          <w:tcPr>
            <w:tcW w:w="2919" w:type="dxa"/>
            <w:tcBorders>
              <w:tl2br w:val="nil"/>
              <w:tr2bl w:val="nil"/>
            </w:tcBorders>
            <w:vAlign w:val="center"/>
          </w:tcPr>
          <w:p w14:paraId="29A2875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螺杆鼓</w:t>
            </w:r>
            <w:r>
              <w:rPr>
                <w:rFonts w:hint="default" w:ascii="Times New Roman" w:hAnsi="Times New Roman" w:cs="Times New Roman"/>
                <w:color w:val="000000" w:themeColor="text1"/>
                <w:highlight w:val="none"/>
                <w:u w:val="none" w:color="auto"/>
                <w14:textFill>
                  <w14:solidFill>
                    <w14:schemeClr w14:val="tx1"/>
                  </w14:solidFill>
                </w14:textFill>
              </w:rPr>
              <w:t>风机</w:t>
            </w:r>
          </w:p>
        </w:tc>
        <w:tc>
          <w:tcPr>
            <w:tcW w:w="1576" w:type="dxa"/>
            <w:tcBorders>
              <w:tl2br w:val="nil"/>
              <w:tr2bl w:val="nil"/>
            </w:tcBorders>
            <w:vAlign w:val="center"/>
          </w:tcPr>
          <w:p w14:paraId="778BC1D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w:t>
            </w:r>
            <w:r>
              <w:rPr>
                <w:rFonts w:hint="default" w:ascii="Times New Roman" w:hAnsi="Times New Roman" w:cs="Times New Roman"/>
                <w:color w:val="000000" w:themeColor="text1"/>
                <w:highlight w:val="none"/>
                <w:u w:val="none" w:color="auto"/>
                <w14:textFill>
                  <w14:solidFill>
                    <w14:schemeClr w14:val="tx1"/>
                  </w14:solidFill>
                </w14:textFill>
              </w:rPr>
              <w:t>台</w:t>
            </w:r>
          </w:p>
        </w:tc>
        <w:tc>
          <w:tcPr>
            <w:tcW w:w="1082" w:type="dxa"/>
            <w:tcBorders>
              <w:tl2br w:val="nil"/>
              <w:tr2bl w:val="nil"/>
            </w:tcBorders>
            <w:vAlign w:val="center"/>
          </w:tcPr>
          <w:p w14:paraId="145F370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连续</w:t>
            </w:r>
          </w:p>
        </w:tc>
        <w:tc>
          <w:tcPr>
            <w:tcW w:w="1592" w:type="dxa"/>
            <w:tcBorders>
              <w:tl2br w:val="nil"/>
              <w:tr2bl w:val="nil"/>
            </w:tcBorders>
            <w:vAlign w:val="center"/>
          </w:tcPr>
          <w:p w14:paraId="6C98309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75</w:t>
            </w:r>
          </w:p>
        </w:tc>
      </w:tr>
      <w:tr w14:paraId="0EB691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088" w:type="dxa"/>
            <w:tcBorders>
              <w:tl2br w:val="nil"/>
              <w:tr2bl w:val="nil"/>
            </w:tcBorders>
            <w:vAlign w:val="center"/>
          </w:tcPr>
          <w:p w14:paraId="0CB4D94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w:t>
            </w:r>
          </w:p>
        </w:tc>
        <w:tc>
          <w:tcPr>
            <w:tcW w:w="2919" w:type="dxa"/>
            <w:tcBorders>
              <w:tl2br w:val="nil"/>
              <w:tr2bl w:val="nil"/>
            </w:tcBorders>
            <w:vAlign w:val="center"/>
          </w:tcPr>
          <w:p w14:paraId="62DD4B7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轴流风机</w:t>
            </w:r>
          </w:p>
        </w:tc>
        <w:tc>
          <w:tcPr>
            <w:tcW w:w="1576" w:type="dxa"/>
            <w:tcBorders>
              <w:tl2br w:val="nil"/>
              <w:tr2bl w:val="nil"/>
            </w:tcBorders>
            <w:vAlign w:val="center"/>
          </w:tcPr>
          <w:p w14:paraId="4BD5AB5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15台</w:t>
            </w:r>
          </w:p>
        </w:tc>
        <w:tc>
          <w:tcPr>
            <w:tcW w:w="1082" w:type="dxa"/>
            <w:tcBorders>
              <w:tl2br w:val="nil"/>
              <w:tr2bl w:val="nil"/>
            </w:tcBorders>
            <w:vAlign w:val="center"/>
          </w:tcPr>
          <w:p w14:paraId="66FB05F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连续</w:t>
            </w:r>
          </w:p>
        </w:tc>
        <w:tc>
          <w:tcPr>
            <w:tcW w:w="1592" w:type="dxa"/>
            <w:tcBorders>
              <w:tl2br w:val="nil"/>
              <w:tr2bl w:val="nil"/>
            </w:tcBorders>
            <w:vAlign w:val="center"/>
          </w:tcPr>
          <w:p w14:paraId="0D78C2B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80</w:t>
            </w:r>
          </w:p>
        </w:tc>
      </w:tr>
      <w:tr w14:paraId="344C02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088" w:type="dxa"/>
            <w:tcBorders>
              <w:tl2br w:val="nil"/>
              <w:tr2bl w:val="nil"/>
            </w:tcBorders>
            <w:vAlign w:val="center"/>
          </w:tcPr>
          <w:p w14:paraId="4D6B368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p>
        </w:tc>
        <w:tc>
          <w:tcPr>
            <w:tcW w:w="2919" w:type="dxa"/>
            <w:tcBorders>
              <w:tl2br w:val="nil"/>
              <w:tr2bl w:val="nil"/>
            </w:tcBorders>
            <w:vAlign w:val="center"/>
          </w:tcPr>
          <w:p w14:paraId="1DB7235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压榨进料泵</w:t>
            </w:r>
          </w:p>
        </w:tc>
        <w:tc>
          <w:tcPr>
            <w:tcW w:w="1576" w:type="dxa"/>
            <w:tcBorders>
              <w:tl2br w:val="nil"/>
              <w:tr2bl w:val="nil"/>
            </w:tcBorders>
            <w:vAlign w:val="center"/>
          </w:tcPr>
          <w:p w14:paraId="3408861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2台</w:t>
            </w:r>
          </w:p>
        </w:tc>
        <w:tc>
          <w:tcPr>
            <w:tcW w:w="1082" w:type="dxa"/>
            <w:tcBorders>
              <w:tl2br w:val="nil"/>
              <w:tr2bl w:val="nil"/>
            </w:tcBorders>
            <w:vAlign w:val="center"/>
          </w:tcPr>
          <w:p w14:paraId="677CEE9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间歇</w:t>
            </w:r>
          </w:p>
        </w:tc>
        <w:tc>
          <w:tcPr>
            <w:tcW w:w="1592" w:type="dxa"/>
            <w:tcBorders>
              <w:tl2br w:val="nil"/>
              <w:tr2bl w:val="nil"/>
            </w:tcBorders>
            <w:vAlign w:val="center"/>
          </w:tcPr>
          <w:p w14:paraId="287BC1D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85</w:t>
            </w:r>
          </w:p>
        </w:tc>
      </w:tr>
      <w:tr w14:paraId="552B17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088" w:type="dxa"/>
            <w:tcBorders>
              <w:tl2br w:val="nil"/>
              <w:tr2bl w:val="nil"/>
            </w:tcBorders>
            <w:vAlign w:val="center"/>
          </w:tcPr>
          <w:p w14:paraId="39815FE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w:t>
            </w:r>
          </w:p>
        </w:tc>
        <w:tc>
          <w:tcPr>
            <w:tcW w:w="2919" w:type="dxa"/>
            <w:tcBorders>
              <w:tl2br w:val="nil"/>
              <w:tr2bl w:val="nil"/>
            </w:tcBorders>
            <w:vAlign w:val="center"/>
          </w:tcPr>
          <w:p w14:paraId="1315C6A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压榨机</w:t>
            </w:r>
          </w:p>
        </w:tc>
        <w:tc>
          <w:tcPr>
            <w:tcW w:w="1576" w:type="dxa"/>
            <w:tcBorders>
              <w:tl2br w:val="nil"/>
              <w:tr2bl w:val="nil"/>
            </w:tcBorders>
            <w:vAlign w:val="center"/>
          </w:tcPr>
          <w:p w14:paraId="55206A1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2台</w:t>
            </w:r>
          </w:p>
        </w:tc>
        <w:tc>
          <w:tcPr>
            <w:tcW w:w="1082" w:type="dxa"/>
            <w:tcBorders>
              <w:tl2br w:val="nil"/>
              <w:tr2bl w:val="nil"/>
            </w:tcBorders>
            <w:vAlign w:val="center"/>
          </w:tcPr>
          <w:p w14:paraId="08F4391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间歇</w:t>
            </w:r>
          </w:p>
        </w:tc>
        <w:tc>
          <w:tcPr>
            <w:tcW w:w="1592" w:type="dxa"/>
            <w:tcBorders>
              <w:tl2br w:val="nil"/>
              <w:tr2bl w:val="nil"/>
            </w:tcBorders>
            <w:vAlign w:val="center"/>
          </w:tcPr>
          <w:p w14:paraId="2408F84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75</w:t>
            </w:r>
          </w:p>
        </w:tc>
      </w:tr>
      <w:tr w14:paraId="3A528B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88" w:type="dxa"/>
            <w:tcBorders>
              <w:tl2br w:val="nil"/>
              <w:tr2bl w:val="nil"/>
            </w:tcBorders>
            <w:vAlign w:val="center"/>
          </w:tcPr>
          <w:p w14:paraId="4051B23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12</w:t>
            </w:r>
          </w:p>
        </w:tc>
        <w:tc>
          <w:tcPr>
            <w:tcW w:w="2919" w:type="dxa"/>
            <w:tcBorders>
              <w:tl2br w:val="nil"/>
              <w:tr2bl w:val="nil"/>
            </w:tcBorders>
            <w:vAlign w:val="center"/>
          </w:tcPr>
          <w:p w14:paraId="45B6671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空压机</w:t>
            </w:r>
          </w:p>
        </w:tc>
        <w:tc>
          <w:tcPr>
            <w:tcW w:w="1576" w:type="dxa"/>
            <w:tcBorders>
              <w:tl2br w:val="nil"/>
              <w:tr2bl w:val="nil"/>
            </w:tcBorders>
            <w:vAlign w:val="center"/>
          </w:tcPr>
          <w:p w14:paraId="115A088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1台</w:t>
            </w:r>
          </w:p>
        </w:tc>
        <w:tc>
          <w:tcPr>
            <w:tcW w:w="1082" w:type="dxa"/>
            <w:tcBorders>
              <w:tl2br w:val="nil"/>
              <w:tr2bl w:val="nil"/>
            </w:tcBorders>
            <w:vAlign w:val="center"/>
          </w:tcPr>
          <w:p w14:paraId="3D4423F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连续</w:t>
            </w:r>
          </w:p>
        </w:tc>
        <w:tc>
          <w:tcPr>
            <w:tcW w:w="1592" w:type="dxa"/>
            <w:tcBorders>
              <w:tl2br w:val="nil"/>
              <w:tr2bl w:val="nil"/>
            </w:tcBorders>
            <w:vAlign w:val="center"/>
          </w:tcPr>
          <w:p w14:paraId="31AE613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85</w:t>
            </w:r>
          </w:p>
        </w:tc>
      </w:tr>
    </w:tbl>
    <w:p w14:paraId="45156FF7">
      <w:pPr>
        <w:autoSpaceDE/>
        <w:autoSpaceDN/>
        <w:adjustRightInd w:val="0"/>
        <w:snapToGrid w:val="0"/>
        <w:spacing w:line="240" w:lineRule="auto"/>
        <w:ind w:firstLine="0" w:firstLineChars="0"/>
        <w:jc w:val="center"/>
        <w:outlineLvl w:val="9"/>
        <w:rPr>
          <w:rFonts w:hint="default" w:ascii="Times New Roman" w:hAnsi="Times New Roman" w:eastAsia="宋体" w:cs="Times New Roman"/>
          <w:b/>
          <w:color w:val="000000" w:themeColor="text1"/>
          <w:sz w:val="24"/>
          <w:szCs w:val="22"/>
          <w:highlight w:val="none"/>
          <w:u w:val="non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4"/>
          <w:szCs w:val="22"/>
          <w:highlight w:val="none"/>
          <w:u w:val="none" w:color="auto"/>
          <w:lang w:val="en-US" w:eastAsia="zh-CN" w:bidi="zh-CN"/>
          <w14:textFill>
            <w14:solidFill>
              <w14:schemeClr w14:val="tx1"/>
            </w14:solidFill>
          </w14:textFill>
        </w:rPr>
        <w:t>表5.2-1</w:t>
      </w:r>
      <w:r>
        <w:rPr>
          <w:rFonts w:hint="default" w:ascii="Times New Roman" w:hAnsi="Times New Roman" w:cs="Times New Roman"/>
          <w:b/>
          <w:color w:val="000000" w:themeColor="text1"/>
          <w:sz w:val="24"/>
          <w:szCs w:val="22"/>
          <w:highlight w:val="none"/>
          <w:u w:val="none" w:color="auto"/>
          <w:lang w:val="en-US" w:eastAsia="zh-CN" w:bidi="zh-CN"/>
          <w14:textFill>
            <w14:solidFill>
              <w14:schemeClr w14:val="tx1"/>
            </w14:solidFill>
          </w14:textFill>
        </w:rPr>
        <w:t>8</w:t>
      </w:r>
      <w:r>
        <w:rPr>
          <w:rFonts w:hint="default" w:ascii="Times New Roman" w:hAnsi="Times New Roman" w:eastAsia="宋体" w:cs="Times New Roman"/>
          <w:b/>
          <w:color w:val="000000" w:themeColor="text1"/>
          <w:sz w:val="24"/>
          <w:szCs w:val="22"/>
          <w:highlight w:val="none"/>
          <w:u w:val="none" w:color="auto"/>
          <w:lang w:val="en-US" w:eastAsia="zh-CN" w:bidi="zh-CN"/>
          <w14:textFill>
            <w14:solidFill>
              <w14:schemeClr w14:val="tx1"/>
            </w14:solidFill>
          </w14:textFill>
        </w:rPr>
        <w:t>本项目噪声源调查清单（室外声源）</w:t>
      </w:r>
    </w:p>
    <w:tbl>
      <w:tblPr>
        <w:tblStyle w:val="402"/>
        <w:tblW w:w="8237"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95"/>
        <w:gridCol w:w="890"/>
        <w:gridCol w:w="817"/>
        <w:gridCol w:w="2564"/>
        <w:gridCol w:w="1644"/>
        <w:gridCol w:w="1227"/>
      </w:tblGrid>
      <w:tr w14:paraId="77DC9A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095" w:type="dxa"/>
            <w:tcBorders>
              <w:tl2br w:val="nil"/>
              <w:tr2bl w:val="nil"/>
            </w:tcBorders>
            <w:vAlign w:val="center"/>
          </w:tcPr>
          <w:p w14:paraId="39941B4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污染源</w:t>
            </w:r>
          </w:p>
        </w:tc>
        <w:tc>
          <w:tcPr>
            <w:tcW w:w="890" w:type="dxa"/>
            <w:tcBorders>
              <w:tl2br w:val="nil"/>
              <w:tr2bl w:val="nil"/>
            </w:tcBorders>
            <w:vAlign w:val="center"/>
          </w:tcPr>
          <w:p w14:paraId="0218099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数量  （台）</w:t>
            </w:r>
          </w:p>
        </w:tc>
        <w:tc>
          <w:tcPr>
            <w:tcW w:w="817" w:type="dxa"/>
            <w:tcBorders>
              <w:tl2br w:val="nil"/>
              <w:tr2bl w:val="nil"/>
            </w:tcBorders>
            <w:vAlign w:val="center"/>
          </w:tcPr>
          <w:p w14:paraId="681C4E1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源强</w:t>
            </w:r>
            <w:r>
              <w:rPr>
                <w:rFonts w:hint="default" w:ascii="Times New Roman" w:hAnsi="Times New Roman" w:eastAsia="宋体" w:cs="Times New Roman"/>
                <w:b/>
                <w:bCs/>
                <w:color w:val="000000" w:themeColor="text1"/>
                <w:highlight w:val="none"/>
                <w:u w:val="none" w:color="auto"/>
                <w:lang w:val="en-US" w:eastAsia="zh-CN"/>
                <w14:textFill>
                  <w14:solidFill>
                    <w14:schemeClr w14:val="tx1"/>
                  </w14:solidFill>
                </w14:textFill>
              </w:rPr>
              <w:t>dB(A)</w:t>
            </w:r>
          </w:p>
        </w:tc>
        <w:tc>
          <w:tcPr>
            <w:tcW w:w="2564" w:type="dxa"/>
            <w:tcBorders>
              <w:tl2br w:val="nil"/>
              <w:tr2bl w:val="nil"/>
            </w:tcBorders>
            <w:vAlign w:val="center"/>
          </w:tcPr>
          <w:p w14:paraId="57A99C5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zh-CN"/>
                <w14:textFill>
                  <w14:solidFill>
                    <w14:schemeClr w14:val="tx1"/>
                  </w14:solidFill>
                </w14:textFill>
              </w:rPr>
              <w:t>声源控制</w:t>
            </w: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措施</w:t>
            </w:r>
          </w:p>
        </w:tc>
        <w:tc>
          <w:tcPr>
            <w:tcW w:w="1644" w:type="dxa"/>
            <w:tcBorders>
              <w:tl2br w:val="nil"/>
              <w:tr2bl w:val="nil"/>
            </w:tcBorders>
            <w:vAlign w:val="center"/>
          </w:tcPr>
          <w:p w14:paraId="242194B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降噪效果</w:t>
            </w:r>
          </w:p>
        </w:tc>
        <w:tc>
          <w:tcPr>
            <w:tcW w:w="1227" w:type="dxa"/>
            <w:tcBorders>
              <w:tl2br w:val="nil"/>
              <w:tr2bl w:val="nil"/>
            </w:tcBorders>
            <w:vAlign w:val="center"/>
          </w:tcPr>
          <w:p w14:paraId="010C791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zh-CN"/>
                <w14:textFill>
                  <w14:solidFill>
                    <w14:schemeClr w14:val="tx1"/>
                  </w14:solidFill>
                </w14:textFill>
              </w:rPr>
              <w:t>运行时段</w:t>
            </w:r>
          </w:p>
        </w:tc>
      </w:tr>
      <w:tr w14:paraId="3A74F1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095" w:type="dxa"/>
            <w:tcBorders>
              <w:tl2br w:val="nil"/>
              <w:tr2bl w:val="nil"/>
            </w:tcBorders>
            <w:vAlign w:val="center"/>
          </w:tcPr>
          <w:p w14:paraId="43F8AFD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轴流风机1</w:t>
            </w:r>
          </w:p>
        </w:tc>
        <w:tc>
          <w:tcPr>
            <w:tcW w:w="890" w:type="dxa"/>
            <w:tcBorders>
              <w:tl2br w:val="nil"/>
              <w:tr2bl w:val="nil"/>
            </w:tcBorders>
            <w:vAlign w:val="center"/>
          </w:tcPr>
          <w:p w14:paraId="6AACC5A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zh-CN"/>
                <w14:textFill>
                  <w14:solidFill>
                    <w14:schemeClr w14:val="tx1"/>
                  </w14:solidFill>
                </w14:textFill>
              </w:rPr>
              <w:t>1</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1</w:t>
            </w:r>
          </w:p>
        </w:tc>
        <w:tc>
          <w:tcPr>
            <w:tcW w:w="817" w:type="dxa"/>
            <w:tcBorders>
              <w:tl2br w:val="nil"/>
              <w:tr2bl w:val="nil"/>
            </w:tcBorders>
            <w:vAlign w:val="center"/>
          </w:tcPr>
          <w:p w14:paraId="6C0F438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80</w:t>
            </w:r>
          </w:p>
        </w:tc>
        <w:tc>
          <w:tcPr>
            <w:tcW w:w="2564" w:type="dxa"/>
            <w:vMerge w:val="restart"/>
            <w:tcBorders>
              <w:tl2br w:val="nil"/>
              <w:tr2bl w:val="nil"/>
            </w:tcBorders>
            <w:vAlign w:val="center"/>
          </w:tcPr>
          <w:p w14:paraId="69B9C4F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选用低噪声的设备，</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减振、绿化隔声</w:t>
            </w:r>
          </w:p>
        </w:tc>
        <w:tc>
          <w:tcPr>
            <w:tcW w:w="1644" w:type="dxa"/>
            <w:tcBorders>
              <w:tl2br w:val="nil"/>
              <w:tr2bl w:val="nil"/>
            </w:tcBorders>
            <w:vAlign w:val="center"/>
          </w:tcPr>
          <w:p w14:paraId="5B258B6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 xml:space="preserve">降噪 </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15</w:t>
            </w: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dB（A）</w:t>
            </w:r>
          </w:p>
        </w:tc>
        <w:tc>
          <w:tcPr>
            <w:tcW w:w="1227" w:type="dxa"/>
            <w:tcBorders>
              <w:tl2br w:val="nil"/>
              <w:tr2bl w:val="nil"/>
            </w:tcBorders>
            <w:vAlign w:val="center"/>
          </w:tcPr>
          <w:p w14:paraId="00A0D6E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00:00~24:00</w:t>
            </w:r>
          </w:p>
        </w:tc>
      </w:tr>
      <w:tr w14:paraId="6F0595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095" w:type="dxa"/>
            <w:tcBorders>
              <w:tl2br w:val="nil"/>
              <w:tr2bl w:val="nil"/>
            </w:tcBorders>
            <w:vAlign w:val="center"/>
          </w:tcPr>
          <w:p w14:paraId="1A004B4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轴流风机2</w:t>
            </w:r>
          </w:p>
        </w:tc>
        <w:tc>
          <w:tcPr>
            <w:tcW w:w="890" w:type="dxa"/>
            <w:tcBorders>
              <w:tl2br w:val="nil"/>
              <w:tr2bl w:val="nil"/>
            </w:tcBorders>
            <w:vAlign w:val="center"/>
          </w:tcPr>
          <w:p w14:paraId="144FDE8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4</w:t>
            </w:r>
          </w:p>
        </w:tc>
        <w:tc>
          <w:tcPr>
            <w:tcW w:w="817" w:type="dxa"/>
            <w:tcBorders>
              <w:tl2br w:val="nil"/>
              <w:tr2bl w:val="nil"/>
            </w:tcBorders>
            <w:vAlign w:val="center"/>
          </w:tcPr>
          <w:p w14:paraId="6D6374E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80</w:t>
            </w:r>
          </w:p>
        </w:tc>
        <w:tc>
          <w:tcPr>
            <w:tcW w:w="2564" w:type="dxa"/>
            <w:vMerge w:val="continue"/>
            <w:tcBorders>
              <w:tl2br w:val="nil"/>
              <w:tr2bl w:val="nil"/>
            </w:tcBorders>
            <w:vAlign w:val="center"/>
          </w:tcPr>
          <w:p w14:paraId="58234CB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644" w:type="dxa"/>
            <w:tcBorders>
              <w:tl2br w:val="nil"/>
              <w:tr2bl w:val="nil"/>
            </w:tcBorders>
            <w:vAlign w:val="center"/>
          </w:tcPr>
          <w:p w14:paraId="6D6D326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 xml:space="preserve">降噪 </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15</w:t>
            </w: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dB（A）</w:t>
            </w:r>
          </w:p>
        </w:tc>
        <w:tc>
          <w:tcPr>
            <w:tcW w:w="1227" w:type="dxa"/>
            <w:tcBorders>
              <w:tl2br w:val="nil"/>
              <w:tr2bl w:val="nil"/>
            </w:tcBorders>
            <w:vAlign w:val="center"/>
          </w:tcPr>
          <w:p w14:paraId="0B82C30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00:00~24:00</w:t>
            </w:r>
          </w:p>
        </w:tc>
      </w:tr>
      <w:tr w14:paraId="352633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95" w:type="dxa"/>
            <w:tcBorders>
              <w:tl2br w:val="nil"/>
              <w:tr2bl w:val="nil"/>
            </w:tcBorders>
            <w:vAlign w:val="center"/>
          </w:tcPr>
          <w:p w14:paraId="1144A3F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螺杆鼓风机</w:t>
            </w:r>
          </w:p>
        </w:tc>
        <w:tc>
          <w:tcPr>
            <w:tcW w:w="890" w:type="dxa"/>
            <w:tcBorders>
              <w:tl2br w:val="nil"/>
              <w:tr2bl w:val="nil"/>
            </w:tcBorders>
            <w:vAlign w:val="center"/>
          </w:tcPr>
          <w:p w14:paraId="2560F67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4</w:t>
            </w:r>
          </w:p>
        </w:tc>
        <w:tc>
          <w:tcPr>
            <w:tcW w:w="817" w:type="dxa"/>
            <w:tcBorders>
              <w:tl2br w:val="nil"/>
              <w:tr2bl w:val="nil"/>
            </w:tcBorders>
            <w:vAlign w:val="center"/>
          </w:tcPr>
          <w:p w14:paraId="59B7834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75</w:t>
            </w:r>
          </w:p>
        </w:tc>
        <w:tc>
          <w:tcPr>
            <w:tcW w:w="2564" w:type="dxa"/>
            <w:vMerge w:val="continue"/>
            <w:tcBorders>
              <w:tl2br w:val="nil"/>
              <w:tr2bl w:val="nil"/>
            </w:tcBorders>
            <w:vAlign w:val="center"/>
          </w:tcPr>
          <w:p w14:paraId="103096E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644" w:type="dxa"/>
            <w:tcBorders>
              <w:tl2br w:val="nil"/>
              <w:tr2bl w:val="nil"/>
            </w:tcBorders>
            <w:vAlign w:val="center"/>
          </w:tcPr>
          <w:p w14:paraId="40161B2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 xml:space="preserve">降噪 </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15</w:t>
            </w: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dB（A）</w:t>
            </w:r>
          </w:p>
        </w:tc>
        <w:tc>
          <w:tcPr>
            <w:tcW w:w="1227" w:type="dxa"/>
            <w:tcBorders>
              <w:tl2br w:val="nil"/>
              <w:tr2bl w:val="nil"/>
            </w:tcBorders>
            <w:vAlign w:val="center"/>
          </w:tcPr>
          <w:p w14:paraId="167DD9B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00:00~24:00</w:t>
            </w:r>
          </w:p>
        </w:tc>
      </w:tr>
    </w:tbl>
    <w:p w14:paraId="6C4E047A">
      <w:pPr>
        <w:autoSpaceDE/>
        <w:autoSpaceDN/>
        <w:adjustRightInd w:val="0"/>
        <w:snapToGrid w:val="0"/>
        <w:spacing w:line="240" w:lineRule="auto"/>
        <w:ind w:firstLine="0" w:firstLineChars="0"/>
        <w:jc w:val="center"/>
        <w:outlineLvl w:val="9"/>
        <w:rPr>
          <w:rFonts w:hint="default" w:ascii="Times New Roman" w:hAnsi="Times New Roman" w:eastAsia="宋体" w:cs="Times New Roman"/>
          <w:b/>
          <w:color w:val="000000" w:themeColor="text1"/>
          <w:sz w:val="24"/>
          <w:szCs w:val="22"/>
          <w:highlight w:val="none"/>
          <w:u w:val="non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4"/>
          <w:szCs w:val="22"/>
          <w:highlight w:val="none"/>
          <w:u w:val="none" w:color="auto"/>
          <w:lang w:val="en-US" w:eastAsia="zh-CN" w:bidi="zh-CN"/>
          <w14:textFill>
            <w14:solidFill>
              <w14:schemeClr w14:val="tx1"/>
            </w14:solidFill>
          </w14:textFill>
        </w:rPr>
        <w:t>表5.2-1</w:t>
      </w:r>
      <w:r>
        <w:rPr>
          <w:rFonts w:hint="default" w:ascii="Times New Roman" w:hAnsi="Times New Roman" w:cs="Times New Roman"/>
          <w:b/>
          <w:color w:val="000000" w:themeColor="text1"/>
          <w:sz w:val="24"/>
          <w:szCs w:val="22"/>
          <w:highlight w:val="none"/>
          <w:u w:val="none" w:color="auto"/>
          <w:lang w:val="en-US" w:eastAsia="zh-CN" w:bidi="zh-CN"/>
          <w14:textFill>
            <w14:solidFill>
              <w14:schemeClr w14:val="tx1"/>
            </w14:solidFill>
          </w14:textFill>
        </w:rPr>
        <w:t>9</w:t>
      </w:r>
      <w:r>
        <w:rPr>
          <w:rFonts w:hint="default" w:ascii="Times New Roman" w:hAnsi="Times New Roman" w:eastAsia="宋体" w:cs="Times New Roman"/>
          <w:b/>
          <w:color w:val="000000" w:themeColor="text1"/>
          <w:sz w:val="24"/>
          <w:szCs w:val="22"/>
          <w:highlight w:val="none"/>
          <w:u w:val="none" w:color="auto"/>
          <w:lang w:val="en-US" w:eastAsia="zh-CN" w:bidi="zh-CN"/>
          <w14:textFill>
            <w14:solidFill>
              <w14:schemeClr w14:val="tx1"/>
            </w14:solidFill>
          </w14:textFill>
        </w:rPr>
        <w:t>本项目噪声源调查清单（室内声源）</w:t>
      </w:r>
    </w:p>
    <w:tbl>
      <w:tblPr>
        <w:tblStyle w:val="402"/>
        <w:tblW w:w="8276"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69"/>
        <w:gridCol w:w="1135"/>
        <w:gridCol w:w="967"/>
        <w:gridCol w:w="973"/>
        <w:gridCol w:w="974"/>
        <w:gridCol w:w="1071"/>
        <w:gridCol w:w="1323"/>
        <w:gridCol w:w="1064"/>
      </w:tblGrid>
      <w:tr w14:paraId="21547C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46" w:hRule="atLeast"/>
        </w:trPr>
        <w:tc>
          <w:tcPr>
            <w:tcW w:w="769" w:type="dxa"/>
            <w:tcBorders>
              <w:tl2br w:val="nil"/>
              <w:tr2bl w:val="nil"/>
            </w:tcBorders>
            <w:vAlign w:val="center"/>
          </w:tcPr>
          <w:p w14:paraId="7D2E8C9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建筑物</w:t>
            </w:r>
          </w:p>
        </w:tc>
        <w:tc>
          <w:tcPr>
            <w:tcW w:w="1135" w:type="dxa"/>
            <w:tcBorders>
              <w:tl2br w:val="nil"/>
              <w:tr2bl w:val="nil"/>
            </w:tcBorders>
            <w:vAlign w:val="center"/>
          </w:tcPr>
          <w:p w14:paraId="56480DA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名称</w:t>
            </w:r>
          </w:p>
        </w:tc>
        <w:tc>
          <w:tcPr>
            <w:tcW w:w="967" w:type="dxa"/>
            <w:tcBorders>
              <w:tl2br w:val="nil"/>
              <w:tr2bl w:val="nil"/>
            </w:tcBorders>
            <w:vAlign w:val="center"/>
          </w:tcPr>
          <w:p w14:paraId="203DDBD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数量  （台）</w:t>
            </w:r>
          </w:p>
        </w:tc>
        <w:tc>
          <w:tcPr>
            <w:tcW w:w="973" w:type="dxa"/>
            <w:tcBorders>
              <w:tl2br w:val="nil"/>
              <w:tr2bl w:val="nil"/>
            </w:tcBorders>
            <w:vAlign w:val="center"/>
          </w:tcPr>
          <w:p w14:paraId="5B01479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声功率级/dB（A）</w:t>
            </w:r>
          </w:p>
        </w:tc>
        <w:tc>
          <w:tcPr>
            <w:tcW w:w="974" w:type="dxa"/>
            <w:tcBorders>
              <w:tl2br w:val="nil"/>
              <w:tr2bl w:val="nil"/>
            </w:tcBorders>
            <w:vAlign w:val="center"/>
          </w:tcPr>
          <w:p w14:paraId="1E921DE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综合声功率级/dB（A）</w:t>
            </w:r>
          </w:p>
        </w:tc>
        <w:tc>
          <w:tcPr>
            <w:tcW w:w="1071" w:type="dxa"/>
            <w:tcBorders>
              <w:tl2br w:val="nil"/>
              <w:tr2bl w:val="nil"/>
            </w:tcBorders>
            <w:vAlign w:val="center"/>
          </w:tcPr>
          <w:p w14:paraId="3DB43F8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声源控制措施</w:t>
            </w:r>
          </w:p>
        </w:tc>
        <w:tc>
          <w:tcPr>
            <w:tcW w:w="1323" w:type="dxa"/>
            <w:tcBorders>
              <w:tl2br w:val="nil"/>
              <w:tr2bl w:val="nil"/>
            </w:tcBorders>
            <w:vAlign w:val="center"/>
          </w:tcPr>
          <w:p w14:paraId="5D50332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运行时段</w:t>
            </w:r>
          </w:p>
        </w:tc>
        <w:tc>
          <w:tcPr>
            <w:tcW w:w="1064" w:type="dxa"/>
            <w:tcBorders>
              <w:tl2br w:val="nil"/>
              <w:tr2bl w:val="nil"/>
            </w:tcBorders>
            <w:vAlign w:val="center"/>
          </w:tcPr>
          <w:p w14:paraId="7A1D0E4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b/>
                <w:bCs/>
                <w:color w:val="000000" w:themeColor="text1"/>
                <w:highlight w:val="none"/>
                <w:u w:val="none" w:color="auto"/>
                <w:lang w:val="en-US" w:eastAsia="en-US"/>
                <w14:textFill>
                  <w14:solidFill>
                    <w14:schemeClr w14:val="tx1"/>
                  </w14:solidFill>
                </w14:textFill>
              </w:rPr>
              <w:t>建筑物插入  损失/dB（A）</w:t>
            </w:r>
          </w:p>
        </w:tc>
      </w:tr>
      <w:tr w14:paraId="1F4AC1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69" w:type="dxa"/>
            <w:vMerge w:val="restart"/>
            <w:tcBorders>
              <w:tl2br w:val="nil"/>
              <w:tr2bl w:val="nil"/>
            </w:tcBorders>
            <w:vAlign w:val="center"/>
          </w:tcPr>
          <w:p w14:paraId="7C571E0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生化池</w:t>
            </w:r>
          </w:p>
        </w:tc>
        <w:tc>
          <w:tcPr>
            <w:tcW w:w="1135" w:type="dxa"/>
            <w:tcBorders>
              <w:tl2br w:val="nil"/>
              <w:tr2bl w:val="nil"/>
            </w:tcBorders>
            <w:vAlign w:val="center"/>
          </w:tcPr>
          <w:p w14:paraId="1F81558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搅拌机</w:t>
            </w:r>
          </w:p>
        </w:tc>
        <w:tc>
          <w:tcPr>
            <w:tcW w:w="967" w:type="dxa"/>
            <w:tcBorders>
              <w:tl2br w:val="nil"/>
              <w:tr2bl w:val="nil"/>
            </w:tcBorders>
            <w:vAlign w:val="center"/>
          </w:tcPr>
          <w:p w14:paraId="770773C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4</w:t>
            </w:r>
          </w:p>
        </w:tc>
        <w:tc>
          <w:tcPr>
            <w:tcW w:w="973" w:type="dxa"/>
            <w:tcBorders>
              <w:tl2br w:val="nil"/>
              <w:tr2bl w:val="nil"/>
            </w:tcBorders>
            <w:vAlign w:val="center"/>
          </w:tcPr>
          <w:p w14:paraId="682B128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70</w:t>
            </w:r>
          </w:p>
        </w:tc>
        <w:tc>
          <w:tcPr>
            <w:tcW w:w="974" w:type="dxa"/>
            <w:tcBorders>
              <w:tl2br w:val="nil"/>
              <w:tr2bl w:val="nil"/>
            </w:tcBorders>
            <w:vAlign w:val="center"/>
          </w:tcPr>
          <w:p w14:paraId="4B36DB3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76</w:t>
            </w:r>
          </w:p>
        </w:tc>
        <w:tc>
          <w:tcPr>
            <w:tcW w:w="1071" w:type="dxa"/>
            <w:vMerge w:val="restart"/>
            <w:tcBorders>
              <w:tl2br w:val="nil"/>
              <w:tr2bl w:val="nil"/>
            </w:tcBorders>
            <w:vAlign w:val="center"/>
          </w:tcPr>
          <w:p w14:paraId="66518C0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优先选择用低噪声设备，设备设置于室内，车间厂房隔声，围墙隔声，距离衰减</w:t>
            </w:r>
          </w:p>
        </w:tc>
        <w:tc>
          <w:tcPr>
            <w:tcW w:w="1323" w:type="dxa"/>
            <w:tcBorders>
              <w:tl2br w:val="nil"/>
              <w:tr2bl w:val="nil"/>
            </w:tcBorders>
            <w:vAlign w:val="center"/>
          </w:tcPr>
          <w:p w14:paraId="7EF57C5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67C5567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0ADFF6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69" w:type="dxa"/>
            <w:vMerge w:val="continue"/>
            <w:tcBorders>
              <w:tl2br w:val="nil"/>
              <w:tr2bl w:val="nil"/>
            </w:tcBorders>
            <w:vAlign w:val="center"/>
          </w:tcPr>
          <w:p w14:paraId="68594F3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135" w:type="dxa"/>
            <w:tcBorders>
              <w:tl2br w:val="nil"/>
              <w:tr2bl w:val="nil"/>
            </w:tcBorders>
            <w:vAlign w:val="center"/>
          </w:tcPr>
          <w:p w14:paraId="15AB8A4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回流泵</w:t>
            </w:r>
          </w:p>
        </w:tc>
        <w:tc>
          <w:tcPr>
            <w:tcW w:w="967" w:type="dxa"/>
            <w:tcBorders>
              <w:tl2br w:val="nil"/>
              <w:tr2bl w:val="nil"/>
            </w:tcBorders>
            <w:vAlign w:val="center"/>
          </w:tcPr>
          <w:p w14:paraId="28F3528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4</w:t>
            </w:r>
          </w:p>
        </w:tc>
        <w:tc>
          <w:tcPr>
            <w:tcW w:w="973" w:type="dxa"/>
            <w:tcBorders>
              <w:tl2br w:val="nil"/>
              <w:tr2bl w:val="nil"/>
            </w:tcBorders>
            <w:vAlign w:val="center"/>
          </w:tcPr>
          <w:p w14:paraId="03CDB30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80</w:t>
            </w:r>
          </w:p>
        </w:tc>
        <w:tc>
          <w:tcPr>
            <w:tcW w:w="974" w:type="dxa"/>
            <w:tcBorders>
              <w:tl2br w:val="nil"/>
              <w:tr2bl w:val="nil"/>
            </w:tcBorders>
            <w:vAlign w:val="center"/>
          </w:tcPr>
          <w:p w14:paraId="558429B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86</w:t>
            </w:r>
          </w:p>
        </w:tc>
        <w:tc>
          <w:tcPr>
            <w:tcW w:w="1071" w:type="dxa"/>
            <w:vMerge w:val="continue"/>
            <w:tcBorders>
              <w:tl2br w:val="nil"/>
              <w:tr2bl w:val="nil"/>
            </w:tcBorders>
            <w:vAlign w:val="center"/>
          </w:tcPr>
          <w:p w14:paraId="248F43C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323" w:type="dxa"/>
            <w:tcBorders>
              <w:tl2br w:val="nil"/>
              <w:tr2bl w:val="nil"/>
            </w:tcBorders>
            <w:vAlign w:val="center"/>
          </w:tcPr>
          <w:p w14:paraId="623C060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15FBE46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38C447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69" w:type="dxa"/>
            <w:vMerge w:val="continue"/>
            <w:tcBorders>
              <w:tl2br w:val="nil"/>
              <w:tr2bl w:val="nil"/>
            </w:tcBorders>
            <w:vAlign w:val="center"/>
          </w:tcPr>
          <w:p w14:paraId="5754B6C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135" w:type="dxa"/>
            <w:tcBorders>
              <w:tl2br w:val="nil"/>
              <w:tr2bl w:val="nil"/>
            </w:tcBorders>
            <w:vAlign w:val="center"/>
          </w:tcPr>
          <w:p w14:paraId="03EF250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污泥泵</w:t>
            </w:r>
          </w:p>
        </w:tc>
        <w:tc>
          <w:tcPr>
            <w:tcW w:w="967" w:type="dxa"/>
            <w:tcBorders>
              <w:tl2br w:val="nil"/>
              <w:tr2bl w:val="nil"/>
            </w:tcBorders>
            <w:vAlign w:val="center"/>
          </w:tcPr>
          <w:p w14:paraId="105D00B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4</w:t>
            </w:r>
          </w:p>
        </w:tc>
        <w:tc>
          <w:tcPr>
            <w:tcW w:w="973" w:type="dxa"/>
            <w:tcBorders>
              <w:tl2br w:val="nil"/>
              <w:tr2bl w:val="nil"/>
            </w:tcBorders>
            <w:vAlign w:val="center"/>
          </w:tcPr>
          <w:p w14:paraId="403A882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8</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5</w:t>
            </w:r>
          </w:p>
        </w:tc>
        <w:tc>
          <w:tcPr>
            <w:tcW w:w="974" w:type="dxa"/>
            <w:tcBorders>
              <w:tl2br w:val="nil"/>
              <w:tr2bl w:val="nil"/>
            </w:tcBorders>
            <w:vAlign w:val="center"/>
          </w:tcPr>
          <w:p w14:paraId="2890266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91</w:t>
            </w:r>
          </w:p>
        </w:tc>
        <w:tc>
          <w:tcPr>
            <w:tcW w:w="1071" w:type="dxa"/>
            <w:vMerge w:val="continue"/>
            <w:tcBorders>
              <w:tl2br w:val="nil"/>
              <w:tr2bl w:val="nil"/>
            </w:tcBorders>
            <w:vAlign w:val="center"/>
          </w:tcPr>
          <w:p w14:paraId="0820FFB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323" w:type="dxa"/>
            <w:tcBorders>
              <w:tl2br w:val="nil"/>
              <w:tr2bl w:val="nil"/>
            </w:tcBorders>
            <w:vAlign w:val="center"/>
          </w:tcPr>
          <w:p w14:paraId="78634B9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79312B0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5E1C9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769" w:type="dxa"/>
            <w:tcBorders>
              <w:tl2br w:val="nil"/>
              <w:tr2bl w:val="nil"/>
            </w:tcBorders>
            <w:vAlign w:val="center"/>
          </w:tcPr>
          <w:p w14:paraId="6552328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调节池</w:t>
            </w:r>
          </w:p>
        </w:tc>
        <w:tc>
          <w:tcPr>
            <w:tcW w:w="1135" w:type="dxa"/>
            <w:tcBorders>
              <w:tl2br w:val="nil"/>
              <w:tr2bl w:val="nil"/>
            </w:tcBorders>
            <w:vAlign w:val="center"/>
          </w:tcPr>
          <w:p w14:paraId="656FDF3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搅拌机</w:t>
            </w:r>
          </w:p>
        </w:tc>
        <w:tc>
          <w:tcPr>
            <w:tcW w:w="967" w:type="dxa"/>
            <w:tcBorders>
              <w:tl2br w:val="nil"/>
              <w:tr2bl w:val="nil"/>
            </w:tcBorders>
            <w:vAlign w:val="center"/>
          </w:tcPr>
          <w:p w14:paraId="0385787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2</w:t>
            </w:r>
          </w:p>
        </w:tc>
        <w:tc>
          <w:tcPr>
            <w:tcW w:w="973" w:type="dxa"/>
            <w:tcBorders>
              <w:tl2br w:val="nil"/>
              <w:tr2bl w:val="nil"/>
            </w:tcBorders>
            <w:vAlign w:val="center"/>
          </w:tcPr>
          <w:p w14:paraId="209D61A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70</w:t>
            </w:r>
          </w:p>
        </w:tc>
        <w:tc>
          <w:tcPr>
            <w:tcW w:w="974" w:type="dxa"/>
            <w:tcBorders>
              <w:tl2br w:val="nil"/>
              <w:tr2bl w:val="nil"/>
            </w:tcBorders>
            <w:vAlign w:val="center"/>
          </w:tcPr>
          <w:p w14:paraId="1251F82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73</w:t>
            </w:r>
          </w:p>
        </w:tc>
        <w:tc>
          <w:tcPr>
            <w:tcW w:w="1071" w:type="dxa"/>
            <w:vMerge w:val="continue"/>
            <w:tcBorders>
              <w:tl2br w:val="nil"/>
              <w:tr2bl w:val="nil"/>
            </w:tcBorders>
            <w:vAlign w:val="center"/>
          </w:tcPr>
          <w:p w14:paraId="1F70C7A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p>
        </w:tc>
        <w:tc>
          <w:tcPr>
            <w:tcW w:w="1323" w:type="dxa"/>
            <w:tcBorders>
              <w:tl2br w:val="nil"/>
              <w:tr2bl w:val="nil"/>
            </w:tcBorders>
            <w:vAlign w:val="center"/>
          </w:tcPr>
          <w:p w14:paraId="10C77A8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6362651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4198FA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69" w:type="dxa"/>
            <w:vMerge w:val="restart"/>
            <w:tcBorders>
              <w:tl2br w:val="nil"/>
              <w:tr2bl w:val="nil"/>
            </w:tcBorders>
            <w:vAlign w:val="center"/>
          </w:tcPr>
          <w:p w14:paraId="763DE96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水解酸化及AAO组合池</w:t>
            </w:r>
          </w:p>
        </w:tc>
        <w:tc>
          <w:tcPr>
            <w:tcW w:w="1135" w:type="dxa"/>
            <w:tcBorders>
              <w:tl2br w:val="nil"/>
              <w:tr2bl w:val="nil"/>
            </w:tcBorders>
            <w:vAlign w:val="center"/>
          </w:tcPr>
          <w:p w14:paraId="4DFE9F7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搅拌机</w:t>
            </w:r>
          </w:p>
        </w:tc>
        <w:tc>
          <w:tcPr>
            <w:tcW w:w="967" w:type="dxa"/>
            <w:tcBorders>
              <w:tl2br w:val="nil"/>
              <w:tr2bl w:val="nil"/>
            </w:tcBorders>
            <w:vAlign w:val="center"/>
          </w:tcPr>
          <w:p w14:paraId="4548940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4</w:t>
            </w:r>
          </w:p>
        </w:tc>
        <w:tc>
          <w:tcPr>
            <w:tcW w:w="973" w:type="dxa"/>
            <w:tcBorders>
              <w:tl2br w:val="nil"/>
              <w:tr2bl w:val="nil"/>
            </w:tcBorders>
            <w:vAlign w:val="center"/>
          </w:tcPr>
          <w:p w14:paraId="20FCC94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70</w:t>
            </w:r>
          </w:p>
        </w:tc>
        <w:tc>
          <w:tcPr>
            <w:tcW w:w="974" w:type="dxa"/>
            <w:tcBorders>
              <w:tl2br w:val="nil"/>
              <w:tr2bl w:val="nil"/>
            </w:tcBorders>
            <w:vAlign w:val="center"/>
          </w:tcPr>
          <w:p w14:paraId="3FBED71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76</w:t>
            </w:r>
          </w:p>
        </w:tc>
        <w:tc>
          <w:tcPr>
            <w:tcW w:w="1071" w:type="dxa"/>
            <w:vMerge w:val="continue"/>
            <w:tcBorders>
              <w:tl2br w:val="nil"/>
              <w:tr2bl w:val="nil"/>
            </w:tcBorders>
            <w:vAlign w:val="center"/>
          </w:tcPr>
          <w:p w14:paraId="219BC3E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p>
        </w:tc>
        <w:tc>
          <w:tcPr>
            <w:tcW w:w="1323" w:type="dxa"/>
            <w:tcBorders>
              <w:tl2br w:val="nil"/>
              <w:tr2bl w:val="nil"/>
            </w:tcBorders>
            <w:vAlign w:val="center"/>
          </w:tcPr>
          <w:p w14:paraId="60C2643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4:00</w:t>
            </w:r>
          </w:p>
        </w:tc>
        <w:tc>
          <w:tcPr>
            <w:tcW w:w="1064" w:type="dxa"/>
            <w:tcBorders>
              <w:tl2br w:val="nil"/>
              <w:tr2bl w:val="nil"/>
            </w:tcBorders>
            <w:vAlign w:val="center"/>
          </w:tcPr>
          <w:p w14:paraId="1D02471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3573E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69" w:type="dxa"/>
            <w:vMerge w:val="continue"/>
            <w:tcBorders>
              <w:tl2br w:val="nil"/>
              <w:tr2bl w:val="nil"/>
            </w:tcBorders>
            <w:vAlign w:val="center"/>
          </w:tcPr>
          <w:p w14:paraId="78E9A1E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135" w:type="dxa"/>
            <w:tcBorders>
              <w:tl2br w:val="nil"/>
              <w:tr2bl w:val="nil"/>
            </w:tcBorders>
            <w:vAlign w:val="center"/>
          </w:tcPr>
          <w:p w14:paraId="62FADC5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回流泵</w:t>
            </w:r>
          </w:p>
        </w:tc>
        <w:tc>
          <w:tcPr>
            <w:tcW w:w="967" w:type="dxa"/>
            <w:tcBorders>
              <w:tl2br w:val="nil"/>
              <w:tr2bl w:val="nil"/>
            </w:tcBorders>
            <w:vAlign w:val="center"/>
          </w:tcPr>
          <w:p w14:paraId="7F07E0C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4</w:t>
            </w:r>
          </w:p>
        </w:tc>
        <w:tc>
          <w:tcPr>
            <w:tcW w:w="973" w:type="dxa"/>
            <w:tcBorders>
              <w:tl2br w:val="nil"/>
              <w:tr2bl w:val="nil"/>
            </w:tcBorders>
            <w:vAlign w:val="center"/>
          </w:tcPr>
          <w:p w14:paraId="0A15059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80</w:t>
            </w:r>
          </w:p>
        </w:tc>
        <w:tc>
          <w:tcPr>
            <w:tcW w:w="974" w:type="dxa"/>
            <w:tcBorders>
              <w:tl2br w:val="nil"/>
              <w:tr2bl w:val="nil"/>
            </w:tcBorders>
            <w:vAlign w:val="center"/>
          </w:tcPr>
          <w:p w14:paraId="6809EF2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86</w:t>
            </w:r>
          </w:p>
        </w:tc>
        <w:tc>
          <w:tcPr>
            <w:tcW w:w="1071" w:type="dxa"/>
            <w:vMerge w:val="continue"/>
            <w:tcBorders>
              <w:tl2br w:val="nil"/>
              <w:tr2bl w:val="nil"/>
            </w:tcBorders>
            <w:vAlign w:val="center"/>
          </w:tcPr>
          <w:p w14:paraId="0D4F43D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p>
        </w:tc>
        <w:tc>
          <w:tcPr>
            <w:tcW w:w="1323" w:type="dxa"/>
            <w:tcBorders>
              <w:tl2br w:val="nil"/>
              <w:tr2bl w:val="nil"/>
            </w:tcBorders>
            <w:vAlign w:val="center"/>
          </w:tcPr>
          <w:p w14:paraId="60D136F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4:00</w:t>
            </w:r>
          </w:p>
        </w:tc>
        <w:tc>
          <w:tcPr>
            <w:tcW w:w="1064" w:type="dxa"/>
            <w:tcBorders>
              <w:tl2br w:val="nil"/>
              <w:tr2bl w:val="nil"/>
            </w:tcBorders>
            <w:vAlign w:val="center"/>
          </w:tcPr>
          <w:p w14:paraId="24B2ECF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7404D7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69" w:type="dxa"/>
            <w:vMerge w:val="continue"/>
            <w:tcBorders>
              <w:tl2br w:val="nil"/>
              <w:tr2bl w:val="nil"/>
            </w:tcBorders>
            <w:vAlign w:val="center"/>
          </w:tcPr>
          <w:p w14:paraId="74A68A7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p>
        </w:tc>
        <w:tc>
          <w:tcPr>
            <w:tcW w:w="1135" w:type="dxa"/>
            <w:tcBorders>
              <w:tl2br w:val="nil"/>
              <w:tr2bl w:val="nil"/>
            </w:tcBorders>
            <w:vAlign w:val="center"/>
          </w:tcPr>
          <w:p w14:paraId="01D51C06">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污泥泵</w:t>
            </w:r>
          </w:p>
        </w:tc>
        <w:tc>
          <w:tcPr>
            <w:tcW w:w="967" w:type="dxa"/>
            <w:tcBorders>
              <w:tl2br w:val="nil"/>
              <w:tr2bl w:val="nil"/>
            </w:tcBorders>
            <w:vAlign w:val="center"/>
          </w:tcPr>
          <w:p w14:paraId="041CAB0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4</w:t>
            </w:r>
          </w:p>
        </w:tc>
        <w:tc>
          <w:tcPr>
            <w:tcW w:w="973" w:type="dxa"/>
            <w:tcBorders>
              <w:tl2br w:val="nil"/>
              <w:tr2bl w:val="nil"/>
            </w:tcBorders>
            <w:vAlign w:val="center"/>
          </w:tcPr>
          <w:p w14:paraId="21E9456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8</w:t>
            </w: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5</w:t>
            </w:r>
          </w:p>
        </w:tc>
        <w:tc>
          <w:tcPr>
            <w:tcW w:w="974" w:type="dxa"/>
            <w:tcBorders>
              <w:tl2br w:val="nil"/>
              <w:tr2bl w:val="nil"/>
            </w:tcBorders>
            <w:vAlign w:val="center"/>
          </w:tcPr>
          <w:p w14:paraId="16B22CE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91</w:t>
            </w:r>
          </w:p>
        </w:tc>
        <w:tc>
          <w:tcPr>
            <w:tcW w:w="1071" w:type="dxa"/>
            <w:vMerge w:val="continue"/>
            <w:tcBorders>
              <w:tl2br w:val="nil"/>
              <w:tr2bl w:val="nil"/>
            </w:tcBorders>
            <w:vAlign w:val="center"/>
          </w:tcPr>
          <w:p w14:paraId="21C32AF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p>
        </w:tc>
        <w:tc>
          <w:tcPr>
            <w:tcW w:w="1323" w:type="dxa"/>
            <w:tcBorders>
              <w:tl2br w:val="nil"/>
              <w:tr2bl w:val="nil"/>
            </w:tcBorders>
            <w:vAlign w:val="center"/>
          </w:tcPr>
          <w:p w14:paraId="6DF07A4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30FD00F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2EC4E6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769" w:type="dxa"/>
            <w:tcBorders>
              <w:tl2br w:val="nil"/>
              <w:tr2bl w:val="nil"/>
            </w:tcBorders>
            <w:vAlign w:val="center"/>
          </w:tcPr>
          <w:p w14:paraId="3A2B036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贮存池</w:t>
            </w:r>
          </w:p>
        </w:tc>
        <w:tc>
          <w:tcPr>
            <w:tcW w:w="1135" w:type="dxa"/>
            <w:tcBorders>
              <w:tl2br w:val="nil"/>
              <w:tr2bl w:val="nil"/>
            </w:tcBorders>
            <w:vAlign w:val="center"/>
          </w:tcPr>
          <w:p w14:paraId="04013A1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搅拌机</w:t>
            </w:r>
          </w:p>
        </w:tc>
        <w:tc>
          <w:tcPr>
            <w:tcW w:w="967" w:type="dxa"/>
            <w:tcBorders>
              <w:tl2br w:val="nil"/>
              <w:tr2bl w:val="nil"/>
            </w:tcBorders>
            <w:vAlign w:val="center"/>
          </w:tcPr>
          <w:p w14:paraId="41D13F1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2</w:t>
            </w:r>
          </w:p>
        </w:tc>
        <w:tc>
          <w:tcPr>
            <w:tcW w:w="973" w:type="dxa"/>
            <w:tcBorders>
              <w:tl2br w:val="nil"/>
              <w:tr2bl w:val="nil"/>
            </w:tcBorders>
            <w:vAlign w:val="center"/>
          </w:tcPr>
          <w:p w14:paraId="060BCA5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70</w:t>
            </w:r>
          </w:p>
        </w:tc>
        <w:tc>
          <w:tcPr>
            <w:tcW w:w="974" w:type="dxa"/>
            <w:tcBorders>
              <w:tl2br w:val="nil"/>
              <w:tr2bl w:val="nil"/>
            </w:tcBorders>
            <w:vAlign w:val="center"/>
          </w:tcPr>
          <w:p w14:paraId="214BFD7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73</w:t>
            </w:r>
          </w:p>
        </w:tc>
        <w:tc>
          <w:tcPr>
            <w:tcW w:w="1071" w:type="dxa"/>
            <w:vMerge w:val="continue"/>
            <w:tcBorders>
              <w:tl2br w:val="nil"/>
              <w:tr2bl w:val="nil"/>
            </w:tcBorders>
            <w:vAlign w:val="center"/>
          </w:tcPr>
          <w:p w14:paraId="0C36C34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p>
        </w:tc>
        <w:tc>
          <w:tcPr>
            <w:tcW w:w="1323" w:type="dxa"/>
            <w:tcBorders>
              <w:tl2br w:val="nil"/>
              <w:tr2bl w:val="nil"/>
            </w:tcBorders>
            <w:vAlign w:val="center"/>
          </w:tcPr>
          <w:p w14:paraId="1727D4D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6CB13AB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141512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769" w:type="dxa"/>
            <w:vMerge w:val="restart"/>
            <w:tcBorders>
              <w:tl2br w:val="nil"/>
              <w:tr2bl w:val="nil"/>
            </w:tcBorders>
            <w:vAlign w:val="center"/>
          </w:tcPr>
          <w:p w14:paraId="72BA46C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污泥脱水间及加氯间</w:t>
            </w:r>
          </w:p>
        </w:tc>
        <w:tc>
          <w:tcPr>
            <w:tcW w:w="1135" w:type="dxa"/>
            <w:tcBorders>
              <w:tl2br w:val="nil"/>
              <w:tr2bl w:val="nil"/>
            </w:tcBorders>
            <w:vAlign w:val="center"/>
          </w:tcPr>
          <w:p w14:paraId="01148F1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浓缩进料泵</w:t>
            </w:r>
          </w:p>
        </w:tc>
        <w:tc>
          <w:tcPr>
            <w:tcW w:w="967" w:type="dxa"/>
            <w:tcBorders>
              <w:tl2br w:val="nil"/>
              <w:tr2bl w:val="nil"/>
            </w:tcBorders>
            <w:vAlign w:val="center"/>
          </w:tcPr>
          <w:p w14:paraId="1119D24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1</w:t>
            </w:r>
          </w:p>
        </w:tc>
        <w:tc>
          <w:tcPr>
            <w:tcW w:w="973" w:type="dxa"/>
            <w:tcBorders>
              <w:tl2br w:val="nil"/>
              <w:tr2bl w:val="nil"/>
            </w:tcBorders>
            <w:vAlign w:val="center"/>
          </w:tcPr>
          <w:p w14:paraId="6076C48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80</w:t>
            </w:r>
          </w:p>
        </w:tc>
        <w:tc>
          <w:tcPr>
            <w:tcW w:w="974" w:type="dxa"/>
            <w:tcBorders>
              <w:tl2br w:val="nil"/>
              <w:tr2bl w:val="nil"/>
            </w:tcBorders>
            <w:vAlign w:val="center"/>
          </w:tcPr>
          <w:p w14:paraId="0D3CBD5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80</w:t>
            </w:r>
          </w:p>
        </w:tc>
        <w:tc>
          <w:tcPr>
            <w:tcW w:w="1071" w:type="dxa"/>
            <w:vMerge w:val="continue"/>
            <w:tcBorders>
              <w:tl2br w:val="nil"/>
              <w:tr2bl w:val="nil"/>
            </w:tcBorders>
            <w:vAlign w:val="center"/>
          </w:tcPr>
          <w:p w14:paraId="73D59A9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p>
        </w:tc>
        <w:tc>
          <w:tcPr>
            <w:tcW w:w="1323" w:type="dxa"/>
            <w:tcBorders>
              <w:tl2br w:val="nil"/>
              <w:tr2bl w:val="nil"/>
            </w:tcBorders>
            <w:vAlign w:val="center"/>
          </w:tcPr>
          <w:p w14:paraId="79E4258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0E382987">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01E74E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69" w:type="dxa"/>
            <w:vMerge w:val="continue"/>
            <w:tcBorders>
              <w:tl2br w:val="nil"/>
              <w:tr2bl w:val="nil"/>
            </w:tcBorders>
            <w:vAlign w:val="center"/>
          </w:tcPr>
          <w:p w14:paraId="521D9A0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135" w:type="dxa"/>
            <w:tcBorders>
              <w:tl2br w:val="nil"/>
              <w:tr2bl w:val="nil"/>
            </w:tcBorders>
            <w:vAlign w:val="center"/>
          </w:tcPr>
          <w:p w14:paraId="5434D09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叠螺式污泥压缩机</w:t>
            </w:r>
          </w:p>
        </w:tc>
        <w:tc>
          <w:tcPr>
            <w:tcW w:w="967" w:type="dxa"/>
            <w:tcBorders>
              <w:tl2br w:val="nil"/>
              <w:tr2bl w:val="nil"/>
            </w:tcBorders>
            <w:vAlign w:val="center"/>
          </w:tcPr>
          <w:p w14:paraId="2D9BF40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1</w:t>
            </w:r>
          </w:p>
        </w:tc>
        <w:tc>
          <w:tcPr>
            <w:tcW w:w="973" w:type="dxa"/>
            <w:tcBorders>
              <w:tl2br w:val="nil"/>
              <w:tr2bl w:val="nil"/>
            </w:tcBorders>
            <w:vAlign w:val="center"/>
          </w:tcPr>
          <w:p w14:paraId="72165C5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75</w:t>
            </w:r>
          </w:p>
        </w:tc>
        <w:tc>
          <w:tcPr>
            <w:tcW w:w="974" w:type="dxa"/>
            <w:tcBorders>
              <w:tl2br w:val="nil"/>
              <w:tr2bl w:val="nil"/>
            </w:tcBorders>
            <w:vAlign w:val="center"/>
          </w:tcPr>
          <w:p w14:paraId="274A38B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75</w:t>
            </w:r>
          </w:p>
        </w:tc>
        <w:tc>
          <w:tcPr>
            <w:tcW w:w="1071" w:type="dxa"/>
            <w:vMerge w:val="continue"/>
            <w:tcBorders>
              <w:tl2br w:val="nil"/>
              <w:tr2bl w:val="nil"/>
            </w:tcBorders>
            <w:vAlign w:val="center"/>
          </w:tcPr>
          <w:p w14:paraId="6A5787D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p>
        </w:tc>
        <w:tc>
          <w:tcPr>
            <w:tcW w:w="1323" w:type="dxa"/>
            <w:tcBorders>
              <w:tl2br w:val="nil"/>
              <w:tr2bl w:val="nil"/>
            </w:tcBorders>
            <w:vAlign w:val="center"/>
          </w:tcPr>
          <w:p w14:paraId="632361E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5373A69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653BCC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769" w:type="dxa"/>
            <w:vMerge w:val="continue"/>
            <w:tcBorders>
              <w:tl2br w:val="nil"/>
              <w:tr2bl w:val="nil"/>
            </w:tcBorders>
            <w:vAlign w:val="center"/>
          </w:tcPr>
          <w:p w14:paraId="68B38E6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135" w:type="dxa"/>
            <w:tcBorders>
              <w:tl2br w:val="nil"/>
              <w:tr2bl w:val="nil"/>
            </w:tcBorders>
            <w:vAlign w:val="center"/>
          </w:tcPr>
          <w:p w14:paraId="326A737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搅拌机</w:t>
            </w:r>
          </w:p>
        </w:tc>
        <w:tc>
          <w:tcPr>
            <w:tcW w:w="967" w:type="dxa"/>
            <w:tcBorders>
              <w:tl2br w:val="nil"/>
              <w:tr2bl w:val="nil"/>
            </w:tcBorders>
            <w:vAlign w:val="center"/>
          </w:tcPr>
          <w:p w14:paraId="7103C55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2</w:t>
            </w:r>
          </w:p>
        </w:tc>
        <w:tc>
          <w:tcPr>
            <w:tcW w:w="973" w:type="dxa"/>
            <w:tcBorders>
              <w:tl2br w:val="nil"/>
              <w:tr2bl w:val="nil"/>
            </w:tcBorders>
            <w:vAlign w:val="center"/>
          </w:tcPr>
          <w:p w14:paraId="0819B57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70</w:t>
            </w:r>
          </w:p>
        </w:tc>
        <w:tc>
          <w:tcPr>
            <w:tcW w:w="974" w:type="dxa"/>
            <w:tcBorders>
              <w:tl2br w:val="nil"/>
              <w:tr2bl w:val="nil"/>
            </w:tcBorders>
            <w:vAlign w:val="center"/>
          </w:tcPr>
          <w:p w14:paraId="3119979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73</w:t>
            </w:r>
          </w:p>
        </w:tc>
        <w:tc>
          <w:tcPr>
            <w:tcW w:w="1071" w:type="dxa"/>
            <w:vMerge w:val="continue"/>
            <w:tcBorders>
              <w:tl2br w:val="nil"/>
              <w:tr2bl w:val="nil"/>
            </w:tcBorders>
            <w:vAlign w:val="center"/>
          </w:tcPr>
          <w:p w14:paraId="3DF9E35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p>
        </w:tc>
        <w:tc>
          <w:tcPr>
            <w:tcW w:w="1323" w:type="dxa"/>
            <w:tcBorders>
              <w:tl2br w:val="nil"/>
              <w:tr2bl w:val="nil"/>
            </w:tcBorders>
            <w:vAlign w:val="center"/>
          </w:tcPr>
          <w:p w14:paraId="18555FD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6062122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59241D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69" w:type="dxa"/>
            <w:vMerge w:val="continue"/>
            <w:tcBorders>
              <w:tl2br w:val="nil"/>
              <w:tr2bl w:val="nil"/>
            </w:tcBorders>
            <w:vAlign w:val="center"/>
          </w:tcPr>
          <w:p w14:paraId="3E03B4F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135" w:type="dxa"/>
            <w:tcBorders>
              <w:tl2br w:val="nil"/>
              <w:tr2bl w:val="nil"/>
            </w:tcBorders>
            <w:vAlign w:val="center"/>
          </w:tcPr>
          <w:p w14:paraId="0D116D3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空压机</w:t>
            </w:r>
          </w:p>
        </w:tc>
        <w:tc>
          <w:tcPr>
            <w:tcW w:w="967" w:type="dxa"/>
            <w:tcBorders>
              <w:tl2br w:val="nil"/>
              <w:tr2bl w:val="nil"/>
            </w:tcBorders>
            <w:vAlign w:val="center"/>
          </w:tcPr>
          <w:p w14:paraId="30E47B1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1</w:t>
            </w:r>
          </w:p>
        </w:tc>
        <w:tc>
          <w:tcPr>
            <w:tcW w:w="973" w:type="dxa"/>
            <w:tcBorders>
              <w:tl2br w:val="nil"/>
              <w:tr2bl w:val="nil"/>
            </w:tcBorders>
            <w:vAlign w:val="center"/>
          </w:tcPr>
          <w:p w14:paraId="65D4729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85</w:t>
            </w:r>
          </w:p>
        </w:tc>
        <w:tc>
          <w:tcPr>
            <w:tcW w:w="974" w:type="dxa"/>
            <w:tcBorders>
              <w:tl2br w:val="nil"/>
              <w:tr2bl w:val="nil"/>
            </w:tcBorders>
            <w:vAlign w:val="center"/>
          </w:tcPr>
          <w:p w14:paraId="726595D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85</w:t>
            </w:r>
          </w:p>
        </w:tc>
        <w:tc>
          <w:tcPr>
            <w:tcW w:w="1071" w:type="dxa"/>
            <w:vMerge w:val="continue"/>
            <w:tcBorders>
              <w:tl2br w:val="nil"/>
              <w:tr2bl w:val="nil"/>
            </w:tcBorders>
            <w:vAlign w:val="center"/>
          </w:tcPr>
          <w:p w14:paraId="0B42F49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p>
        </w:tc>
        <w:tc>
          <w:tcPr>
            <w:tcW w:w="1323" w:type="dxa"/>
            <w:tcBorders>
              <w:tl2br w:val="nil"/>
              <w:tr2bl w:val="nil"/>
            </w:tcBorders>
            <w:vAlign w:val="center"/>
          </w:tcPr>
          <w:p w14:paraId="3FFECAA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765CA069">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01BD34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69" w:type="dxa"/>
            <w:vMerge w:val="continue"/>
            <w:tcBorders>
              <w:tl2br w:val="nil"/>
              <w:tr2bl w:val="nil"/>
            </w:tcBorders>
            <w:vAlign w:val="center"/>
          </w:tcPr>
          <w:p w14:paraId="4E24687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135" w:type="dxa"/>
            <w:tcBorders>
              <w:tl2br w:val="nil"/>
              <w:tr2bl w:val="nil"/>
            </w:tcBorders>
            <w:vAlign w:val="center"/>
          </w:tcPr>
          <w:p w14:paraId="0284BF0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压榨机</w:t>
            </w:r>
          </w:p>
        </w:tc>
        <w:tc>
          <w:tcPr>
            <w:tcW w:w="967" w:type="dxa"/>
            <w:tcBorders>
              <w:tl2br w:val="nil"/>
              <w:tr2bl w:val="nil"/>
            </w:tcBorders>
            <w:vAlign w:val="center"/>
          </w:tcPr>
          <w:p w14:paraId="7AC6871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2</w:t>
            </w:r>
          </w:p>
        </w:tc>
        <w:tc>
          <w:tcPr>
            <w:tcW w:w="973" w:type="dxa"/>
            <w:tcBorders>
              <w:tl2br w:val="nil"/>
              <w:tr2bl w:val="nil"/>
            </w:tcBorders>
            <w:vAlign w:val="center"/>
          </w:tcPr>
          <w:p w14:paraId="3BC1AF7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75</w:t>
            </w:r>
          </w:p>
        </w:tc>
        <w:tc>
          <w:tcPr>
            <w:tcW w:w="974" w:type="dxa"/>
            <w:tcBorders>
              <w:tl2br w:val="nil"/>
              <w:tr2bl w:val="nil"/>
            </w:tcBorders>
            <w:vAlign w:val="center"/>
          </w:tcPr>
          <w:p w14:paraId="5490BBDD">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78</w:t>
            </w:r>
          </w:p>
        </w:tc>
        <w:tc>
          <w:tcPr>
            <w:tcW w:w="1071" w:type="dxa"/>
            <w:vMerge w:val="continue"/>
            <w:tcBorders>
              <w:tl2br w:val="nil"/>
              <w:tr2bl w:val="nil"/>
            </w:tcBorders>
            <w:vAlign w:val="center"/>
          </w:tcPr>
          <w:p w14:paraId="108FD19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p>
        </w:tc>
        <w:tc>
          <w:tcPr>
            <w:tcW w:w="1323" w:type="dxa"/>
            <w:tcBorders>
              <w:tl2br w:val="nil"/>
              <w:tr2bl w:val="nil"/>
            </w:tcBorders>
            <w:vAlign w:val="center"/>
          </w:tcPr>
          <w:p w14:paraId="7BB6E4F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5488CFC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4A440A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69" w:type="dxa"/>
            <w:vMerge w:val="continue"/>
            <w:tcBorders>
              <w:tl2br w:val="nil"/>
              <w:tr2bl w:val="nil"/>
            </w:tcBorders>
            <w:vAlign w:val="center"/>
          </w:tcPr>
          <w:p w14:paraId="739EE86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135" w:type="dxa"/>
            <w:tcBorders>
              <w:tl2br w:val="nil"/>
              <w:tr2bl w:val="nil"/>
            </w:tcBorders>
            <w:vAlign w:val="center"/>
          </w:tcPr>
          <w:p w14:paraId="5A50C90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高压清洗泵</w:t>
            </w:r>
          </w:p>
        </w:tc>
        <w:tc>
          <w:tcPr>
            <w:tcW w:w="967" w:type="dxa"/>
            <w:tcBorders>
              <w:tl2br w:val="nil"/>
              <w:tr2bl w:val="nil"/>
            </w:tcBorders>
            <w:vAlign w:val="center"/>
          </w:tcPr>
          <w:p w14:paraId="56BC84A8">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1</w:t>
            </w:r>
          </w:p>
        </w:tc>
        <w:tc>
          <w:tcPr>
            <w:tcW w:w="973" w:type="dxa"/>
            <w:tcBorders>
              <w:tl2br w:val="nil"/>
              <w:tr2bl w:val="nil"/>
            </w:tcBorders>
            <w:vAlign w:val="center"/>
          </w:tcPr>
          <w:p w14:paraId="32692194">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eastAsia" w:cs="Times New Roman"/>
                <w:color w:val="000000" w:themeColor="text1"/>
                <w:highlight w:val="none"/>
                <w:u w:val="none" w:color="auto"/>
                <w:lang w:val="en-US" w:eastAsia="zh-CN"/>
                <w14:textFill>
                  <w14:solidFill>
                    <w14:schemeClr w14:val="tx1"/>
                  </w14:solidFill>
                </w14:textFill>
              </w:rPr>
              <w:t>85</w:t>
            </w:r>
          </w:p>
        </w:tc>
        <w:tc>
          <w:tcPr>
            <w:tcW w:w="974" w:type="dxa"/>
            <w:tcBorders>
              <w:tl2br w:val="nil"/>
              <w:tr2bl w:val="nil"/>
            </w:tcBorders>
            <w:vAlign w:val="center"/>
          </w:tcPr>
          <w:p w14:paraId="63AF94B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eastAsia" w:cs="Times New Roman"/>
                <w:color w:val="000000" w:themeColor="text1"/>
                <w:highlight w:val="none"/>
                <w:u w:val="none" w:color="auto"/>
                <w:lang w:val="en-US" w:eastAsia="zh-CN"/>
                <w14:textFill>
                  <w14:solidFill>
                    <w14:schemeClr w14:val="tx1"/>
                  </w14:solidFill>
                </w14:textFill>
              </w:rPr>
              <w:t>85</w:t>
            </w:r>
          </w:p>
        </w:tc>
        <w:tc>
          <w:tcPr>
            <w:tcW w:w="1071" w:type="dxa"/>
            <w:vMerge w:val="continue"/>
            <w:tcBorders>
              <w:tl2br w:val="nil"/>
              <w:tr2bl w:val="nil"/>
            </w:tcBorders>
            <w:vAlign w:val="center"/>
          </w:tcPr>
          <w:p w14:paraId="3F66109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p>
        </w:tc>
        <w:tc>
          <w:tcPr>
            <w:tcW w:w="1323" w:type="dxa"/>
            <w:tcBorders>
              <w:tl2br w:val="nil"/>
              <w:tr2bl w:val="nil"/>
            </w:tcBorders>
            <w:vAlign w:val="center"/>
          </w:tcPr>
          <w:p w14:paraId="34350C7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36E01AF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r w14:paraId="5FDB25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69" w:type="dxa"/>
            <w:vMerge w:val="continue"/>
            <w:tcBorders>
              <w:tl2br w:val="nil"/>
              <w:tr2bl w:val="nil"/>
            </w:tcBorders>
            <w:vAlign w:val="center"/>
          </w:tcPr>
          <w:p w14:paraId="3F43AA0F">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p>
        </w:tc>
        <w:tc>
          <w:tcPr>
            <w:tcW w:w="1135" w:type="dxa"/>
            <w:tcBorders>
              <w:tl2br w:val="nil"/>
              <w:tr2bl w:val="nil"/>
            </w:tcBorders>
            <w:vAlign w:val="center"/>
          </w:tcPr>
          <w:p w14:paraId="14FCB0DA">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压榨进料泵</w:t>
            </w:r>
          </w:p>
        </w:tc>
        <w:tc>
          <w:tcPr>
            <w:tcW w:w="967" w:type="dxa"/>
            <w:tcBorders>
              <w:tl2br w:val="nil"/>
              <w:tr2bl w:val="nil"/>
            </w:tcBorders>
            <w:vAlign w:val="center"/>
          </w:tcPr>
          <w:p w14:paraId="5F2BA34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2</w:t>
            </w:r>
          </w:p>
        </w:tc>
        <w:tc>
          <w:tcPr>
            <w:tcW w:w="973" w:type="dxa"/>
            <w:tcBorders>
              <w:tl2br w:val="nil"/>
              <w:tr2bl w:val="nil"/>
            </w:tcBorders>
            <w:vAlign w:val="center"/>
          </w:tcPr>
          <w:p w14:paraId="34CEA9C1">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85</w:t>
            </w:r>
          </w:p>
        </w:tc>
        <w:tc>
          <w:tcPr>
            <w:tcW w:w="974" w:type="dxa"/>
            <w:tcBorders>
              <w:tl2br w:val="nil"/>
              <w:tr2bl w:val="nil"/>
            </w:tcBorders>
            <w:vAlign w:val="center"/>
          </w:tcPr>
          <w:p w14:paraId="72C33E40">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en-US"/>
                <w14:textFill>
                  <w14:solidFill>
                    <w14:schemeClr w14:val="tx1"/>
                  </w14:solidFill>
                </w14:textFill>
              </w:rPr>
              <w:t>88</w:t>
            </w:r>
          </w:p>
        </w:tc>
        <w:tc>
          <w:tcPr>
            <w:tcW w:w="1071" w:type="dxa"/>
            <w:vMerge w:val="continue"/>
            <w:tcBorders>
              <w:tl2br w:val="nil"/>
              <w:tr2bl w:val="nil"/>
            </w:tcBorders>
            <w:vAlign w:val="center"/>
          </w:tcPr>
          <w:p w14:paraId="2355B8F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p>
        </w:tc>
        <w:tc>
          <w:tcPr>
            <w:tcW w:w="1323" w:type="dxa"/>
            <w:tcBorders>
              <w:tl2br w:val="nil"/>
              <w:tr2bl w:val="nil"/>
            </w:tcBorders>
            <w:vAlign w:val="center"/>
          </w:tcPr>
          <w:p w14:paraId="454A59D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00:00~24:00</w:t>
            </w:r>
          </w:p>
        </w:tc>
        <w:tc>
          <w:tcPr>
            <w:tcW w:w="1064" w:type="dxa"/>
            <w:tcBorders>
              <w:tl2br w:val="nil"/>
              <w:tr2bl w:val="nil"/>
            </w:tcBorders>
            <w:vAlign w:val="center"/>
          </w:tcPr>
          <w:p w14:paraId="2BA56EAE">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zh-CN" w:eastAsia="en-US"/>
                <w14:textFill>
                  <w14:solidFill>
                    <w14:schemeClr w14:val="tx1"/>
                  </w14:solidFill>
                </w14:textFill>
              </w:rPr>
              <w:t>20</w:t>
            </w:r>
          </w:p>
        </w:tc>
      </w:tr>
    </w:tbl>
    <w:p w14:paraId="5E567BBD">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u w:val="none" w:color="auto"/>
          <w:lang w:val="en-US" w:eastAsia="zh-CN" w:bidi="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bidi="zh-CN"/>
          <w14:textFill>
            <w14:solidFill>
              <w14:schemeClr w14:val="tx1"/>
            </w14:solidFill>
          </w14:textFill>
        </w:rPr>
        <w:t>（2）基础数据</w:t>
      </w:r>
    </w:p>
    <w:p w14:paraId="06AC984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color w:val="000000" w:themeColor="text1"/>
          <w:kern w:val="0"/>
          <w:sz w:val="24"/>
          <w:szCs w:val="24"/>
          <w:highlight w:val="none"/>
          <w:u w:val="none" w:color="auto"/>
          <w:lang w:val="en-US" w:eastAsia="zh-CN" w:bidi="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bidi="zh-CN"/>
          <w14:textFill>
            <w14:solidFill>
              <w14:schemeClr w14:val="tx1"/>
            </w14:solidFill>
          </w14:textFill>
        </w:rPr>
        <w:t>项目噪声环境影响预测基础数据见表</w:t>
      </w:r>
      <w:r>
        <w:rPr>
          <w:rFonts w:hint="default" w:ascii="Times New Roman" w:hAnsi="Times New Roman" w:eastAsia="宋体" w:cs="Times New Roman"/>
          <w:color w:val="000000" w:themeColor="text1"/>
          <w:sz w:val="22"/>
          <w:szCs w:val="22"/>
          <w:highlight w:val="none"/>
          <w:u w:val="none" w:color="auto"/>
          <w:lang w:val="en-US" w:bidi="zh-CN"/>
          <w14:textFill>
            <w14:solidFill>
              <w14:schemeClr w14:val="tx1"/>
            </w14:solidFill>
          </w14:textFill>
        </w:rPr>
        <w:t>5</w:t>
      </w:r>
      <w:r>
        <w:rPr>
          <w:rFonts w:hint="default" w:ascii="Times New Roman" w:hAnsi="Times New Roman" w:eastAsia="宋体" w:cs="Times New Roman"/>
          <w:color w:val="000000" w:themeColor="text1"/>
          <w:sz w:val="22"/>
          <w:szCs w:val="22"/>
          <w:highlight w:val="none"/>
          <w:u w:val="none" w:color="auto"/>
          <w:lang w:val="zh-CN" w:bidi="zh-CN"/>
          <w14:textFill>
            <w14:solidFill>
              <w14:schemeClr w14:val="tx1"/>
            </w14:solidFill>
          </w14:textFill>
        </w:rPr>
        <w:t>.</w:t>
      </w:r>
      <w:r>
        <w:rPr>
          <w:rFonts w:hint="default" w:ascii="Times New Roman" w:hAnsi="Times New Roman" w:eastAsia="宋体" w:cs="Times New Roman"/>
          <w:color w:val="000000" w:themeColor="text1"/>
          <w:sz w:val="22"/>
          <w:szCs w:val="22"/>
          <w:highlight w:val="none"/>
          <w:u w:val="none" w:color="auto"/>
          <w:lang w:val="en-US" w:eastAsia="zh-CN" w:bidi="zh-CN"/>
          <w14:textFill>
            <w14:solidFill>
              <w14:schemeClr w14:val="tx1"/>
            </w14:solidFill>
          </w14:textFill>
        </w:rPr>
        <w:t>2</w:t>
      </w:r>
      <w:r>
        <w:rPr>
          <w:rFonts w:hint="default" w:ascii="Times New Roman" w:hAnsi="Times New Roman" w:eastAsia="宋体" w:cs="Times New Roman"/>
          <w:color w:val="000000" w:themeColor="text1"/>
          <w:sz w:val="22"/>
          <w:szCs w:val="22"/>
          <w:highlight w:val="none"/>
          <w:u w:val="none" w:color="auto"/>
          <w:lang w:val="zh-CN" w:bidi="zh-CN"/>
          <w14:textFill>
            <w14:solidFill>
              <w14:schemeClr w14:val="tx1"/>
            </w14:solidFill>
          </w14:textFill>
        </w:rPr>
        <w:t>-</w:t>
      </w:r>
      <w:r>
        <w:rPr>
          <w:rFonts w:hint="default" w:ascii="Times New Roman" w:hAnsi="Times New Roman" w:cs="Times New Roman"/>
          <w:color w:val="000000" w:themeColor="text1"/>
          <w:sz w:val="22"/>
          <w:szCs w:val="22"/>
          <w:highlight w:val="none"/>
          <w:u w:val="none" w:color="auto"/>
          <w:lang w:val="en-US" w:eastAsia="zh-CN" w:bidi="zh-CN"/>
          <w14:textFill>
            <w14:solidFill>
              <w14:schemeClr w14:val="tx1"/>
            </w14:solidFill>
          </w14:textFill>
        </w:rPr>
        <w:t>20</w:t>
      </w:r>
      <w:r>
        <w:rPr>
          <w:rFonts w:hint="default" w:ascii="Times New Roman" w:hAnsi="Times New Roman" w:eastAsia="宋体" w:cs="Times New Roman"/>
          <w:color w:val="000000" w:themeColor="text1"/>
          <w:sz w:val="24"/>
          <w:szCs w:val="24"/>
          <w:highlight w:val="none"/>
          <w:u w:val="none" w:color="auto"/>
          <w:lang w:val="en-US" w:eastAsia="zh-CN" w:bidi="zh-CN"/>
          <w14:textFill>
            <w14:solidFill>
              <w14:schemeClr w14:val="tx1"/>
            </w14:solidFill>
          </w14:textFill>
        </w:rPr>
        <w:t>。</w:t>
      </w:r>
    </w:p>
    <w:p w14:paraId="07C95663">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themeColor="text1"/>
          <w:sz w:val="24"/>
          <w:szCs w:val="24"/>
          <w:highlight w:val="none"/>
          <w:u w:val="non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u w:val="none" w:color="auto"/>
          <w:lang w:val="en-US" w:eastAsia="zh-CN" w:bidi="zh-CN"/>
          <w14:textFill>
            <w14:solidFill>
              <w14:schemeClr w14:val="tx1"/>
            </w14:solidFill>
          </w14:textFill>
        </w:rPr>
        <w:t>表5.2-</w:t>
      </w:r>
      <w:r>
        <w:rPr>
          <w:rFonts w:hint="default" w:ascii="Times New Roman" w:hAnsi="Times New Roman" w:cs="Times New Roman"/>
          <w:b/>
          <w:color w:val="000000" w:themeColor="text1"/>
          <w:kern w:val="0"/>
          <w:sz w:val="24"/>
          <w:szCs w:val="24"/>
          <w:highlight w:val="none"/>
          <w:u w:val="none" w:color="auto"/>
          <w:lang w:val="en-US" w:eastAsia="zh-CN" w:bidi="zh-CN"/>
          <w14:textFill>
            <w14:solidFill>
              <w14:schemeClr w14:val="tx1"/>
            </w14:solidFill>
          </w14:textFill>
        </w:rPr>
        <w:t>20</w:t>
      </w:r>
      <w:r>
        <w:rPr>
          <w:rFonts w:hint="default" w:ascii="Times New Roman" w:hAnsi="Times New Roman" w:eastAsia="宋体" w:cs="Times New Roman"/>
          <w:b/>
          <w:color w:val="000000" w:themeColor="text1"/>
          <w:kern w:val="0"/>
          <w:sz w:val="24"/>
          <w:szCs w:val="24"/>
          <w:highlight w:val="none"/>
          <w:u w:val="none" w:color="auto"/>
          <w:lang w:val="en-US" w:eastAsia="zh-CN" w:bidi="zh-CN"/>
          <w14:textFill>
            <w14:solidFill>
              <w14:schemeClr w14:val="tx1"/>
            </w14:solidFill>
          </w14:textFill>
        </w:rPr>
        <w:t>项目噪声环境</w:t>
      </w:r>
      <w:r>
        <w:rPr>
          <w:rFonts w:hint="default" w:ascii="Times New Roman" w:hAnsi="Times New Roman" w:eastAsia="宋体" w:cs="Times New Roman"/>
          <w:b/>
          <w:bCs/>
          <w:color w:val="000000" w:themeColor="text1"/>
          <w:sz w:val="24"/>
          <w:szCs w:val="24"/>
          <w:highlight w:val="none"/>
          <w:u w:val="none" w:color="auto"/>
          <w:lang w:val="en-US" w:eastAsia="zh-CN" w:bidi="zh-CN"/>
          <w14:textFill>
            <w14:solidFill>
              <w14:schemeClr w14:val="tx1"/>
            </w14:solidFill>
          </w14:textFill>
        </w:rPr>
        <w:t>影响预测基础数据表</w:t>
      </w:r>
    </w:p>
    <w:tbl>
      <w:tblPr>
        <w:tblStyle w:val="76"/>
        <w:tblW w:w="485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270"/>
        <w:gridCol w:w="1732"/>
        <w:gridCol w:w="1733"/>
        <w:gridCol w:w="1349"/>
      </w:tblGrid>
      <w:tr w14:paraId="02C6C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94" w:type="dxa"/>
            <w:tcBorders>
              <w:tl2br w:val="nil"/>
              <w:tr2bl w:val="nil"/>
            </w:tcBorders>
            <w:noWrap w:val="0"/>
            <w:vAlign w:val="center"/>
          </w:tcPr>
          <w:p w14:paraId="64842FA7">
            <w:pPr>
              <w:keepNext w:val="0"/>
              <w:keepLines w:val="0"/>
              <w:suppressLineNumbers w:val="0"/>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u w:val="none" w:color="auto"/>
                <w:lang w:val="zh-CN" w:bidi="zh-CN"/>
                <w14:textFill>
                  <w14:solidFill>
                    <w14:schemeClr w14:val="tx1"/>
                  </w14:solidFill>
                </w14:textFill>
              </w:rPr>
            </w:pPr>
            <w:bookmarkStart w:id="127" w:name="PT_4"/>
            <w:r>
              <w:rPr>
                <w:rFonts w:hint="default" w:ascii="Times New Roman" w:hAnsi="Times New Roman" w:eastAsia="宋体" w:cs="Times New Roman"/>
                <w:b/>
                <w:color w:val="000000" w:themeColor="text1"/>
                <w:sz w:val="21"/>
                <w:szCs w:val="21"/>
                <w:highlight w:val="none"/>
                <w:u w:val="none" w:color="auto"/>
                <w:lang w:val="zh-CN" w:bidi="zh-CN"/>
                <w14:textFill>
                  <w14:solidFill>
                    <w14:schemeClr w14:val="tx1"/>
                  </w14:solidFill>
                </w14:textFill>
              </w:rPr>
              <w:t>序号</w:t>
            </w:r>
          </w:p>
        </w:tc>
        <w:tc>
          <w:tcPr>
            <w:tcW w:w="2270" w:type="dxa"/>
            <w:tcBorders>
              <w:tl2br w:val="nil"/>
              <w:tr2bl w:val="nil"/>
            </w:tcBorders>
            <w:noWrap w:val="0"/>
            <w:vAlign w:val="center"/>
          </w:tcPr>
          <w:p w14:paraId="5B0E0E4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none" w:color="auto"/>
                <w:lang w:val="zh-CN" w:bidi="zh-CN"/>
                <w14:textFill>
                  <w14:solidFill>
                    <w14:schemeClr w14:val="tx1"/>
                  </w14:solidFill>
                </w14:textFill>
              </w:rPr>
              <w:t>名称</w:t>
            </w:r>
          </w:p>
        </w:tc>
        <w:tc>
          <w:tcPr>
            <w:tcW w:w="1732" w:type="dxa"/>
            <w:tcBorders>
              <w:tl2br w:val="nil"/>
              <w:tr2bl w:val="nil"/>
            </w:tcBorders>
            <w:noWrap w:val="0"/>
            <w:vAlign w:val="center"/>
          </w:tcPr>
          <w:p w14:paraId="60E680D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none" w:color="auto"/>
                <w:lang w:val="zh-CN" w:bidi="zh-CN"/>
                <w14:textFill>
                  <w14:solidFill>
                    <w14:schemeClr w14:val="tx1"/>
                  </w14:solidFill>
                </w14:textFill>
              </w:rPr>
              <w:t>单位</w:t>
            </w:r>
          </w:p>
        </w:tc>
        <w:tc>
          <w:tcPr>
            <w:tcW w:w="1733" w:type="dxa"/>
            <w:tcBorders>
              <w:tl2br w:val="nil"/>
              <w:tr2bl w:val="nil"/>
            </w:tcBorders>
            <w:noWrap w:val="0"/>
            <w:vAlign w:val="center"/>
          </w:tcPr>
          <w:p w14:paraId="12C3565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none" w:color="auto"/>
                <w:lang w:val="zh-CN" w:bidi="zh-CN"/>
                <w14:textFill>
                  <w14:solidFill>
                    <w14:schemeClr w14:val="tx1"/>
                  </w14:solidFill>
                </w14:textFill>
              </w:rPr>
              <w:t>数据</w:t>
            </w:r>
          </w:p>
        </w:tc>
        <w:tc>
          <w:tcPr>
            <w:tcW w:w="1349" w:type="dxa"/>
            <w:tcBorders>
              <w:tl2br w:val="nil"/>
              <w:tr2bl w:val="nil"/>
            </w:tcBorders>
            <w:noWrap w:val="0"/>
            <w:vAlign w:val="center"/>
          </w:tcPr>
          <w:p w14:paraId="115D853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none" w:color="auto"/>
                <w:lang w:val="zh-CN" w:bidi="zh-CN"/>
                <w14:textFill>
                  <w14:solidFill>
                    <w14:schemeClr w14:val="tx1"/>
                  </w14:solidFill>
                </w14:textFill>
              </w:rPr>
              <w:t>备注</w:t>
            </w:r>
            <w:bookmarkEnd w:id="127"/>
          </w:p>
        </w:tc>
      </w:tr>
      <w:tr w14:paraId="7A381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94" w:type="dxa"/>
            <w:tcBorders>
              <w:tl2br w:val="nil"/>
              <w:tr2bl w:val="nil"/>
            </w:tcBorders>
            <w:noWrap w:val="0"/>
            <w:vAlign w:val="center"/>
          </w:tcPr>
          <w:p w14:paraId="6E9BE52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1</w:t>
            </w:r>
          </w:p>
        </w:tc>
        <w:tc>
          <w:tcPr>
            <w:tcW w:w="2270" w:type="dxa"/>
            <w:tcBorders>
              <w:tl2br w:val="nil"/>
              <w:tr2bl w:val="nil"/>
            </w:tcBorders>
            <w:noWrap w:val="0"/>
            <w:vAlign w:val="center"/>
          </w:tcPr>
          <w:p w14:paraId="0D7355F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年平均风速</w:t>
            </w:r>
          </w:p>
        </w:tc>
        <w:tc>
          <w:tcPr>
            <w:tcW w:w="1732" w:type="dxa"/>
            <w:tcBorders>
              <w:tl2br w:val="nil"/>
              <w:tr2bl w:val="nil"/>
            </w:tcBorders>
            <w:noWrap w:val="0"/>
            <w:vAlign w:val="center"/>
          </w:tcPr>
          <w:p w14:paraId="525948C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m/s</w:t>
            </w:r>
          </w:p>
        </w:tc>
        <w:tc>
          <w:tcPr>
            <w:tcW w:w="1733" w:type="dxa"/>
            <w:tcBorders>
              <w:tl2br w:val="nil"/>
              <w:tr2bl w:val="nil"/>
            </w:tcBorders>
            <w:noWrap w:val="0"/>
            <w:vAlign w:val="center"/>
          </w:tcPr>
          <w:p w14:paraId="345A610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bidi="zh-CN"/>
                <w14:textFill>
                  <w14:solidFill>
                    <w14:schemeClr w14:val="tx1"/>
                  </w14:solidFill>
                </w14:textFill>
              </w:rPr>
              <w:t>7.9</w:t>
            </w:r>
          </w:p>
        </w:tc>
        <w:tc>
          <w:tcPr>
            <w:tcW w:w="1349" w:type="dxa"/>
            <w:tcBorders>
              <w:tl2br w:val="nil"/>
              <w:tr2bl w:val="nil"/>
            </w:tcBorders>
            <w:noWrap w:val="0"/>
            <w:vAlign w:val="center"/>
          </w:tcPr>
          <w:p w14:paraId="7BCEB09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w:t>
            </w:r>
          </w:p>
        </w:tc>
      </w:tr>
      <w:tr w14:paraId="37EE0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94" w:type="dxa"/>
            <w:tcBorders>
              <w:tl2br w:val="nil"/>
              <w:tr2bl w:val="nil"/>
            </w:tcBorders>
            <w:noWrap w:val="0"/>
            <w:vAlign w:val="center"/>
          </w:tcPr>
          <w:p w14:paraId="72C6096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2</w:t>
            </w:r>
          </w:p>
        </w:tc>
        <w:tc>
          <w:tcPr>
            <w:tcW w:w="2270" w:type="dxa"/>
            <w:tcBorders>
              <w:tl2br w:val="nil"/>
              <w:tr2bl w:val="nil"/>
            </w:tcBorders>
            <w:noWrap w:val="0"/>
            <w:vAlign w:val="center"/>
          </w:tcPr>
          <w:p w14:paraId="01FA91A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主导风向</w:t>
            </w:r>
          </w:p>
        </w:tc>
        <w:tc>
          <w:tcPr>
            <w:tcW w:w="1732" w:type="dxa"/>
            <w:tcBorders>
              <w:tl2br w:val="nil"/>
              <w:tr2bl w:val="nil"/>
            </w:tcBorders>
            <w:noWrap w:val="0"/>
            <w:vAlign w:val="center"/>
          </w:tcPr>
          <w:p w14:paraId="78B920F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w:t>
            </w:r>
          </w:p>
        </w:tc>
        <w:tc>
          <w:tcPr>
            <w:tcW w:w="1733" w:type="dxa"/>
            <w:tcBorders>
              <w:tl2br w:val="nil"/>
              <w:tr2bl w:val="nil"/>
            </w:tcBorders>
            <w:noWrap w:val="0"/>
            <w:vAlign w:val="center"/>
          </w:tcPr>
          <w:p w14:paraId="0EB436A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北风</w:t>
            </w:r>
          </w:p>
        </w:tc>
        <w:tc>
          <w:tcPr>
            <w:tcW w:w="1349" w:type="dxa"/>
            <w:tcBorders>
              <w:tl2br w:val="nil"/>
              <w:tr2bl w:val="nil"/>
            </w:tcBorders>
            <w:noWrap w:val="0"/>
            <w:vAlign w:val="center"/>
          </w:tcPr>
          <w:p w14:paraId="3428ADC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w:t>
            </w:r>
          </w:p>
        </w:tc>
      </w:tr>
      <w:tr w14:paraId="3B4FD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94" w:type="dxa"/>
            <w:tcBorders>
              <w:tl2br w:val="nil"/>
              <w:tr2bl w:val="nil"/>
            </w:tcBorders>
            <w:noWrap w:val="0"/>
            <w:vAlign w:val="center"/>
          </w:tcPr>
          <w:p w14:paraId="6C88033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3</w:t>
            </w:r>
          </w:p>
        </w:tc>
        <w:tc>
          <w:tcPr>
            <w:tcW w:w="2270" w:type="dxa"/>
            <w:tcBorders>
              <w:tl2br w:val="nil"/>
              <w:tr2bl w:val="nil"/>
            </w:tcBorders>
            <w:noWrap w:val="0"/>
            <w:vAlign w:val="center"/>
          </w:tcPr>
          <w:p w14:paraId="01D416B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年平均气温</w:t>
            </w:r>
          </w:p>
        </w:tc>
        <w:tc>
          <w:tcPr>
            <w:tcW w:w="1732" w:type="dxa"/>
            <w:tcBorders>
              <w:tl2br w:val="nil"/>
              <w:tr2bl w:val="nil"/>
            </w:tcBorders>
            <w:noWrap w:val="0"/>
            <w:vAlign w:val="center"/>
          </w:tcPr>
          <w:p w14:paraId="297E6FD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w:t>
            </w:r>
          </w:p>
        </w:tc>
        <w:tc>
          <w:tcPr>
            <w:tcW w:w="1733" w:type="dxa"/>
            <w:tcBorders>
              <w:tl2br w:val="nil"/>
              <w:tr2bl w:val="nil"/>
            </w:tcBorders>
            <w:noWrap w:val="0"/>
            <w:vAlign w:val="center"/>
          </w:tcPr>
          <w:p w14:paraId="488A55D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bidi="zh-CN"/>
                <w14:textFill>
                  <w14:solidFill>
                    <w14:schemeClr w14:val="tx1"/>
                  </w14:solidFill>
                </w14:textFill>
              </w:rPr>
              <w:t>16.5</w:t>
            </w:r>
          </w:p>
        </w:tc>
        <w:tc>
          <w:tcPr>
            <w:tcW w:w="1349" w:type="dxa"/>
            <w:tcBorders>
              <w:tl2br w:val="nil"/>
              <w:tr2bl w:val="nil"/>
            </w:tcBorders>
            <w:noWrap w:val="0"/>
            <w:vAlign w:val="center"/>
          </w:tcPr>
          <w:p w14:paraId="39B3936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w:t>
            </w:r>
          </w:p>
        </w:tc>
      </w:tr>
      <w:tr w14:paraId="45EF3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94" w:type="dxa"/>
            <w:tcBorders>
              <w:tl2br w:val="nil"/>
              <w:tr2bl w:val="nil"/>
            </w:tcBorders>
            <w:noWrap w:val="0"/>
            <w:vAlign w:val="center"/>
          </w:tcPr>
          <w:p w14:paraId="22EFCC5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4</w:t>
            </w:r>
          </w:p>
        </w:tc>
        <w:tc>
          <w:tcPr>
            <w:tcW w:w="2270" w:type="dxa"/>
            <w:tcBorders>
              <w:tl2br w:val="nil"/>
              <w:tr2bl w:val="nil"/>
            </w:tcBorders>
            <w:noWrap w:val="0"/>
            <w:vAlign w:val="center"/>
          </w:tcPr>
          <w:p w14:paraId="4D0D4C0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年平均相对湿度</w:t>
            </w:r>
          </w:p>
        </w:tc>
        <w:tc>
          <w:tcPr>
            <w:tcW w:w="1732" w:type="dxa"/>
            <w:tcBorders>
              <w:tl2br w:val="nil"/>
              <w:tr2bl w:val="nil"/>
            </w:tcBorders>
            <w:noWrap w:val="0"/>
            <w:vAlign w:val="center"/>
          </w:tcPr>
          <w:p w14:paraId="49790E6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w:t>
            </w:r>
          </w:p>
        </w:tc>
        <w:tc>
          <w:tcPr>
            <w:tcW w:w="1733" w:type="dxa"/>
            <w:tcBorders>
              <w:tl2br w:val="nil"/>
              <w:tr2bl w:val="nil"/>
            </w:tcBorders>
            <w:noWrap w:val="0"/>
            <w:vAlign w:val="center"/>
          </w:tcPr>
          <w:p w14:paraId="12F68DC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bidi="zh-CN"/>
                <w14:textFill>
                  <w14:solidFill>
                    <w14:schemeClr w14:val="tx1"/>
                  </w14:solidFill>
                </w14:textFill>
              </w:rPr>
              <w:t>70</w:t>
            </w:r>
          </w:p>
        </w:tc>
        <w:tc>
          <w:tcPr>
            <w:tcW w:w="1349" w:type="dxa"/>
            <w:tcBorders>
              <w:tl2br w:val="nil"/>
              <w:tr2bl w:val="nil"/>
            </w:tcBorders>
            <w:noWrap w:val="0"/>
            <w:vAlign w:val="center"/>
          </w:tcPr>
          <w:p w14:paraId="29A0CC0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w:t>
            </w:r>
          </w:p>
        </w:tc>
      </w:tr>
      <w:tr w14:paraId="5DC76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194" w:type="dxa"/>
            <w:tcBorders>
              <w:tl2br w:val="nil"/>
              <w:tr2bl w:val="nil"/>
            </w:tcBorders>
            <w:noWrap w:val="0"/>
            <w:vAlign w:val="center"/>
          </w:tcPr>
          <w:p w14:paraId="185BE71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5</w:t>
            </w:r>
          </w:p>
        </w:tc>
        <w:tc>
          <w:tcPr>
            <w:tcW w:w="2270" w:type="dxa"/>
            <w:tcBorders>
              <w:tl2br w:val="nil"/>
              <w:tr2bl w:val="nil"/>
            </w:tcBorders>
            <w:noWrap w:val="0"/>
            <w:vAlign w:val="center"/>
          </w:tcPr>
          <w:p w14:paraId="46640CB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大气压强</w:t>
            </w:r>
          </w:p>
        </w:tc>
        <w:tc>
          <w:tcPr>
            <w:tcW w:w="1732" w:type="dxa"/>
            <w:tcBorders>
              <w:tl2br w:val="nil"/>
              <w:tr2bl w:val="nil"/>
            </w:tcBorders>
            <w:noWrap w:val="0"/>
            <w:vAlign w:val="center"/>
          </w:tcPr>
          <w:p w14:paraId="18F18EC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atm</w:t>
            </w:r>
          </w:p>
        </w:tc>
        <w:tc>
          <w:tcPr>
            <w:tcW w:w="1733" w:type="dxa"/>
            <w:tcBorders>
              <w:tl2br w:val="nil"/>
              <w:tr2bl w:val="nil"/>
            </w:tcBorders>
            <w:noWrap w:val="0"/>
            <w:vAlign w:val="center"/>
          </w:tcPr>
          <w:p w14:paraId="6CB5D72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1</w:t>
            </w:r>
          </w:p>
        </w:tc>
        <w:tc>
          <w:tcPr>
            <w:tcW w:w="1349" w:type="dxa"/>
            <w:tcBorders>
              <w:tl2br w:val="nil"/>
              <w:tr2bl w:val="nil"/>
            </w:tcBorders>
            <w:noWrap w:val="0"/>
            <w:vAlign w:val="center"/>
          </w:tcPr>
          <w:p w14:paraId="7EE175F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zh-CN" w:bidi="zh-CN"/>
                <w14:textFill>
                  <w14:solidFill>
                    <w14:schemeClr w14:val="tx1"/>
                  </w14:solidFill>
                </w14:textFill>
              </w:rPr>
              <w:t>/</w:t>
            </w:r>
          </w:p>
        </w:tc>
      </w:tr>
    </w:tbl>
    <w:p w14:paraId="7717025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u w:val="none" w:color="auto"/>
          <w:lang w:val="en-US" w:eastAsia="zh-CN" w:bidi="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bidi="zh-CN"/>
          <w14:textFill>
            <w14:solidFill>
              <w14:schemeClr w14:val="tx1"/>
            </w14:solidFill>
          </w14:textFill>
        </w:rPr>
        <w:t>声源和预测点间的地形、高差、障碍物、树林、灌木等的分布情况以及地面覆盖情况（如草地、水面、水泥地面、土质地面等）根据现场踏勘、项目总平图等，并结合卫星图片地理信息数据确定，数据精度为10m。</w:t>
      </w:r>
    </w:p>
    <w:p w14:paraId="6E4AC923">
      <w:pPr>
        <w:autoSpaceDE/>
        <w:autoSpaceDN/>
        <w:adjustRightInd w:val="0"/>
        <w:snapToGrid w:val="0"/>
        <w:spacing w:line="240" w:lineRule="auto"/>
        <w:ind w:firstLine="0" w:firstLineChars="0"/>
        <w:jc w:val="center"/>
        <w:outlineLvl w:val="9"/>
        <w:rPr>
          <w:rFonts w:hint="default" w:ascii="Times New Roman" w:hAnsi="Times New Roman" w:eastAsia="宋体" w:cs="Times New Roman"/>
          <w:b/>
          <w:color w:val="auto"/>
          <w:sz w:val="24"/>
          <w:szCs w:val="22"/>
          <w:highlight w:val="none"/>
          <w:u w:val="none" w:color="auto"/>
          <w:lang w:val="en-US" w:eastAsia="zh-CN" w:bidi="zh-CN"/>
        </w:rPr>
      </w:pPr>
      <w:r>
        <w:rPr>
          <w:rFonts w:hint="default" w:ascii="Times New Roman" w:hAnsi="Times New Roman" w:eastAsia="宋体" w:cs="Times New Roman"/>
          <w:b/>
          <w:color w:val="auto"/>
          <w:sz w:val="24"/>
          <w:szCs w:val="22"/>
          <w:highlight w:val="none"/>
          <w:u w:val="none" w:color="auto"/>
          <w:lang w:val="en-US" w:eastAsia="zh-CN" w:bidi="zh-CN"/>
        </w:rPr>
        <w:t>表5.2-</w:t>
      </w:r>
      <w:r>
        <w:rPr>
          <w:rFonts w:hint="default" w:ascii="Times New Roman" w:hAnsi="Times New Roman" w:cs="Times New Roman"/>
          <w:b/>
          <w:color w:val="auto"/>
          <w:sz w:val="24"/>
          <w:szCs w:val="22"/>
          <w:highlight w:val="none"/>
          <w:u w:val="none" w:color="auto"/>
          <w:lang w:val="en-US" w:eastAsia="zh-CN" w:bidi="zh-CN"/>
        </w:rPr>
        <w:t>21</w:t>
      </w:r>
      <w:r>
        <w:rPr>
          <w:rFonts w:hint="default" w:ascii="Times New Roman" w:hAnsi="Times New Roman" w:eastAsia="宋体" w:cs="Times New Roman"/>
          <w:b/>
          <w:color w:val="auto"/>
          <w:sz w:val="24"/>
          <w:szCs w:val="22"/>
          <w:highlight w:val="none"/>
          <w:u w:val="none" w:color="auto"/>
          <w:lang w:val="en-US" w:eastAsia="zh-CN" w:bidi="zh-CN"/>
        </w:rPr>
        <w:t>本项目噪声源排放特征一览表（室外源）</w:t>
      </w:r>
    </w:p>
    <w:tbl>
      <w:tblPr>
        <w:tblStyle w:val="7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090"/>
        <w:gridCol w:w="367"/>
        <w:gridCol w:w="675"/>
        <w:gridCol w:w="720"/>
        <w:gridCol w:w="615"/>
        <w:gridCol w:w="1290"/>
        <w:gridCol w:w="1380"/>
        <w:gridCol w:w="1185"/>
        <w:gridCol w:w="770"/>
      </w:tblGrid>
      <w:tr w14:paraId="677C9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430" w:type="dxa"/>
            <w:vMerge w:val="restart"/>
            <w:tcBorders>
              <w:tl2br w:val="nil"/>
              <w:tr2bl w:val="nil"/>
            </w:tcBorders>
            <w:vAlign w:val="center"/>
          </w:tcPr>
          <w:p w14:paraId="5684639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b/>
                <w:sz w:val="21"/>
                <w:szCs w:val="21"/>
                <w:lang w:eastAsia="en-US"/>
              </w:rPr>
              <w:t>序号</w:t>
            </w:r>
          </w:p>
        </w:tc>
        <w:tc>
          <w:tcPr>
            <w:tcW w:w="1090" w:type="dxa"/>
            <w:vMerge w:val="restart"/>
            <w:tcBorders>
              <w:tl2br w:val="nil"/>
              <w:tr2bl w:val="nil"/>
            </w:tcBorders>
            <w:vAlign w:val="center"/>
          </w:tcPr>
          <w:p w14:paraId="271AFFD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b/>
                <w:sz w:val="21"/>
                <w:szCs w:val="21"/>
                <w:lang w:eastAsia="en-US"/>
              </w:rPr>
              <w:t>声源名称</w:t>
            </w:r>
          </w:p>
        </w:tc>
        <w:tc>
          <w:tcPr>
            <w:tcW w:w="367" w:type="dxa"/>
            <w:vMerge w:val="restart"/>
            <w:tcBorders>
              <w:tl2br w:val="nil"/>
              <w:tr2bl w:val="nil"/>
            </w:tcBorders>
            <w:vAlign w:val="center"/>
          </w:tcPr>
          <w:p w14:paraId="2E54E6B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b/>
                <w:sz w:val="21"/>
                <w:szCs w:val="21"/>
                <w:lang w:eastAsia="en-US"/>
              </w:rPr>
              <w:t>型号</w:t>
            </w:r>
          </w:p>
        </w:tc>
        <w:tc>
          <w:tcPr>
            <w:tcW w:w="2010" w:type="dxa"/>
            <w:gridSpan w:val="3"/>
            <w:tcBorders>
              <w:tl2br w:val="nil"/>
              <w:tr2bl w:val="nil"/>
            </w:tcBorders>
            <w:vAlign w:val="center"/>
          </w:tcPr>
          <w:p w14:paraId="798175F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b/>
                <w:sz w:val="21"/>
                <w:szCs w:val="21"/>
                <w:lang w:eastAsia="en-US"/>
              </w:rPr>
              <w:t>空间相对位置/m</w:t>
            </w:r>
          </w:p>
        </w:tc>
        <w:tc>
          <w:tcPr>
            <w:tcW w:w="2670" w:type="dxa"/>
            <w:gridSpan w:val="2"/>
            <w:tcBorders>
              <w:tl2br w:val="nil"/>
              <w:tr2bl w:val="nil"/>
            </w:tcBorders>
            <w:vAlign w:val="center"/>
          </w:tcPr>
          <w:p w14:paraId="106038A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sz w:val="21"/>
                <w:szCs w:val="21"/>
                <w:lang w:eastAsia="zh-CN"/>
              </w:rPr>
              <w:t>声源源强（任选一种）</w:t>
            </w:r>
          </w:p>
        </w:tc>
        <w:tc>
          <w:tcPr>
            <w:tcW w:w="1185" w:type="dxa"/>
            <w:vMerge w:val="restart"/>
            <w:tcBorders>
              <w:tl2br w:val="nil"/>
              <w:tr2bl w:val="nil"/>
            </w:tcBorders>
            <w:vAlign w:val="center"/>
          </w:tcPr>
          <w:p w14:paraId="7AE39B7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b/>
                <w:sz w:val="21"/>
                <w:szCs w:val="21"/>
                <w:lang w:eastAsia="en-US"/>
              </w:rPr>
              <w:t>声源控制措施</w:t>
            </w:r>
          </w:p>
        </w:tc>
        <w:tc>
          <w:tcPr>
            <w:tcW w:w="770" w:type="dxa"/>
            <w:vMerge w:val="restart"/>
            <w:tcBorders>
              <w:tl2br w:val="nil"/>
              <w:tr2bl w:val="nil"/>
            </w:tcBorders>
            <w:vAlign w:val="center"/>
          </w:tcPr>
          <w:p w14:paraId="4A68E31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b/>
                <w:sz w:val="21"/>
                <w:szCs w:val="21"/>
                <w:lang w:eastAsia="en-US"/>
              </w:rPr>
              <w:t>运行时段</w:t>
            </w:r>
          </w:p>
        </w:tc>
      </w:tr>
      <w:tr w14:paraId="3F447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0" w:type="dxa"/>
            <w:vMerge w:val="continue"/>
            <w:tcBorders>
              <w:tl2br w:val="nil"/>
              <w:tr2bl w:val="nil"/>
            </w:tcBorders>
            <w:shd w:val="clear" w:color="auto" w:fill="FFFFFF"/>
            <w:vAlign w:val="center"/>
          </w:tcPr>
          <w:p w14:paraId="2DA6302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p>
        </w:tc>
        <w:tc>
          <w:tcPr>
            <w:tcW w:w="1090" w:type="dxa"/>
            <w:vMerge w:val="continue"/>
            <w:tcBorders>
              <w:tl2br w:val="nil"/>
              <w:tr2bl w:val="nil"/>
            </w:tcBorders>
            <w:shd w:val="clear" w:color="auto" w:fill="FFFFFF"/>
            <w:vAlign w:val="center"/>
          </w:tcPr>
          <w:p w14:paraId="54B1874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p>
        </w:tc>
        <w:tc>
          <w:tcPr>
            <w:tcW w:w="367" w:type="dxa"/>
            <w:vMerge w:val="continue"/>
            <w:tcBorders>
              <w:tl2br w:val="nil"/>
              <w:tr2bl w:val="nil"/>
            </w:tcBorders>
            <w:shd w:val="clear" w:color="auto" w:fill="FFFFFF"/>
            <w:vAlign w:val="center"/>
          </w:tcPr>
          <w:p w14:paraId="252E433F">
            <w:pPr>
              <w:keepNext w:val="0"/>
              <w:keepLines w:val="0"/>
              <w:suppressLineNumbers w:val="0"/>
              <w:adjustRightInd/>
              <w:spacing w:before="0" w:beforeAutospacing="0" w:after="0" w:afterAutospacing="0" w:line="240" w:lineRule="auto"/>
              <w:ind w:left="0" w:right="0" w:firstLine="0" w:firstLineChars="0"/>
              <w:jc w:val="both"/>
              <w:rPr>
                <w:rFonts w:hint="default" w:ascii="Times New Roman" w:hAnsi="Times New Roman" w:eastAsia="宋体" w:cs="Times New Roman"/>
                <w:sz w:val="21"/>
                <w:szCs w:val="21"/>
                <w:lang w:eastAsia="en-US"/>
              </w:rPr>
            </w:pPr>
          </w:p>
        </w:tc>
        <w:tc>
          <w:tcPr>
            <w:tcW w:w="675" w:type="dxa"/>
            <w:tcBorders>
              <w:tl2br w:val="nil"/>
              <w:tr2bl w:val="nil"/>
            </w:tcBorders>
            <w:shd w:val="clear" w:color="auto" w:fill="FFFFFF"/>
            <w:vAlign w:val="center"/>
          </w:tcPr>
          <w:p w14:paraId="4B8C34F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X</w:t>
            </w:r>
          </w:p>
        </w:tc>
        <w:tc>
          <w:tcPr>
            <w:tcW w:w="720" w:type="dxa"/>
            <w:tcBorders>
              <w:tl2br w:val="nil"/>
              <w:tr2bl w:val="nil"/>
            </w:tcBorders>
            <w:shd w:val="clear" w:color="auto" w:fill="FFFFFF"/>
            <w:vAlign w:val="center"/>
          </w:tcPr>
          <w:p w14:paraId="36EB7B7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Y</w:t>
            </w:r>
          </w:p>
        </w:tc>
        <w:tc>
          <w:tcPr>
            <w:tcW w:w="615" w:type="dxa"/>
            <w:tcBorders>
              <w:tl2br w:val="nil"/>
              <w:tr2bl w:val="nil"/>
            </w:tcBorders>
            <w:shd w:val="clear" w:color="auto" w:fill="FFFFFF"/>
            <w:vAlign w:val="center"/>
          </w:tcPr>
          <w:p w14:paraId="133F43F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Z</w:t>
            </w:r>
          </w:p>
        </w:tc>
        <w:tc>
          <w:tcPr>
            <w:tcW w:w="1290" w:type="dxa"/>
            <w:tcBorders>
              <w:tl2br w:val="nil"/>
              <w:tr2bl w:val="nil"/>
            </w:tcBorders>
            <w:shd w:val="clear" w:color="auto" w:fill="FFFFFF"/>
            <w:vAlign w:val="center"/>
          </w:tcPr>
          <w:p w14:paraId="3B689B0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（声压级/距声源距离）/（dB(A)/m）</w:t>
            </w:r>
          </w:p>
        </w:tc>
        <w:tc>
          <w:tcPr>
            <w:tcW w:w="1380" w:type="dxa"/>
            <w:tcBorders>
              <w:tl2br w:val="nil"/>
              <w:tr2bl w:val="nil"/>
            </w:tcBorders>
            <w:shd w:val="clear" w:color="auto" w:fill="FFFFFF"/>
            <w:vAlign w:val="center"/>
          </w:tcPr>
          <w:p w14:paraId="499AAAE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声功率级/dB(A)</w:t>
            </w:r>
          </w:p>
        </w:tc>
        <w:tc>
          <w:tcPr>
            <w:tcW w:w="1185" w:type="dxa"/>
            <w:vMerge w:val="continue"/>
            <w:tcBorders>
              <w:tl2br w:val="nil"/>
              <w:tr2bl w:val="nil"/>
            </w:tcBorders>
            <w:shd w:val="clear" w:color="auto" w:fill="FFFFFF"/>
            <w:vAlign w:val="center"/>
          </w:tcPr>
          <w:p w14:paraId="704FD73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p>
        </w:tc>
        <w:tc>
          <w:tcPr>
            <w:tcW w:w="770" w:type="dxa"/>
            <w:vMerge w:val="continue"/>
            <w:tcBorders>
              <w:tl2br w:val="nil"/>
              <w:tr2bl w:val="nil"/>
            </w:tcBorders>
            <w:shd w:val="clear" w:color="auto" w:fill="FFFFFF"/>
            <w:vAlign w:val="center"/>
          </w:tcPr>
          <w:p w14:paraId="729769C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eastAsia="en-US"/>
              </w:rPr>
            </w:pPr>
          </w:p>
        </w:tc>
      </w:tr>
      <w:tr w14:paraId="1FE61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02" w:hRule="exact"/>
          <w:jc w:val="center"/>
        </w:trPr>
        <w:tc>
          <w:tcPr>
            <w:tcW w:w="430" w:type="dxa"/>
            <w:tcBorders>
              <w:tl2br w:val="nil"/>
              <w:tr2bl w:val="nil"/>
            </w:tcBorders>
            <w:shd w:val="clear" w:color="auto" w:fill="FFFFFF"/>
            <w:vAlign w:val="center"/>
          </w:tcPr>
          <w:p w14:paraId="6321D05A">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1</w:t>
            </w:r>
          </w:p>
        </w:tc>
        <w:tc>
          <w:tcPr>
            <w:tcW w:w="1090" w:type="dxa"/>
            <w:tcBorders>
              <w:tl2br w:val="nil"/>
              <w:tr2bl w:val="nil"/>
            </w:tcBorders>
            <w:shd w:val="clear" w:color="auto" w:fill="FFFFFF"/>
            <w:vAlign w:val="center"/>
          </w:tcPr>
          <w:p w14:paraId="59023254">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轴流风机2台叠加</w:t>
            </w:r>
          </w:p>
        </w:tc>
        <w:tc>
          <w:tcPr>
            <w:tcW w:w="367" w:type="dxa"/>
            <w:tcBorders>
              <w:tl2br w:val="nil"/>
              <w:tr2bl w:val="nil"/>
            </w:tcBorders>
            <w:shd w:val="clear" w:color="auto" w:fill="FFFFFF"/>
            <w:vAlign w:val="center"/>
          </w:tcPr>
          <w:p w14:paraId="0B535F24">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675" w:type="dxa"/>
            <w:tcBorders>
              <w:tl2br w:val="nil"/>
              <w:tr2bl w:val="nil"/>
            </w:tcBorders>
            <w:shd w:val="clear" w:color="auto" w:fill="FFFFFF"/>
            <w:vAlign w:val="center"/>
          </w:tcPr>
          <w:p w14:paraId="70CB6C50">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48.3</w:t>
            </w:r>
          </w:p>
        </w:tc>
        <w:tc>
          <w:tcPr>
            <w:tcW w:w="720" w:type="dxa"/>
            <w:tcBorders>
              <w:tl2br w:val="nil"/>
              <w:tr2bl w:val="nil"/>
            </w:tcBorders>
            <w:shd w:val="clear" w:color="auto" w:fill="FFFFFF"/>
            <w:vAlign w:val="center"/>
          </w:tcPr>
          <w:p w14:paraId="53FA5FF5">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15.3</w:t>
            </w:r>
          </w:p>
        </w:tc>
        <w:tc>
          <w:tcPr>
            <w:tcW w:w="615" w:type="dxa"/>
            <w:tcBorders>
              <w:tl2br w:val="nil"/>
              <w:tr2bl w:val="nil"/>
            </w:tcBorders>
            <w:shd w:val="clear" w:color="auto" w:fill="FFFFFF"/>
            <w:vAlign w:val="center"/>
          </w:tcPr>
          <w:p w14:paraId="03A1DC92">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0.5</w:t>
            </w:r>
          </w:p>
        </w:tc>
        <w:tc>
          <w:tcPr>
            <w:tcW w:w="1290" w:type="dxa"/>
            <w:tcBorders>
              <w:tl2br w:val="nil"/>
              <w:tr2bl w:val="nil"/>
            </w:tcBorders>
            <w:shd w:val="clear" w:color="auto" w:fill="FFFFFF"/>
            <w:vAlign w:val="center"/>
          </w:tcPr>
          <w:p w14:paraId="164FF884">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1380" w:type="dxa"/>
            <w:tcBorders>
              <w:tl2br w:val="nil"/>
              <w:tr2bl w:val="nil"/>
            </w:tcBorders>
            <w:shd w:val="clear" w:color="auto" w:fill="FFFFFF"/>
            <w:vAlign w:val="center"/>
          </w:tcPr>
          <w:p w14:paraId="2CF2A67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83</w:t>
            </w:r>
          </w:p>
        </w:tc>
        <w:tc>
          <w:tcPr>
            <w:tcW w:w="1185" w:type="dxa"/>
            <w:tcBorders>
              <w:tl2br w:val="nil"/>
              <w:tr2bl w:val="nil"/>
            </w:tcBorders>
            <w:shd w:val="clear" w:color="auto" w:fill="FFFFFF"/>
            <w:vAlign w:val="center"/>
          </w:tcPr>
          <w:p w14:paraId="6018565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基础减震</w:t>
            </w:r>
          </w:p>
        </w:tc>
        <w:tc>
          <w:tcPr>
            <w:tcW w:w="770" w:type="dxa"/>
            <w:tcBorders>
              <w:tl2br w:val="nil"/>
              <w:tr2bl w:val="nil"/>
            </w:tcBorders>
            <w:shd w:val="clear" w:color="auto" w:fill="FFFFFF"/>
            <w:vAlign w:val="center"/>
          </w:tcPr>
          <w:p w14:paraId="5A2A72D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24.0</w:t>
            </w:r>
          </w:p>
        </w:tc>
      </w:tr>
      <w:tr w14:paraId="7BB2A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34" w:hRule="exact"/>
          <w:jc w:val="center"/>
        </w:trPr>
        <w:tc>
          <w:tcPr>
            <w:tcW w:w="430" w:type="dxa"/>
            <w:tcBorders>
              <w:tl2br w:val="nil"/>
              <w:tr2bl w:val="nil"/>
            </w:tcBorders>
            <w:shd w:val="clear" w:color="auto" w:fill="FFFFFF"/>
            <w:vAlign w:val="center"/>
          </w:tcPr>
          <w:p w14:paraId="4573B9A1">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2</w:t>
            </w:r>
          </w:p>
        </w:tc>
        <w:tc>
          <w:tcPr>
            <w:tcW w:w="1090" w:type="dxa"/>
            <w:tcBorders>
              <w:tl2br w:val="nil"/>
              <w:tr2bl w:val="nil"/>
            </w:tcBorders>
            <w:shd w:val="clear" w:color="auto" w:fill="FFFFFF"/>
            <w:vAlign w:val="center"/>
          </w:tcPr>
          <w:p w14:paraId="5106746C">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轴流风机2台叠加</w:t>
            </w:r>
          </w:p>
        </w:tc>
        <w:tc>
          <w:tcPr>
            <w:tcW w:w="367" w:type="dxa"/>
            <w:tcBorders>
              <w:tl2br w:val="nil"/>
              <w:tr2bl w:val="nil"/>
            </w:tcBorders>
            <w:shd w:val="clear" w:color="auto" w:fill="FFFFFF"/>
            <w:vAlign w:val="center"/>
          </w:tcPr>
          <w:p w14:paraId="5D8ABF63">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675" w:type="dxa"/>
            <w:tcBorders>
              <w:tl2br w:val="nil"/>
              <w:tr2bl w:val="nil"/>
            </w:tcBorders>
            <w:shd w:val="clear" w:color="auto" w:fill="FFFFFF"/>
            <w:vAlign w:val="center"/>
          </w:tcPr>
          <w:p w14:paraId="7133138E">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48.3</w:t>
            </w:r>
          </w:p>
        </w:tc>
        <w:tc>
          <w:tcPr>
            <w:tcW w:w="720" w:type="dxa"/>
            <w:tcBorders>
              <w:tl2br w:val="nil"/>
              <w:tr2bl w:val="nil"/>
            </w:tcBorders>
            <w:shd w:val="clear" w:color="auto" w:fill="FFFFFF"/>
            <w:vAlign w:val="center"/>
          </w:tcPr>
          <w:p w14:paraId="08BE63D8">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4.7</w:t>
            </w:r>
          </w:p>
        </w:tc>
        <w:tc>
          <w:tcPr>
            <w:tcW w:w="615" w:type="dxa"/>
            <w:tcBorders>
              <w:tl2br w:val="nil"/>
              <w:tr2bl w:val="nil"/>
            </w:tcBorders>
            <w:shd w:val="clear" w:color="auto" w:fill="FFFFFF"/>
            <w:vAlign w:val="center"/>
          </w:tcPr>
          <w:p w14:paraId="0170E2A6">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0.5</w:t>
            </w:r>
          </w:p>
        </w:tc>
        <w:tc>
          <w:tcPr>
            <w:tcW w:w="1290" w:type="dxa"/>
            <w:tcBorders>
              <w:tl2br w:val="nil"/>
              <w:tr2bl w:val="nil"/>
            </w:tcBorders>
            <w:shd w:val="clear" w:color="auto" w:fill="FFFFFF"/>
            <w:vAlign w:val="center"/>
          </w:tcPr>
          <w:p w14:paraId="3559DE8E">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1380" w:type="dxa"/>
            <w:tcBorders>
              <w:tl2br w:val="nil"/>
              <w:tr2bl w:val="nil"/>
            </w:tcBorders>
            <w:shd w:val="clear" w:color="auto" w:fill="FFFFFF"/>
            <w:vAlign w:val="center"/>
          </w:tcPr>
          <w:p w14:paraId="38B93ED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83</w:t>
            </w:r>
          </w:p>
        </w:tc>
        <w:tc>
          <w:tcPr>
            <w:tcW w:w="1185" w:type="dxa"/>
            <w:tcBorders>
              <w:tl2br w:val="nil"/>
              <w:tr2bl w:val="nil"/>
            </w:tcBorders>
            <w:shd w:val="clear" w:color="auto" w:fill="FFFFFF"/>
            <w:vAlign w:val="center"/>
          </w:tcPr>
          <w:p w14:paraId="1F933D7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基础减震</w:t>
            </w:r>
          </w:p>
        </w:tc>
        <w:tc>
          <w:tcPr>
            <w:tcW w:w="770" w:type="dxa"/>
            <w:tcBorders>
              <w:tl2br w:val="nil"/>
              <w:tr2bl w:val="nil"/>
            </w:tcBorders>
            <w:shd w:val="clear" w:color="auto" w:fill="FFFFFF"/>
            <w:vAlign w:val="center"/>
          </w:tcPr>
          <w:p w14:paraId="47752B8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24.0</w:t>
            </w:r>
          </w:p>
        </w:tc>
      </w:tr>
      <w:tr w14:paraId="7FE76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9" w:hRule="exact"/>
          <w:jc w:val="center"/>
        </w:trPr>
        <w:tc>
          <w:tcPr>
            <w:tcW w:w="430" w:type="dxa"/>
            <w:tcBorders>
              <w:tl2br w:val="nil"/>
              <w:tr2bl w:val="nil"/>
            </w:tcBorders>
            <w:shd w:val="clear" w:color="auto" w:fill="FFFFFF"/>
            <w:vAlign w:val="center"/>
          </w:tcPr>
          <w:p w14:paraId="22E32934">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3</w:t>
            </w:r>
          </w:p>
        </w:tc>
        <w:tc>
          <w:tcPr>
            <w:tcW w:w="1090" w:type="dxa"/>
            <w:tcBorders>
              <w:tl2br w:val="nil"/>
              <w:tr2bl w:val="nil"/>
            </w:tcBorders>
            <w:shd w:val="clear" w:color="auto" w:fill="FFFFFF"/>
            <w:vAlign w:val="center"/>
          </w:tcPr>
          <w:p w14:paraId="40BB72EF">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螺杆鼓风机2台叠加</w:t>
            </w:r>
          </w:p>
        </w:tc>
        <w:tc>
          <w:tcPr>
            <w:tcW w:w="367" w:type="dxa"/>
            <w:tcBorders>
              <w:tl2br w:val="nil"/>
              <w:tr2bl w:val="nil"/>
            </w:tcBorders>
            <w:shd w:val="clear" w:color="auto" w:fill="FFFFFF"/>
            <w:vAlign w:val="center"/>
          </w:tcPr>
          <w:p w14:paraId="2698A070">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675" w:type="dxa"/>
            <w:tcBorders>
              <w:tl2br w:val="nil"/>
              <w:tr2bl w:val="nil"/>
            </w:tcBorders>
            <w:shd w:val="clear" w:color="auto" w:fill="FFFFFF"/>
            <w:vAlign w:val="center"/>
          </w:tcPr>
          <w:p w14:paraId="33B3744F">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48.3</w:t>
            </w:r>
          </w:p>
        </w:tc>
        <w:tc>
          <w:tcPr>
            <w:tcW w:w="720" w:type="dxa"/>
            <w:tcBorders>
              <w:tl2br w:val="nil"/>
              <w:tr2bl w:val="nil"/>
            </w:tcBorders>
            <w:shd w:val="clear" w:color="auto" w:fill="FFFFFF"/>
            <w:vAlign w:val="center"/>
          </w:tcPr>
          <w:p w14:paraId="3A6D62CD">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14.6</w:t>
            </w:r>
          </w:p>
        </w:tc>
        <w:tc>
          <w:tcPr>
            <w:tcW w:w="615" w:type="dxa"/>
            <w:tcBorders>
              <w:tl2br w:val="nil"/>
              <w:tr2bl w:val="nil"/>
            </w:tcBorders>
            <w:shd w:val="clear" w:color="auto" w:fill="FFFFFF"/>
            <w:vAlign w:val="center"/>
          </w:tcPr>
          <w:p w14:paraId="4943F625">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0.5</w:t>
            </w:r>
          </w:p>
        </w:tc>
        <w:tc>
          <w:tcPr>
            <w:tcW w:w="1290" w:type="dxa"/>
            <w:tcBorders>
              <w:tl2br w:val="nil"/>
              <w:tr2bl w:val="nil"/>
            </w:tcBorders>
            <w:shd w:val="clear" w:color="auto" w:fill="FFFFFF"/>
            <w:vAlign w:val="center"/>
          </w:tcPr>
          <w:p w14:paraId="06199140">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1380" w:type="dxa"/>
            <w:tcBorders>
              <w:tl2br w:val="nil"/>
              <w:tr2bl w:val="nil"/>
            </w:tcBorders>
            <w:shd w:val="clear" w:color="auto" w:fill="FFFFFF"/>
            <w:vAlign w:val="center"/>
          </w:tcPr>
          <w:p w14:paraId="4E7F84F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83</w:t>
            </w:r>
          </w:p>
        </w:tc>
        <w:tc>
          <w:tcPr>
            <w:tcW w:w="1185" w:type="dxa"/>
            <w:tcBorders>
              <w:tl2br w:val="nil"/>
              <w:tr2bl w:val="nil"/>
            </w:tcBorders>
            <w:shd w:val="clear" w:color="auto" w:fill="FFFFFF"/>
            <w:vAlign w:val="center"/>
          </w:tcPr>
          <w:p w14:paraId="36EF446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基础减震</w:t>
            </w:r>
          </w:p>
        </w:tc>
        <w:tc>
          <w:tcPr>
            <w:tcW w:w="770" w:type="dxa"/>
            <w:tcBorders>
              <w:tl2br w:val="nil"/>
              <w:tr2bl w:val="nil"/>
            </w:tcBorders>
            <w:shd w:val="clear" w:color="auto" w:fill="FFFFFF"/>
            <w:vAlign w:val="center"/>
          </w:tcPr>
          <w:p w14:paraId="3A3AF17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24.0</w:t>
            </w:r>
          </w:p>
        </w:tc>
      </w:tr>
      <w:tr w14:paraId="72E7D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9" w:hRule="exact"/>
          <w:jc w:val="center"/>
        </w:trPr>
        <w:tc>
          <w:tcPr>
            <w:tcW w:w="430" w:type="dxa"/>
            <w:tcBorders>
              <w:tl2br w:val="nil"/>
              <w:tr2bl w:val="nil"/>
            </w:tcBorders>
            <w:shd w:val="clear" w:color="auto" w:fill="FFFFFF"/>
            <w:vAlign w:val="center"/>
          </w:tcPr>
          <w:p w14:paraId="5567C553">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4</w:t>
            </w:r>
          </w:p>
        </w:tc>
        <w:tc>
          <w:tcPr>
            <w:tcW w:w="1090" w:type="dxa"/>
            <w:tcBorders>
              <w:tl2br w:val="nil"/>
              <w:tr2bl w:val="nil"/>
            </w:tcBorders>
            <w:shd w:val="clear" w:color="auto" w:fill="FFFFFF"/>
            <w:vAlign w:val="center"/>
          </w:tcPr>
          <w:p w14:paraId="51E105B9">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螺杆鼓风机2台叠加</w:t>
            </w:r>
          </w:p>
        </w:tc>
        <w:tc>
          <w:tcPr>
            <w:tcW w:w="367" w:type="dxa"/>
            <w:tcBorders>
              <w:tl2br w:val="nil"/>
              <w:tr2bl w:val="nil"/>
            </w:tcBorders>
            <w:shd w:val="clear" w:color="auto" w:fill="FFFFFF"/>
            <w:vAlign w:val="center"/>
          </w:tcPr>
          <w:p w14:paraId="0A701E59">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675" w:type="dxa"/>
            <w:tcBorders>
              <w:tl2br w:val="nil"/>
              <w:tr2bl w:val="nil"/>
            </w:tcBorders>
            <w:shd w:val="clear" w:color="auto" w:fill="FFFFFF"/>
            <w:vAlign w:val="center"/>
          </w:tcPr>
          <w:p w14:paraId="16C04112">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48.3</w:t>
            </w:r>
          </w:p>
        </w:tc>
        <w:tc>
          <w:tcPr>
            <w:tcW w:w="720" w:type="dxa"/>
            <w:tcBorders>
              <w:tl2br w:val="nil"/>
              <w:tr2bl w:val="nil"/>
            </w:tcBorders>
            <w:shd w:val="clear" w:color="auto" w:fill="FFFFFF"/>
            <w:vAlign w:val="center"/>
          </w:tcPr>
          <w:p w14:paraId="38DF1ECC">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5.5</w:t>
            </w:r>
          </w:p>
        </w:tc>
        <w:tc>
          <w:tcPr>
            <w:tcW w:w="615" w:type="dxa"/>
            <w:tcBorders>
              <w:tl2br w:val="nil"/>
              <w:tr2bl w:val="nil"/>
            </w:tcBorders>
            <w:shd w:val="clear" w:color="auto" w:fill="FFFFFF"/>
            <w:vAlign w:val="center"/>
          </w:tcPr>
          <w:p w14:paraId="355E837F">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0.5</w:t>
            </w:r>
          </w:p>
        </w:tc>
        <w:tc>
          <w:tcPr>
            <w:tcW w:w="1290" w:type="dxa"/>
            <w:tcBorders>
              <w:tl2br w:val="nil"/>
              <w:tr2bl w:val="nil"/>
            </w:tcBorders>
            <w:shd w:val="clear" w:color="auto" w:fill="FFFFFF"/>
            <w:vAlign w:val="center"/>
          </w:tcPr>
          <w:p w14:paraId="7216B93E">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1380" w:type="dxa"/>
            <w:tcBorders>
              <w:tl2br w:val="nil"/>
              <w:tr2bl w:val="nil"/>
            </w:tcBorders>
            <w:shd w:val="clear" w:color="auto" w:fill="FFFFFF"/>
            <w:vAlign w:val="center"/>
          </w:tcPr>
          <w:p w14:paraId="63FDA25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83</w:t>
            </w:r>
          </w:p>
        </w:tc>
        <w:tc>
          <w:tcPr>
            <w:tcW w:w="1185" w:type="dxa"/>
            <w:tcBorders>
              <w:tl2br w:val="nil"/>
              <w:tr2bl w:val="nil"/>
            </w:tcBorders>
            <w:shd w:val="clear" w:color="auto" w:fill="FFFFFF"/>
            <w:vAlign w:val="center"/>
          </w:tcPr>
          <w:p w14:paraId="17EC236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基础减震</w:t>
            </w:r>
          </w:p>
        </w:tc>
        <w:tc>
          <w:tcPr>
            <w:tcW w:w="770" w:type="dxa"/>
            <w:tcBorders>
              <w:tl2br w:val="nil"/>
              <w:tr2bl w:val="nil"/>
            </w:tcBorders>
            <w:shd w:val="clear" w:color="auto" w:fill="FFFFFF"/>
            <w:vAlign w:val="center"/>
          </w:tcPr>
          <w:p w14:paraId="346CEB6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24.0</w:t>
            </w:r>
          </w:p>
        </w:tc>
      </w:tr>
      <w:tr w14:paraId="2D608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72" w:hRule="exact"/>
          <w:jc w:val="center"/>
        </w:trPr>
        <w:tc>
          <w:tcPr>
            <w:tcW w:w="430" w:type="dxa"/>
            <w:tcBorders>
              <w:tl2br w:val="nil"/>
              <w:tr2bl w:val="nil"/>
            </w:tcBorders>
            <w:shd w:val="clear" w:color="auto" w:fill="FFFFFF"/>
            <w:vAlign w:val="center"/>
          </w:tcPr>
          <w:p w14:paraId="0C8D393B">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5</w:t>
            </w:r>
          </w:p>
        </w:tc>
        <w:tc>
          <w:tcPr>
            <w:tcW w:w="1090" w:type="dxa"/>
            <w:tcBorders>
              <w:tl2br w:val="nil"/>
              <w:tr2bl w:val="nil"/>
            </w:tcBorders>
            <w:shd w:val="clear" w:color="auto" w:fill="FFFFFF"/>
            <w:vAlign w:val="center"/>
          </w:tcPr>
          <w:p w14:paraId="7E7B12E7">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轴流风机4台叠加</w:t>
            </w:r>
          </w:p>
        </w:tc>
        <w:tc>
          <w:tcPr>
            <w:tcW w:w="367" w:type="dxa"/>
            <w:tcBorders>
              <w:tl2br w:val="nil"/>
              <w:tr2bl w:val="nil"/>
            </w:tcBorders>
            <w:shd w:val="clear" w:color="auto" w:fill="FFFFFF"/>
            <w:vAlign w:val="center"/>
          </w:tcPr>
          <w:p w14:paraId="1932D213">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675" w:type="dxa"/>
            <w:tcBorders>
              <w:tl2br w:val="nil"/>
              <w:tr2bl w:val="nil"/>
            </w:tcBorders>
            <w:shd w:val="clear" w:color="auto" w:fill="FFFFFF"/>
            <w:vAlign w:val="center"/>
          </w:tcPr>
          <w:p w14:paraId="3EFFE4A1">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-1.1</w:t>
            </w:r>
          </w:p>
        </w:tc>
        <w:tc>
          <w:tcPr>
            <w:tcW w:w="720" w:type="dxa"/>
            <w:tcBorders>
              <w:tl2br w:val="nil"/>
              <w:tr2bl w:val="nil"/>
            </w:tcBorders>
            <w:shd w:val="clear" w:color="auto" w:fill="FFFFFF"/>
            <w:vAlign w:val="center"/>
          </w:tcPr>
          <w:p w14:paraId="3A17F20F">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-21.4</w:t>
            </w:r>
          </w:p>
        </w:tc>
        <w:tc>
          <w:tcPr>
            <w:tcW w:w="615" w:type="dxa"/>
            <w:tcBorders>
              <w:tl2br w:val="nil"/>
              <w:tr2bl w:val="nil"/>
            </w:tcBorders>
            <w:shd w:val="clear" w:color="auto" w:fill="FFFFFF"/>
            <w:vAlign w:val="center"/>
          </w:tcPr>
          <w:p w14:paraId="38956351">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0.5</w:t>
            </w:r>
          </w:p>
        </w:tc>
        <w:tc>
          <w:tcPr>
            <w:tcW w:w="1290" w:type="dxa"/>
            <w:tcBorders>
              <w:tl2br w:val="nil"/>
              <w:tr2bl w:val="nil"/>
            </w:tcBorders>
            <w:shd w:val="clear" w:color="auto" w:fill="FFFFFF"/>
            <w:vAlign w:val="center"/>
          </w:tcPr>
          <w:p w14:paraId="13F17560">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1380" w:type="dxa"/>
            <w:tcBorders>
              <w:tl2br w:val="nil"/>
              <w:tr2bl w:val="nil"/>
            </w:tcBorders>
            <w:shd w:val="clear" w:color="auto" w:fill="FFFFFF"/>
            <w:vAlign w:val="center"/>
          </w:tcPr>
          <w:p w14:paraId="60D1C57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86</w:t>
            </w:r>
          </w:p>
        </w:tc>
        <w:tc>
          <w:tcPr>
            <w:tcW w:w="1185" w:type="dxa"/>
            <w:tcBorders>
              <w:tl2br w:val="nil"/>
              <w:tr2bl w:val="nil"/>
            </w:tcBorders>
            <w:shd w:val="clear" w:color="auto" w:fill="FFFFFF"/>
            <w:vAlign w:val="center"/>
          </w:tcPr>
          <w:p w14:paraId="04C9A9C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基础减震</w:t>
            </w:r>
          </w:p>
        </w:tc>
        <w:tc>
          <w:tcPr>
            <w:tcW w:w="770" w:type="dxa"/>
            <w:tcBorders>
              <w:tl2br w:val="nil"/>
              <w:tr2bl w:val="nil"/>
            </w:tcBorders>
            <w:shd w:val="clear" w:color="auto" w:fill="FFFFFF"/>
            <w:vAlign w:val="center"/>
          </w:tcPr>
          <w:p w14:paraId="280810C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24.0</w:t>
            </w:r>
          </w:p>
        </w:tc>
      </w:tr>
      <w:tr w14:paraId="6BF9C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7" w:hRule="exact"/>
          <w:jc w:val="center"/>
        </w:trPr>
        <w:tc>
          <w:tcPr>
            <w:tcW w:w="430" w:type="dxa"/>
            <w:tcBorders>
              <w:tl2br w:val="nil"/>
              <w:tr2bl w:val="nil"/>
            </w:tcBorders>
            <w:shd w:val="clear" w:color="auto" w:fill="FFFFFF"/>
            <w:vAlign w:val="center"/>
          </w:tcPr>
          <w:p w14:paraId="58A588B1">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6</w:t>
            </w:r>
          </w:p>
        </w:tc>
        <w:tc>
          <w:tcPr>
            <w:tcW w:w="1090" w:type="dxa"/>
            <w:tcBorders>
              <w:tl2br w:val="nil"/>
              <w:tr2bl w:val="nil"/>
            </w:tcBorders>
            <w:shd w:val="clear" w:color="auto" w:fill="FFFFFF"/>
            <w:vAlign w:val="center"/>
          </w:tcPr>
          <w:p w14:paraId="0AD2F153">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轴流风机4台叠加</w:t>
            </w:r>
          </w:p>
        </w:tc>
        <w:tc>
          <w:tcPr>
            <w:tcW w:w="367" w:type="dxa"/>
            <w:tcBorders>
              <w:tl2br w:val="nil"/>
              <w:tr2bl w:val="nil"/>
            </w:tcBorders>
            <w:shd w:val="clear" w:color="auto" w:fill="FFFFFF"/>
            <w:vAlign w:val="center"/>
          </w:tcPr>
          <w:p w14:paraId="3F416198">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675" w:type="dxa"/>
            <w:tcBorders>
              <w:tl2br w:val="nil"/>
              <w:tr2bl w:val="nil"/>
            </w:tcBorders>
            <w:shd w:val="clear" w:color="auto" w:fill="FFFFFF"/>
            <w:vAlign w:val="center"/>
          </w:tcPr>
          <w:p w14:paraId="5C9AE6E1">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-1.5</w:t>
            </w:r>
          </w:p>
        </w:tc>
        <w:tc>
          <w:tcPr>
            <w:tcW w:w="720" w:type="dxa"/>
            <w:tcBorders>
              <w:tl2br w:val="nil"/>
              <w:tr2bl w:val="nil"/>
            </w:tcBorders>
            <w:shd w:val="clear" w:color="auto" w:fill="FFFFFF"/>
            <w:vAlign w:val="center"/>
          </w:tcPr>
          <w:p w14:paraId="3563E6A8">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-33.9</w:t>
            </w:r>
          </w:p>
        </w:tc>
        <w:tc>
          <w:tcPr>
            <w:tcW w:w="615" w:type="dxa"/>
            <w:tcBorders>
              <w:tl2br w:val="nil"/>
              <w:tr2bl w:val="nil"/>
            </w:tcBorders>
            <w:shd w:val="clear" w:color="auto" w:fill="FFFFFF"/>
            <w:vAlign w:val="center"/>
          </w:tcPr>
          <w:p w14:paraId="3F8C977F">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0.5</w:t>
            </w:r>
          </w:p>
        </w:tc>
        <w:tc>
          <w:tcPr>
            <w:tcW w:w="1290" w:type="dxa"/>
            <w:tcBorders>
              <w:tl2br w:val="nil"/>
              <w:tr2bl w:val="nil"/>
            </w:tcBorders>
            <w:shd w:val="clear" w:color="auto" w:fill="FFFFFF"/>
            <w:vAlign w:val="center"/>
          </w:tcPr>
          <w:p w14:paraId="103CEAF0">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1380" w:type="dxa"/>
            <w:tcBorders>
              <w:tl2br w:val="nil"/>
              <w:tr2bl w:val="nil"/>
            </w:tcBorders>
            <w:shd w:val="clear" w:color="auto" w:fill="FFFFFF"/>
            <w:vAlign w:val="center"/>
          </w:tcPr>
          <w:p w14:paraId="38CFD40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86</w:t>
            </w:r>
          </w:p>
        </w:tc>
        <w:tc>
          <w:tcPr>
            <w:tcW w:w="1185" w:type="dxa"/>
            <w:tcBorders>
              <w:tl2br w:val="nil"/>
              <w:tr2bl w:val="nil"/>
            </w:tcBorders>
            <w:shd w:val="clear" w:color="auto" w:fill="FFFFFF"/>
            <w:vAlign w:val="center"/>
          </w:tcPr>
          <w:p w14:paraId="7D8E6D2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基础减震</w:t>
            </w:r>
          </w:p>
        </w:tc>
        <w:tc>
          <w:tcPr>
            <w:tcW w:w="770" w:type="dxa"/>
            <w:tcBorders>
              <w:tl2br w:val="nil"/>
              <w:tr2bl w:val="nil"/>
            </w:tcBorders>
            <w:shd w:val="clear" w:color="auto" w:fill="FFFFFF"/>
            <w:vAlign w:val="center"/>
          </w:tcPr>
          <w:p w14:paraId="2B23D14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24.0</w:t>
            </w:r>
          </w:p>
        </w:tc>
      </w:tr>
      <w:tr w14:paraId="36907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42" w:hRule="exact"/>
          <w:jc w:val="center"/>
        </w:trPr>
        <w:tc>
          <w:tcPr>
            <w:tcW w:w="430" w:type="dxa"/>
            <w:tcBorders>
              <w:tl2br w:val="nil"/>
              <w:tr2bl w:val="nil"/>
            </w:tcBorders>
            <w:shd w:val="clear" w:color="auto" w:fill="FFFFFF"/>
            <w:vAlign w:val="center"/>
          </w:tcPr>
          <w:p w14:paraId="733A90BC">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7</w:t>
            </w:r>
          </w:p>
        </w:tc>
        <w:tc>
          <w:tcPr>
            <w:tcW w:w="1090" w:type="dxa"/>
            <w:tcBorders>
              <w:tl2br w:val="nil"/>
              <w:tr2bl w:val="nil"/>
            </w:tcBorders>
            <w:shd w:val="clear" w:color="auto" w:fill="FFFFFF"/>
            <w:vAlign w:val="center"/>
          </w:tcPr>
          <w:p w14:paraId="78547BF9">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轴流风机2台叠加</w:t>
            </w:r>
          </w:p>
        </w:tc>
        <w:tc>
          <w:tcPr>
            <w:tcW w:w="367" w:type="dxa"/>
            <w:tcBorders>
              <w:tl2br w:val="nil"/>
              <w:tr2bl w:val="nil"/>
            </w:tcBorders>
            <w:shd w:val="clear" w:color="auto" w:fill="FFFFFF"/>
            <w:vAlign w:val="center"/>
          </w:tcPr>
          <w:p w14:paraId="1670EE78">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675" w:type="dxa"/>
            <w:tcBorders>
              <w:tl2br w:val="nil"/>
              <w:tr2bl w:val="nil"/>
            </w:tcBorders>
            <w:shd w:val="clear" w:color="auto" w:fill="FFFFFF"/>
            <w:vAlign w:val="center"/>
          </w:tcPr>
          <w:p w14:paraId="517A5603">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-9.5</w:t>
            </w:r>
          </w:p>
        </w:tc>
        <w:tc>
          <w:tcPr>
            <w:tcW w:w="720" w:type="dxa"/>
            <w:tcBorders>
              <w:tl2br w:val="nil"/>
              <w:tr2bl w:val="nil"/>
            </w:tcBorders>
            <w:shd w:val="clear" w:color="auto" w:fill="FFFFFF"/>
            <w:vAlign w:val="center"/>
          </w:tcPr>
          <w:p w14:paraId="047B127C">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-14.8</w:t>
            </w:r>
          </w:p>
        </w:tc>
        <w:tc>
          <w:tcPr>
            <w:tcW w:w="615" w:type="dxa"/>
            <w:tcBorders>
              <w:tl2br w:val="nil"/>
              <w:tr2bl w:val="nil"/>
            </w:tcBorders>
            <w:shd w:val="clear" w:color="auto" w:fill="FFFFFF"/>
            <w:vAlign w:val="center"/>
          </w:tcPr>
          <w:p w14:paraId="1306D765">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0.5</w:t>
            </w:r>
          </w:p>
        </w:tc>
        <w:tc>
          <w:tcPr>
            <w:tcW w:w="1290" w:type="dxa"/>
            <w:tcBorders>
              <w:tl2br w:val="nil"/>
              <w:tr2bl w:val="nil"/>
            </w:tcBorders>
            <w:shd w:val="clear" w:color="auto" w:fill="FFFFFF"/>
            <w:vAlign w:val="center"/>
          </w:tcPr>
          <w:p w14:paraId="7A05A822">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1380" w:type="dxa"/>
            <w:tcBorders>
              <w:tl2br w:val="nil"/>
              <w:tr2bl w:val="nil"/>
            </w:tcBorders>
            <w:shd w:val="clear" w:color="auto" w:fill="FFFFFF"/>
            <w:vAlign w:val="center"/>
          </w:tcPr>
          <w:p w14:paraId="0EC7E68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83</w:t>
            </w:r>
          </w:p>
        </w:tc>
        <w:tc>
          <w:tcPr>
            <w:tcW w:w="1185" w:type="dxa"/>
            <w:tcBorders>
              <w:tl2br w:val="nil"/>
              <w:tr2bl w:val="nil"/>
            </w:tcBorders>
            <w:shd w:val="clear" w:color="auto" w:fill="FFFFFF"/>
            <w:vAlign w:val="center"/>
          </w:tcPr>
          <w:p w14:paraId="67465DD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基础减震</w:t>
            </w:r>
          </w:p>
        </w:tc>
        <w:tc>
          <w:tcPr>
            <w:tcW w:w="770" w:type="dxa"/>
            <w:tcBorders>
              <w:tl2br w:val="nil"/>
              <w:tr2bl w:val="nil"/>
            </w:tcBorders>
            <w:shd w:val="clear" w:color="auto" w:fill="FFFFFF"/>
            <w:vAlign w:val="center"/>
          </w:tcPr>
          <w:p w14:paraId="3680D3B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24.0</w:t>
            </w:r>
          </w:p>
        </w:tc>
      </w:tr>
      <w:tr w14:paraId="66C77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35" w:hRule="exact"/>
          <w:jc w:val="center"/>
        </w:trPr>
        <w:tc>
          <w:tcPr>
            <w:tcW w:w="430" w:type="dxa"/>
            <w:tcBorders>
              <w:tl2br w:val="nil"/>
              <w:tr2bl w:val="nil"/>
            </w:tcBorders>
            <w:shd w:val="clear" w:color="auto" w:fill="FFFFFF"/>
            <w:vAlign w:val="center"/>
          </w:tcPr>
          <w:p w14:paraId="79717989">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8</w:t>
            </w:r>
          </w:p>
        </w:tc>
        <w:tc>
          <w:tcPr>
            <w:tcW w:w="1090" w:type="dxa"/>
            <w:tcBorders>
              <w:tl2br w:val="nil"/>
              <w:tr2bl w:val="nil"/>
            </w:tcBorders>
            <w:shd w:val="clear" w:color="auto" w:fill="FFFFFF"/>
            <w:vAlign w:val="center"/>
          </w:tcPr>
          <w:p w14:paraId="482B4E96">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轴流风机</w:t>
            </w:r>
          </w:p>
        </w:tc>
        <w:tc>
          <w:tcPr>
            <w:tcW w:w="367" w:type="dxa"/>
            <w:tcBorders>
              <w:tl2br w:val="nil"/>
              <w:tr2bl w:val="nil"/>
            </w:tcBorders>
            <w:shd w:val="clear" w:color="auto" w:fill="FFFFFF"/>
            <w:vAlign w:val="center"/>
          </w:tcPr>
          <w:p w14:paraId="6A3224A5">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675" w:type="dxa"/>
            <w:tcBorders>
              <w:tl2br w:val="nil"/>
              <w:tr2bl w:val="nil"/>
            </w:tcBorders>
            <w:shd w:val="clear" w:color="auto" w:fill="FFFFFF"/>
            <w:vAlign w:val="center"/>
          </w:tcPr>
          <w:p w14:paraId="4909C674">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-9.8</w:t>
            </w:r>
          </w:p>
        </w:tc>
        <w:tc>
          <w:tcPr>
            <w:tcW w:w="720" w:type="dxa"/>
            <w:tcBorders>
              <w:tl2br w:val="nil"/>
              <w:tr2bl w:val="nil"/>
            </w:tcBorders>
            <w:shd w:val="clear" w:color="auto" w:fill="FFFFFF"/>
            <w:vAlign w:val="center"/>
          </w:tcPr>
          <w:p w14:paraId="483F5D61">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-40.1</w:t>
            </w:r>
          </w:p>
        </w:tc>
        <w:tc>
          <w:tcPr>
            <w:tcW w:w="615" w:type="dxa"/>
            <w:tcBorders>
              <w:tl2br w:val="nil"/>
              <w:tr2bl w:val="nil"/>
            </w:tcBorders>
            <w:shd w:val="clear" w:color="auto" w:fill="FFFFFF"/>
            <w:vAlign w:val="center"/>
          </w:tcPr>
          <w:p w14:paraId="401F9796">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0.5</w:t>
            </w:r>
          </w:p>
        </w:tc>
        <w:tc>
          <w:tcPr>
            <w:tcW w:w="1290" w:type="dxa"/>
            <w:tcBorders>
              <w:tl2br w:val="nil"/>
              <w:tr2bl w:val="nil"/>
            </w:tcBorders>
            <w:shd w:val="clear" w:color="auto" w:fill="FFFFFF"/>
            <w:vAlign w:val="center"/>
          </w:tcPr>
          <w:p w14:paraId="234E375F">
            <w:pPr>
              <w:keepNext w:val="0"/>
              <w:keepLines w:val="0"/>
              <w:suppressLineNumbers w:val="0"/>
              <w:adjustRightInd/>
              <w:spacing w:before="0" w:beforeAutospacing="0" w:after="0" w:afterAutospacing="0" w:line="240" w:lineRule="auto"/>
              <w:ind w:left="0" w:right="0" w:firstLine="0" w:firstLineChars="0"/>
              <w:jc w:val="left"/>
              <w:rPr>
                <w:rFonts w:hint="default" w:ascii="Times New Roman" w:hAnsi="Times New Roman" w:eastAsia="宋体" w:cs="Times New Roman"/>
                <w:sz w:val="22"/>
                <w:szCs w:val="22"/>
                <w:lang w:eastAsia="en-US"/>
              </w:rPr>
            </w:pPr>
          </w:p>
        </w:tc>
        <w:tc>
          <w:tcPr>
            <w:tcW w:w="1380" w:type="dxa"/>
            <w:tcBorders>
              <w:tl2br w:val="nil"/>
              <w:tr2bl w:val="nil"/>
            </w:tcBorders>
            <w:shd w:val="clear" w:color="auto" w:fill="FFFFFF"/>
            <w:vAlign w:val="center"/>
          </w:tcPr>
          <w:p w14:paraId="157BA60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80</w:t>
            </w:r>
          </w:p>
        </w:tc>
        <w:tc>
          <w:tcPr>
            <w:tcW w:w="1185" w:type="dxa"/>
            <w:tcBorders>
              <w:tl2br w:val="nil"/>
              <w:tr2bl w:val="nil"/>
            </w:tcBorders>
            <w:shd w:val="clear" w:color="auto" w:fill="FFFFFF"/>
            <w:vAlign w:val="center"/>
          </w:tcPr>
          <w:p w14:paraId="7736CDD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基础减震</w:t>
            </w:r>
          </w:p>
        </w:tc>
        <w:tc>
          <w:tcPr>
            <w:tcW w:w="770" w:type="dxa"/>
            <w:tcBorders>
              <w:tl2br w:val="nil"/>
              <w:tr2bl w:val="nil"/>
            </w:tcBorders>
            <w:shd w:val="clear" w:color="auto" w:fill="FFFFFF"/>
            <w:vAlign w:val="center"/>
          </w:tcPr>
          <w:p w14:paraId="00D5B39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sz w:val="22"/>
                <w:szCs w:val="22"/>
                <w:lang w:eastAsia="en-US"/>
              </w:rPr>
            </w:pPr>
            <w:r>
              <w:rPr>
                <w:rFonts w:hint="default" w:ascii="Times New Roman" w:hAnsi="Times New Roman" w:eastAsia="Arial" w:cs="Times New Roman"/>
                <w:sz w:val="20"/>
                <w:szCs w:val="22"/>
                <w:lang w:eastAsia="en-US"/>
              </w:rPr>
              <w:t>24.0</w:t>
            </w:r>
          </w:p>
        </w:tc>
      </w:tr>
    </w:tbl>
    <w:p w14:paraId="79F6B08A">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cs="Times New Roman"/>
          <w:b/>
          <w:bCs/>
          <w:color w:val="auto"/>
          <w:sz w:val="22"/>
          <w:szCs w:val="22"/>
          <w:highlight w:val="none"/>
          <w:u w:val="none" w:color="auto"/>
          <w:lang w:val="en-US" w:eastAsia="zh-CN" w:bidi="zh-CN"/>
        </w:rPr>
      </w:pPr>
      <w:r>
        <w:rPr>
          <w:rFonts w:hint="default" w:ascii="Times New Roman" w:hAnsi="Times New Roman" w:eastAsia="宋体" w:cs="Times New Roman"/>
          <w:b/>
          <w:bCs/>
          <w:color w:val="auto"/>
          <w:sz w:val="22"/>
          <w:szCs w:val="22"/>
          <w:highlight w:val="none"/>
          <w:u w:val="none" w:color="auto"/>
          <w:lang w:val="en-US" w:eastAsia="zh-CN" w:bidi="zh-CN"/>
        </w:rPr>
        <w:t>注：表中坐标以厂界中心（112.614601,29.183868）为坐标原点，正东向为X轴正方向，正北向为Y轴正方向</w:t>
      </w:r>
    </w:p>
    <w:p w14:paraId="7B68F00B">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cs="Times New Roman"/>
          <w:b/>
          <w:bCs/>
          <w:color w:val="auto"/>
          <w:sz w:val="22"/>
          <w:szCs w:val="22"/>
          <w:highlight w:val="none"/>
          <w:u w:val="none" w:color="auto"/>
          <w:lang w:val="en-US" w:eastAsia="zh-CN" w:bidi="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b/>
          <w:color w:val="auto"/>
          <w:sz w:val="24"/>
          <w:szCs w:val="22"/>
          <w:highlight w:val="none"/>
          <w:u w:val="none" w:color="auto"/>
          <w:lang w:val="en-US" w:eastAsia="zh-CN" w:bidi="zh-CN"/>
        </w:rPr>
        <w:t>表5.2-</w:t>
      </w:r>
      <w:r>
        <w:rPr>
          <w:rFonts w:hint="default" w:ascii="Times New Roman" w:hAnsi="Times New Roman" w:cs="Times New Roman"/>
          <w:b/>
          <w:color w:val="auto"/>
          <w:sz w:val="24"/>
          <w:szCs w:val="22"/>
          <w:highlight w:val="none"/>
          <w:u w:val="none" w:color="auto"/>
          <w:lang w:val="en-US" w:eastAsia="zh-CN" w:bidi="zh-CN"/>
        </w:rPr>
        <w:t>22</w:t>
      </w:r>
      <w:r>
        <w:rPr>
          <w:rFonts w:hint="default" w:ascii="Times New Roman" w:hAnsi="Times New Roman" w:eastAsia="宋体" w:cs="Times New Roman"/>
          <w:b/>
          <w:color w:val="auto"/>
          <w:sz w:val="24"/>
          <w:szCs w:val="22"/>
          <w:highlight w:val="none"/>
          <w:u w:val="none" w:color="auto"/>
          <w:lang w:val="en-US" w:eastAsia="zh-CN" w:bidi="zh-CN"/>
        </w:rPr>
        <w:t>本项目噪声源排放特征一览表（室内源）</w:t>
      </w:r>
    </w:p>
    <w:p w14:paraId="09A9C890">
      <w:pPr>
        <w:autoSpaceDE/>
        <w:autoSpaceDN/>
        <w:adjustRightInd w:val="0"/>
        <w:snapToGrid w:val="0"/>
        <w:spacing w:line="240" w:lineRule="auto"/>
        <w:ind w:firstLine="0" w:firstLineChars="0"/>
        <w:jc w:val="center"/>
        <w:outlineLvl w:val="9"/>
        <w:rPr>
          <w:rFonts w:hint="default" w:cs="Times New Roman"/>
          <w:b/>
          <w:bCs/>
          <w:color w:val="000000" w:themeColor="text1"/>
          <w:sz w:val="24"/>
          <w:szCs w:val="24"/>
          <w:highlight w:val="none"/>
          <w:u w:val="none" w:color="auto"/>
          <w:lang w:val="en-US" w:eastAsia="zh-CN" w:bidi="zh-CN"/>
          <w14:textFill>
            <w14:solidFill>
              <w14:schemeClr w14:val="tx1"/>
            </w14:solidFill>
          </w14:textFill>
        </w:rPr>
      </w:pPr>
      <w:r>
        <w:rPr>
          <w:rFonts w:hint="eastAsia" w:cs="Times New Roman"/>
          <w:b/>
          <w:bCs/>
          <w:color w:val="000000" w:themeColor="text1"/>
          <w:sz w:val="24"/>
          <w:szCs w:val="24"/>
          <w:highlight w:val="none"/>
          <w:u w:val="none" w:color="auto"/>
          <w:lang w:val="en-US" w:eastAsia="zh-CN" w:bidi="zh-CN"/>
          <w14:textFill>
            <w14:solidFill>
              <w14:schemeClr w14:val="tx1"/>
            </w14:solidFill>
          </w14:textFill>
        </w:rPr>
        <w:t xml:space="preserve">表5.2-22 本项目噪声源排放特征一览表（室内源）                                  </w:t>
      </w:r>
    </w:p>
    <w:tbl>
      <w:tblPr>
        <w:tblStyle w:val="76"/>
        <w:tblW w:w="1517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5"/>
        <w:gridCol w:w="610"/>
        <w:gridCol w:w="1329"/>
        <w:gridCol w:w="405"/>
        <w:gridCol w:w="721"/>
        <w:gridCol w:w="1878"/>
        <w:gridCol w:w="555"/>
        <w:gridCol w:w="525"/>
        <w:gridCol w:w="429"/>
        <w:gridCol w:w="435"/>
        <w:gridCol w:w="480"/>
        <w:gridCol w:w="435"/>
        <w:gridCol w:w="483"/>
        <w:gridCol w:w="413"/>
        <w:gridCol w:w="465"/>
        <w:gridCol w:w="487"/>
        <w:gridCol w:w="491"/>
        <w:gridCol w:w="480"/>
        <w:gridCol w:w="375"/>
        <w:gridCol w:w="465"/>
        <w:gridCol w:w="442"/>
        <w:gridCol w:w="467"/>
        <w:gridCol w:w="488"/>
        <w:gridCol w:w="472"/>
        <w:gridCol w:w="450"/>
        <w:gridCol w:w="450"/>
        <w:gridCol w:w="530"/>
      </w:tblGrid>
      <w:tr w14:paraId="01DA0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4" w:hRule="exact"/>
        </w:trPr>
        <w:tc>
          <w:tcPr>
            <w:tcW w:w="415" w:type="dxa"/>
            <w:vMerge w:val="restart"/>
            <w:tcBorders>
              <w:tl2br w:val="nil"/>
              <w:tr2bl w:val="nil"/>
            </w:tcBorders>
            <w:vAlign w:val="center"/>
          </w:tcPr>
          <w:p w14:paraId="6A9A949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bookmarkStart w:id="128" w:name="PT_6"/>
            <w: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t>序号</w:t>
            </w:r>
          </w:p>
        </w:tc>
        <w:tc>
          <w:tcPr>
            <w:tcW w:w="610" w:type="dxa"/>
            <w:vMerge w:val="restart"/>
            <w:tcBorders>
              <w:tl2br w:val="nil"/>
              <w:tr2bl w:val="nil"/>
            </w:tcBorders>
            <w:vAlign w:val="center"/>
          </w:tcPr>
          <w:p w14:paraId="1504336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t>建筑物名称</w:t>
            </w:r>
          </w:p>
        </w:tc>
        <w:tc>
          <w:tcPr>
            <w:tcW w:w="1329" w:type="dxa"/>
            <w:vMerge w:val="restart"/>
            <w:tcBorders>
              <w:tl2br w:val="nil"/>
              <w:tr2bl w:val="nil"/>
            </w:tcBorders>
            <w:vAlign w:val="center"/>
          </w:tcPr>
          <w:p w14:paraId="4198FB9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t>声源名称</w:t>
            </w:r>
          </w:p>
        </w:tc>
        <w:tc>
          <w:tcPr>
            <w:tcW w:w="405" w:type="dxa"/>
            <w:vMerge w:val="restart"/>
            <w:tcBorders>
              <w:tl2br w:val="nil"/>
              <w:tr2bl w:val="nil"/>
            </w:tcBorders>
            <w:vAlign w:val="center"/>
          </w:tcPr>
          <w:p w14:paraId="78C1D76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t>型号</w:t>
            </w:r>
          </w:p>
        </w:tc>
        <w:tc>
          <w:tcPr>
            <w:tcW w:w="721" w:type="dxa"/>
            <w:tcBorders>
              <w:tl2br w:val="nil"/>
              <w:tr2bl w:val="nil"/>
            </w:tcBorders>
            <w:vAlign w:val="center"/>
          </w:tcPr>
          <w:p w14:paraId="6AA2EA5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zh-CN"/>
                <w14:textFill>
                  <w14:solidFill>
                    <w14:schemeClr w14:val="tx1"/>
                  </w14:solidFill>
                </w14:textFill>
              </w:rPr>
            </w:pPr>
            <w:r>
              <w:rPr>
                <w:rFonts w:hint="default" w:ascii="Times New Roman" w:hAnsi="Times New Roman" w:eastAsia="宋体" w:cs="Times New Roman"/>
                <w:b/>
                <w:color w:val="000000" w:themeColor="text1"/>
                <w:sz w:val="21"/>
                <w:szCs w:val="21"/>
                <w:u w:val="wave"/>
                <w:lang w:eastAsia="zh-CN"/>
                <w14:textFill>
                  <w14:solidFill>
                    <w14:schemeClr w14:val="tx1"/>
                  </w14:solidFill>
                </w14:textFill>
              </w:rPr>
              <w:t>声源源强</w:t>
            </w:r>
          </w:p>
        </w:tc>
        <w:tc>
          <w:tcPr>
            <w:tcW w:w="1878" w:type="dxa"/>
            <w:vMerge w:val="restart"/>
            <w:tcBorders>
              <w:tl2br w:val="nil"/>
              <w:tr2bl w:val="nil"/>
            </w:tcBorders>
            <w:vAlign w:val="center"/>
          </w:tcPr>
          <w:p w14:paraId="420A756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t>声源控制措施</w:t>
            </w:r>
          </w:p>
        </w:tc>
        <w:tc>
          <w:tcPr>
            <w:tcW w:w="1509" w:type="dxa"/>
            <w:gridSpan w:val="3"/>
            <w:tcBorders>
              <w:tl2br w:val="nil"/>
              <w:tr2bl w:val="nil"/>
            </w:tcBorders>
            <w:vAlign w:val="center"/>
          </w:tcPr>
          <w:p w14:paraId="77EE870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t>空间相对位置/m</w:t>
            </w:r>
          </w:p>
        </w:tc>
        <w:tc>
          <w:tcPr>
            <w:tcW w:w="1833" w:type="dxa"/>
            <w:gridSpan w:val="4"/>
            <w:tcBorders>
              <w:tl2br w:val="nil"/>
              <w:tr2bl w:val="nil"/>
            </w:tcBorders>
            <w:vAlign w:val="center"/>
          </w:tcPr>
          <w:p w14:paraId="3DD6CC6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t>距室内边界距离/m</w:t>
            </w:r>
          </w:p>
        </w:tc>
        <w:tc>
          <w:tcPr>
            <w:tcW w:w="1856" w:type="dxa"/>
            <w:gridSpan w:val="4"/>
            <w:tcBorders>
              <w:tl2br w:val="nil"/>
              <w:tr2bl w:val="nil"/>
            </w:tcBorders>
            <w:vAlign w:val="center"/>
          </w:tcPr>
          <w:p w14:paraId="5B2312C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t>室内边界声级/dB(A)</w:t>
            </w:r>
          </w:p>
        </w:tc>
        <w:tc>
          <w:tcPr>
            <w:tcW w:w="480" w:type="dxa"/>
            <w:vMerge w:val="restart"/>
            <w:tcBorders>
              <w:tl2br w:val="nil"/>
              <w:tr2bl w:val="nil"/>
            </w:tcBorders>
            <w:vAlign w:val="center"/>
          </w:tcPr>
          <w:p w14:paraId="010C34D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t>运行时段</w:t>
            </w:r>
          </w:p>
        </w:tc>
        <w:tc>
          <w:tcPr>
            <w:tcW w:w="1749" w:type="dxa"/>
            <w:gridSpan w:val="4"/>
            <w:tcBorders>
              <w:tl2br w:val="nil"/>
              <w:tr2bl w:val="nil"/>
            </w:tcBorders>
            <w:vAlign w:val="center"/>
          </w:tcPr>
          <w:p w14:paraId="62A3BD5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lang w:eastAsia="en-US"/>
                <w14:textFill>
                  <w14:solidFill>
                    <w14:schemeClr w14:val="tx1"/>
                  </w14:solidFill>
                </w14:textFill>
              </w:rPr>
              <w:t>建筑物插入损失 / dB(A)</w:t>
            </w:r>
            <w:bookmarkStart w:id="129" w:name="PT_10"/>
            <w:bookmarkEnd w:id="129"/>
          </w:p>
        </w:tc>
        <w:tc>
          <w:tcPr>
            <w:tcW w:w="2390" w:type="dxa"/>
            <w:gridSpan w:val="5"/>
            <w:tcBorders>
              <w:tl2br w:val="nil"/>
              <w:tr2bl w:val="nil"/>
            </w:tcBorders>
            <w:vAlign w:val="center"/>
          </w:tcPr>
          <w:p w14:paraId="2F67B3B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b/>
                <w:bCs w:val="0"/>
                <w:color w:val="000000" w:themeColor="text1"/>
                <w:sz w:val="21"/>
                <w:szCs w:val="21"/>
                <w:u w:val="wave"/>
                <w:lang w:eastAsia="en-US"/>
                <w14:textFill>
                  <w14:solidFill>
                    <w14:schemeClr w14:val="tx1"/>
                  </w14:solidFill>
                </w14:textFill>
              </w:rPr>
              <w:t>建筑物外噪声声压级/dB(A)</w:t>
            </w:r>
          </w:p>
        </w:tc>
      </w:tr>
      <w:tr w14:paraId="7245E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443" w:hRule="atLeast"/>
        </w:trPr>
        <w:tc>
          <w:tcPr>
            <w:tcW w:w="415" w:type="dxa"/>
            <w:vMerge w:val="continue"/>
            <w:tcBorders>
              <w:tl2br w:val="nil"/>
              <w:tr2bl w:val="nil"/>
            </w:tcBorders>
            <w:shd w:val="clear" w:color="auto" w:fill="FFFFFF"/>
            <w:tcMar>
              <w:top w:w="0" w:type="dxa"/>
              <w:left w:w="0" w:type="dxa"/>
              <w:bottom w:w="0" w:type="dxa"/>
              <w:right w:w="0" w:type="dxa"/>
            </w:tcMar>
            <w:vAlign w:val="center"/>
          </w:tcPr>
          <w:p w14:paraId="35B1921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pPr>
          </w:p>
        </w:tc>
        <w:tc>
          <w:tcPr>
            <w:tcW w:w="610" w:type="dxa"/>
            <w:vMerge w:val="continue"/>
            <w:tcBorders>
              <w:tl2br w:val="nil"/>
              <w:tr2bl w:val="nil"/>
            </w:tcBorders>
            <w:shd w:val="clear" w:color="auto" w:fill="FFFFFF"/>
            <w:tcMar>
              <w:top w:w="0" w:type="dxa"/>
              <w:left w:w="0" w:type="dxa"/>
              <w:bottom w:w="0" w:type="dxa"/>
              <w:right w:w="0" w:type="dxa"/>
            </w:tcMar>
            <w:vAlign w:val="center"/>
          </w:tcPr>
          <w:p w14:paraId="0970F84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p>
        </w:tc>
        <w:tc>
          <w:tcPr>
            <w:tcW w:w="1329" w:type="dxa"/>
            <w:vMerge w:val="continue"/>
            <w:tcBorders>
              <w:tl2br w:val="nil"/>
              <w:tr2bl w:val="nil"/>
            </w:tcBorders>
            <w:shd w:val="clear" w:color="auto" w:fill="FFFFFF"/>
            <w:tcMar>
              <w:top w:w="0" w:type="dxa"/>
              <w:left w:w="0" w:type="dxa"/>
              <w:bottom w:w="0" w:type="dxa"/>
              <w:right w:w="0" w:type="dxa"/>
            </w:tcMar>
            <w:vAlign w:val="center"/>
          </w:tcPr>
          <w:p w14:paraId="115059F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p>
        </w:tc>
        <w:tc>
          <w:tcPr>
            <w:tcW w:w="405" w:type="dxa"/>
            <w:vMerge w:val="continue"/>
            <w:tcBorders>
              <w:tl2br w:val="nil"/>
              <w:tr2bl w:val="nil"/>
            </w:tcBorders>
            <w:shd w:val="clear" w:color="auto" w:fill="FFFFFF"/>
            <w:tcMar>
              <w:top w:w="0" w:type="dxa"/>
              <w:left w:w="0" w:type="dxa"/>
              <w:bottom w:w="0" w:type="dxa"/>
              <w:right w:w="0" w:type="dxa"/>
            </w:tcMar>
            <w:vAlign w:val="center"/>
          </w:tcPr>
          <w:p w14:paraId="76DC22C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2A36CF3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eastAsia="en-US"/>
                <w14:textFill>
                  <w14:solidFill>
                    <w14:schemeClr w14:val="tx1"/>
                  </w14:solidFill>
                </w14:textFill>
              </w:rPr>
              <w:t>声功</w:t>
            </w:r>
          </w:p>
          <w:p w14:paraId="3A24FA2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eastAsia="en-US"/>
                <w14:textFill>
                  <w14:solidFill>
                    <w14:schemeClr w14:val="tx1"/>
                  </w14:solidFill>
                </w14:textFill>
              </w:rPr>
              <w:t>率级/dB(A)</w:t>
            </w:r>
          </w:p>
        </w:tc>
        <w:tc>
          <w:tcPr>
            <w:tcW w:w="1878" w:type="dxa"/>
            <w:vMerge w:val="continue"/>
            <w:tcBorders>
              <w:tl2br w:val="nil"/>
              <w:tr2bl w:val="nil"/>
            </w:tcBorders>
            <w:shd w:val="clear" w:color="auto" w:fill="FFFFFF"/>
            <w:tcMar>
              <w:top w:w="0" w:type="dxa"/>
              <w:left w:w="0" w:type="dxa"/>
              <w:bottom w:w="0" w:type="dxa"/>
              <w:right w:w="0" w:type="dxa"/>
            </w:tcMar>
            <w:vAlign w:val="center"/>
          </w:tcPr>
          <w:p w14:paraId="2675400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p>
        </w:tc>
        <w:tc>
          <w:tcPr>
            <w:tcW w:w="555" w:type="dxa"/>
            <w:tcBorders>
              <w:tl2br w:val="nil"/>
              <w:tr2bl w:val="nil"/>
            </w:tcBorders>
            <w:shd w:val="clear" w:color="auto" w:fill="FFFFFF"/>
            <w:tcMar>
              <w:top w:w="0" w:type="dxa"/>
              <w:left w:w="0" w:type="dxa"/>
              <w:bottom w:w="0" w:type="dxa"/>
              <w:right w:w="0" w:type="dxa"/>
            </w:tcMar>
            <w:vAlign w:val="center"/>
          </w:tcPr>
          <w:p w14:paraId="75277FC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eastAsia="en-US"/>
                <w14:textFill>
                  <w14:solidFill>
                    <w14:schemeClr w14:val="tx1"/>
                  </w14:solidFill>
                </w14:textFill>
              </w:rPr>
              <w:t>X</w:t>
            </w:r>
          </w:p>
        </w:tc>
        <w:tc>
          <w:tcPr>
            <w:tcW w:w="525" w:type="dxa"/>
            <w:tcBorders>
              <w:tl2br w:val="nil"/>
              <w:tr2bl w:val="nil"/>
            </w:tcBorders>
            <w:shd w:val="clear" w:color="auto" w:fill="FFFFFF"/>
            <w:tcMar>
              <w:top w:w="0" w:type="dxa"/>
              <w:left w:w="0" w:type="dxa"/>
              <w:bottom w:w="0" w:type="dxa"/>
              <w:right w:w="0" w:type="dxa"/>
            </w:tcMar>
            <w:vAlign w:val="center"/>
          </w:tcPr>
          <w:p w14:paraId="348646C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eastAsia="en-US"/>
                <w14:textFill>
                  <w14:solidFill>
                    <w14:schemeClr w14:val="tx1"/>
                  </w14:solidFill>
                </w14:textFill>
              </w:rPr>
              <w:t>Y</w:t>
            </w:r>
          </w:p>
        </w:tc>
        <w:tc>
          <w:tcPr>
            <w:tcW w:w="429" w:type="dxa"/>
            <w:tcBorders>
              <w:tl2br w:val="nil"/>
              <w:tr2bl w:val="nil"/>
            </w:tcBorders>
            <w:shd w:val="clear" w:color="auto" w:fill="FFFFFF"/>
            <w:tcMar>
              <w:top w:w="0" w:type="dxa"/>
              <w:left w:w="0" w:type="dxa"/>
              <w:bottom w:w="0" w:type="dxa"/>
              <w:right w:w="0" w:type="dxa"/>
            </w:tcMar>
            <w:vAlign w:val="center"/>
          </w:tcPr>
          <w:p w14:paraId="7470649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eastAsia="en-US"/>
                <w14:textFill>
                  <w14:solidFill>
                    <w14:schemeClr w14:val="tx1"/>
                  </w14:solidFill>
                </w14:textFill>
              </w:rPr>
              <w:t>Z</w:t>
            </w:r>
          </w:p>
        </w:tc>
        <w:tc>
          <w:tcPr>
            <w:tcW w:w="435" w:type="dxa"/>
            <w:tcBorders>
              <w:tl2br w:val="nil"/>
              <w:tr2bl w:val="nil"/>
            </w:tcBorders>
            <w:shd w:val="clear" w:color="auto" w:fill="FFFFFF"/>
            <w:tcMar>
              <w:top w:w="0" w:type="dxa"/>
              <w:left w:w="0" w:type="dxa"/>
              <w:bottom w:w="0" w:type="dxa"/>
              <w:right w:w="0" w:type="dxa"/>
            </w:tcMar>
            <w:vAlign w:val="center"/>
          </w:tcPr>
          <w:p w14:paraId="1F704AF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东</w:t>
            </w:r>
          </w:p>
        </w:tc>
        <w:tc>
          <w:tcPr>
            <w:tcW w:w="480" w:type="dxa"/>
            <w:tcBorders>
              <w:tl2br w:val="nil"/>
              <w:tr2bl w:val="nil"/>
            </w:tcBorders>
            <w:shd w:val="clear" w:color="auto" w:fill="FFFFFF"/>
            <w:tcMar>
              <w:top w:w="0" w:type="dxa"/>
              <w:left w:w="0" w:type="dxa"/>
              <w:bottom w:w="0" w:type="dxa"/>
              <w:right w:w="0" w:type="dxa"/>
            </w:tcMar>
            <w:vAlign w:val="center"/>
          </w:tcPr>
          <w:p w14:paraId="4C37200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南</w:t>
            </w:r>
          </w:p>
        </w:tc>
        <w:tc>
          <w:tcPr>
            <w:tcW w:w="435" w:type="dxa"/>
            <w:tcBorders>
              <w:tl2br w:val="nil"/>
              <w:tr2bl w:val="nil"/>
            </w:tcBorders>
            <w:shd w:val="clear" w:color="auto" w:fill="FFFFFF"/>
            <w:tcMar>
              <w:top w:w="0" w:type="dxa"/>
              <w:left w:w="0" w:type="dxa"/>
              <w:bottom w:w="0" w:type="dxa"/>
              <w:right w:w="0" w:type="dxa"/>
            </w:tcMar>
            <w:vAlign w:val="center"/>
          </w:tcPr>
          <w:p w14:paraId="70FB84C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西</w:t>
            </w:r>
          </w:p>
        </w:tc>
        <w:tc>
          <w:tcPr>
            <w:tcW w:w="483" w:type="dxa"/>
            <w:tcBorders>
              <w:tl2br w:val="nil"/>
              <w:tr2bl w:val="nil"/>
            </w:tcBorders>
            <w:shd w:val="clear" w:color="auto" w:fill="FFFFFF"/>
            <w:tcMar>
              <w:top w:w="0" w:type="dxa"/>
              <w:left w:w="0" w:type="dxa"/>
              <w:bottom w:w="0" w:type="dxa"/>
              <w:right w:w="0" w:type="dxa"/>
            </w:tcMar>
            <w:vAlign w:val="center"/>
          </w:tcPr>
          <w:p w14:paraId="7B1F48C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北</w:t>
            </w:r>
          </w:p>
        </w:tc>
        <w:tc>
          <w:tcPr>
            <w:tcW w:w="413" w:type="dxa"/>
            <w:tcBorders>
              <w:tl2br w:val="nil"/>
              <w:tr2bl w:val="nil"/>
            </w:tcBorders>
            <w:shd w:val="clear" w:color="auto" w:fill="FFFFFF"/>
            <w:tcMar>
              <w:top w:w="0" w:type="dxa"/>
              <w:left w:w="0" w:type="dxa"/>
              <w:bottom w:w="0" w:type="dxa"/>
              <w:right w:w="0" w:type="dxa"/>
            </w:tcMar>
            <w:vAlign w:val="center"/>
          </w:tcPr>
          <w:p w14:paraId="66C196E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东</w:t>
            </w:r>
          </w:p>
        </w:tc>
        <w:tc>
          <w:tcPr>
            <w:tcW w:w="465" w:type="dxa"/>
            <w:tcBorders>
              <w:tl2br w:val="nil"/>
              <w:tr2bl w:val="nil"/>
            </w:tcBorders>
            <w:shd w:val="clear" w:color="auto" w:fill="FFFFFF"/>
            <w:tcMar>
              <w:top w:w="0" w:type="dxa"/>
              <w:left w:w="0" w:type="dxa"/>
              <w:bottom w:w="0" w:type="dxa"/>
              <w:right w:w="0" w:type="dxa"/>
            </w:tcMar>
            <w:vAlign w:val="center"/>
          </w:tcPr>
          <w:p w14:paraId="208053F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南</w:t>
            </w:r>
          </w:p>
        </w:tc>
        <w:tc>
          <w:tcPr>
            <w:tcW w:w="487" w:type="dxa"/>
            <w:tcBorders>
              <w:tl2br w:val="nil"/>
              <w:tr2bl w:val="nil"/>
            </w:tcBorders>
            <w:shd w:val="clear" w:color="auto" w:fill="FFFFFF"/>
            <w:tcMar>
              <w:top w:w="0" w:type="dxa"/>
              <w:left w:w="0" w:type="dxa"/>
              <w:bottom w:w="0" w:type="dxa"/>
              <w:right w:w="0" w:type="dxa"/>
            </w:tcMar>
            <w:vAlign w:val="center"/>
          </w:tcPr>
          <w:p w14:paraId="70B6A25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西</w:t>
            </w:r>
          </w:p>
        </w:tc>
        <w:tc>
          <w:tcPr>
            <w:tcW w:w="491" w:type="dxa"/>
            <w:tcBorders>
              <w:tl2br w:val="nil"/>
              <w:tr2bl w:val="nil"/>
            </w:tcBorders>
            <w:shd w:val="clear" w:color="auto" w:fill="FFFFFF"/>
            <w:tcMar>
              <w:top w:w="0" w:type="dxa"/>
              <w:left w:w="0" w:type="dxa"/>
              <w:bottom w:w="0" w:type="dxa"/>
              <w:right w:w="0" w:type="dxa"/>
            </w:tcMar>
            <w:vAlign w:val="center"/>
          </w:tcPr>
          <w:p w14:paraId="2F9B519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北</w:t>
            </w:r>
          </w:p>
        </w:tc>
        <w:tc>
          <w:tcPr>
            <w:tcW w:w="480" w:type="dxa"/>
            <w:vMerge w:val="continue"/>
            <w:tcBorders>
              <w:tl2br w:val="nil"/>
              <w:tr2bl w:val="nil"/>
            </w:tcBorders>
            <w:shd w:val="clear" w:color="auto" w:fill="FFFFFF"/>
            <w:tcMar>
              <w:top w:w="0" w:type="dxa"/>
              <w:left w:w="0" w:type="dxa"/>
              <w:bottom w:w="0" w:type="dxa"/>
              <w:right w:w="0" w:type="dxa"/>
            </w:tcMar>
            <w:vAlign w:val="center"/>
          </w:tcPr>
          <w:p w14:paraId="47AF95D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p>
        </w:tc>
        <w:tc>
          <w:tcPr>
            <w:tcW w:w="375" w:type="dxa"/>
            <w:tcBorders>
              <w:tl2br w:val="nil"/>
              <w:tr2bl w:val="nil"/>
            </w:tcBorders>
            <w:shd w:val="clear" w:color="auto" w:fill="FFFFFF"/>
            <w:tcMar>
              <w:top w:w="0" w:type="dxa"/>
              <w:left w:w="0" w:type="dxa"/>
              <w:bottom w:w="0" w:type="dxa"/>
              <w:right w:w="0" w:type="dxa"/>
            </w:tcMar>
            <w:vAlign w:val="center"/>
          </w:tcPr>
          <w:p w14:paraId="4D3303E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东</w:t>
            </w:r>
          </w:p>
        </w:tc>
        <w:tc>
          <w:tcPr>
            <w:tcW w:w="465" w:type="dxa"/>
            <w:tcBorders>
              <w:tl2br w:val="nil"/>
              <w:tr2bl w:val="nil"/>
            </w:tcBorders>
            <w:shd w:val="clear" w:color="auto" w:fill="FFFFFF"/>
            <w:tcMar>
              <w:top w:w="0" w:type="dxa"/>
              <w:left w:w="0" w:type="dxa"/>
              <w:bottom w:w="0" w:type="dxa"/>
              <w:right w:w="0" w:type="dxa"/>
            </w:tcMar>
            <w:vAlign w:val="center"/>
          </w:tcPr>
          <w:p w14:paraId="3D4E96E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南</w:t>
            </w:r>
          </w:p>
        </w:tc>
        <w:tc>
          <w:tcPr>
            <w:tcW w:w="442" w:type="dxa"/>
            <w:tcBorders>
              <w:tl2br w:val="nil"/>
              <w:tr2bl w:val="nil"/>
            </w:tcBorders>
            <w:shd w:val="clear" w:color="auto" w:fill="FFFFFF"/>
            <w:tcMar>
              <w:top w:w="0" w:type="dxa"/>
              <w:left w:w="0" w:type="dxa"/>
              <w:bottom w:w="0" w:type="dxa"/>
              <w:right w:w="0" w:type="dxa"/>
            </w:tcMar>
            <w:vAlign w:val="center"/>
          </w:tcPr>
          <w:p w14:paraId="15EADB3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西</w:t>
            </w:r>
          </w:p>
        </w:tc>
        <w:tc>
          <w:tcPr>
            <w:tcW w:w="467" w:type="dxa"/>
            <w:tcBorders>
              <w:tl2br w:val="nil"/>
              <w:tr2bl w:val="nil"/>
            </w:tcBorders>
            <w:shd w:val="clear" w:color="auto" w:fill="FFFFFF"/>
            <w:tcMar>
              <w:top w:w="0" w:type="dxa"/>
              <w:left w:w="0" w:type="dxa"/>
              <w:bottom w:w="0" w:type="dxa"/>
              <w:right w:w="0" w:type="dxa"/>
            </w:tcMar>
            <w:vAlign w:val="center"/>
          </w:tcPr>
          <w:p w14:paraId="0D5BF41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北</w:t>
            </w:r>
          </w:p>
        </w:tc>
        <w:tc>
          <w:tcPr>
            <w:tcW w:w="488" w:type="dxa"/>
            <w:tcBorders>
              <w:tl2br w:val="nil"/>
              <w:tr2bl w:val="nil"/>
            </w:tcBorders>
            <w:shd w:val="clear" w:color="auto" w:fill="FFFFFF"/>
            <w:tcMar>
              <w:top w:w="0" w:type="dxa"/>
              <w:left w:w="0" w:type="dxa"/>
              <w:bottom w:w="0" w:type="dxa"/>
              <w:right w:w="0" w:type="dxa"/>
            </w:tcMar>
            <w:vAlign w:val="center"/>
          </w:tcPr>
          <w:p w14:paraId="7D1142F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东</w:t>
            </w:r>
          </w:p>
        </w:tc>
        <w:tc>
          <w:tcPr>
            <w:tcW w:w="472" w:type="dxa"/>
            <w:tcBorders>
              <w:tl2br w:val="nil"/>
              <w:tr2bl w:val="nil"/>
            </w:tcBorders>
            <w:shd w:val="clear" w:color="auto" w:fill="FFFFFF"/>
            <w:tcMar>
              <w:top w:w="0" w:type="dxa"/>
              <w:left w:w="0" w:type="dxa"/>
              <w:bottom w:w="0" w:type="dxa"/>
              <w:right w:w="0" w:type="dxa"/>
            </w:tcMar>
            <w:vAlign w:val="center"/>
          </w:tcPr>
          <w:p w14:paraId="1140503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南</w:t>
            </w:r>
          </w:p>
        </w:tc>
        <w:tc>
          <w:tcPr>
            <w:tcW w:w="450" w:type="dxa"/>
            <w:tcBorders>
              <w:tl2br w:val="nil"/>
              <w:tr2bl w:val="nil"/>
            </w:tcBorders>
            <w:shd w:val="clear" w:color="auto" w:fill="FFFFFF"/>
            <w:tcMar>
              <w:top w:w="0" w:type="dxa"/>
              <w:left w:w="0" w:type="dxa"/>
              <w:bottom w:w="0" w:type="dxa"/>
              <w:right w:w="0" w:type="dxa"/>
            </w:tcMar>
            <w:vAlign w:val="center"/>
          </w:tcPr>
          <w:p w14:paraId="1747483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西</w:t>
            </w:r>
          </w:p>
        </w:tc>
        <w:tc>
          <w:tcPr>
            <w:tcW w:w="450" w:type="dxa"/>
            <w:tcBorders>
              <w:tl2br w:val="nil"/>
              <w:tr2bl w:val="nil"/>
            </w:tcBorders>
            <w:shd w:val="clear" w:color="auto" w:fill="FFFFFF"/>
            <w:tcMar>
              <w:top w:w="0" w:type="dxa"/>
              <w:left w:w="0" w:type="dxa"/>
              <w:bottom w:w="0" w:type="dxa"/>
              <w:right w:w="0" w:type="dxa"/>
            </w:tcMar>
            <w:vAlign w:val="center"/>
          </w:tcPr>
          <w:p w14:paraId="1942866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val="en-US" w:eastAsia="zh-CN"/>
                <w14:textFill>
                  <w14:solidFill>
                    <w14:schemeClr w14:val="tx1"/>
                  </w14:solidFill>
                </w14:textFill>
              </w:rPr>
              <w:t>北</w:t>
            </w:r>
          </w:p>
        </w:tc>
        <w:tc>
          <w:tcPr>
            <w:tcW w:w="530" w:type="dxa"/>
            <w:tcBorders>
              <w:tl2br w:val="nil"/>
              <w:tr2bl w:val="nil"/>
            </w:tcBorders>
            <w:shd w:val="clear" w:color="auto" w:fill="FFFFFF"/>
            <w:tcMar>
              <w:top w:w="0" w:type="dxa"/>
              <w:left w:w="0" w:type="dxa"/>
              <w:bottom w:w="0" w:type="dxa"/>
              <w:right w:w="0" w:type="dxa"/>
            </w:tcMar>
            <w:vAlign w:val="center"/>
          </w:tcPr>
          <w:p w14:paraId="3F572B9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lang w:eastAsia="en-US"/>
                <w14:textFill>
                  <w14:solidFill>
                    <w14:schemeClr w14:val="tx1"/>
                  </w14:solidFill>
                </w14:textFill>
              </w:rPr>
              <w:t>建筑物外距离</w:t>
            </w:r>
          </w:p>
        </w:tc>
      </w:tr>
      <w:tr w14:paraId="5DDC0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77" w:hRule="atLeast"/>
        </w:trPr>
        <w:tc>
          <w:tcPr>
            <w:tcW w:w="415" w:type="dxa"/>
            <w:tcBorders>
              <w:tl2br w:val="nil"/>
              <w:tr2bl w:val="nil"/>
            </w:tcBorders>
            <w:shd w:val="clear" w:color="auto" w:fill="FFFFFF"/>
            <w:tcMar>
              <w:top w:w="0" w:type="dxa"/>
              <w:left w:w="0" w:type="dxa"/>
              <w:bottom w:w="0" w:type="dxa"/>
              <w:right w:w="0" w:type="dxa"/>
            </w:tcMar>
            <w:vAlign w:val="center"/>
          </w:tcPr>
          <w:p w14:paraId="04955C4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c>
          <w:tcPr>
            <w:tcW w:w="610" w:type="dxa"/>
            <w:vMerge w:val="restart"/>
            <w:tcBorders>
              <w:tl2br w:val="nil"/>
              <w:tr2bl w:val="nil"/>
            </w:tcBorders>
            <w:shd w:val="clear" w:color="auto" w:fill="FFFFFF"/>
            <w:tcMar>
              <w:top w:w="0" w:type="dxa"/>
              <w:left w:w="0" w:type="dxa"/>
              <w:bottom w:w="0" w:type="dxa"/>
              <w:right w:w="0" w:type="dxa"/>
            </w:tcMar>
            <w:vAlign w:val="center"/>
          </w:tcPr>
          <w:p w14:paraId="6AD9629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生化池左</w:t>
            </w:r>
          </w:p>
        </w:tc>
        <w:tc>
          <w:tcPr>
            <w:tcW w:w="1329" w:type="dxa"/>
            <w:tcBorders>
              <w:tl2br w:val="nil"/>
              <w:tr2bl w:val="nil"/>
            </w:tcBorders>
            <w:shd w:val="clear" w:color="auto" w:fill="FFFFFF"/>
            <w:tcMar>
              <w:top w:w="0" w:type="dxa"/>
              <w:left w:w="0" w:type="dxa"/>
              <w:bottom w:w="0" w:type="dxa"/>
              <w:right w:w="0" w:type="dxa"/>
            </w:tcMar>
            <w:vAlign w:val="center"/>
          </w:tcPr>
          <w:p w14:paraId="2EC6583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搅拌机2台叠加</w:t>
            </w:r>
          </w:p>
        </w:tc>
        <w:tc>
          <w:tcPr>
            <w:tcW w:w="405" w:type="dxa"/>
            <w:tcBorders>
              <w:tl2br w:val="nil"/>
              <w:tr2bl w:val="nil"/>
            </w:tcBorders>
            <w:shd w:val="clear" w:color="auto" w:fill="FFFFFF"/>
            <w:tcMar>
              <w:top w:w="0" w:type="dxa"/>
              <w:left w:w="0" w:type="dxa"/>
              <w:bottom w:w="0" w:type="dxa"/>
              <w:right w:w="0" w:type="dxa"/>
            </w:tcMar>
            <w:vAlign w:val="center"/>
          </w:tcPr>
          <w:p w14:paraId="1CF1E53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3156ACD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w:t>
            </w:r>
          </w:p>
        </w:tc>
        <w:tc>
          <w:tcPr>
            <w:tcW w:w="1878" w:type="dxa"/>
            <w:tcBorders>
              <w:tl2br w:val="nil"/>
              <w:tr2bl w:val="nil"/>
            </w:tcBorders>
            <w:shd w:val="clear" w:color="auto" w:fill="FFFFFF"/>
            <w:tcMar>
              <w:top w:w="0" w:type="dxa"/>
              <w:left w:w="0" w:type="dxa"/>
              <w:bottom w:w="0" w:type="dxa"/>
              <w:right w:w="0" w:type="dxa"/>
            </w:tcMar>
            <w:vAlign w:val="center"/>
          </w:tcPr>
          <w:p w14:paraId="0F6C02A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基础减震，水下吸声</w:t>
            </w:r>
          </w:p>
        </w:tc>
        <w:tc>
          <w:tcPr>
            <w:tcW w:w="555" w:type="dxa"/>
            <w:tcBorders>
              <w:tl2br w:val="nil"/>
              <w:tr2bl w:val="nil"/>
            </w:tcBorders>
            <w:shd w:val="clear" w:color="auto" w:fill="FFFFFF"/>
            <w:tcMar>
              <w:top w:w="0" w:type="dxa"/>
              <w:left w:w="0" w:type="dxa"/>
              <w:bottom w:w="0" w:type="dxa"/>
              <w:right w:w="0" w:type="dxa"/>
            </w:tcMar>
            <w:vAlign w:val="center"/>
          </w:tcPr>
          <w:p w14:paraId="5AF8717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-20.8</w:t>
            </w:r>
          </w:p>
        </w:tc>
        <w:tc>
          <w:tcPr>
            <w:tcW w:w="525" w:type="dxa"/>
            <w:tcBorders>
              <w:tl2br w:val="nil"/>
              <w:tr2bl w:val="nil"/>
            </w:tcBorders>
            <w:shd w:val="clear" w:color="auto" w:fill="FFFFFF"/>
            <w:tcMar>
              <w:top w:w="0" w:type="dxa"/>
              <w:left w:w="0" w:type="dxa"/>
              <w:bottom w:w="0" w:type="dxa"/>
              <w:right w:w="0" w:type="dxa"/>
            </w:tcMar>
            <w:vAlign w:val="center"/>
          </w:tcPr>
          <w:p w14:paraId="6BBA44A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16.5</w:t>
            </w:r>
          </w:p>
        </w:tc>
        <w:tc>
          <w:tcPr>
            <w:tcW w:w="429" w:type="dxa"/>
            <w:tcBorders>
              <w:tl2br w:val="nil"/>
              <w:tr2bl w:val="nil"/>
            </w:tcBorders>
            <w:shd w:val="clear" w:color="auto" w:fill="FFFFFF"/>
            <w:tcMar>
              <w:top w:w="0" w:type="dxa"/>
              <w:left w:w="0" w:type="dxa"/>
              <w:bottom w:w="0" w:type="dxa"/>
              <w:right w:w="0" w:type="dxa"/>
            </w:tcMar>
            <w:vAlign w:val="center"/>
          </w:tcPr>
          <w:p w14:paraId="06C5EDD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w:t>
            </w:r>
          </w:p>
        </w:tc>
        <w:tc>
          <w:tcPr>
            <w:tcW w:w="435" w:type="dxa"/>
            <w:tcBorders>
              <w:tl2br w:val="nil"/>
              <w:tr2bl w:val="nil"/>
            </w:tcBorders>
            <w:shd w:val="clear" w:color="auto" w:fill="FFFFFF"/>
            <w:tcMar>
              <w:top w:w="0" w:type="dxa"/>
              <w:left w:w="0" w:type="dxa"/>
              <w:bottom w:w="0" w:type="dxa"/>
              <w:right w:w="0" w:type="dxa"/>
            </w:tcMar>
            <w:vAlign w:val="center"/>
          </w:tcPr>
          <w:p w14:paraId="739E8D3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22.7</w:t>
            </w:r>
          </w:p>
        </w:tc>
        <w:tc>
          <w:tcPr>
            <w:tcW w:w="480" w:type="dxa"/>
            <w:tcBorders>
              <w:tl2br w:val="nil"/>
              <w:tr2bl w:val="nil"/>
            </w:tcBorders>
            <w:shd w:val="clear" w:color="auto" w:fill="FFFFFF"/>
            <w:tcMar>
              <w:top w:w="0" w:type="dxa"/>
              <w:left w:w="0" w:type="dxa"/>
              <w:bottom w:w="0" w:type="dxa"/>
              <w:right w:w="0" w:type="dxa"/>
            </w:tcMar>
            <w:vAlign w:val="center"/>
          </w:tcPr>
          <w:p w14:paraId="3E973BD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7.1</w:t>
            </w:r>
          </w:p>
        </w:tc>
        <w:tc>
          <w:tcPr>
            <w:tcW w:w="435" w:type="dxa"/>
            <w:tcBorders>
              <w:tl2br w:val="nil"/>
              <w:tr2bl w:val="nil"/>
            </w:tcBorders>
            <w:shd w:val="clear" w:color="auto" w:fill="FFFFFF"/>
            <w:tcMar>
              <w:top w:w="0" w:type="dxa"/>
              <w:left w:w="0" w:type="dxa"/>
              <w:bottom w:w="0" w:type="dxa"/>
              <w:right w:w="0" w:type="dxa"/>
            </w:tcMar>
            <w:vAlign w:val="center"/>
          </w:tcPr>
          <w:p w14:paraId="30742EF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21.3</w:t>
            </w:r>
          </w:p>
        </w:tc>
        <w:tc>
          <w:tcPr>
            <w:tcW w:w="483" w:type="dxa"/>
            <w:tcBorders>
              <w:tl2br w:val="nil"/>
              <w:tr2bl w:val="nil"/>
            </w:tcBorders>
            <w:shd w:val="clear" w:color="auto" w:fill="FFFFFF"/>
            <w:tcMar>
              <w:top w:w="0" w:type="dxa"/>
              <w:left w:w="0" w:type="dxa"/>
              <w:bottom w:w="0" w:type="dxa"/>
              <w:right w:w="0" w:type="dxa"/>
            </w:tcMar>
            <w:vAlign w:val="center"/>
          </w:tcPr>
          <w:p w14:paraId="262551B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7.5</w:t>
            </w:r>
          </w:p>
        </w:tc>
        <w:tc>
          <w:tcPr>
            <w:tcW w:w="413" w:type="dxa"/>
            <w:tcBorders>
              <w:tl2br w:val="nil"/>
              <w:tr2bl w:val="nil"/>
            </w:tcBorders>
            <w:shd w:val="clear" w:color="auto" w:fill="FFFFFF"/>
            <w:tcMar>
              <w:top w:w="0" w:type="dxa"/>
              <w:left w:w="0" w:type="dxa"/>
              <w:bottom w:w="0" w:type="dxa"/>
              <w:right w:w="0" w:type="dxa"/>
            </w:tcMar>
            <w:vAlign w:val="center"/>
          </w:tcPr>
          <w:p w14:paraId="7816FD3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64.3</w:t>
            </w:r>
          </w:p>
        </w:tc>
        <w:tc>
          <w:tcPr>
            <w:tcW w:w="465" w:type="dxa"/>
            <w:tcBorders>
              <w:tl2br w:val="nil"/>
              <w:tr2bl w:val="nil"/>
            </w:tcBorders>
            <w:shd w:val="clear" w:color="auto" w:fill="FFFFFF"/>
            <w:tcMar>
              <w:top w:w="0" w:type="dxa"/>
              <w:left w:w="0" w:type="dxa"/>
              <w:bottom w:w="0" w:type="dxa"/>
              <w:right w:w="0" w:type="dxa"/>
            </w:tcMar>
            <w:vAlign w:val="center"/>
          </w:tcPr>
          <w:p w14:paraId="5FD35BF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64.3</w:t>
            </w:r>
          </w:p>
        </w:tc>
        <w:tc>
          <w:tcPr>
            <w:tcW w:w="487" w:type="dxa"/>
            <w:tcBorders>
              <w:tl2br w:val="nil"/>
              <w:tr2bl w:val="nil"/>
            </w:tcBorders>
            <w:shd w:val="clear" w:color="auto" w:fill="FFFFFF"/>
            <w:tcMar>
              <w:top w:w="0" w:type="dxa"/>
              <w:left w:w="0" w:type="dxa"/>
              <w:bottom w:w="0" w:type="dxa"/>
              <w:right w:w="0" w:type="dxa"/>
            </w:tcMar>
            <w:vAlign w:val="center"/>
          </w:tcPr>
          <w:p w14:paraId="455B9E7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64.3</w:t>
            </w:r>
          </w:p>
        </w:tc>
        <w:tc>
          <w:tcPr>
            <w:tcW w:w="491" w:type="dxa"/>
            <w:tcBorders>
              <w:tl2br w:val="nil"/>
              <w:tr2bl w:val="nil"/>
            </w:tcBorders>
            <w:shd w:val="clear" w:color="auto" w:fill="FFFFFF"/>
            <w:tcMar>
              <w:top w:w="0" w:type="dxa"/>
              <w:left w:w="0" w:type="dxa"/>
              <w:bottom w:w="0" w:type="dxa"/>
              <w:right w:w="0" w:type="dxa"/>
            </w:tcMar>
            <w:vAlign w:val="center"/>
          </w:tcPr>
          <w:p w14:paraId="2EFE046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64.3</w:t>
            </w:r>
          </w:p>
        </w:tc>
        <w:tc>
          <w:tcPr>
            <w:tcW w:w="480" w:type="dxa"/>
            <w:tcBorders>
              <w:tl2br w:val="nil"/>
              <w:tr2bl w:val="nil"/>
            </w:tcBorders>
            <w:shd w:val="clear" w:color="auto" w:fill="FFFFFF"/>
            <w:tcMar>
              <w:top w:w="0" w:type="dxa"/>
              <w:left w:w="0" w:type="dxa"/>
              <w:bottom w:w="0" w:type="dxa"/>
              <w:right w:w="0" w:type="dxa"/>
            </w:tcMar>
            <w:vAlign w:val="center"/>
          </w:tcPr>
          <w:p w14:paraId="34968C4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2F46382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1D5D9FD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46DE642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6FA6A47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4CDD5EB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38.3</w:t>
            </w:r>
          </w:p>
        </w:tc>
        <w:tc>
          <w:tcPr>
            <w:tcW w:w="472" w:type="dxa"/>
            <w:tcBorders>
              <w:tl2br w:val="nil"/>
              <w:tr2bl w:val="nil"/>
            </w:tcBorders>
            <w:shd w:val="clear" w:color="auto" w:fill="FFFFFF"/>
            <w:tcMar>
              <w:top w:w="0" w:type="dxa"/>
              <w:left w:w="0" w:type="dxa"/>
              <w:bottom w:w="0" w:type="dxa"/>
              <w:right w:w="0" w:type="dxa"/>
            </w:tcMar>
            <w:vAlign w:val="center"/>
          </w:tcPr>
          <w:p w14:paraId="64AE412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38.3</w:t>
            </w:r>
          </w:p>
        </w:tc>
        <w:tc>
          <w:tcPr>
            <w:tcW w:w="450" w:type="dxa"/>
            <w:tcBorders>
              <w:tl2br w:val="nil"/>
              <w:tr2bl w:val="nil"/>
            </w:tcBorders>
            <w:shd w:val="clear" w:color="auto" w:fill="FFFFFF"/>
            <w:tcMar>
              <w:top w:w="0" w:type="dxa"/>
              <w:left w:w="0" w:type="dxa"/>
              <w:bottom w:w="0" w:type="dxa"/>
              <w:right w:w="0" w:type="dxa"/>
            </w:tcMar>
            <w:vAlign w:val="center"/>
          </w:tcPr>
          <w:p w14:paraId="4B6FCA6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38.3</w:t>
            </w:r>
          </w:p>
        </w:tc>
        <w:tc>
          <w:tcPr>
            <w:tcW w:w="450" w:type="dxa"/>
            <w:tcBorders>
              <w:tl2br w:val="nil"/>
              <w:tr2bl w:val="nil"/>
            </w:tcBorders>
            <w:shd w:val="clear" w:color="auto" w:fill="FFFFFF"/>
            <w:tcMar>
              <w:top w:w="0" w:type="dxa"/>
              <w:left w:w="0" w:type="dxa"/>
              <w:bottom w:w="0" w:type="dxa"/>
              <w:right w:w="0" w:type="dxa"/>
            </w:tcMar>
            <w:vAlign w:val="center"/>
          </w:tcPr>
          <w:p w14:paraId="4DF807E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38.3</w:t>
            </w:r>
          </w:p>
        </w:tc>
        <w:tc>
          <w:tcPr>
            <w:tcW w:w="530" w:type="dxa"/>
            <w:tcBorders>
              <w:tl2br w:val="nil"/>
              <w:tr2bl w:val="nil"/>
            </w:tcBorders>
            <w:shd w:val="clear" w:color="auto" w:fill="FFFFFF"/>
            <w:tcMar>
              <w:top w:w="0" w:type="dxa"/>
              <w:left w:w="0" w:type="dxa"/>
              <w:bottom w:w="0" w:type="dxa"/>
              <w:right w:w="0" w:type="dxa"/>
            </w:tcMar>
            <w:vAlign w:val="center"/>
          </w:tcPr>
          <w:p w14:paraId="589F49C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1ABAE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11" w:hRule="atLeast"/>
        </w:trPr>
        <w:tc>
          <w:tcPr>
            <w:tcW w:w="415" w:type="dxa"/>
            <w:tcBorders>
              <w:tl2br w:val="nil"/>
              <w:tr2bl w:val="nil"/>
            </w:tcBorders>
            <w:shd w:val="clear" w:color="auto" w:fill="FFFFFF"/>
            <w:tcMar>
              <w:top w:w="0" w:type="dxa"/>
              <w:left w:w="0" w:type="dxa"/>
              <w:bottom w:w="0" w:type="dxa"/>
              <w:right w:w="0" w:type="dxa"/>
            </w:tcMar>
            <w:vAlign w:val="center"/>
          </w:tcPr>
          <w:p w14:paraId="1E7BEE0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3454CD7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60A1E85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回流泵2台叠加</w:t>
            </w:r>
          </w:p>
        </w:tc>
        <w:tc>
          <w:tcPr>
            <w:tcW w:w="405" w:type="dxa"/>
            <w:tcBorders>
              <w:tl2br w:val="nil"/>
              <w:tr2bl w:val="nil"/>
            </w:tcBorders>
            <w:shd w:val="clear" w:color="auto" w:fill="FFFFFF"/>
            <w:tcMar>
              <w:top w:w="0" w:type="dxa"/>
              <w:left w:w="0" w:type="dxa"/>
              <w:bottom w:w="0" w:type="dxa"/>
              <w:right w:w="0" w:type="dxa"/>
            </w:tcMar>
            <w:vAlign w:val="center"/>
          </w:tcPr>
          <w:p w14:paraId="7A934BF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62768BD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83</w:t>
            </w:r>
          </w:p>
        </w:tc>
        <w:tc>
          <w:tcPr>
            <w:tcW w:w="1878" w:type="dxa"/>
            <w:tcBorders>
              <w:tl2br w:val="nil"/>
              <w:tr2bl w:val="nil"/>
            </w:tcBorders>
            <w:shd w:val="clear" w:color="auto" w:fill="FFFFFF"/>
            <w:tcMar>
              <w:top w:w="0" w:type="dxa"/>
              <w:left w:w="0" w:type="dxa"/>
              <w:bottom w:w="0" w:type="dxa"/>
              <w:right w:w="0" w:type="dxa"/>
            </w:tcMar>
            <w:vAlign w:val="center"/>
          </w:tcPr>
          <w:p w14:paraId="15E53A2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w:t>
            </w:r>
          </w:p>
        </w:tc>
        <w:tc>
          <w:tcPr>
            <w:tcW w:w="555" w:type="dxa"/>
            <w:tcBorders>
              <w:tl2br w:val="nil"/>
              <w:tr2bl w:val="nil"/>
            </w:tcBorders>
            <w:shd w:val="clear" w:color="auto" w:fill="FFFFFF"/>
            <w:tcMar>
              <w:top w:w="0" w:type="dxa"/>
              <w:left w:w="0" w:type="dxa"/>
              <w:bottom w:w="0" w:type="dxa"/>
              <w:right w:w="0" w:type="dxa"/>
            </w:tcMar>
            <w:vAlign w:val="center"/>
          </w:tcPr>
          <w:p w14:paraId="57EAA72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-30.6</w:t>
            </w:r>
          </w:p>
        </w:tc>
        <w:tc>
          <w:tcPr>
            <w:tcW w:w="525" w:type="dxa"/>
            <w:tcBorders>
              <w:tl2br w:val="nil"/>
              <w:tr2bl w:val="nil"/>
            </w:tcBorders>
            <w:shd w:val="clear" w:color="auto" w:fill="FFFFFF"/>
            <w:tcMar>
              <w:top w:w="0" w:type="dxa"/>
              <w:left w:w="0" w:type="dxa"/>
              <w:bottom w:w="0" w:type="dxa"/>
              <w:right w:w="0" w:type="dxa"/>
            </w:tcMar>
            <w:vAlign w:val="center"/>
          </w:tcPr>
          <w:p w14:paraId="0A08645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16.7</w:t>
            </w:r>
          </w:p>
        </w:tc>
        <w:tc>
          <w:tcPr>
            <w:tcW w:w="429" w:type="dxa"/>
            <w:tcBorders>
              <w:tl2br w:val="nil"/>
              <w:tr2bl w:val="nil"/>
            </w:tcBorders>
            <w:shd w:val="clear" w:color="auto" w:fill="FFFFFF"/>
            <w:tcMar>
              <w:top w:w="0" w:type="dxa"/>
              <w:left w:w="0" w:type="dxa"/>
              <w:bottom w:w="0" w:type="dxa"/>
              <w:right w:w="0" w:type="dxa"/>
            </w:tcMar>
            <w:vAlign w:val="center"/>
          </w:tcPr>
          <w:p w14:paraId="05D3A06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6069976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32.5</w:t>
            </w:r>
          </w:p>
        </w:tc>
        <w:tc>
          <w:tcPr>
            <w:tcW w:w="480" w:type="dxa"/>
            <w:tcBorders>
              <w:tl2br w:val="nil"/>
              <w:tr2bl w:val="nil"/>
            </w:tcBorders>
            <w:shd w:val="clear" w:color="auto" w:fill="FFFFFF"/>
            <w:tcMar>
              <w:top w:w="0" w:type="dxa"/>
              <w:left w:w="0" w:type="dxa"/>
              <w:bottom w:w="0" w:type="dxa"/>
              <w:right w:w="0" w:type="dxa"/>
            </w:tcMar>
            <w:vAlign w:val="center"/>
          </w:tcPr>
          <w:p w14:paraId="66A9086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w:t>
            </w:r>
          </w:p>
        </w:tc>
        <w:tc>
          <w:tcPr>
            <w:tcW w:w="435" w:type="dxa"/>
            <w:tcBorders>
              <w:tl2br w:val="nil"/>
              <w:tr2bl w:val="nil"/>
            </w:tcBorders>
            <w:shd w:val="clear" w:color="auto" w:fill="FFFFFF"/>
            <w:tcMar>
              <w:top w:w="0" w:type="dxa"/>
              <w:left w:w="0" w:type="dxa"/>
              <w:bottom w:w="0" w:type="dxa"/>
              <w:right w:w="0" w:type="dxa"/>
            </w:tcMar>
            <w:vAlign w:val="center"/>
          </w:tcPr>
          <w:p w14:paraId="32BA7FD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11.5</w:t>
            </w:r>
          </w:p>
        </w:tc>
        <w:tc>
          <w:tcPr>
            <w:tcW w:w="483" w:type="dxa"/>
            <w:tcBorders>
              <w:tl2br w:val="nil"/>
              <w:tr2bl w:val="nil"/>
            </w:tcBorders>
            <w:shd w:val="clear" w:color="auto" w:fill="FFFFFF"/>
            <w:tcMar>
              <w:top w:w="0" w:type="dxa"/>
              <w:left w:w="0" w:type="dxa"/>
              <w:bottom w:w="0" w:type="dxa"/>
              <w:right w:w="0" w:type="dxa"/>
            </w:tcMar>
            <w:vAlign w:val="center"/>
          </w:tcPr>
          <w:p w14:paraId="08BEDA5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w:t>
            </w:r>
          </w:p>
        </w:tc>
        <w:tc>
          <w:tcPr>
            <w:tcW w:w="413" w:type="dxa"/>
            <w:tcBorders>
              <w:tl2br w:val="nil"/>
              <w:tr2bl w:val="nil"/>
            </w:tcBorders>
            <w:shd w:val="clear" w:color="auto" w:fill="FFFFFF"/>
            <w:tcMar>
              <w:top w:w="0" w:type="dxa"/>
              <w:left w:w="0" w:type="dxa"/>
              <w:bottom w:w="0" w:type="dxa"/>
              <w:right w:w="0" w:type="dxa"/>
            </w:tcMar>
            <w:vAlign w:val="center"/>
          </w:tcPr>
          <w:p w14:paraId="5BED9E9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74.3</w:t>
            </w:r>
          </w:p>
        </w:tc>
        <w:tc>
          <w:tcPr>
            <w:tcW w:w="465" w:type="dxa"/>
            <w:tcBorders>
              <w:tl2br w:val="nil"/>
              <w:tr2bl w:val="nil"/>
            </w:tcBorders>
            <w:shd w:val="clear" w:color="auto" w:fill="FFFFFF"/>
            <w:tcMar>
              <w:top w:w="0" w:type="dxa"/>
              <w:left w:w="0" w:type="dxa"/>
              <w:bottom w:w="0" w:type="dxa"/>
              <w:right w:w="0" w:type="dxa"/>
            </w:tcMar>
            <w:vAlign w:val="center"/>
          </w:tcPr>
          <w:p w14:paraId="1ADD1F9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74.3</w:t>
            </w:r>
          </w:p>
        </w:tc>
        <w:tc>
          <w:tcPr>
            <w:tcW w:w="487" w:type="dxa"/>
            <w:tcBorders>
              <w:tl2br w:val="nil"/>
              <w:tr2bl w:val="nil"/>
            </w:tcBorders>
            <w:shd w:val="clear" w:color="auto" w:fill="FFFFFF"/>
            <w:tcMar>
              <w:top w:w="0" w:type="dxa"/>
              <w:left w:w="0" w:type="dxa"/>
              <w:bottom w:w="0" w:type="dxa"/>
              <w:right w:w="0" w:type="dxa"/>
            </w:tcMar>
            <w:vAlign w:val="center"/>
          </w:tcPr>
          <w:p w14:paraId="3386711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74.3</w:t>
            </w:r>
          </w:p>
        </w:tc>
        <w:tc>
          <w:tcPr>
            <w:tcW w:w="491" w:type="dxa"/>
            <w:tcBorders>
              <w:tl2br w:val="nil"/>
              <w:tr2bl w:val="nil"/>
            </w:tcBorders>
            <w:shd w:val="clear" w:color="auto" w:fill="FFFFFF"/>
            <w:tcMar>
              <w:top w:w="0" w:type="dxa"/>
              <w:left w:w="0" w:type="dxa"/>
              <w:bottom w:w="0" w:type="dxa"/>
              <w:right w:w="0" w:type="dxa"/>
            </w:tcMar>
            <w:vAlign w:val="center"/>
          </w:tcPr>
          <w:p w14:paraId="1FC12CA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74.3</w:t>
            </w:r>
          </w:p>
        </w:tc>
        <w:tc>
          <w:tcPr>
            <w:tcW w:w="480" w:type="dxa"/>
            <w:tcBorders>
              <w:tl2br w:val="nil"/>
              <w:tr2bl w:val="nil"/>
            </w:tcBorders>
            <w:shd w:val="clear" w:color="auto" w:fill="FFFFFF"/>
            <w:tcMar>
              <w:top w:w="0" w:type="dxa"/>
              <w:left w:w="0" w:type="dxa"/>
              <w:bottom w:w="0" w:type="dxa"/>
              <w:right w:w="0" w:type="dxa"/>
            </w:tcMar>
            <w:vAlign w:val="center"/>
          </w:tcPr>
          <w:p w14:paraId="2633EEB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2CEF9CA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0661DA7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144058A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36ECAA9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34C0AE3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48.3</w:t>
            </w:r>
          </w:p>
        </w:tc>
        <w:tc>
          <w:tcPr>
            <w:tcW w:w="472" w:type="dxa"/>
            <w:tcBorders>
              <w:tl2br w:val="nil"/>
              <w:tr2bl w:val="nil"/>
            </w:tcBorders>
            <w:shd w:val="clear" w:color="auto" w:fill="FFFFFF"/>
            <w:tcMar>
              <w:top w:w="0" w:type="dxa"/>
              <w:left w:w="0" w:type="dxa"/>
              <w:bottom w:w="0" w:type="dxa"/>
              <w:right w:w="0" w:type="dxa"/>
            </w:tcMar>
            <w:vAlign w:val="center"/>
          </w:tcPr>
          <w:p w14:paraId="42080B5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48.3</w:t>
            </w:r>
          </w:p>
        </w:tc>
        <w:tc>
          <w:tcPr>
            <w:tcW w:w="450" w:type="dxa"/>
            <w:tcBorders>
              <w:tl2br w:val="nil"/>
              <w:tr2bl w:val="nil"/>
            </w:tcBorders>
            <w:shd w:val="clear" w:color="auto" w:fill="FFFFFF"/>
            <w:tcMar>
              <w:top w:w="0" w:type="dxa"/>
              <w:left w:w="0" w:type="dxa"/>
              <w:bottom w:w="0" w:type="dxa"/>
              <w:right w:w="0" w:type="dxa"/>
            </w:tcMar>
            <w:vAlign w:val="center"/>
          </w:tcPr>
          <w:p w14:paraId="5E908F3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48.3</w:t>
            </w:r>
          </w:p>
        </w:tc>
        <w:tc>
          <w:tcPr>
            <w:tcW w:w="450" w:type="dxa"/>
            <w:tcBorders>
              <w:tl2br w:val="nil"/>
              <w:tr2bl w:val="nil"/>
            </w:tcBorders>
            <w:shd w:val="clear" w:color="auto" w:fill="FFFFFF"/>
            <w:tcMar>
              <w:top w:w="0" w:type="dxa"/>
              <w:left w:w="0" w:type="dxa"/>
              <w:bottom w:w="0" w:type="dxa"/>
              <w:right w:w="0" w:type="dxa"/>
            </w:tcMar>
            <w:vAlign w:val="center"/>
          </w:tcPr>
          <w:p w14:paraId="31EF3CE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48.3</w:t>
            </w:r>
          </w:p>
        </w:tc>
        <w:tc>
          <w:tcPr>
            <w:tcW w:w="530" w:type="dxa"/>
            <w:tcBorders>
              <w:tl2br w:val="nil"/>
              <w:tr2bl w:val="nil"/>
            </w:tcBorders>
            <w:shd w:val="clear" w:color="auto" w:fill="FFFFFF"/>
            <w:tcMar>
              <w:top w:w="0" w:type="dxa"/>
              <w:left w:w="0" w:type="dxa"/>
              <w:bottom w:w="0" w:type="dxa"/>
              <w:right w:w="0" w:type="dxa"/>
            </w:tcMar>
            <w:vAlign w:val="center"/>
          </w:tcPr>
          <w:p w14:paraId="11BF534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31093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6" w:hRule="atLeast"/>
        </w:trPr>
        <w:tc>
          <w:tcPr>
            <w:tcW w:w="415" w:type="dxa"/>
            <w:tcBorders>
              <w:tl2br w:val="nil"/>
              <w:tr2bl w:val="nil"/>
            </w:tcBorders>
            <w:shd w:val="clear" w:color="auto" w:fill="FFFFFF"/>
            <w:tcMar>
              <w:top w:w="0" w:type="dxa"/>
              <w:left w:w="0" w:type="dxa"/>
              <w:bottom w:w="0" w:type="dxa"/>
              <w:right w:w="0" w:type="dxa"/>
            </w:tcMar>
            <w:vAlign w:val="center"/>
          </w:tcPr>
          <w:p w14:paraId="691050E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4EECD24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671533C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污泥泵2台叠加</w:t>
            </w:r>
          </w:p>
        </w:tc>
        <w:tc>
          <w:tcPr>
            <w:tcW w:w="405" w:type="dxa"/>
            <w:tcBorders>
              <w:tl2br w:val="nil"/>
              <w:tr2bl w:val="nil"/>
            </w:tcBorders>
            <w:shd w:val="clear" w:color="auto" w:fill="FFFFFF"/>
            <w:tcMar>
              <w:top w:w="0" w:type="dxa"/>
              <w:left w:w="0" w:type="dxa"/>
              <w:bottom w:w="0" w:type="dxa"/>
              <w:right w:w="0" w:type="dxa"/>
            </w:tcMar>
            <w:vAlign w:val="center"/>
          </w:tcPr>
          <w:p w14:paraId="43B1080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41056AB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88</w:t>
            </w:r>
          </w:p>
        </w:tc>
        <w:tc>
          <w:tcPr>
            <w:tcW w:w="1878" w:type="dxa"/>
            <w:tcBorders>
              <w:tl2br w:val="nil"/>
              <w:tr2bl w:val="nil"/>
            </w:tcBorders>
            <w:shd w:val="clear" w:color="auto" w:fill="FFFFFF"/>
            <w:tcMar>
              <w:top w:w="0" w:type="dxa"/>
              <w:left w:w="0" w:type="dxa"/>
              <w:bottom w:w="0" w:type="dxa"/>
              <w:right w:w="0" w:type="dxa"/>
            </w:tcMar>
            <w:vAlign w:val="center"/>
          </w:tcPr>
          <w:p w14:paraId="77E61B7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w:t>
            </w:r>
          </w:p>
        </w:tc>
        <w:tc>
          <w:tcPr>
            <w:tcW w:w="555" w:type="dxa"/>
            <w:tcBorders>
              <w:tl2br w:val="nil"/>
              <w:tr2bl w:val="nil"/>
            </w:tcBorders>
            <w:shd w:val="clear" w:color="auto" w:fill="FFFFFF"/>
            <w:tcMar>
              <w:top w:w="0" w:type="dxa"/>
              <w:left w:w="0" w:type="dxa"/>
              <w:bottom w:w="0" w:type="dxa"/>
              <w:right w:w="0" w:type="dxa"/>
            </w:tcMar>
            <w:vAlign w:val="center"/>
          </w:tcPr>
          <w:p w14:paraId="605575A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-10.8</w:t>
            </w:r>
          </w:p>
        </w:tc>
        <w:tc>
          <w:tcPr>
            <w:tcW w:w="525" w:type="dxa"/>
            <w:tcBorders>
              <w:tl2br w:val="nil"/>
              <w:tr2bl w:val="nil"/>
            </w:tcBorders>
            <w:shd w:val="clear" w:color="auto" w:fill="FFFFFF"/>
            <w:tcMar>
              <w:top w:w="0" w:type="dxa"/>
              <w:left w:w="0" w:type="dxa"/>
              <w:bottom w:w="0" w:type="dxa"/>
              <w:right w:w="0" w:type="dxa"/>
            </w:tcMar>
            <w:vAlign w:val="center"/>
          </w:tcPr>
          <w:p w14:paraId="7C8096B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16.6</w:t>
            </w:r>
          </w:p>
        </w:tc>
        <w:tc>
          <w:tcPr>
            <w:tcW w:w="429" w:type="dxa"/>
            <w:tcBorders>
              <w:tl2br w:val="nil"/>
              <w:tr2bl w:val="nil"/>
            </w:tcBorders>
            <w:shd w:val="clear" w:color="auto" w:fill="FFFFFF"/>
            <w:tcMar>
              <w:top w:w="0" w:type="dxa"/>
              <w:left w:w="0" w:type="dxa"/>
              <w:bottom w:w="0" w:type="dxa"/>
              <w:right w:w="0" w:type="dxa"/>
            </w:tcMar>
            <w:vAlign w:val="center"/>
          </w:tcPr>
          <w:p w14:paraId="414D7C8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7900F48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12.7</w:t>
            </w:r>
          </w:p>
        </w:tc>
        <w:tc>
          <w:tcPr>
            <w:tcW w:w="480" w:type="dxa"/>
            <w:tcBorders>
              <w:tl2br w:val="nil"/>
              <w:tr2bl w:val="nil"/>
            </w:tcBorders>
            <w:shd w:val="clear" w:color="auto" w:fill="FFFFFF"/>
            <w:tcMar>
              <w:top w:w="0" w:type="dxa"/>
              <w:left w:w="0" w:type="dxa"/>
              <w:bottom w:w="0" w:type="dxa"/>
              <w:right w:w="0" w:type="dxa"/>
            </w:tcMar>
            <w:vAlign w:val="center"/>
          </w:tcPr>
          <w:p w14:paraId="046F820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7.2</w:t>
            </w:r>
          </w:p>
        </w:tc>
        <w:tc>
          <w:tcPr>
            <w:tcW w:w="435" w:type="dxa"/>
            <w:tcBorders>
              <w:tl2br w:val="nil"/>
              <w:tr2bl w:val="nil"/>
            </w:tcBorders>
            <w:shd w:val="clear" w:color="auto" w:fill="FFFFFF"/>
            <w:tcMar>
              <w:top w:w="0" w:type="dxa"/>
              <w:left w:w="0" w:type="dxa"/>
              <w:bottom w:w="0" w:type="dxa"/>
              <w:right w:w="0" w:type="dxa"/>
            </w:tcMar>
            <w:vAlign w:val="center"/>
          </w:tcPr>
          <w:p w14:paraId="0622A6C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31.3</w:t>
            </w:r>
          </w:p>
        </w:tc>
        <w:tc>
          <w:tcPr>
            <w:tcW w:w="483" w:type="dxa"/>
            <w:tcBorders>
              <w:tl2br w:val="nil"/>
              <w:tr2bl w:val="nil"/>
            </w:tcBorders>
            <w:shd w:val="clear" w:color="auto" w:fill="FFFFFF"/>
            <w:tcMar>
              <w:top w:w="0" w:type="dxa"/>
              <w:left w:w="0" w:type="dxa"/>
              <w:bottom w:w="0" w:type="dxa"/>
              <w:right w:w="0" w:type="dxa"/>
            </w:tcMar>
            <w:vAlign w:val="center"/>
          </w:tcPr>
          <w:p w14:paraId="0057960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w:t>
            </w:r>
          </w:p>
        </w:tc>
        <w:tc>
          <w:tcPr>
            <w:tcW w:w="413" w:type="dxa"/>
            <w:tcBorders>
              <w:tl2br w:val="nil"/>
              <w:tr2bl w:val="nil"/>
            </w:tcBorders>
            <w:shd w:val="clear" w:color="auto" w:fill="FFFFFF"/>
            <w:tcMar>
              <w:top w:w="0" w:type="dxa"/>
              <w:left w:w="0" w:type="dxa"/>
              <w:bottom w:w="0" w:type="dxa"/>
              <w:right w:w="0" w:type="dxa"/>
            </w:tcMar>
            <w:vAlign w:val="center"/>
          </w:tcPr>
          <w:p w14:paraId="24C6A1C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79.3</w:t>
            </w:r>
          </w:p>
        </w:tc>
        <w:tc>
          <w:tcPr>
            <w:tcW w:w="465" w:type="dxa"/>
            <w:tcBorders>
              <w:tl2br w:val="nil"/>
              <w:tr2bl w:val="nil"/>
            </w:tcBorders>
            <w:shd w:val="clear" w:color="auto" w:fill="FFFFFF"/>
            <w:tcMar>
              <w:top w:w="0" w:type="dxa"/>
              <w:left w:w="0" w:type="dxa"/>
              <w:bottom w:w="0" w:type="dxa"/>
              <w:right w:w="0" w:type="dxa"/>
            </w:tcMar>
            <w:vAlign w:val="center"/>
          </w:tcPr>
          <w:p w14:paraId="5D2144A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79.3</w:t>
            </w:r>
          </w:p>
        </w:tc>
        <w:tc>
          <w:tcPr>
            <w:tcW w:w="487" w:type="dxa"/>
            <w:tcBorders>
              <w:tl2br w:val="nil"/>
              <w:tr2bl w:val="nil"/>
            </w:tcBorders>
            <w:shd w:val="clear" w:color="auto" w:fill="FFFFFF"/>
            <w:tcMar>
              <w:top w:w="0" w:type="dxa"/>
              <w:left w:w="0" w:type="dxa"/>
              <w:bottom w:w="0" w:type="dxa"/>
              <w:right w:w="0" w:type="dxa"/>
            </w:tcMar>
            <w:vAlign w:val="center"/>
          </w:tcPr>
          <w:p w14:paraId="0A38EFC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79.3</w:t>
            </w:r>
          </w:p>
        </w:tc>
        <w:tc>
          <w:tcPr>
            <w:tcW w:w="491" w:type="dxa"/>
            <w:tcBorders>
              <w:tl2br w:val="nil"/>
              <w:tr2bl w:val="nil"/>
            </w:tcBorders>
            <w:shd w:val="clear" w:color="auto" w:fill="FFFFFF"/>
            <w:tcMar>
              <w:top w:w="0" w:type="dxa"/>
              <w:left w:w="0" w:type="dxa"/>
              <w:bottom w:w="0" w:type="dxa"/>
              <w:right w:w="0" w:type="dxa"/>
            </w:tcMar>
            <w:vAlign w:val="center"/>
          </w:tcPr>
          <w:p w14:paraId="1BF9C04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79.3</w:t>
            </w:r>
          </w:p>
        </w:tc>
        <w:tc>
          <w:tcPr>
            <w:tcW w:w="480" w:type="dxa"/>
            <w:tcBorders>
              <w:tl2br w:val="nil"/>
              <w:tr2bl w:val="nil"/>
            </w:tcBorders>
            <w:shd w:val="clear" w:color="auto" w:fill="FFFFFF"/>
            <w:tcMar>
              <w:top w:w="0" w:type="dxa"/>
              <w:left w:w="0" w:type="dxa"/>
              <w:bottom w:w="0" w:type="dxa"/>
              <w:right w:w="0" w:type="dxa"/>
            </w:tcMar>
            <w:vAlign w:val="center"/>
          </w:tcPr>
          <w:p w14:paraId="29DD020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152FF88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4464063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22347EB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0E97A2D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5A6D631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53.3</w:t>
            </w:r>
          </w:p>
        </w:tc>
        <w:tc>
          <w:tcPr>
            <w:tcW w:w="472" w:type="dxa"/>
            <w:tcBorders>
              <w:tl2br w:val="nil"/>
              <w:tr2bl w:val="nil"/>
            </w:tcBorders>
            <w:shd w:val="clear" w:color="auto" w:fill="FFFFFF"/>
            <w:tcMar>
              <w:top w:w="0" w:type="dxa"/>
              <w:left w:w="0" w:type="dxa"/>
              <w:bottom w:w="0" w:type="dxa"/>
              <w:right w:w="0" w:type="dxa"/>
            </w:tcMar>
            <w:vAlign w:val="center"/>
          </w:tcPr>
          <w:p w14:paraId="12B80CC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53.3</w:t>
            </w:r>
          </w:p>
        </w:tc>
        <w:tc>
          <w:tcPr>
            <w:tcW w:w="450" w:type="dxa"/>
            <w:tcBorders>
              <w:tl2br w:val="nil"/>
              <w:tr2bl w:val="nil"/>
            </w:tcBorders>
            <w:shd w:val="clear" w:color="auto" w:fill="FFFFFF"/>
            <w:tcMar>
              <w:top w:w="0" w:type="dxa"/>
              <w:left w:w="0" w:type="dxa"/>
              <w:bottom w:w="0" w:type="dxa"/>
              <w:right w:w="0" w:type="dxa"/>
            </w:tcMar>
            <w:vAlign w:val="center"/>
          </w:tcPr>
          <w:p w14:paraId="16A352F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53.3</w:t>
            </w:r>
          </w:p>
        </w:tc>
        <w:tc>
          <w:tcPr>
            <w:tcW w:w="450" w:type="dxa"/>
            <w:tcBorders>
              <w:tl2br w:val="nil"/>
              <w:tr2bl w:val="nil"/>
            </w:tcBorders>
            <w:shd w:val="clear" w:color="auto" w:fill="FFFFFF"/>
            <w:tcMar>
              <w:top w:w="0" w:type="dxa"/>
              <w:left w:w="0" w:type="dxa"/>
              <w:bottom w:w="0" w:type="dxa"/>
              <w:right w:w="0" w:type="dxa"/>
            </w:tcMar>
            <w:vAlign w:val="center"/>
          </w:tcPr>
          <w:p w14:paraId="5EB331D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53.3</w:t>
            </w:r>
          </w:p>
        </w:tc>
        <w:tc>
          <w:tcPr>
            <w:tcW w:w="530" w:type="dxa"/>
            <w:tcBorders>
              <w:tl2br w:val="nil"/>
              <w:tr2bl w:val="nil"/>
            </w:tcBorders>
            <w:shd w:val="clear" w:color="auto" w:fill="FFFFFF"/>
            <w:tcMar>
              <w:top w:w="0" w:type="dxa"/>
              <w:left w:w="0" w:type="dxa"/>
              <w:bottom w:w="0" w:type="dxa"/>
              <w:right w:w="0" w:type="dxa"/>
            </w:tcMar>
            <w:vAlign w:val="center"/>
          </w:tcPr>
          <w:p w14:paraId="006895A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436CA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57" w:hRule="atLeast"/>
        </w:trPr>
        <w:tc>
          <w:tcPr>
            <w:tcW w:w="415" w:type="dxa"/>
            <w:tcBorders>
              <w:tl2br w:val="nil"/>
              <w:tr2bl w:val="nil"/>
            </w:tcBorders>
            <w:shd w:val="clear" w:color="auto" w:fill="FFFFFF"/>
            <w:tcMar>
              <w:top w:w="0" w:type="dxa"/>
              <w:left w:w="0" w:type="dxa"/>
              <w:bottom w:w="0" w:type="dxa"/>
              <w:right w:w="0" w:type="dxa"/>
            </w:tcMar>
            <w:vAlign w:val="center"/>
          </w:tcPr>
          <w:p w14:paraId="71EF5C1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w:t>
            </w:r>
          </w:p>
        </w:tc>
        <w:tc>
          <w:tcPr>
            <w:tcW w:w="610" w:type="dxa"/>
            <w:vMerge w:val="restart"/>
            <w:tcBorders>
              <w:tl2br w:val="nil"/>
              <w:tr2bl w:val="nil"/>
            </w:tcBorders>
            <w:shd w:val="clear" w:color="auto" w:fill="FFFFFF"/>
            <w:tcMar>
              <w:top w:w="0" w:type="dxa"/>
              <w:left w:w="0" w:type="dxa"/>
              <w:bottom w:w="0" w:type="dxa"/>
              <w:right w:w="0" w:type="dxa"/>
            </w:tcMar>
            <w:vAlign w:val="center"/>
          </w:tcPr>
          <w:p w14:paraId="554CB2A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生化池右</w:t>
            </w:r>
          </w:p>
        </w:tc>
        <w:tc>
          <w:tcPr>
            <w:tcW w:w="1329" w:type="dxa"/>
            <w:tcBorders>
              <w:tl2br w:val="nil"/>
              <w:tr2bl w:val="nil"/>
            </w:tcBorders>
            <w:shd w:val="clear" w:color="auto" w:fill="FFFFFF"/>
            <w:tcMar>
              <w:top w:w="0" w:type="dxa"/>
              <w:left w:w="0" w:type="dxa"/>
              <w:bottom w:w="0" w:type="dxa"/>
              <w:right w:w="0" w:type="dxa"/>
            </w:tcMar>
            <w:vAlign w:val="center"/>
          </w:tcPr>
          <w:p w14:paraId="72DED2C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搅拌机2台叠加</w:t>
            </w:r>
          </w:p>
        </w:tc>
        <w:tc>
          <w:tcPr>
            <w:tcW w:w="405" w:type="dxa"/>
            <w:tcBorders>
              <w:tl2br w:val="nil"/>
              <w:tr2bl w:val="nil"/>
            </w:tcBorders>
            <w:shd w:val="clear" w:color="auto" w:fill="FFFFFF"/>
            <w:tcMar>
              <w:top w:w="0" w:type="dxa"/>
              <w:left w:w="0" w:type="dxa"/>
              <w:bottom w:w="0" w:type="dxa"/>
              <w:right w:w="0" w:type="dxa"/>
            </w:tcMar>
            <w:vAlign w:val="center"/>
          </w:tcPr>
          <w:p w14:paraId="6683CEA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112E80E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w:t>
            </w:r>
          </w:p>
        </w:tc>
        <w:tc>
          <w:tcPr>
            <w:tcW w:w="1878" w:type="dxa"/>
            <w:tcBorders>
              <w:tl2br w:val="nil"/>
              <w:tr2bl w:val="nil"/>
            </w:tcBorders>
            <w:shd w:val="clear" w:color="auto" w:fill="FFFFFF"/>
            <w:tcMar>
              <w:top w:w="0" w:type="dxa"/>
              <w:left w:w="0" w:type="dxa"/>
              <w:bottom w:w="0" w:type="dxa"/>
              <w:right w:w="0" w:type="dxa"/>
            </w:tcMar>
            <w:vAlign w:val="center"/>
          </w:tcPr>
          <w:p w14:paraId="519752B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基础减震，水下吸声</w:t>
            </w:r>
          </w:p>
        </w:tc>
        <w:tc>
          <w:tcPr>
            <w:tcW w:w="555" w:type="dxa"/>
            <w:tcBorders>
              <w:tl2br w:val="nil"/>
              <w:tr2bl w:val="nil"/>
            </w:tcBorders>
            <w:shd w:val="clear" w:color="auto" w:fill="FFFFFF"/>
            <w:tcMar>
              <w:top w:w="0" w:type="dxa"/>
              <w:left w:w="0" w:type="dxa"/>
              <w:bottom w:w="0" w:type="dxa"/>
              <w:right w:w="0" w:type="dxa"/>
            </w:tcMar>
            <w:vAlign w:val="center"/>
          </w:tcPr>
          <w:p w14:paraId="5D285F9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27.9</w:t>
            </w:r>
          </w:p>
        </w:tc>
        <w:tc>
          <w:tcPr>
            <w:tcW w:w="525" w:type="dxa"/>
            <w:tcBorders>
              <w:tl2br w:val="nil"/>
              <w:tr2bl w:val="nil"/>
            </w:tcBorders>
            <w:shd w:val="clear" w:color="auto" w:fill="FFFFFF"/>
            <w:tcMar>
              <w:top w:w="0" w:type="dxa"/>
              <w:left w:w="0" w:type="dxa"/>
              <w:bottom w:w="0" w:type="dxa"/>
              <w:right w:w="0" w:type="dxa"/>
            </w:tcMar>
            <w:vAlign w:val="center"/>
          </w:tcPr>
          <w:p w14:paraId="5AF8306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17.5</w:t>
            </w:r>
          </w:p>
        </w:tc>
        <w:tc>
          <w:tcPr>
            <w:tcW w:w="429" w:type="dxa"/>
            <w:tcBorders>
              <w:tl2br w:val="nil"/>
              <w:tr2bl w:val="nil"/>
            </w:tcBorders>
            <w:shd w:val="clear" w:color="auto" w:fill="FFFFFF"/>
            <w:tcMar>
              <w:top w:w="0" w:type="dxa"/>
              <w:left w:w="0" w:type="dxa"/>
              <w:bottom w:w="0" w:type="dxa"/>
              <w:right w:w="0" w:type="dxa"/>
            </w:tcMar>
            <w:vAlign w:val="center"/>
          </w:tcPr>
          <w:p w14:paraId="7E826C8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w:t>
            </w:r>
          </w:p>
        </w:tc>
        <w:tc>
          <w:tcPr>
            <w:tcW w:w="435" w:type="dxa"/>
            <w:tcBorders>
              <w:tl2br w:val="nil"/>
              <w:tr2bl w:val="nil"/>
            </w:tcBorders>
            <w:shd w:val="clear" w:color="auto" w:fill="FFFFFF"/>
            <w:tcMar>
              <w:top w:w="0" w:type="dxa"/>
              <w:left w:w="0" w:type="dxa"/>
              <w:bottom w:w="0" w:type="dxa"/>
              <w:right w:w="0" w:type="dxa"/>
            </w:tcMar>
            <w:vAlign w:val="center"/>
          </w:tcPr>
          <w:p w14:paraId="60DFD49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19.3</w:t>
            </w:r>
          </w:p>
        </w:tc>
        <w:tc>
          <w:tcPr>
            <w:tcW w:w="480" w:type="dxa"/>
            <w:tcBorders>
              <w:tl2br w:val="nil"/>
              <w:tr2bl w:val="nil"/>
            </w:tcBorders>
            <w:shd w:val="clear" w:color="auto" w:fill="FFFFFF"/>
            <w:tcMar>
              <w:top w:w="0" w:type="dxa"/>
              <w:left w:w="0" w:type="dxa"/>
              <w:bottom w:w="0" w:type="dxa"/>
              <w:right w:w="0" w:type="dxa"/>
            </w:tcMar>
            <w:vAlign w:val="center"/>
          </w:tcPr>
          <w:p w14:paraId="4AD1905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7.2</w:t>
            </w:r>
          </w:p>
        </w:tc>
        <w:tc>
          <w:tcPr>
            <w:tcW w:w="435" w:type="dxa"/>
            <w:tcBorders>
              <w:tl2br w:val="nil"/>
              <w:tr2bl w:val="nil"/>
            </w:tcBorders>
            <w:shd w:val="clear" w:color="auto" w:fill="FFFFFF"/>
            <w:tcMar>
              <w:top w:w="0" w:type="dxa"/>
              <w:left w:w="0" w:type="dxa"/>
              <w:bottom w:w="0" w:type="dxa"/>
              <w:right w:w="0" w:type="dxa"/>
            </w:tcMar>
            <w:vAlign w:val="center"/>
          </w:tcPr>
          <w:p w14:paraId="08B13BE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20.3</w:t>
            </w:r>
          </w:p>
        </w:tc>
        <w:tc>
          <w:tcPr>
            <w:tcW w:w="483" w:type="dxa"/>
            <w:tcBorders>
              <w:tl2br w:val="nil"/>
              <w:tr2bl w:val="nil"/>
            </w:tcBorders>
            <w:shd w:val="clear" w:color="auto" w:fill="FFFFFF"/>
            <w:tcMar>
              <w:top w:w="0" w:type="dxa"/>
              <w:left w:w="0" w:type="dxa"/>
              <w:bottom w:w="0" w:type="dxa"/>
              <w:right w:w="0" w:type="dxa"/>
            </w:tcMar>
            <w:vAlign w:val="center"/>
          </w:tcPr>
          <w:p w14:paraId="21AAD19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w:t>
            </w:r>
          </w:p>
        </w:tc>
        <w:tc>
          <w:tcPr>
            <w:tcW w:w="413" w:type="dxa"/>
            <w:tcBorders>
              <w:tl2br w:val="nil"/>
              <w:tr2bl w:val="nil"/>
            </w:tcBorders>
            <w:shd w:val="clear" w:color="auto" w:fill="FFFFFF"/>
            <w:tcMar>
              <w:top w:w="0" w:type="dxa"/>
              <w:left w:w="0" w:type="dxa"/>
              <w:bottom w:w="0" w:type="dxa"/>
              <w:right w:w="0" w:type="dxa"/>
            </w:tcMar>
            <w:vAlign w:val="center"/>
          </w:tcPr>
          <w:p w14:paraId="0111E33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64.6</w:t>
            </w:r>
          </w:p>
        </w:tc>
        <w:tc>
          <w:tcPr>
            <w:tcW w:w="465" w:type="dxa"/>
            <w:tcBorders>
              <w:tl2br w:val="nil"/>
              <w:tr2bl w:val="nil"/>
            </w:tcBorders>
            <w:shd w:val="clear" w:color="auto" w:fill="FFFFFF"/>
            <w:tcMar>
              <w:top w:w="0" w:type="dxa"/>
              <w:left w:w="0" w:type="dxa"/>
              <w:bottom w:w="0" w:type="dxa"/>
              <w:right w:w="0" w:type="dxa"/>
            </w:tcMar>
            <w:vAlign w:val="center"/>
          </w:tcPr>
          <w:p w14:paraId="0016442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64.6</w:t>
            </w:r>
          </w:p>
        </w:tc>
        <w:tc>
          <w:tcPr>
            <w:tcW w:w="487" w:type="dxa"/>
            <w:tcBorders>
              <w:tl2br w:val="nil"/>
              <w:tr2bl w:val="nil"/>
            </w:tcBorders>
            <w:shd w:val="clear" w:color="auto" w:fill="FFFFFF"/>
            <w:tcMar>
              <w:top w:w="0" w:type="dxa"/>
              <w:left w:w="0" w:type="dxa"/>
              <w:bottom w:w="0" w:type="dxa"/>
              <w:right w:w="0" w:type="dxa"/>
            </w:tcMar>
            <w:vAlign w:val="center"/>
          </w:tcPr>
          <w:p w14:paraId="33BB4AC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64.6</w:t>
            </w:r>
          </w:p>
        </w:tc>
        <w:tc>
          <w:tcPr>
            <w:tcW w:w="491" w:type="dxa"/>
            <w:tcBorders>
              <w:tl2br w:val="nil"/>
              <w:tr2bl w:val="nil"/>
            </w:tcBorders>
            <w:shd w:val="clear" w:color="auto" w:fill="FFFFFF"/>
            <w:tcMar>
              <w:top w:w="0" w:type="dxa"/>
              <w:left w:w="0" w:type="dxa"/>
              <w:bottom w:w="0" w:type="dxa"/>
              <w:right w:w="0" w:type="dxa"/>
            </w:tcMar>
            <w:vAlign w:val="center"/>
          </w:tcPr>
          <w:p w14:paraId="441AE12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64.6</w:t>
            </w:r>
          </w:p>
        </w:tc>
        <w:tc>
          <w:tcPr>
            <w:tcW w:w="480" w:type="dxa"/>
            <w:tcBorders>
              <w:tl2br w:val="nil"/>
              <w:tr2bl w:val="nil"/>
            </w:tcBorders>
            <w:shd w:val="clear" w:color="auto" w:fill="FFFFFF"/>
            <w:tcMar>
              <w:top w:w="0" w:type="dxa"/>
              <w:left w:w="0" w:type="dxa"/>
              <w:bottom w:w="0" w:type="dxa"/>
              <w:right w:w="0" w:type="dxa"/>
            </w:tcMar>
            <w:vAlign w:val="center"/>
          </w:tcPr>
          <w:p w14:paraId="57F9CE9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7CE3EAA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30B4DFA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46BCF60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1700128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2D1C712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38.6</w:t>
            </w:r>
          </w:p>
        </w:tc>
        <w:tc>
          <w:tcPr>
            <w:tcW w:w="472" w:type="dxa"/>
            <w:tcBorders>
              <w:tl2br w:val="nil"/>
              <w:tr2bl w:val="nil"/>
            </w:tcBorders>
            <w:shd w:val="clear" w:color="auto" w:fill="FFFFFF"/>
            <w:tcMar>
              <w:top w:w="0" w:type="dxa"/>
              <w:left w:w="0" w:type="dxa"/>
              <w:bottom w:w="0" w:type="dxa"/>
              <w:right w:w="0" w:type="dxa"/>
            </w:tcMar>
            <w:vAlign w:val="center"/>
          </w:tcPr>
          <w:p w14:paraId="2292F6E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38.6</w:t>
            </w:r>
          </w:p>
        </w:tc>
        <w:tc>
          <w:tcPr>
            <w:tcW w:w="450" w:type="dxa"/>
            <w:tcBorders>
              <w:tl2br w:val="nil"/>
              <w:tr2bl w:val="nil"/>
            </w:tcBorders>
            <w:shd w:val="clear" w:color="auto" w:fill="FFFFFF"/>
            <w:tcMar>
              <w:top w:w="0" w:type="dxa"/>
              <w:left w:w="0" w:type="dxa"/>
              <w:bottom w:w="0" w:type="dxa"/>
              <w:right w:w="0" w:type="dxa"/>
            </w:tcMar>
            <w:vAlign w:val="center"/>
          </w:tcPr>
          <w:p w14:paraId="617784F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38.6</w:t>
            </w:r>
          </w:p>
        </w:tc>
        <w:tc>
          <w:tcPr>
            <w:tcW w:w="450" w:type="dxa"/>
            <w:tcBorders>
              <w:tl2br w:val="nil"/>
              <w:tr2bl w:val="nil"/>
            </w:tcBorders>
            <w:shd w:val="clear" w:color="auto" w:fill="FFFFFF"/>
            <w:tcMar>
              <w:top w:w="0" w:type="dxa"/>
              <w:left w:w="0" w:type="dxa"/>
              <w:bottom w:w="0" w:type="dxa"/>
              <w:right w:w="0" w:type="dxa"/>
            </w:tcMar>
            <w:vAlign w:val="center"/>
          </w:tcPr>
          <w:p w14:paraId="2B65F53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38.6</w:t>
            </w:r>
          </w:p>
        </w:tc>
        <w:tc>
          <w:tcPr>
            <w:tcW w:w="530" w:type="dxa"/>
            <w:tcBorders>
              <w:tl2br w:val="nil"/>
              <w:tr2bl w:val="nil"/>
            </w:tcBorders>
            <w:shd w:val="clear" w:color="auto" w:fill="FFFFFF"/>
            <w:tcMar>
              <w:top w:w="0" w:type="dxa"/>
              <w:left w:w="0" w:type="dxa"/>
              <w:bottom w:w="0" w:type="dxa"/>
              <w:right w:w="0" w:type="dxa"/>
            </w:tcMar>
            <w:vAlign w:val="center"/>
          </w:tcPr>
          <w:p w14:paraId="7F212E2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6C09D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7" w:hRule="atLeast"/>
        </w:trPr>
        <w:tc>
          <w:tcPr>
            <w:tcW w:w="415" w:type="dxa"/>
            <w:tcBorders>
              <w:tl2br w:val="nil"/>
              <w:tr2bl w:val="nil"/>
            </w:tcBorders>
            <w:shd w:val="clear" w:color="auto" w:fill="FFFFFF"/>
            <w:tcMar>
              <w:top w:w="0" w:type="dxa"/>
              <w:left w:w="0" w:type="dxa"/>
              <w:bottom w:w="0" w:type="dxa"/>
              <w:right w:w="0" w:type="dxa"/>
            </w:tcMar>
            <w:vAlign w:val="center"/>
          </w:tcPr>
          <w:p w14:paraId="1572032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3AB9C14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2595D4A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污泥泵2台叠加</w:t>
            </w:r>
          </w:p>
        </w:tc>
        <w:tc>
          <w:tcPr>
            <w:tcW w:w="405" w:type="dxa"/>
            <w:tcBorders>
              <w:tl2br w:val="nil"/>
              <w:tr2bl w:val="nil"/>
            </w:tcBorders>
            <w:shd w:val="clear" w:color="auto" w:fill="FFFFFF"/>
            <w:tcMar>
              <w:top w:w="0" w:type="dxa"/>
              <w:left w:w="0" w:type="dxa"/>
              <w:bottom w:w="0" w:type="dxa"/>
              <w:right w:w="0" w:type="dxa"/>
            </w:tcMar>
            <w:vAlign w:val="center"/>
          </w:tcPr>
          <w:p w14:paraId="0B1766F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50482B2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88</w:t>
            </w:r>
          </w:p>
        </w:tc>
        <w:tc>
          <w:tcPr>
            <w:tcW w:w="1878" w:type="dxa"/>
            <w:tcBorders>
              <w:tl2br w:val="nil"/>
              <w:tr2bl w:val="nil"/>
            </w:tcBorders>
            <w:shd w:val="clear" w:color="auto" w:fill="FFFFFF"/>
            <w:tcMar>
              <w:top w:w="0" w:type="dxa"/>
              <w:left w:w="0" w:type="dxa"/>
              <w:bottom w:w="0" w:type="dxa"/>
              <w:right w:w="0" w:type="dxa"/>
            </w:tcMar>
            <w:vAlign w:val="center"/>
          </w:tcPr>
          <w:p w14:paraId="7DA5FA2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基础减震，水下吸声</w:t>
            </w:r>
          </w:p>
        </w:tc>
        <w:tc>
          <w:tcPr>
            <w:tcW w:w="555" w:type="dxa"/>
            <w:tcBorders>
              <w:tl2br w:val="nil"/>
              <w:tr2bl w:val="nil"/>
            </w:tcBorders>
            <w:shd w:val="clear" w:color="auto" w:fill="FFFFFF"/>
            <w:tcMar>
              <w:top w:w="0" w:type="dxa"/>
              <w:left w:w="0" w:type="dxa"/>
              <w:bottom w:w="0" w:type="dxa"/>
              <w:right w:w="0" w:type="dxa"/>
            </w:tcMar>
            <w:vAlign w:val="center"/>
          </w:tcPr>
          <w:p w14:paraId="0A40A4F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16.4</w:t>
            </w:r>
          </w:p>
        </w:tc>
        <w:tc>
          <w:tcPr>
            <w:tcW w:w="525" w:type="dxa"/>
            <w:tcBorders>
              <w:tl2br w:val="nil"/>
              <w:tr2bl w:val="nil"/>
            </w:tcBorders>
            <w:shd w:val="clear" w:color="auto" w:fill="FFFFFF"/>
            <w:tcMar>
              <w:top w:w="0" w:type="dxa"/>
              <w:left w:w="0" w:type="dxa"/>
              <w:bottom w:w="0" w:type="dxa"/>
              <w:right w:w="0" w:type="dxa"/>
            </w:tcMar>
            <w:vAlign w:val="center"/>
          </w:tcPr>
          <w:p w14:paraId="6F5A571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17.5</w:t>
            </w:r>
          </w:p>
        </w:tc>
        <w:tc>
          <w:tcPr>
            <w:tcW w:w="429" w:type="dxa"/>
            <w:tcBorders>
              <w:tl2br w:val="nil"/>
              <w:tr2bl w:val="nil"/>
            </w:tcBorders>
            <w:shd w:val="clear" w:color="auto" w:fill="FFFFFF"/>
            <w:tcMar>
              <w:top w:w="0" w:type="dxa"/>
              <w:left w:w="0" w:type="dxa"/>
              <w:bottom w:w="0" w:type="dxa"/>
              <w:right w:w="0" w:type="dxa"/>
            </w:tcMar>
            <w:vAlign w:val="center"/>
          </w:tcPr>
          <w:p w14:paraId="2487779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6900730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30.8</w:t>
            </w:r>
          </w:p>
        </w:tc>
        <w:tc>
          <w:tcPr>
            <w:tcW w:w="480" w:type="dxa"/>
            <w:tcBorders>
              <w:tl2br w:val="nil"/>
              <w:tr2bl w:val="nil"/>
            </w:tcBorders>
            <w:shd w:val="clear" w:color="auto" w:fill="FFFFFF"/>
            <w:tcMar>
              <w:top w:w="0" w:type="dxa"/>
              <w:left w:w="0" w:type="dxa"/>
              <w:bottom w:w="0" w:type="dxa"/>
              <w:right w:w="0" w:type="dxa"/>
            </w:tcMar>
            <w:vAlign w:val="center"/>
          </w:tcPr>
          <w:p w14:paraId="6A7B5E3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7.2</w:t>
            </w:r>
          </w:p>
        </w:tc>
        <w:tc>
          <w:tcPr>
            <w:tcW w:w="435" w:type="dxa"/>
            <w:tcBorders>
              <w:tl2br w:val="nil"/>
              <w:tr2bl w:val="nil"/>
            </w:tcBorders>
            <w:shd w:val="clear" w:color="auto" w:fill="FFFFFF"/>
            <w:tcMar>
              <w:top w:w="0" w:type="dxa"/>
              <w:left w:w="0" w:type="dxa"/>
              <w:bottom w:w="0" w:type="dxa"/>
              <w:right w:w="0" w:type="dxa"/>
            </w:tcMar>
            <w:vAlign w:val="center"/>
          </w:tcPr>
          <w:p w14:paraId="2D19440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8.8</w:t>
            </w:r>
          </w:p>
        </w:tc>
        <w:tc>
          <w:tcPr>
            <w:tcW w:w="483" w:type="dxa"/>
            <w:tcBorders>
              <w:tl2br w:val="nil"/>
              <w:tr2bl w:val="nil"/>
            </w:tcBorders>
            <w:shd w:val="clear" w:color="auto" w:fill="FFFFFF"/>
            <w:tcMar>
              <w:top w:w="0" w:type="dxa"/>
              <w:left w:w="0" w:type="dxa"/>
              <w:bottom w:w="0" w:type="dxa"/>
              <w:right w:w="0" w:type="dxa"/>
            </w:tcMar>
            <w:vAlign w:val="center"/>
          </w:tcPr>
          <w:p w14:paraId="218AC6B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w:t>
            </w:r>
          </w:p>
        </w:tc>
        <w:tc>
          <w:tcPr>
            <w:tcW w:w="413" w:type="dxa"/>
            <w:tcBorders>
              <w:tl2br w:val="nil"/>
              <w:tr2bl w:val="nil"/>
            </w:tcBorders>
            <w:shd w:val="clear" w:color="auto" w:fill="FFFFFF"/>
            <w:tcMar>
              <w:top w:w="0" w:type="dxa"/>
              <w:left w:w="0" w:type="dxa"/>
              <w:bottom w:w="0" w:type="dxa"/>
              <w:right w:w="0" w:type="dxa"/>
            </w:tcMar>
            <w:vAlign w:val="center"/>
          </w:tcPr>
          <w:p w14:paraId="3EA8EBC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79.6</w:t>
            </w:r>
          </w:p>
        </w:tc>
        <w:tc>
          <w:tcPr>
            <w:tcW w:w="465" w:type="dxa"/>
            <w:tcBorders>
              <w:tl2br w:val="nil"/>
              <w:tr2bl w:val="nil"/>
            </w:tcBorders>
            <w:shd w:val="clear" w:color="auto" w:fill="FFFFFF"/>
            <w:tcMar>
              <w:top w:w="0" w:type="dxa"/>
              <w:left w:w="0" w:type="dxa"/>
              <w:bottom w:w="0" w:type="dxa"/>
              <w:right w:w="0" w:type="dxa"/>
            </w:tcMar>
            <w:vAlign w:val="center"/>
          </w:tcPr>
          <w:p w14:paraId="437266C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79.6</w:t>
            </w:r>
          </w:p>
        </w:tc>
        <w:tc>
          <w:tcPr>
            <w:tcW w:w="487" w:type="dxa"/>
            <w:tcBorders>
              <w:tl2br w:val="nil"/>
              <w:tr2bl w:val="nil"/>
            </w:tcBorders>
            <w:shd w:val="clear" w:color="auto" w:fill="FFFFFF"/>
            <w:tcMar>
              <w:top w:w="0" w:type="dxa"/>
              <w:left w:w="0" w:type="dxa"/>
              <w:bottom w:w="0" w:type="dxa"/>
              <w:right w:w="0" w:type="dxa"/>
            </w:tcMar>
            <w:vAlign w:val="center"/>
          </w:tcPr>
          <w:p w14:paraId="05CAFC0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79.6</w:t>
            </w:r>
          </w:p>
        </w:tc>
        <w:tc>
          <w:tcPr>
            <w:tcW w:w="491" w:type="dxa"/>
            <w:tcBorders>
              <w:tl2br w:val="nil"/>
              <w:tr2bl w:val="nil"/>
            </w:tcBorders>
            <w:shd w:val="clear" w:color="auto" w:fill="FFFFFF"/>
            <w:tcMar>
              <w:top w:w="0" w:type="dxa"/>
              <w:left w:w="0" w:type="dxa"/>
              <w:bottom w:w="0" w:type="dxa"/>
              <w:right w:w="0" w:type="dxa"/>
            </w:tcMar>
            <w:vAlign w:val="center"/>
          </w:tcPr>
          <w:p w14:paraId="24690E0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79.6</w:t>
            </w:r>
          </w:p>
        </w:tc>
        <w:tc>
          <w:tcPr>
            <w:tcW w:w="480" w:type="dxa"/>
            <w:tcBorders>
              <w:tl2br w:val="nil"/>
              <w:tr2bl w:val="nil"/>
            </w:tcBorders>
            <w:shd w:val="clear" w:color="auto" w:fill="FFFFFF"/>
            <w:tcMar>
              <w:top w:w="0" w:type="dxa"/>
              <w:left w:w="0" w:type="dxa"/>
              <w:bottom w:w="0" w:type="dxa"/>
              <w:right w:w="0" w:type="dxa"/>
            </w:tcMar>
            <w:vAlign w:val="center"/>
          </w:tcPr>
          <w:p w14:paraId="096A190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6EAF80A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5E62BFA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0D4A35D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5F4596C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4BBFB5F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53.6</w:t>
            </w:r>
          </w:p>
        </w:tc>
        <w:tc>
          <w:tcPr>
            <w:tcW w:w="472" w:type="dxa"/>
            <w:tcBorders>
              <w:tl2br w:val="nil"/>
              <w:tr2bl w:val="nil"/>
            </w:tcBorders>
            <w:shd w:val="clear" w:color="auto" w:fill="FFFFFF"/>
            <w:tcMar>
              <w:top w:w="0" w:type="dxa"/>
              <w:left w:w="0" w:type="dxa"/>
              <w:bottom w:w="0" w:type="dxa"/>
              <w:right w:w="0" w:type="dxa"/>
            </w:tcMar>
            <w:vAlign w:val="center"/>
          </w:tcPr>
          <w:p w14:paraId="1E314D0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53.6</w:t>
            </w:r>
          </w:p>
        </w:tc>
        <w:tc>
          <w:tcPr>
            <w:tcW w:w="450" w:type="dxa"/>
            <w:tcBorders>
              <w:tl2br w:val="nil"/>
              <w:tr2bl w:val="nil"/>
            </w:tcBorders>
            <w:shd w:val="clear" w:color="auto" w:fill="FFFFFF"/>
            <w:tcMar>
              <w:top w:w="0" w:type="dxa"/>
              <w:left w:w="0" w:type="dxa"/>
              <w:bottom w:w="0" w:type="dxa"/>
              <w:right w:w="0" w:type="dxa"/>
            </w:tcMar>
            <w:vAlign w:val="center"/>
          </w:tcPr>
          <w:p w14:paraId="0436D55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53.6</w:t>
            </w:r>
          </w:p>
        </w:tc>
        <w:tc>
          <w:tcPr>
            <w:tcW w:w="450" w:type="dxa"/>
            <w:tcBorders>
              <w:tl2br w:val="nil"/>
              <w:tr2bl w:val="nil"/>
            </w:tcBorders>
            <w:shd w:val="clear" w:color="auto" w:fill="FFFFFF"/>
            <w:tcMar>
              <w:top w:w="0" w:type="dxa"/>
              <w:left w:w="0" w:type="dxa"/>
              <w:bottom w:w="0" w:type="dxa"/>
              <w:right w:w="0" w:type="dxa"/>
            </w:tcMar>
            <w:vAlign w:val="center"/>
          </w:tcPr>
          <w:p w14:paraId="5477617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53.6</w:t>
            </w:r>
          </w:p>
        </w:tc>
        <w:tc>
          <w:tcPr>
            <w:tcW w:w="530" w:type="dxa"/>
            <w:tcBorders>
              <w:tl2br w:val="nil"/>
              <w:tr2bl w:val="nil"/>
            </w:tcBorders>
            <w:shd w:val="clear" w:color="auto" w:fill="FFFFFF"/>
            <w:tcMar>
              <w:top w:w="0" w:type="dxa"/>
              <w:left w:w="0" w:type="dxa"/>
              <w:bottom w:w="0" w:type="dxa"/>
              <w:right w:w="0" w:type="dxa"/>
            </w:tcMar>
            <w:vAlign w:val="center"/>
          </w:tcPr>
          <w:p w14:paraId="4BF4960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442FF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atLeast"/>
        </w:trPr>
        <w:tc>
          <w:tcPr>
            <w:tcW w:w="415" w:type="dxa"/>
            <w:tcBorders>
              <w:tl2br w:val="nil"/>
              <w:tr2bl w:val="nil"/>
            </w:tcBorders>
            <w:shd w:val="clear" w:color="auto" w:fill="FFFFFF"/>
            <w:tcMar>
              <w:top w:w="0" w:type="dxa"/>
              <w:left w:w="0" w:type="dxa"/>
              <w:bottom w:w="0" w:type="dxa"/>
              <w:right w:w="0" w:type="dxa"/>
            </w:tcMar>
            <w:vAlign w:val="center"/>
          </w:tcPr>
          <w:p w14:paraId="2622A2F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722B972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6E6E638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回流泵2台叠加</w:t>
            </w:r>
          </w:p>
        </w:tc>
        <w:tc>
          <w:tcPr>
            <w:tcW w:w="405" w:type="dxa"/>
            <w:tcBorders>
              <w:tl2br w:val="nil"/>
              <w:tr2bl w:val="nil"/>
            </w:tcBorders>
            <w:shd w:val="clear" w:color="auto" w:fill="FFFFFF"/>
            <w:tcMar>
              <w:top w:w="0" w:type="dxa"/>
              <w:left w:w="0" w:type="dxa"/>
              <w:bottom w:w="0" w:type="dxa"/>
              <w:right w:w="0" w:type="dxa"/>
            </w:tcMar>
            <w:vAlign w:val="center"/>
          </w:tcPr>
          <w:p w14:paraId="66375FD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559C580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83</w:t>
            </w:r>
          </w:p>
        </w:tc>
        <w:tc>
          <w:tcPr>
            <w:tcW w:w="1878" w:type="dxa"/>
            <w:tcBorders>
              <w:tl2br w:val="nil"/>
              <w:tr2bl w:val="nil"/>
            </w:tcBorders>
            <w:shd w:val="clear" w:color="auto" w:fill="FFFFFF"/>
            <w:tcMar>
              <w:top w:w="0" w:type="dxa"/>
              <w:left w:w="0" w:type="dxa"/>
              <w:bottom w:w="0" w:type="dxa"/>
              <w:right w:w="0" w:type="dxa"/>
            </w:tcMar>
            <w:vAlign w:val="center"/>
          </w:tcPr>
          <w:p w14:paraId="456EF95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w:t>
            </w:r>
          </w:p>
        </w:tc>
        <w:tc>
          <w:tcPr>
            <w:tcW w:w="555" w:type="dxa"/>
            <w:tcBorders>
              <w:tl2br w:val="nil"/>
              <w:tr2bl w:val="nil"/>
            </w:tcBorders>
            <w:shd w:val="clear" w:color="auto" w:fill="FFFFFF"/>
            <w:tcMar>
              <w:top w:w="0" w:type="dxa"/>
              <w:left w:w="0" w:type="dxa"/>
              <w:bottom w:w="0" w:type="dxa"/>
              <w:right w:w="0" w:type="dxa"/>
            </w:tcMar>
            <w:vAlign w:val="center"/>
          </w:tcPr>
          <w:p w14:paraId="5302C85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39.2</w:t>
            </w:r>
          </w:p>
        </w:tc>
        <w:tc>
          <w:tcPr>
            <w:tcW w:w="525" w:type="dxa"/>
            <w:tcBorders>
              <w:tl2br w:val="nil"/>
              <w:tr2bl w:val="nil"/>
            </w:tcBorders>
            <w:shd w:val="clear" w:color="auto" w:fill="FFFFFF"/>
            <w:tcMar>
              <w:top w:w="0" w:type="dxa"/>
              <w:left w:w="0" w:type="dxa"/>
              <w:bottom w:w="0" w:type="dxa"/>
              <w:right w:w="0" w:type="dxa"/>
            </w:tcMar>
            <w:vAlign w:val="center"/>
          </w:tcPr>
          <w:p w14:paraId="47D625B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17.2</w:t>
            </w:r>
          </w:p>
        </w:tc>
        <w:tc>
          <w:tcPr>
            <w:tcW w:w="429" w:type="dxa"/>
            <w:tcBorders>
              <w:tl2br w:val="nil"/>
              <w:tr2bl w:val="nil"/>
            </w:tcBorders>
            <w:shd w:val="clear" w:color="auto" w:fill="FFFFFF"/>
            <w:tcMar>
              <w:top w:w="0" w:type="dxa"/>
              <w:left w:w="0" w:type="dxa"/>
              <w:bottom w:w="0" w:type="dxa"/>
              <w:right w:w="0" w:type="dxa"/>
            </w:tcMar>
            <w:vAlign w:val="center"/>
          </w:tcPr>
          <w:p w14:paraId="52B9BB0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1949F0F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8.0</w:t>
            </w:r>
          </w:p>
        </w:tc>
        <w:tc>
          <w:tcPr>
            <w:tcW w:w="480" w:type="dxa"/>
            <w:tcBorders>
              <w:tl2br w:val="nil"/>
              <w:tr2bl w:val="nil"/>
            </w:tcBorders>
            <w:shd w:val="clear" w:color="auto" w:fill="FFFFFF"/>
            <w:tcMar>
              <w:top w:w="0" w:type="dxa"/>
              <w:left w:w="0" w:type="dxa"/>
              <w:bottom w:w="0" w:type="dxa"/>
              <w:right w:w="0" w:type="dxa"/>
            </w:tcMar>
            <w:vAlign w:val="center"/>
          </w:tcPr>
          <w:p w14:paraId="6D6BE2B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6.9</w:t>
            </w:r>
          </w:p>
        </w:tc>
        <w:tc>
          <w:tcPr>
            <w:tcW w:w="435" w:type="dxa"/>
            <w:tcBorders>
              <w:tl2br w:val="nil"/>
              <w:tr2bl w:val="nil"/>
            </w:tcBorders>
            <w:shd w:val="clear" w:color="auto" w:fill="FFFFFF"/>
            <w:tcMar>
              <w:top w:w="0" w:type="dxa"/>
              <w:left w:w="0" w:type="dxa"/>
              <w:bottom w:w="0" w:type="dxa"/>
              <w:right w:w="0" w:type="dxa"/>
            </w:tcMar>
            <w:vAlign w:val="center"/>
          </w:tcPr>
          <w:p w14:paraId="7209CB2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31.6</w:t>
            </w:r>
          </w:p>
        </w:tc>
        <w:tc>
          <w:tcPr>
            <w:tcW w:w="483" w:type="dxa"/>
            <w:tcBorders>
              <w:tl2br w:val="nil"/>
              <w:tr2bl w:val="nil"/>
            </w:tcBorders>
            <w:shd w:val="clear" w:color="auto" w:fill="FFFFFF"/>
            <w:tcMar>
              <w:top w:w="0" w:type="dxa"/>
              <w:left w:w="0" w:type="dxa"/>
              <w:bottom w:w="0" w:type="dxa"/>
              <w:right w:w="0" w:type="dxa"/>
            </w:tcMar>
            <w:vAlign w:val="center"/>
          </w:tcPr>
          <w:p w14:paraId="523E8E1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7.7</w:t>
            </w:r>
          </w:p>
        </w:tc>
        <w:tc>
          <w:tcPr>
            <w:tcW w:w="413" w:type="dxa"/>
            <w:tcBorders>
              <w:tl2br w:val="nil"/>
              <w:tr2bl w:val="nil"/>
            </w:tcBorders>
            <w:shd w:val="clear" w:color="auto" w:fill="FFFFFF"/>
            <w:tcMar>
              <w:top w:w="0" w:type="dxa"/>
              <w:left w:w="0" w:type="dxa"/>
              <w:bottom w:w="0" w:type="dxa"/>
              <w:right w:w="0" w:type="dxa"/>
            </w:tcMar>
            <w:vAlign w:val="center"/>
          </w:tcPr>
          <w:p w14:paraId="47F9FDB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74.6</w:t>
            </w:r>
          </w:p>
        </w:tc>
        <w:tc>
          <w:tcPr>
            <w:tcW w:w="465" w:type="dxa"/>
            <w:tcBorders>
              <w:tl2br w:val="nil"/>
              <w:tr2bl w:val="nil"/>
            </w:tcBorders>
            <w:shd w:val="clear" w:color="auto" w:fill="FFFFFF"/>
            <w:tcMar>
              <w:top w:w="0" w:type="dxa"/>
              <w:left w:w="0" w:type="dxa"/>
              <w:bottom w:w="0" w:type="dxa"/>
              <w:right w:w="0" w:type="dxa"/>
            </w:tcMar>
            <w:vAlign w:val="center"/>
          </w:tcPr>
          <w:p w14:paraId="4526E71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74.6</w:t>
            </w:r>
          </w:p>
        </w:tc>
        <w:tc>
          <w:tcPr>
            <w:tcW w:w="487" w:type="dxa"/>
            <w:tcBorders>
              <w:tl2br w:val="nil"/>
              <w:tr2bl w:val="nil"/>
            </w:tcBorders>
            <w:shd w:val="clear" w:color="auto" w:fill="FFFFFF"/>
            <w:tcMar>
              <w:top w:w="0" w:type="dxa"/>
              <w:left w:w="0" w:type="dxa"/>
              <w:bottom w:w="0" w:type="dxa"/>
              <w:right w:w="0" w:type="dxa"/>
            </w:tcMar>
            <w:vAlign w:val="center"/>
          </w:tcPr>
          <w:p w14:paraId="42D1C68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74.6</w:t>
            </w:r>
          </w:p>
        </w:tc>
        <w:tc>
          <w:tcPr>
            <w:tcW w:w="491" w:type="dxa"/>
            <w:tcBorders>
              <w:tl2br w:val="nil"/>
              <w:tr2bl w:val="nil"/>
            </w:tcBorders>
            <w:shd w:val="clear" w:color="auto" w:fill="FFFFFF"/>
            <w:tcMar>
              <w:top w:w="0" w:type="dxa"/>
              <w:left w:w="0" w:type="dxa"/>
              <w:bottom w:w="0" w:type="dxa"/>
              <w:right w:w="0" w:type="dxa"/>
            </w:tcMar>
            <w:vAlign w:val="center"/>
          </w:tcPr>
          <w:p w14:paraId="684A24B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74.6</w:t>
            </w:r>
          </w:p>
        </w:tc>
        <w:tc>
          <w:tcPr>
            <w:tcW w:w="480" w:type="dxa"/>
            <w:tcBorders>
              <w:tl2br w:val="nil"/>
              <w:tr2bl w:val="nil"/>
            </w:tcBorders>
            <w:shd w:val="clear" w:color="auto" w:fill="FFFFFF"/>
            <w:tcMar>
              <w:top w:w="0" w:type="dxa"/>
              <w:left w:w="0" w:type="dxa"/>
              <w:bottom w:w="0" w:type="dxa"/>
              <w:right w:w="0" w:type="dxa"/>
            </w:tcMar>
            <w:vAlign w:val="center"/>
          </w:tcPr>
          <w:p w14:paraId="31D344F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2914CBC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3004533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7476009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18B824B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400C9BD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48.6</w:t>
            </w:r>
          </w:p>
        </w:tc>
        <w:tc>
          <w:tcPr>
            <w:tcW w:w="472" w:type="dxa"/>
            <w:tcBorders>
              <w:tl2br w:val="nil"/>
              <w:tr2bl w:val="nil"/>
            </w:tcBorders>
            <w:shd w:val="clear" w:color="auto" w:fill="FFFFFF"/>
            <w:tcMar>
              <w:top w:w="0" w:type="dxa"/>
              <w:left w:w="0" w:type="dxa"/>
              <w:bottom w:w="0" w:type="dxa"/>
              <w:right w:w="0" w:type="dxa"/>
            </w:tcMar>
            <w:vAlign w:val="center"/>
          </w:tcPr>
          <w:p w14:paraId="10C7CA1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48.6</w:t>
            </w:r>
          </w:p>
        </w:tc>
        <w:tc>
          <w:tcPr>
            <w:tcW w:w="450" w:type="dxa"/>
            <w:tcBorders>
              <w:tl2br w:val="nil"/>
              <w:tr2bl w:val="nil"/>
            </w:tcBorders>
            <w:shd w:val="clear" w:color="auto" w:fill="FFFFFF"/>
            <w:tcMar>
              <w:top w:w="0" w:type="dxa"/>
              <w:left w:w="0" w:type="dxa"/>
              <w:bottom w:w="0" w:type="dxa"/>
              <w:right w:w="0" w:type="dxa"/>
            </w:tcMar>
            <w:vAlign w:val="center"/>
          </w:tcPr>
          <w:p w14:paraId="3792A2D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48.6</w:t>
            </w:r>
          </w:p>
        </w:tc>
        <w:tc>
          <w:tcPr>
            <w:tcW w:w="450" w:type="dxa"/>
            <w:tcBorders>
              <w:tl2br w:val="nil"/>
              <w:tr2bl w:val="nil"/>
            </w:tcBorders>
            <w:shd w:val="clear" w:color="auto" w:fill="FFFFFF"/>
            <w:tcMar>
              <w:top w:w="0" w:type="dxa"/>
              <w:left w:w="0" w:type="dxa"/>
              <w:bottom w:w="0" w:type="dxa"/>
              <w:right w:w="0" w:type="dxa"/>
            </w:tcMar>
            <w:vAlign w:val="center"/>
          </w:tcPr>
          <w:p w14:paraId="375A799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48.6</w:t>
            </w:r>
          </w:p>
        </w:tc>
        <w:tc>
          <w:tcPr>
            <w:tcW w:w="530" w:type="dxa"/>
            <w:tcBorders>
              <w:tl2br w:val="nil"/>
              <w:tr2bl w:val="nil"/>
            </w:tcBorders>
            <w:shd w:val="clear" w:color="auto" w:fill="FFFFFF"/>
            <w:tcMar>
              <w:top w:w="0" w:type="dxa"/>
              <w:left w:w="0" w:type="dxa"/>
              <w:bottom w:w="0" w:type="dxa"/>
              <w:right w:w="0" w:type="dxa"/>
            </w:tcMar>
            <w:vAlign w:val="center"/>
          </w:tcPr>
          <w:p w14:paraId="4ABFC49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26287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9" w:hRule="atLeast"/>
        </w:trPr>
        <w:tc>
          <w:tcPr>
            <w:tcW w:w="415" w:type="dxa"/>
            <w:tcBorders>
              <w:tl2br w:val="nil"/>
              <w:tr2bl w:val="nil"/>
            </w:tcBorders>
            <w:shd w:val="clear" w:color="auto" w:fill="FFFFFF"/>
            <w:tcMar>
              <w:top w:w="0" w:type="dxa"/>
              <w:left w:w="0" w:type="dxa"/>
              <w:bottom w:w="0" w:type="dxa"/>
              <w:right w:w="0" w:type="dxa"/>
            </w:tcMar>
            <w:vAlign w:val="center"/>
          </w:tcPr>
          <w:p w14:paraId="18D0230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w:t>
            </w:r>
          </w:p>
        </w:tc>
        <w:tc>
          <w:tcPr>
            <w:tcW w:w="610" w:type="dxa"/>
            <w:tcBorders>
              <w:tl2br w:val="nil"/>
              <w:tr2bl w:val="nil"/>
            </w:tcBorders>
            <w:shd w:val="clear" w:color="auto" w:fill="FFFFFF"/>
            <w:tcMar>
              <w:top w:w="0" w:type="dxa"/>
              <w:left w:w="0" w:type="dxa"/>
              <w:bottom w:w="0" w:type="dxa"/>
              <w:right w:w="0" w:type="dxa"/>
            </w:tcMar>
            <w:vAlign w:val="center"/>
          </w:tcPr>
          <w:p w14:paraId="53A204F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调节池</w:t>
            </w:r>
          </w:p>
        </w:tc>
        <w:tc>
          <w:tcPr>
            <w:tcW w:w="1329" w:type="dxa"/>
            <w:tcBorders>
              <w:tl2br w:val="nil"/>
              <w:tr2bl w:val="nil"/>
            </w:tcBorders>
            <w:shd w:val="clear" w:color="auto" w:fill="FFFFFF"/>
            <w:tcMar>
              <w:top w:w="0" w:type="dxa"/>
              <w:left w:w="0" w:type="dxa"/>
              <w:bottom w:w="0" w:type="dxa"/>
              <w:right w:w="0" w:type="dxa"/>
            </w:tcMar>
            <w:vAlign w:val="center"/>
          </w:tcPr>
          <w:p w14:paraId="78C14F7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搅拌机2台叠加</w:t>
            </w:r>
          </w:p>
        </w:tc>
        <w:tc>
          <w:tcPr>
            <w:tcW w:w="405" w:type="dxa"/>
            <w:tcBorders>
              <w:tl2br w:val="nil"/>
              <w:tr2bl w:val="nil"/>
            </w:tcBorders>
            <w:shd w:val="clear" w:color="auto" w:fill="FFFFFF"/>
            <w:tcMar>
              <w:top w:w="0" w:type="dxa"/>
              <w:left w:w="0" w:type="dxa"/>
              <w:bottom w:w="0" w:type="dxa"/>
              <w:right w:w="0" w:type="dxa"/>
            </w:tcMar>
            <w:vAlign w:val="center"/>
          </w:tcPr>
          <w:p w14:paraId="63F8EC2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647EC3B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w:t>
            </w:r>
          </w:p>
        </w:tc>
        <w:tc>
          <w:tcPr>
            <w:tcW w:w="1878" w:type="dxa"/>
            <w:tcBorders>
              <w:tl2br w:val="nil"/>
              <w:tr2bl w:val="nil"/>
            </w:tcBorders>
            <w:shd w:val="clear" w:color="auto" w:fill="FFFFFF"/>
            <w:tcMar>
              <w:top w:w="0" w:type="dxa"/>
              <w:left w:w="0" w:type="dxa"/>
              <w:bottom w:w="0" w:type="dxa"/>
              <w:right w:w="0" w:type="dxa"/>
            </w:tcMar>
            <w:vAlign w:val="center"/>
          </w:tcPr>
          <w:p w14:paraId="60E08D1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基础减震，水下吸声</w:t>
            </w:r>
          </w:p>
        </w:tc>
        <w:tc>
          <w:tcPr>
            <w:tcW w:w="555" w:type="dxa"/>
            <w:tcBorders>
              <w:tl2br w:val="nil"/>
              <w:tr2bl w:val="nil"/>
            </w:tcBorders>
            <w:shd w:val="clear" w:color="auto" w:fill="FFFFFF"/>
            <w:tcMar>
              <w:top w:w="0" w:type="dxa"/>
              <w:left w:w="0" w:type="dxa"/>
              <w:bottom w:w="0" w:type="dxa"/>
              <w:right w:w="0" w:type="dxa"/>
            </w:tcMar>
            <w:vAlign w:val="center"/>
          </w:tcPr>
          <w:p w14:paraId="1BE6B68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-34.5</w:t>
            </w:r>
          </w:p>
        </w:tc>
        <w:tc>
          <w:tcPr>
            <w:tcW w:w="525" w:type="dxa"/>
            <w:tcBorders>
              <w:tl2br w:val="nil"/>
              <w:tr2bl w:val="nil"/>
            </w:tcBorders>
            <w:shd w:val="clear" w:color="auto" w:fill="FFFFFF"/>
            <w:tcMar>
              <w:top w:w="0" w:type="dxa"/>
              <w:left w:w="0" w:type="dxa"/>
              <w:bottom w:w="0" w:type="dxa"/>
              <w:right w:w="0" w:type="dxa"/>
            </w:tcMar>
            <w:vAlign w:val="center"/>
          </w:tcPr>
          <w:p w14:paraId="0B979B2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36</w:t>
            </w:r>
          </w:p>
        </w:tc>
        <w:tc>
          <w:tcPr>
            <w:tcW w:w="429" w:type="dxa"/>
            <w:tcBorders>
              <w:tl2br w:val="nil"/>
              <w:tr2bl w:val="nil"/>
            </w:tcBorders>
            <w:shd w:val="clear" w:color="auto" w:fill="FFFFFF"/>
            <w:tcMar>
              <w:top w:w="0" w:type="dxa"/>
              <w:left w:w="0" w:type="dxa"/>
              <w:bottom w:w="0" w:type="dxa"/>
              <w:right w:w="0" w:type="dxa"/>
            </w:tcMar>
            <w:vAlign w:val="center"/>
          </w:tcPr>
          <w:p w14:paraId="46AF463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306BACF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6.2</w:t>
            </w:r>
          </w:p>
        </w:tc>
        <w:tc>
          <w:tcPr>
            <w:tcW w:w="480" w:type="dxa"/>
            <w:tcBorders>
              <w:tl2br w:val="nil"/>
              <w:tr2bl w:val="nil"/>
            </w:tcBorders>
            <w:shd w:val="clear" w:color="auto" w:fill="FFFFFF"/>
            <w:tcMar>
              <w:top w:w="0" w:type="dxa"/>
              <w:left w:w="0" w:type="dxa"/>
              <w:bottom w:w="0" w:type="dxa"/>
              <w:right w:w="0" w:type="dxa"/>
            </w:tcMar>
            <w:vAlign w:val="center"/>
          </w:tcPr>
          <w:p w14:paraId="1FC579F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3.7</w:t>
            </w:r>
          </w:p>
        </w:tc>
        <w:tc>
          <w:tcPr>
            <w:tcW w:w="435" w:type="dxa"/>
            <w:tcBorders>
              <w:tl2br w:val="nil"/>
              <w:tr2bl w:val="nil"/>
            </w:tcBorders>
            <w:shd w:val="clear" w:color="auto" w:fill="FFFFFF"/>
            <w:tcMar>
              <w:top w:w="0" w:type="dxa"/>
              <w:left w:w="0" w:type="dxa"/>
              <w:bottom w:w="0" w:type="dxa"/>
              <w:right w:w="0" w:type="dxa"/>
            </w:tcMar>
            <w:vAlign w:val="center"/>
          </w:tcPr>
          <w:p w14:paraId="5B93827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5.8</w:t>
            </w:r>
          </w:p>
        </w:tc>
        <w:tc>
          <w:tcPr>
            <w:tcW w:w="483" w:type="dxa"/>
            <w:tcBorders>
              <w:tl2br w:val="nil"/>
              <w:tr2bl w:val="nil"/>
            </w:tcBorders>
            <w:shd w:val="clear" w:color="auto" w:fill="FFFFFF"/>
            <w:tcMar>
              <w:top w:w="0" w:type="dxa"/>
              <w:left w:w="0" w:type="dxa"/>
              <w:bottom w:w="0" w:type="dxa"/>
              <w:right w:w="0" w:type="dxa"/>
            </w:tcMar>
            <w:vAlign w:val="center"/>
          </w:tcPr>
          <w:p w14:paraId="3FC93A9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3.1</w:t>
            </w:r>
          </w:p>
        </w:tc>
        <w:tc>
          <w:tcPr>
            <w:tcW w:w="413" w:type="dxa"/>
            <w:tcBorders>
              <w:tl2br w:val="nil"/>
              <w:tr2bl w:val="nil"/>
            </w:tcBorders>
            <w:shd w:val="clear" w:color="auto" w:fill="FFFFFF"/>
            <w:tcMar>
              <w:top w:w="0" w:type="dxa"/>
              <w:left w:w="0" w:type="dxa"/>
              <w:bottom w:w="0" w:type="dxa"/>
              <w:right w:w="0" w:type="dxa"/>
            </w:tcMar>
            <w:vAlign w:val="center"/>
          </w:tcPr>
          <w:p w14:paraId="6EDC973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75.2</w:t>
            </w:r>
          </w:p>
        </w:tc>
        <w:tc>
          <w:tcPr>
            <w:tcW w:w="465" w:type="dxa"/>
            <w:tcBorders>
              <w:tl2br w:val="nil"/>
              <w:tr2bl w:val="nil"/>
            </w:tcBorders>
            <w:shd w:val="clear" w:color="auto" w:fill="FFFFFF"/>
            <w:tcMar>
              <w:top w:w="0" w:type="dxa"/>
              <w:left w:w="0" w:type="dxa"/>
              <w:bottom w:w="0" w:type="dxa"/>
              <w:right w:w="0" w:type="dxa"/>
            </w:tcMar>
            <w:vAlign w:val="center"/>
          </w:tcPr>
          <w:p w14:paraId="4E76818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75.2</w:t>
            </w:r>
          </w:p>
        </w:tc>
        <w:tc>
          <w:tcPr>
            <w:tcW w:w="487" w:type="dxa"/>
            <w:tcBorders>
              <w:tl2br w:val="nil"/>
              <w:tr2bl w:val="nil"/>
            </w:tcBorders>
            <w:shd w:val="clear" w:color="auto" w:fill="FFFFFF"/>
            <w:tcMar>
              <w:top w:w="0" w:type="dxa"/>
              <w:left w:w="0" w:type="dxa"/>
              <w:bottom w:w="0" w:type="dxa"/>
              <w:right w:w="0" w:type="dxa"/>
            </w:tcMar>
            <w:vAlign w:val="center"/>
          </w:tcPr>
          <w:p w14:paraId="23DA03F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75.2</w:t>
            </w:r>
          </w:p>
        </w:tc>
        <w:tc>
          <w:tcPr>
            <w:tcW w:w="491" w:type="dxa"/>
            <w:tcBorders>
              <w:tl2br w:val="nil"/>
              <w:tr2bl w:val="nil"/>
            </w:tcBorders>
            <w:shd w:val="clear" w:color="auto" w:fill="FFFFFF"/>
            <w:tcMar>
              <w:top w:w="0" w:type="dxa"/>
              <w:left w:w="0" w:type="dxa"/>
              <w:bottom w:w="0" w:type="dxa"/>
              <w:right w:w="0" w:type="dxa"/>
            </w:tcMar>
            <w:vAlign w:val="center"/>
          </w:tcPr>
          <w:p w14:paraId="206E42A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75.2</w:t>
            </w:r>
          </w:p>
        </w:tc>
        <w:tc>
          <w:tcPr>
            <w:tcW w:w="480" w:type="dxa"/>
            <w:tcBorders>
              <w:tl2br w:val="nil"/>
              <w:tr2bl w:val="nil"/>
            </w:tcBorders>
            <w:shd w:val="clear" w:color="auto" w:fill="FFFFFF"/>
            <w:tcMar>
              <w:top w:w="0" w:type="dxa"/>
              <w:left w:w="0" w:type="dxa"/>
              <w:bottom w:w="0" w:type="dxa"/>
              <w:right w:w="0" w:type="dxa"/>
            </w:tcMar>
            <w:vAlign w:val="center"/>
          </w:tcPr>
          <w:p w14:paraId="44C8625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09F78E1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03A362D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44527C9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17B41A8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5F3DFCE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49.2</w:t>
            </w:r>
          </w:p>
        </w:tc>
        <w:tc>
          <w:tcPr>
            <w:tcW w:w="472" w:type="dxa"/>
            <w:tcBorders>
              <w:tl2br w:val="nil"/>
              <w:tr2bl w:val="nil"/>
            </w:tcBorders>
            <w:shd w:val="clear" w:color="auto" w:fill="FFFFFF"/>
            <w:tcMar>
              <w:top w:w="0" w:type="dxa"/>
              <w:left w:w="0" w:type="dxa"/>
              <w:bottom w:w="0" w:type="dxa"/>
              <w:right w:w="0" w:type="dxa"/>
            </w:tcMar>
            <w:vAlign w:val="center"/>
          </w:tcPr>
          <w:p w14:paraId="37B96CE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49.2</w:t>
            </w:r>
          </w:p>
        </w:tc>
        <w:tc>
          <w:tcPr>
            <w:tcW w:w="450" w:type="dxa"/>
            <w:tcBorders>
              <w:tl2br w:val="nil"/>
              <w:tr2bl w:val="nil"/>
            </w:tcBorders>
            <w:shd w:val="clear" w:color="auto" w:fill="FFFFFF"/>
            <w:tcMar>
              <w:top w:w="0" w:type="dxa"/>
              <w:left w:w="0" w:type="dxa"/>
              <w:bottom w:w="0" w:type="dxa"/>
              <w:right w:w="0" w:type="dxa"/>
            </w:tcMar>
            <w:vAlign w:val="center"/>
          </w:tcPr>
          <w:p w14:paraId="0A969C2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49.2</w:t>
            </w:r>
          </w:p>
        </w:tc>
        <w:tc>
          <w:tcPr>
            <w:tcW w:w="450" w:type="dxa"/>
            <w:tcBorders>
              <w:tl2br w:val="nil"/>
              <w:tr2bl w:val="nil"/>
            </w:tcBorders>
            <w:shd w:val="clear" w:color="auto" w:fill="FFFFFF"/>
            <w:tcMar>
              <w:top w:w="0" w:type="dxa"/>
              <w:left w:w="0" w:type="dxa"/>
              <w:bottom w:w="0" w:type="dxa"/>
              <w:right w:w="0" w:type="dxa"/>
            </w:tcMar>
            <w:vAlign w:val="center"/>
          </w:tcPr>
          <w:p w14:paraId="67B36F6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49.2</w:t>
            </w:r>
          </w:p>
        </w:tc>
        <w:tc>
          <w:tcPr>
            <w:tcW w:w="530" w:type="dxa"/>
            <w:tcBorders>
              <w:tl2br w:val="nil"/>
              <w:tr2bl w:val="nil"/>
            </w:tcBorders>
            <w:shd w:val="clear" w:color="auto" w:fill="FFFFFF"/>
            <w:tcMar>
              <w:top w:w="0" w:type="dxa"/>
              <w:left w:w="0" w:type="dxa"/>
              <w:bottom w:w="0" w:type="dxa"/>
              <w:right w:w="0" w:type="dxa"/>
            </w:tcMar>
            <w:vAlign w:val="center"/>
          </w:tcPr>
          <w:p w14:paraId="0AF68E1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72C04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0" w:hRule="atLeast"/>
        </w:trPr>
        <w:tc>
          <w:tcPr>
            <w:tcW w:w="415" w:type="dxa"/>
            <w:tcBorders>
              <w:tl2br w:val="nil"/>
              <w:tr2bl w:val="nil"/>
            </w:tcBorders>
            <w:shd w:val="clear" w:color="auto" w:fill="FFFFFF"/>
            <w:tcMar>
              <w:top w:w="0" w:type="dxa"/>
              <w:left w:w="0" w:type="dxa"/>
              <w:bottom w:w="0" w:type="dxa"/>
              <w:right w:w="0" w:type="dxa"/>
            </w:tcMar>
            <w:vAlign w:val="center"/>
          </w:tcPr>
          <w:p w14:paraId="2688B5E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w:t>
            </w:r>
          </w:p>
        </w:tc>
        <w:tc>
          <w:tcPr>
            <w:tcW w:w="610" w:type="dxa"/>
            <w:vMerge w:val="restart"/>
            <w:tcBorders>
              <w:tl2br w:val="nil"/>
              <w:tr2bl w:val="nil"/>
            </w:tcBorders>
            <w:shd w:val="clear" w:color="auto" w:fill="FFFFFF"/>
            <w:tcMar>
              <w:top w:w="0" w:type="dxa"/>
              <w:left w:w="0" w:type="dxa"/>
              <w:bottom w:w="0" w:type="dxa"/>
              <w:right w:w="0" w:type="dxa"/>
            </w:tcMar>
            <w:vAlign w:val="center"/>
          </w:tcPr>
          <w:p w14:paraId="20DE695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水解酸化及AAO组合池</w:t>
            </w:r>
          </w:p>
        </w:tc>
        <w:tc>
          <w:tcPr>
            <w:tcW w:w="1329" w:type="dxa"/>
            <w:tcBorders>
              <w:tl2br w:val="nil"/>
              <w:tr2bl w:val="nil"/>
            </w:tcBorders>
            <w:shd w:val="clear" w:color="auto" w:fill="FFFFFF"/>
            <w:tcMar>
              <w:top w:w="0" w:type="dxa"/>
              <w:left w:w="0" w:type="dxa"/>
              <w:bottom w:w="0" w:type="dxa"/>
              <w:right w:w="0" w:type="dxa"/>
            </w:tcMar>
            <w:vAlign w:val="center"/>
          </w:tcPr>
          <w:p w14:paraId="6A9B938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搅拌机2台叠加</w:t>
            </w:r>
          </w:p>
        </w:tc>
        <w:tc>
          <w:tcPr>
            <w:tcW w:w="405" w:type="dxa"/>
            <w:tcBorders>
              <w:tl2br w:val="nil"/>
              <w:tr2bl w:val="nil"/>
            </w:tcBorders>
            <w:shd w:val="clear" w:color="auto" w:fill="FFFFFF"/>
            <w:tcMar>
              <w:top w:w="0" w:type="dxa"/>
              <w:left w:w="0" w:type="dxa"/>
              <w:bottom w:w="0" w:type="dxa"/>
              <w:right w:w="0" w:type="dxa"/>
            </w:tcMar>
            <w:vAlign w:val="center"/>
          </w:tcPr>
          <w:p w14:paraId="2F40892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3C89C45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w:t>
            </w:r>
          </w:p>
        </w:tc>
        <w:tc>
          <w:tcPr>
            <w:tcW w:w="1878" w:type="dxa"/>
            <w:tcBorders>
              <w:tl2br w:val="nil"/>
              <w:tr2bl w:val="nil"/>
            </w:tcBorders>
            <w:shd w:val="clear" w:color="auto" w:fill="FFFFFF"/>
            <w:tcMar>
              <w:top w:w="0" w:type="dxa"/>
              <w:left w:w="0" w:type="dxa"/>
              <w:bottom w:w="0" w:type="dxa"/>
              <w:right w:w="0" w:type="dxa"/>
            </w:tcMar>
            <w:vAlign w:val="center"/>
          </w:tcPr>
          <w:p w14:paraId="1E741F0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基础减震，水下吸声</w:t>
            </w:r>
          </w:p>
        </w:tc>
        <w:tc>
          <w:tcPr>
            <w:tcW w:w="555" w:type="dxa"/>
            <w:tcBorders>
              <w:tl2br w:val="nil"/>
              <w:tr2bl w:val="nil"/>
            </w:tcBorders>
            <w:shd w:val="clear" w:color="auto" w:fill="FFFFFF"/>
            <w:tcMar>
              <w:top w:w="0" w:type="dxa"/>
              <w:left w:w="0" w:type="dxa"/>
              <w:bottom w:w="0" w:type="dxa"/>
              <w:right w:w="0" w:type="dxa"/>
            </w:tcMar>
            <w:vAlign w:val="center"/>
          </w:tcPr>
          <w:p w14:paraId="2325699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-8.4</w:t>
            </w:r>
          </w:p>
        </w:tc>
        <w:tc>
          <w:tcPr>
            <w:tcW w:w="525" w:type="dxa"/>
            <w:tcBorders>
              <w:tl2br w:val="nil"/>
              <w:tr2bl w:val="nil"/>
            </w:tcBorders>
            <w:shd w:val="clear" w:color="auto" w:fill="FFFFFF"/>
            <w:tcMar>
              <w:top w:w="0" w:type="dxa"/>
              <w:left w:w="0" w:type="dxa"/>
              <w:bottom w:w="0" w:type="dxa"/>
              <w:right w:w="0" w:type="dxa"/>
            </w:tcMar>
            <w:vAlign w:val="center"/>
          </w:tcPr>
          <w:p w14:paraId="640731E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w:t>
            </w:r>
          </w:p>
        </w:tc>
        <w:tc>
          <w:tcPr>
            <w:tcW w:w="429" w:type="dxa"/>
            <w:tcBorders>
              <w:tl2br w:val="nil"/>
              <w:tr2bl w:val="nil"/>
            </w:tcBorders>
            <w:shd w:val="clear" w:color="auto" w:fill="FFFFFF"/>
            <w:tcMar>
              <w:top w:w="0" w:type="dxa"/>
              <w:left w:w="0" w:type="dxa"/>
              <w:bottom w:w="0" w:type="dxa"/>
              <w:right w:w="0" w:type="dxa"/>
            </w:tcMar>
            <w:vAlign w:val="center"/>
          </w:tcPr>
          <w:p w14:paraId="47793F8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w:t>
            </w:r>
          </w:p>
        </w:tc>
        <w:tc>
          <w:tcPr>
            <w:tcW w:w="435" w:type="dxa"/>
            <w:tcBorders>
              <w:tl2br w:val="nil"/>
              <w:tr2bl w:val="nil"/>
            </w:tcBorders>
            <w:shd w:val="clear" w:color="auto" w:fill="FFFFFF"/>
            <w:tcMar>
              <w:top w:w="0" w:type="dxa"/>
              <w:left w:w="0" w:type="dxa"/>
              <w:bottom w:w="0" w:type="dxa"/>
              <w:right w:w="0" w:type="dxa"/>
            </w:tcMar>
            <w:vAlign w:val="center"/>
          </w:tcPr>
          <w:p w14:paraId="59F8553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47.4</w:t>
            </w:r>
          </w:p>
        </w:tc>
        <w:tc>
          <w:tcPr>
            <w:tcW w:w="480" w:type="dxa"/>
            <w:tcBorders>
              <w:tl2br w:val="nil"/>
              <w:tr2bl w:val="nil"/>
            </w:tcBorders>
            <w:shd w:val="clear" w:color="auto" w:fill="FFFFFF"/>
            <w:tcMar>
              <w:top w:w="0" w:type="dxa"/>
              <w:left w:w="0" w:type="dxa"/>
              <w:bottom w:w="0" w:type="dxa"/>
              <w:right w:w="0" w:type="dxa"/>
            </w:tcMar>
            <w:vAlign w:val="center"/>
          </w:tcPr>
          <w:p w14:paraId="07391BE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6.8</w:t>
            </w:r>
          </w:p>
        </w:tc>
        <w:tc>
          <w:tcPr>
            <w:tcW w:w="435" w:type="dxa"/>
            <w:tcBorders>
              <w:tl2br w:val="nil"/>
              <w:tr2bl w:val="nil"/>
            </w:tcBorders>
            <w:shd w:val="clear" w:color="auto" w:fill="FFFFFF"/>
            <w:tcMar>
              <w:top w:w="0" w:type="dxa"/>
              <w:left w:w="0" w:type="dxa"/>
              <w:bottom w:w="0" w:type="dxa"/>
              <w:right w:w="0" w:type="dxa"/>
            </w:tcMar>
            <w:vAlign w:val="center"/>
          </w:tcPr>
          <w:p w14:paraId="290E538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12.3</w:t>
            </w:r>
          </w:p>
        </w:tc>
        <w:tc>
          <w:tcPr>
            <w:tcW w:w="483" w:type="dxa"/>
            <w:tcBorders>
              <w:tl2br w:val="nil"/>
              <w:tr2bl w:val="nil"/>
            </w:tcBorders>
            <w:shd w:val="clear" w:color="auto" w:fill="FFFFFF"/>
            <w:tcMar>
              <w:top w:w="0" w:type="dxa"/>
              <w:left w:w="0" w:type="dxa"/>
              <w:bottom w:w="0" w:type="dxa"/>
              <w:right w:w="0" w:type="dxa"/>
            </w:tcMar>
            <w:vAlign w:val="center"/>
          </w:tcPr>
          <w:p w14:paraId="39CC14D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6.0</w:t>
            </w:r>
          </w:p>
        </w:tc>
        <w:tc>
          <w:tcPr>
            <w:tcW w:w="413" w:type="dxa"/>
            <w:tcBorders>
              <w:tl2br w:val="nil"/>
              <w:tr2bl w:val="nil"/>
            </w:tcBorders>
            <w:shd w:val="clear" w:color="auto" w:fill="FFFFFF"/>
            <w:tcMar>
              <w:top w:w="0" w:type="dxa"/>
              <w:left w:w="0" w:type="dxa"/>
              <w:bottom w:w="0" w:type="dxa"/>
              <w:right w:w="0" w:type="dxa"/>
            </w:tcMar>
            <w:vAlign w:val="center"/>
          </w:tcPr>
          <w:p w14:paraId="279A1AC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63.3</w:t>
            </w:r>
          </w:p>
        </w:tc>
        <w:tc>
          <w:tcPr>
            <w:tcW w:w="465" w:type="dxa"/>
            <w:tcBorders>
              <w:tl2br w:val="nil"/>
              <w:tr2bl w:val="nil"/>
            </w:tcBorders>
            <w:shd w:val="clear" w:color="auto" w:fill="FFFFFF"/>
            <w:tcMar>
              <w:top w:w="0" w:type="dxa"/>
              <w:left w:w="0" w:type="dxa"/>
              <w:bottom w:w="0" w:type="dxa"/>
              <w:right w:w="0" w:type="dxa"/>
            </w:tcMar>
            <w:vAlign w:val="center"/>
          </w:tcPr>
          <w:p w14:paraId="02C1051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63.4</w:t>
            </w:r>
          </w:p>
        </w:tc>
        <w:tc>
          <w:tcPr>
            <w:tcW w:w="487" w:type="dxa"/>
            <w:tcBorders>
              <w:tl2br w:val="nil"/>
              <w:tr2bl w:val="nil"/>
            </w:tcBorders>
            <w:shd w:val="clear" w:color="auto" w:fill="FFFFFF"/>
            <w:tcMar>
              <w:top w:w="0" w:type="dxa"/>
              <w:left w:w="0" w:type="dxa"/>
              <w:bottom w:w="0" w:type="dxa"/>
              <w:right w:w="0" w:type="dxa"/>
            </w:tcMar>
            <w:vAlign w:val="center"/>
          </w:tcPr>
          <w:p w14:paraId="21170D4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63.4</w:t>
            </w:r>
          </w:p>
        </w:tc>
        <w:tc>
          <w:tcPr>
            <w:tcW w:w="491" w:type="dxa"/>
            <w:tcBorders>
              <w:tl2br w:val="nil"/>
              <w:tr2bl w:val="nil"/>
            </w:tcBorders>
            <w:shd w:val="clear" w:color="auto" w:fill="FFFFFF"/>
            <w:tcMar>
              <w:top w:w="0" w:type="dxa"/>
              <w:left w:w="0" w:type="dxa"/>
              <w:bottom w:w="0" w:type="dxa"/>
              <w:right w:w="0" w:type="dxa"/>
            </w:tcMar>
            <w:vAlign w:val="center"/>
          </w:tcPr>
          <w:p w14:paraId="74CBE6D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63.4</w:t>
            </w:r>
          </w:p>
        </w:tc>
        <w:tc>
          <w:tcPr>
            <w:tcW w:w="480" w:type="dxa"/>
            <w:tcBorders>
              <w:tl2br w:val="nil"/>
              <w:tr2bl w:val="nil"/>
            </w:tcBorders>
            <w:shd w:val="clear" w:color="auto" w:fill="FFFFFF"/>
            <w:tcMar>
              <w:top w:w="0" w:type="dxa"/>
              <w:left w:w="0" w:type="dxa"/>
              <w:bottom w:w="0" w:type="dxa"/>
              <w:right w:w="0" w:type="dxa"/>
            </w:tcMar>
            <w:vAlign w:val="center"/>
          </w:tcPr>
          <w:p w14:paraId="6F4C092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16C3F36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4422098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21808E8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347F7DC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48A380E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37.3</w:t>
            </w:r>
          </w:p>
        </w:tc>
        <w:tc>
          <w:tcPr>
            <w:tcW w:w="472" w:type="dxa"/>
            <w:tcBorders>
              <w:tl2br w:val="nil"/>
              <w:tr2bl w:val="nil"/>
            </w:tcBorders>
            <w:shd w:val="clear" w:color="auto" w:fill="FFFFFF"/>
            <w:tcMar>
              <w:top w:w="0" w:type="dxa"/>
              <w:left w:w="0" w:type="dxa"/>
              <w:bottom w:w="0" w:type="dxa"/>
              <w:right w:w="0" w:type="dxa"/>
            </w:tcMar>
            <w:vAlign w:val="center"/>
          </w:tcPr>
          <w:p w14:paraId="7CEC615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37.4</w:t>
            </w:r>
          </w:p>
        </w:tc>
        <w:tc>
          <w:tcPr>
            <w:tcW w:w="450" w:type="dxa"/>
            <w:tcBorders>
              <w:tl2br w:val="nil"/>
              <w:tr2bl w:val="nil"/>
            </w:tcBorders>
            <w:shd w:val="clear" w:color="auto" w:fill="FFFFFF"/>
            <w:tcMar>
              <w:top w:w="0" w:type="dxa"/>
              <w:left w:w="0" w:type="dxa"/>
              <w:bottom w:w="0" w:type="dxa"/>
              <w:right w:w="0" w:type="dxa"/>
            </w:tcMar>
            <w:vAlign w:val="center"/>
          </w:tcPr>
          <w:p w14:paraId="4C3BB02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37.4</w:t>
            </w:r>
          </w:p>
        </w:tc>
        <w:tc>
          <w:tcPr>
            <w:tcW w:w="450" w:type="dxa"/>
            <w:tcBorders>
              <w:tl2br w:val="nil"/>
              <w:tr2bl w:val="nil"/>
            </w:tcBorders>
            <w:shd w:val="clear" w:color="auto" w:fill="FFFFFF"/>
            <w:tcMar>
              <w:top w:w="0" w:type="dxa"/>
              <w:left w:w="0" w:type="dxa"/>
              <w:bottom w:w="0" w:type="dxa"/>
              <w:right w:w="0" w:type="dxa"/>
            </w:tcMar>
            <w:vAlign w:val="center"/>
          </w:tcPr>
          <w:p w14:paraId="2E76EB8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37.4</w:t>
            </w:r>
          </w:p>
        </w:tc>
        <w:tc>
          <w:tcPr>
            <w:tcW w:w="530" w:type="dxa"/>
            <w:tcBorders>
              <w:tl2br w:val="nil"/>
              <w:tr2bl w:val="nil"/>
            </w:tcBorders>
            <w:shd w:val="clear" w:color="auto" w:fill="FFFFFF"/>
            <w:tcMar>
              <w:top w:w="0" w:type="dxa"/>
              <w:left w:w="0" w:type="dxa"/>
              <w:bottom w:w="0" w:type="dxa"/>
              <w:right w:w="0" w:type="dxa"/>
            </w:tcMar>
            <w:vAlign w:val="center"/>
          </w:tcPr>
          <w:p w14:paraId="65861E7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3FCF1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60" w:hRule="atLeast"/>
        </w:trPr>
        <w:tc>
          <w:tcPr>
            <w:tcW w:w="415" w:type="dxa"/>
            <w:tcBorders>
              <w:tl2br w:val="nil"/>
              <w:tr2bl w:val="nil"/>
            </w:tcBorders>
            <w:shd w:val="clear" w:color="auto" w:fill="FFFFFF"/>
            <w:tcMar>
              <w:top w:w="0" w:type="dxa"/>
              <w:left w:w="0" w:type="dxa"/>
              <w:bottom w:w="0" w:type="dxa"/>
              <w:right w:w="0" w:type="dxa"/>
            </w:tcMar>
            <w:vAlign w:val="center"/>
          </w:tcPr>
          <w:p w14:paraId="583FDD0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9</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4963AD2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108D70B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搅拌机2台叠加</w:t>
            </w:r>
          </w:p>
        </w:tc>
        <w:tc>
          <w:tcPr>
            <w:tcW w:w="405" w:type="dxa"/>
            <w:tcBorders>
              <w:tl2br w:val="nil"/>
              <w:tr2bl w:val="nil"/>
            </w:tcBorders>
            <w:shd w:val="clear" w:color="auto" w:fill="FFFFFF"/>
            <w:tcMar>
              <w:top w:w="0" w:type="dxa"/>
              <w:left w:w="0" w:type="dxa"/>
              <w:bottom w:w="0" w:type="dxa"/>
              <w:right w:w="0" w:type="dxa"/>
            </w:tcMar>
            <w:vAlign w:val="center"/>
          </w:tcPr>
          <w:p w14:paraId="4A09A6F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788E256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w:t>
            </w:r>
          </w:p>
        </w:tc>
        <w:tc>
          <w:tcPr>
            <w:tcW w:w="1878" w:type="dxa"/>
            <w:tcBorders>
              <w:tl2br w:val="nil"/>
              <w:tr2bl w:val="nil"/>
            </w:tcBorders>
            <w:shd w:val="clear" w:color="auto" w:fill="FFFFFF"/>
            <w:tcMar>
              <w:top w:w="0" w:type="dxa"/>
              <w:left w:w="0" w:type="dxa"/>
              <w:bottom w:w="0" w:type="dxa"/>
              <w:right w:w="0" w:type="dxa"/>
            </w:tcMar>
            <w:vAlign w:val="center"/>
          </w:tcPr>
          <w:p w14:paraId="3981CE2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基础减震，水下吸声</w:t>
            </w:r>
          </w:p>
        </w:tc>
        <w:tc>
          <w:tcPr>
            <w:tcW w:w="555" w:type="dxa"/>
            <w:tcBorders>
              <w:tl2br w:val="nil"/>
              <w:tr2bl w:val="nil"/>
            </w:tcBorders>
            <w:shd w:val="clear" w:color="auto" w:fill="FFFFFF"/>
            <w:tcMar>
              <w:top w:w="0" w:type="dxa"/>
              <w:left w:w="0" w:type="dxa"/>
              <w:bottom w:w="0" w:type="dxa"/>
              <w:right w:w="0" w:type="dxa"/>
            </w:tcMar>
            <w:vAlign w:val="center"/>
          </w:tcPr>
          <w:p w14:paraId="47BDEDC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20.6</w:t>
            </w:r>
          </w:p>
        </w:tc>
        <w:tc>
          <w:tcPr>
            <w:tcW w:w="525" w:type="dxa"/>
            <w:tcBorders>
              <w:tl2br w:val="nil"/>
              <w:tr2bl w:val="nil"/>
            </w:tcBorders>
            <w:shd w:val="clear" w:color="auto" w:fill="FFFFFF"/>
            <w:tcMar>
              <w:top w:w="0" w:type="dxa"/>
              <w:left w:w="0" w:type="dxa"/>
              <w:bottom w:w="0" w:type="dxa"/>
              <w:right w:w="0" w:type="dxa"/>
            </w:tcMar>
            <w:vAlign w:val="center"/>
          </w:tcPr>
          <w:p w14:paraId="45E0717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-0.1</w:t>
            </w:r>
          </w:p>
        </w:tc>
        <w:tc>
          <w:tcPr>
            <w:tcW w:w="429" w:type="dxa"/>
            <w:tcBorders>
              <w:tl2br w:val="nil"/>
              <w:tr2bl w:val="nil"/>
            </w:tcBorders>
            <w:shd w:val="clear" w:color="auto" w:fill="FFFFFF"/>
            <w:tcMar>
              <w:top w:w="0" w:type="dxa"/>
              <w:left w:w="0" w:type="dxa"/>
              <w:bottom w:w="0" w:type="dxa"/>
              <w:right w:w="0" w:type="dxa"/>
            </w:tcMar>
            <w:vAlign w:val="center"/>
          </w:tcPr>
          <w:p w14:paraId="4C0712B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w:t>
            </w:r>
          </w:p>
        </w:tc>
        <w:tc>
          <w:tcPr>
            <w:tcW w:w="435" w:type="dxa"/>
            <w:tcBorders>
              <w:tl2br w:val="nil"/>
              <w:tr2bl w:val="nil"/>
            </w:tcBorders>
            <w:shd w:val="clear" w:color="auto" w:fill="FFFFFF"/>
            <w:tcMar>
              <w:top w:w="0" w:type="dxa"/>
              <w:left w:w="0" w:type="dxa"/>
              <w:bottom w:w="0" w:type="dxa"/>
              <w:right w:w="0" w:type="dxa"/>
            </w:tcMar>
            <w:vAlign w:val="center"/>
          </w:tcPr>
          <w:p w14:paraId="583BBFC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18.4</w:t>
            </w:r>
          </w:p>
        </w:tc>
        <w:tc>
          <w:tcPr>
            <w:tcW w:w="480" w:type="dxa"/>
            <w:tcBorders>
              <w:tl2br w:val="nil"/>
              <w:tr2bl w:val="nil"/>
            </w:tcBorders>
            <w:shd w:val="clear" w:color="auto" w:fill="FFFFFF"/>
            <w:tcMar>
              <w:top w:w="0" w:type="dxa"/>
              <w:left w:w="0" w:type="dxa"/>
              <w:bottom w:w="0" w:type="dxa"/>
              <w:right w:w="0" w:type="dxa"/>
            </w:tcMar>
            <w:vAlign w:val="center"/>
          </w:tcPr>
          <w:p w14:paraId="5FA4F4A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6.7</w:t>
            </w:r>
          </w:p>
        </w:tc>
        <w:tc>
          <w:tcPr>
            <w:tcW w:w="435" w:type="dxa"/>
            <w:tcBorders>
              <w:tl2br w:val="nil"/>
              <w:tr2bl w:val="nil"/>
            </w:tcBorders>
            <w:shd w:val="clear" w:color="auto" w:fill="FFFFFF"/>
            <w:tcMar>
              <w:top w:w="0" w:type="dxa"/>
              <w:left w:w="0" w:type="dxa"/>
              <w:bottom w:w="0" w:type="dxa"/>
              <w:right w:w="0" w:type="dxa"/>
            </w:tcMar>
            <w:vAlign w:val="center"/>
          </w:tcPr>
          <w:p w14:paraId="785104F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41.3</w:t>
            </w:r>
          </w:p>
        </w:tc>
        <w:tc>
          <w:tcPr>
            <w:tcW w:w="483" w:type="dxa"/>
            <w:tcBorders>
              <w:tl2br w:val="nil"/>
              <w:tr2bl w:val="nil"/>
            </w:tcBorders>
            <w:shd w:val="clear" w:color="auto" w:fill="FFFFFF"/>
            <w:tcMar>
              <w:top w:w="0" w:type="dxa"/>
              <w:left w:w="0" w:type="dxa"/>
              <w:bottom w:w="0" w:type="dxa"/>
              <w:right w:w="0" w:type="dxa"/>
            </w:tcMar>
            <w:vAlign w:val="center"/>
          </w:tcPr>
          <w:p w14:paraId="3DFBA0B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6.1</w:t>
            </w:r>
          </w:p>
        </w:tc>
        <w:tc>
          <w:tcPr>
            <w:tcW w:w="413" w:type="dxa"/>
            <w:tcBorders>
              <w:tl2br w:val="nil"/>
              <w:tr2bl w:val="nil"/>
            </w:tcBorders>
            <w:shd w:val="clear" w:color="auto" w:fill="FFFFFF"/>
            <w:tcMar>
              <w:top w:w="0" w:type="dxa"/>
              <w:left w:w="0" w:type="dxa"/>
              <w:bottom w:w="0" w:type="dxa"/>
              <w:right w:w="0" w:type="dxa"/>
            </w:tcMar>
            <w:vAlign w:val="center"/>
          </w:tcPr>
          <w:p w14:paraId="27D412C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63.3</w:t>
            </w:r>
          </w:p>
        </w:tc>
        <w:tc>
          <w:tcPr>
            <w:tcW w:w="465" w:type="dxa"/>
            <w:tcBorders>
              <w:tl2br w:val="nil"/>
              <w:tr2bl w:val="nil"/>
            </w:tcBorders>
            <w:shd w:val="clear" w:color="auto" w:fill="FFFFFF"/>
            <w:tcMar>
              <w:top w:w="0" w:type="dxa"/>
              <w:left w:w="0" w:type="dxa"/>
              <w:bottom w:w="0" w:type="dxa"/>
              <w:right w:w="0" w:type="dxa"/>
            </w:tcMar>
            <w:vAlign w:val="center"/>
          </w:tcPr>
          <w:p w14:paraId="56525CB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63.4</w:t>
            </w:r>
          </w:p>
        </w:tc>
        <w:tc>
          <w:tcPr>
            <w:tcW w:w="487" w:type="dxa"/>
            <w:tcBorders>
              <w:tl2br w:val="nil"/>
              <w:tr2bl w:val="nil"/>
            </w:tcBorders>
            <w:shd w:val="clear" w:color="auto" w:fill="FFFFFF"/>
            <w:tcMar>
              <w:top w:w="0" w:type="dxa"/>
              <w:left w:w="0" w:type="dxa"/>
              <w:bottom w:w="0" w:type="dxa"/>
              <w:right w:w="0" w:type="dxa"/>
            </w:tcMar>
            <w:vAlign w:val="center"/>
          </w:tcPr>
          <w:p w14:paraId="7A62CAE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63.3</w:t>
            </w:r>
          </w:p>
        </w:tc>
        <w:tc>
          <w:tcPr>
            <w:tcW w:w="491" w:type="dxa"/>
            <w:tcBorders>
              <w:tl2br w:val="nil"/>
              <w:tr2bl w:val="nil"/>
            </w:tcBorders>
            <w:shd w:val="clear" w:color="auto" w:fill="FFFFFF"/>
            <w:tcMar>
              <w:top w:w="0" w:type="dxa"/>
              <w:left w:w="0" w:type="dxa"/>
              <w:bottom w:w="0" w:type="dxa"/>
              <w:right w:w="0" w:type="dxa"/>
            </w:tcMar>
            <w:vAlign w:val="center"/>
          </w:tcPr>
          <w:p w14:paraId="50E30D1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63.4</w:t>
            </w:r>
          </w:p>
        </w:tc>
        <w:tc>
          <w:tcPr>
            <w:tcW w:w="480" w:type="dxa"/>
            <w:tcBorders>
              <w:tl2br w:val="nil"/>
              <w:tr2bl w:val="nil"/>
            </w:tcBorders>
            <w:shd w:val="clear" w:color="auto" w:fill="FFFFFF"/>
            <w:tcMar>
              <w:top w:w="0" w:type="dxa"/>
              <w:left w:w="0" w:type="dxa"/>
              <w:bottom w:w="0" w:type="dxa"/>
              <w:right w:w="0" w:type="dxa"/>
            </w:tcMar>
            <w:vAlign w:val="center"/>
          </w:tcPr>
          <w:p w14:paraId="210B0B1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4FB0575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1ABB2BE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4E12CE3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3DD4AAD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21476B2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37.3</w:t>
            </w:r>
          </w:p>
        </w:tc>
        <w:tc>
          <w:tcPr>
            <w:tcW w:w="472" w:type="dxa"/>
            <w:tcBorders>
              <w:tl2br w:val="nil"/>
              <w:tr2bl w:val="nil"/>
            </w:tcBorders>
            <w:shd w:val="clear" w:color="auto" w:fill="FFFFFF"/>
            <w:tcMar>
              <w:top w:w="0" w:type="dxa"/>
              <w:left w:w="0" w:type="dxa"/>
              <w:bottom w:w="0" w:type="dxa"/>
              <w:right w:w="0" w:type="dxa"/>
            </w:tcMar>
            <w:vAlign w:val="center"/>
          </w:tcPr>
          <w:p w14:paraId="01D5D5D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37.4</w:t>
            </w:r>
          </w:p>
        </w:tc>
        <w:tc>
          <w:tcPr>
            <w:tcW w:w="450" w:type="dxa"/>
            <w:tcBorders>
              <w:tl2br w:val="nil"/>
              <w:tr2bl w:val="nil"/>
            </w:tcBorders>
            <w:shd w:val="clear" w:color="auto" w:fill="FFFFFF"/>
            <w:tcMar>
              <w:top w:w="0" w:type="dxa"/>
              <w:left w:w="0" w:type="dxa"/>
              <w:bottom w:w="0" w:type="dxa"/>
              <w:right w:w="0" w:type="dxa"/>
            </w:tcMar>
            <w:vAlign w:val="center"/>
          </w:tcPr>
          <w:p w14:paraId="007ED33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37.3</w:t>
            </w:r>
          </w:p>
        </w:tc>
        <w:tc>
          <w:tcPr>
            <w:tcW w:w="450" w:type="dxa"/>
            <w:tcBorders>
              <w:tl2br w:val="nil"/>
              <w:tr2bl w:val="nil"/>
            </w:tcBorders>
            <w:shd w:val="clear" w:color="auto" w:fill="FFFFFF"/>
            <w:tcMar>
              <w:top w:w="0" w:type="dxa"/>
              <w:left w:w="0" w:type="dxa"/>
              <w:bottom w:w="0" w:type="dxa"/>
              <w:right w:w="0" w:type="dxa"/>
            </w:tcMar>
            <w:vAlign w:val="center"/>
          </w:tcPr>
          <w:p w14:paraId="7A5CE3F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37.4</w:t>
            </w:r>
          </w:p>
        </w:tc>
        <w:tc>
          <w:tcPr>
            <w:tcW w:w="530" w:type="dxa"/>
            <w:tcBorders>
              <w:tl2br w:val="nil"/>
              <w:tr2bl w:val="nil"/>
            </w:tcBorders>
            <w:shd w:val="clear" w:color="auto" w:fill="FFFFFF"/>
            <w:tcMar>
              <w:top w:w="0" w:type="dxa"/>
              <w:left w:w="0" w:type="dxa"/>
              <w:bottom w:w="0" w:type="dxa"/>
              <w:right w:w="0" w:type="dxa"/>
            </w:tcMar>
            <w:vAlign w:val="center"/>
          </w:tcPr>
          <w:p w14:paraId="11F215F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6364A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5" w:hRule="atLeast"/>
        </w:trPr>
        <w:tc>
          <w:tcPr>
            <w:tcW w:w="415" w:type="dxa"/>
            <w:tcBorders>
              <w:tl2br w:val="nil"/>
              <w:tr2bl w:val="nil"/>
            </w:tcBorders>
            <w:shd w:val="clear" w:color="auto" w:fill="FFFFFF"/>
            <w:tcMar>
              <w:top w:w="0" w:type="dxa"/>
              <w:left w:w="0" w:type="dxa"/>
              <w:bottom w:w="0" w:type="dxa"/>
              <w:right w:w="0" w:type="dxa"/>
            </w:tcMar>
            <w:vAlign w:val="center"/>
          </w:tcPr>
          <w:p w14:paraId="7910787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10</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3758ACF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50959E6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回流泵2台叠加</w:t>
            </w:r>
          </w:p>
        </w:tc>
        <w:tc>
          <w:tcPr>
            <w:tcW w:w="405" w:type="dxa"/>
            <w:tcBorders>
              <w:tl2br w:val="nil"/>
              <w:tr2bl w:val="nil"/>
            </w:tcBorders>
            <w:shd w:val="clear" w:color="auto" w:fill="FFFFFF"/>
            <w:tcMar>
              <w:top w:w="0" w:type="dxa"/>
              <w:left w:w="0" w:type="dxa"/>
              <w:bottom w:w="0" w:type="dxa"/>
              <w:right w:w="0" w:type="dxa"/>
            </w:tcMar>
            <w:vAlign w:val="center"/>
          </w:tcPr>
          <w:p w14:paraId="7B8970E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074BEE9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83</w:t>
            </w:r>
          </w:p>
        </w:tc>
        <w:tc>
          <w:tcPr>
            <w:tcW w:w="1878" w:type="dxa"/>
            <w:tcBorders>
              <w:tl2br w:val="nil"/>
              <w:tr2bl w:val="nil"/>
            </w:tcBorders>
            <w:shd w:val="clear" w:color="auto" w:fill="FFFFFF"/>
            <w:tcMar>
              <w:top w:w="0" w:type="dxa"/>
              <w:left w:w="0" w:type="dxa"/>
              <w:bottom w:w="0" w:type="dxa"/>
              <w:right w:w="0" w:type="dxa"/>
            </w:tcMar>
            <w:vAlign w:val="center"/>
          </w:tcPr>
          <w:p w14:paraId="7D4C255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w:t>
            </w:r>
          </w:p>
        </w:tc>
        <w:tc>
          <w:tcPr>
            <w:tcW w:w="555" w:type="dxa"/>
            <w:tcBorders>
              <w:tl2br w:val="nil"/>
              <w:tr2bl w:val="nil"/>
            </w:tcBorders>
            <w:shd w:val="clear" w:color="auto" w:fill="FFFFFF"/>
            <w:tcMar>
              <w:top w:w="0" w:type="dxa"/>
              <w:left w:w="0" w:type="dxa"/>
              <w:bottom w:w="0" w:type="dxa"/>
              <w:right w:w="0" w:type="dxa"/>
            </w:tcMar>
            <w:vAlign w:val="center"/>
          </w:tcPr>
          <w:p w14:paraId="46A3D35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29.7</w:t>
            </w:r>
          </w:p>
        </w:tc>
        <w:tc>
          <w:tcPr>
            <w:tcW w:w="525" w:type="dxa"/>
            <w:tcBorders>
              <w:tl2br w:val="nil"/>
              <w:tr2bl w:val="nil"/>
            </w:tcBorders>
            <w:shd w:val="clear" w:color="auto" w:fill="FFFFFF"/>
            <w:tcMar>
              <w:top w:w="0" w:type="dxa"/>
              <w:left w:w="0" w:type="dxa"/>
              <w:bottom w:w="0" w:type="dxa"/>
              <w:right w:w="0" w:type="dxa"/>
            </w:tcMar>
            <w:vAlign w:val="center"/>
          </w:tcPr>
          <w:p w14:paraId="123CF0F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w:t>
            </w:r>
          </w:p>
        </w:tc>
        <w:tc>
          <w:tcPr>
            <w:tcW w:w="429" w:type="dxa"/>
            <w:tcBorders>
              <w:tl2br w:val="nil"/>
              <w:tr2bl w:val="nil"/>
            </w:tcBorders>
            <w:shd w:val="clear" w:color="auto" w:fill="FFFFFF"/>
            <w:tcMar>
              <w:top w:w="0" w:type="dxa"/>
              <w:left w:w="0" w:type="dxa"/>
              <w:bottom w:w="0" w:type="dxa"/>
              <w:right w:w="0" w:type="dxa"/>
            </w:tcMar>
            <w:vAlign w:val="center"/>
          </w:tcPr>
          <w:p w14:paraId="58E2D08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55DFB62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9.3</w:t>
            </w:r>
          </w:p>
        </w:tc>
        <w:tc>
          <w:tcPr>
            <w:tcW w:w="480" w:type="dxa"/>
            <w:tcBorders>
              <w:tl2br w:val="nil"/>
              <w:tr2bl w:val="nil"/>
            </w:tcBorders>
            <w:shd w:val="clear" w:color="auto" w:fill="FFFFFF"/>
            <w:tcMar>
              <w:top w:w="0" w:type="dxa"/>
              <w:left w:w="0" w:type="dxa"/>
              <w:bottom w:w="0" w:type="dxa"/>
              <w:right w:w="0" w:type="dxa"/>
            </w:tcMar>
            <w:vAlign w:val="center"/>
          </w:tcPr>
          <w:p w14:paraId="0E09402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6.8</w:t>
            </w:r>
          </w:p>
        </w:tc>
        <w:tc>
          <w:tcPr>
            <w:tcW w:w="435" w:type="dxa"/>
            <w:tcBorders>
              <w:tl2br w:val="nil"/>
              <w:tr2bl w:val="nil"/>
            </w:tcBorders>
            <w:shd w:val="clear" w:color="auto" w:fill="FFFFFF"/>
            <w:tcMar>
              <w:top w:w="0" w:type="dxa"/>
              <w:left w:w="0" w:type="dxa"/>
              <w:bottom w:w="0" w:type="dxa"/>
              <w:right w:w="0" w:type="dxa"/>
            </w:tcMar>
            <w:vAlign w:val="center"/>
          </w:tcPr>
          <w:p w14:paraId="7DC588D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50.4</w:t>
            </w:r>
          </w:p>
        </w:tc>
        <w:tc>
          <w:tcPr>
            <w:tcW w:w="483" w:type="dxa"/>
            <w:tcBorders>
              <w:tl2br w:val="nil"/>
              <w:tr2bl w:val="nil"/>
            </w:tcBorders>
            <w:shd w:val="clear" w:color="auto" w:fill="FFFFFF"/>
            <w:tcMar>
              <w:top w:w="0" w:type="dxa"/>
              <w:left w:w="0" w:type="dxa"/>
              <w:bottom w:w="0" w:type="dxa"/>
              <w:right w:w="0" w:type="dxa"/>
            </w:tcMar>
            <w:vAlign w:val="center"/>
          </w:tcPr>
          <w:p w14:paraId="4CF1759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6.0</w:t>
            </w:r>
          </w:p>
        </w:tc>
        <w:tc>
          <w:tcPr>
            <w:tcW w:w="413" w:type="dxa"/>
            <w:tcBorders>
              <w:tl2br w:val="nil"/>
              <w:tr2bl w:val="nil"/>
            </w:tcBorders>
            <w:shd w:val="clear" w:color="auto" w:fill="FFFFFF"/>
            <w:tcMar>
              <w:top w:w="0" w:type="dxa"/>
              <w:left w:w="0" w:type="dxa"/>
              <w:bottom w:w="0" w:type="dxa"/>
              <w:right w:w="0" w:type="dxa"/>
            </w:tcMar>
            <w:vAlign w:val="center"/>
          </w:tcPr>
          <w:p w14:paraId="32A2226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73.4</w:t>
            </w:r>
          </w:p>
        </w:tc>
        <w:tc>
          <w:tcPr>
            <w:tcW w:w="465" w:type="dxa"/>
            <w:tcBorders>
              <w:tl2br w:val="nil"/>
              <w:tr2bl w:val="nil"/>
            </w:tcBorders>
            <w:shd w:val="clear" w:color="auto" w:fill="FFFFFF"/>
            <w:tcMar>
              <w:top w:w="0" w:type="dxa"/>
              <w:left w:w="0" w:type="dxa"/>
              <w:bottom w:w="0" w:type="dxa"/>
              <w:right w:w="0" w:type="dxa"/>
            </w:tcMar>
            <w:vAlign w:val="center"/>
          </w:tcPr>
          <w:p w14:paraId="5690199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73.4</w:t>
            </w:r>
          </w:p>
        </w:tc>
        <w:tc>
          <w:tcPr>
            <w:tcW w:w="487" w:type="dxa"/>
            <w:tcBorders>
              <w:tl2br w:val="nil"/>
              <w:tr2bl w:val="nil"/>
            </w:tcBorders>
            <w:shd w:val="clear" w:color="auto" w:fill="FFFFFF"/>
            <w:tcMar>
              <w:top w:w="0" w:type="dxa"/>
              <w:left w:w="0" w:type="dxa"/>
              <w:bottom w:w="0" w:type="dxa"/>
              <w:right w:w="0" w:type="dxa"/>
            </w:tcMar>
            <w:vAlign w:val="center"/>
          </w:tcPr>
          <w:p w14:paraId="11E373F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73.3</w:t>
            </w:r>
          </w:p>
        </w:tc>
        <w:tc>
          <w:tcPr>
            <w:tcW w:w="491" w:type="dxa"/>
            <w:tcBorders>
              <w:tl2br w:val="nil"/>
              <w:tr2bl w:val="nil"/>
            </w:tcBorders>
            <w:shd w:val="clear" w:color="auto" w:fill="FFFFFF"/>
            <w:tcMar>
              <w:top w:w="0" w:type="dxa"/>
              <w:left w:w="0" w:type="dxa"/>
              <w:bottom w:w="0" w:type="dxa"/>
              <w:right w:w="0" w:type="dxa"/>
            </w:tcMar>
            <w:vAlign w:val="center"/>
          </w:tcPr>
          <w:p w14:paraId="59A8C89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73.4</w:t>
            </w:r>
          </w:p>
        </w:tc>
        <w:tc>
          <w:tcPr>
            <w:tcW w:w="480" w:type="dxa"/>
            <w:tcBorders>
              <w:tl2br w:val="nil"/>
              <w:tr2bl w:val="nil"/>
            </w:tcBorders>
            <w:shd w:val="clear" w:color="auto" w:fill="FFFFFF"/>
            <w:tcMar>
              <w:top w:w="0" w:type="dxa"/>
              <w:left w:w="0" w:type="dxa"/>
              <w:bottom w:w="0" w:type="dxa"/>
              <w:right w:w="0" w:type="dxa"/>
            </w:tcMar>
            <w:vAlign w:val="center"/>
          </w:tcPr>
          <w:p w14:paraId="09E24F7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7CDBCA1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1A11F50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4D2BE1E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673D95F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5B64323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47.4</w:t>
            </w:r>
          </w:p>
        </w:tc>
        <w:tc>
          <w:tcPr>
            <w:tcW w:w="472" w:type="dxa"/>
            <w:tcBorders>
              <w:tl2br w:val="nil"/>
              <w:tr2bl w:val="nil"/>
            </w:tcBorders>
            <w:shd w:val="clear" w:color="auto" w:fill="FFFFFF"/>
            <w:tcMar>
              <w:top w:w="0" w:type="dxa"/>
              <w:left w:w="0" w:type="dxa"/>
              <w:bottom w:w="0" w:type="dxa"/>
              <w:right w:w="0" w:type="dxa"/>
            </w:tcMar>
            <w:vAlign w:val="center"/>
          </w:tcPr>
          <w:p w14:paraId="0CF7C0C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47.4</w:t>
            </w:r>
          </w:p>
        </w:tc>
        <w:tc>
          <w:tcPr>
            <w:tcW w:w="450" w:type="dxa"/>
            <w:tcBorders>
              <w:tl2br w:val="nil"/>
              <w:tr2bl w:val="nil"/>
            </w:tcBorders>
            <w:shd w:val="clear" w:color="auto" w:fill="FFFFFF"/>
            <w:tcMar>
              <w:top w:w="0" w:type="dxa"/>
              <w:left w:w="0" w:type="dxa"/>
              <w:bottom w:w="0" w:type="dxa"/>
              <w:right w:w="0" w:type="dxa"/>
            </w:tcMar>
            <w:vAlign w:val="center"/>
          </w:tcPr>
          <w:p w14:paraId="2D7344E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47.3</w:t>
            </w:r>
          </w:p>
        </w:tc>
        <w:tc>
          <w:tcPr>
            <w:tcW w:w="450" w:type="dxa"/>
            <w:tcBorders>
              <w:tl2br w:val="nil"/>
              <w:tr2bl w:val="nil"/>
            </w:tcBorders>
            <w:shd w:val="clear" w:color="auto" w:fill="FFFFFF"/>
            <w:tcMar>
              <w:top w:w="0" w:type="dxa"/>
              <w:left w:w="0" w:type="dxa"/>
              <w:bottom w:w="0" w:type="dxa"/>
              <w:right w:w="0" w:type="dxa"/>
            </w:tcMar>
            <w:vAlign w:val="center"/>
          </w:tcPr>
          <w:p w14:paraId="5F71B23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47.4</w:t>
            </w:r>
          </w:p>
        </w:tc>
        <w:tc>
          <w:tcPr>
            <w:tcW w:w="530" w:type="dxa"/>
            <w:tcBorders>
              <w:tl2br w:val="nil"/>
              <w:tr2bl w:val="nil"/>
            </w:tcBorders>
            <w:shd w:val="clear" w:color="auto" w:fill="FFFFFF"/>
            <w:tcMar>
              <w:top w:w="0" w:type="dxa"/>
              <w:left w:w="0" w:type="dxa"/>
              <w:bottom w:w="0" w:type="dxa"/>
              <w:right w:w="0" w:type="dxa"/>
            </w:tcMar>
            <w:vAlign w:val="center"/>
          </w:tcPr>
          <w:p w14:paraId="256F456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0454B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2" w:hRule="atLeast"/>
        </w:trPr>
        <w:tc>
          <w:tcPr>
            <w:tcW w:w="415" w:type="dxa"/>
            <w:tcBorders>
              <w:tl2br w:val="nil"/>
              <w:tr2bl w:val="nil"/>
            </w:tcBorders>
            <w:shd w:val="clear" w:color="auto" w:fill="FFFFFF"/>
            <w:tcMar>
              <w:top w:w="0" w:type="dxa"/>
              <w:left w:w="0" w:type="dxa"/>
              <w:bottom w:w="0" w:type="dxa"/>
              <w:right w:w="0" w:type="dxa"/>
            </w:tcMar>
            <w:vAlign w:val="center"/>
          </w:tcPr>
          <w:p w14:paraId="1D5A00C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11</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3388C68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49776FC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回流泵2台叠加</w:t>
            </w:r>
          </w:p>
        </w:tc>
        <w:tc>
          <w:tcPr>
            <w:tcW w:w="405" w:type="dxa"/>
            <w:tcBorders>
              <w:tl2br w:val="nil"/>
              <w:tr2bl w:val="nil"/>
            </w:tcBorders>
            <w:shd w:val="clear" w:color="auto" w:fill="FFFFFF"/>
            <w:tcMar>
              <w:top w:w="0" w:type="dxa"/>
              <w:left w:w="0" w:type="dxa"/>
              <w:bottom w:w="0" w:type="dxa"/>
              <w:right w:w="0" w:type="dxa"/>
            </w:tcMar>
            <w:vAlign w:val="center"/>
          </w:tcPr>
          <w:p w14:paraId="5236A4F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73E1B61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83</w:t>
            </w:r>
          </w:p>
        </w:tc>
        <w:tc>
          <w:tcPr>
            <w:tcW w:w="1878" w:type="dxa"/>
            <w:tcBorders>
              <w:tl2br w:val="nil"/>
              <w:tr2bl w:val="nil"/>
            </w:tcBorders>
            <w:shd w:val="clear" w:color="auto" w:fill="FFFFFF"/>
            <w:tcMar>
              <w:top w:w="0" w:type="dxa"/>
              <w:left w:w="0" w:type="dxa"/>
              <w:bottom w:w="0" w:type="dxa"/>
              <w:right w:w="0" w:type="dxa"/>
            </w:tcMar>
            <w:vAlign w:val="center"/>
          </w:tcPr>
          <w:p w14:paraId="513544D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w:t>
            </w:r>
          </w:p>
        </w:tc>
        <w:tc>
          <w:tcPr>
            <w:tcW w:w="555" w:type="dxa"/>
            <w:tcBorders>
              <w:tl2br w:val="nil"/>
              <w:tr2bl w:val="nil"/>
            </w:tcBorders>
            <w:shd w:val="clear" w:color="auto" w:fill="FFFFFF"/>
            <w:tcMar>
              <w:top w:w="0" w:type="dxa"/>
              <w:left w:w="0" w:type="dxa"/>
              <w:bottom w:w="0" w:type="dxa"/>
              <w:right w:w="0" w:type="dxa"/>
            </w:tcMar>
            <w:vAlign w:val="center"/>
          </w:tcPr>
          <w:p w14:paraId="0E43108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0.1</w:t>
            </w:r>
          </w:p>
        </w:tc>
        <w:tc>
          <w:tcPr>
            <w:tcW w:w="525" w:type="dxa"/>
            <w:tcBorders>
              <w:tl2br w:val="nil"/>
              <w:tr2bl w:val="nil"/>
            </w:tcBorders>
            <w:shd w:val="clear" w:color="auto" w:fill="FFFFFF"/>
            <w:tcMar>
              <w:top w:w="0" w:type="dxa"/>
              <w:left w:w="0" w:type="dxa"/>
              <w:bottom w:w="0" w:type="dxa"/>
              <w:right w:w="0" w:type="dxa"/>
            </w:tcMar>
            <w:vAlign w:val="center"/>
          </w:tcPr>
          <w:p w14:paraId="0434456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-0.2</w:t>
            </w:r>
          </w:p>
        </w:tc>
        <w:tc>
          <w:tcPr>
            <w:tcW w:w="429" w:type="dxa"/>
            <w:tcBorders>
              <w:tl2br w:val="nil"/>
              <w:tr2bl w:val="nil"/>
            </w:tcBorders>
            <w:shd w:val="clear" w:color="auto" w:fill="FFFFFF"/>
            <w:tcMar>
              <w:top w:w="0" w:type="dxa"/>
              <w:left w:w="0" w:type="dxa"/>
              <w:bottom w:w="0" w:type="dxa"/>
              <w:right w:w="0" w:type="dxa"/>
            </w:tcMar>
            <w:vAlign w:val="center"/>
          </w:tcPr>
          <w:p w14:paraId="5BC5F6A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013803F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38.9</w:t>
            </w:r>
          </w:p>
        </w:tc>
        <w:tc>
          <w:tcPr>
            <w:tcW w:w="480" w:type="dxa"/>
            <w:tcBorders>
              <w:tl2br w:val="nil"/>
              <w:tr2bl w:val="nil"/>
            </w:tcBorders>
            <w:shd w:val="clear" w:color="auto" w:fill="FFFFFF"/>
            <w:tcMar>
              <w:top w:w="0" w:type="dxa"/>
              <w:left w:w="0" w:type="dxa"/>
              <w:bottom w:w="0" w:type="dxa"/>
              <w:right w:w="0" w:type="dxa"/>
            </w:tcMar>
            <w:vAlign w:val="center"/>
          </w:tcPr>
          <w:p w14:paraId="769708F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6.6</w:t>
            </w:r>
          </w:p>
        </w:tc>
        <w:tc>
          <w:tcPr>
            <w:tcW w:w="435" w:type="dxa"/>
            <w:tcBorders>
              <w:tl2br w:val="nil"/>
              <w:tr2bl w:val="nil"/>
            </w:tcBorders>
            <w:shd w:val="clear" w:color="auto" w:fill="FFFFFF"/>
            <w:tcMar>
              <w:top w:w="0" w:type="dxa"/>
              <w:left w:w="0" w:type="dxa"/>
              <w:bottom w:w="0" w:type="dxa"/>
              <w:right w:w="0" w:type="dxa"/>
            </w:tcMar>
            <w:vAlign w:val="center"/>
          </w:tcPr>
          <w:p w14:paraId="5D78858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20.8</w:t>
            </w:r>
          </w:p>
        </w:tc>
        <w:tc>
          <w:tcPr>
            <w:tcW w:w="483" w:type="dxa"/>
            <w:tcBorders>
              <w:tl2br w:val="nil"/>
              <w:tr2bl w:val="nil"/>
            </w:tcBorders>
            <w:shd w:val="clear" w:color="auto" w:fill="FFFFFF"/>
            <w:tcMar>
              <w:top w:w="0" w:type="dxa"/>
              <w:left w:w="0" w:type="dxa"/>
              <w:bottom w:w="0" w:type="dxa"/>
              <w:right w:w="0" w:type="dxa"/>
            </w:tcMar>
            <w:vAlign w:val="center"/>
          </w:tcPr>
          <w:p w14:paraId="694F421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6.2</w:t>
            </w:r>
          </w:p>
        </w:tc>
        <w:tc>
          <w:tcPr>
            <w:tcW w:w="413" w:type="dxa"/>
            <w:tcBorders>
              <w:tl2br w:val="nil"/>
              <w:tr2bl w:val="nil"/>
            </w:tcBorders>
            <w:shd w:val="clear" w:color="auto" w:fill="FFFFFF"/>
            <w:tcMar>
              <w:top w:w="0" w:type="dxa"/>
              <w:left w:w="0" w:type="dxa"/>
              <w:bottom w:w="0" w:type="dxa"/>
              <w:right w:w="0" w:type="dxa"/>
            </w:tcMar>
            <w:vAlign w:val="center"/>
          </w:tcPr>
          <w:p w14:paraId="1143257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73.3</w:t>
            </w:r>
          </w:p>
        </w:tc>
        <w:tc>
          <w:tcPr>
            <w:tcW w:w="465" w:type="dxa"/>
            <w:tcBorders>
              <w:tl2br w:val="nil"/>
              <w:tr2bl w:val="nil"/>
            </w:tcBorders>
            <w:shd w:val="clear" w:color="auto" w:fill="FFFFFF"/>
            <w:tcMar>
              <w:top w:w="0" w:type="dxa"/>
              <w:left w:w="0" w:type="dxa"/>
              <w:bottom w:w="0" w:type="dxa"/>
              <w:right w:w="0" w:type="dxa"/>
            </w:tcMar>
            <w:vAlign w:val="center"/>
          </w:tcPr>
          <w:p w14:paraId="55DE24D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73.4</w:t>
            </w:r>
          </w:p>
        </w:tc>
        <w:tc>
          <w:tcPr>
            <w:tcW w:w="487" w:type="dxa"/>
            <w:tcBorders>
              <w:tl2br w:val="nil"/>
              <w:tr2bl w:val="nil"/>
            </w:tcBorders>
            <w:shd w:val="clear" w:color="auto" w:fill="FFFFFF"/>
            <w:tcMar>
              <w:top w:w="0" w:type="dxa"/>
              <w:left w:w="0" w:type="dxa"/>
              <w:bottom w:w="0" w:type="dxa"/>
              <w:right w:w="0" w:type="dxa"/>
            </w:tcMar>
            <w:vAlign w:val="center"/>
          </w:tcPr>
          <w:p w14:paraId="20D6C6A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73.3</w:t>
            </w:r>
          </w:p>
        </w:tc>
        <w:tc>
          <w:tcPr>
            <w:tcW w:w="491" w:type="dxa"/>
            <w:tcBorders>
              <w:tl2br w:val="nil"/>
              <w:tr2bl w:val="nil"/>
            </w:tcBorders>
            <w:shd w:val="clear" w:color="auto" w:fill="FFFFFF"/>
            <w:tcMar>
              <w:top w:w="0" w:type="dxa"/>
              <w:left w:w="0" w:type="dxa"/>
              <w:bottom w:w="0" w:type="dxa"/>
              <w:right w:w="0" w:type="dxa"/>
            </w:tcMar>
            <w:vAlign w:val="center"/>
          </w:tcPr>
          <w:p w14:paraId="2913837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73.4</w:t>
            </w:r>
          </w:p>
        </w:tc>
        <w:tc>
          <w:tcPr>
            <w:tcW w:w="480" w:type="dxa"/>
            <w:tcBorders>
              <w:tl2br w:val="nil"/>
              <w:tr2bl w:val="nil"/>
            </w:tcBorders>
            <w:shd w:val="clear" w:color="auto" w:fill="FFFFFF"/>
            <w:tcMar>
              <w:top w:w="0" w:type="dxa"/>
              <w:left w:w="0" w:type="dxa"/>
              <w:bottom w:w="0" w:type="dxa"/>
              <w:right w:w="0" w:type="dxa"/>
            </w:tcMar>
            <w:vAlign w:val="center"/>
          </w:tcPr>
          <w:p w14:paraId="58745B2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0C149EE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4741452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04F8249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1C6CDAF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51041E8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47.3</w:t>
            </w:r>
          </w:p>
        </w:tc>
        <w:tc>
          <w:tcPr>
            <w:tcW w:w="472" w:type="dxa"/>
            <w:tcBorders>
              <w:tl2br w:val="nil"/>
              <w:tr2bl w:val="nil"/>
            </w:tcBorders>
            <w:shd w:val="clear" w:color="auto" w:fill="FFFFFF"/>
            <w:tcMar>
              <w:top w:w="0" w:type="dxa"/>
              <w:left w:w="0" w:type="dxa"/>
              <w:bottom w:w="0" w:type="dxa"/>
              <w:right w:w="0" w:type="dxa"/>
            </w:tcMar>
            <w:vAlign w:val="center"/>
          </w:tcPr>
          <w:p w14:paraId="43DC1EB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47.4</w:t>
            </w:r>
          </w:p>
        </w:tc>
        <w:tc>
          <w:tcPr>
            <w:tcW w:w="450" w:type="dxa"/>
            <w:tcBorders>
              <w:tl2br w:val="nil"/>
              <w:tr2bl w:val="nil"/>
            </w:tcBorders>
            <w:shd w:val="clear" w:color="auto" w:fill="FFFFFF"/>
            <w:tcMar>
              <w:top w:w="0" w:type="dxa"/>
              <w:left w:w="0" w:type="dxa"/>
              <w:bottom w:w="0" w:type="dxa"/>
              <w:right w:w="0" w:type="dxa"/>
            </w:tcMar>
            <w:vAlign w:val="center"/>
          </w:tcPr>
          <w:p w14:paraId="525AC3E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47.3</w:t>
            </w:r>
          </w:p>
        </w:tc>
        <w:tc>
          <w:tcPr>
            <w:tcW w:w="450" w:type="dxa"/>
            <w:tcBorders>
              <w:tl2br w:val="nil"/>
              <w:tr2bl w:val="nil"/>
            </w:tcBorders>
            <w:shd w:val="clear" w:color="auto" w:fill="FFFFFF"/>
            <w:tcMar>
              <w:top w:w="0" w:type="dxa"/>
              <w:left w:w="0" w:type="dxa"/>
              <w:bottom w:w="0" w:type="dxa"/>
              <w:right w:w="0" w:type="dxa"/>
            </w:tcMar>
            <w:vAlign w:val="center"/>
          </w:tcPr>
          <w:p w14:paraId="63D1A23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47.4</w:t>
            </w:r>
          </w:p>
        </w:tc>
        <w:tc>
          <w:tcPr>
            <w:tcW w:w="530" w:type="dxa"/>
            <w:tcBorders>
              <w:tl2br w:val="nil"/>
              <w:tr2bl w:val="nil"/>
            </w:tcBorders>
            <w:shd w:val="clear" w:color="auto" w:fill="FFFFFF"/>
            <w:tcMar>
              <w:top w:w="0" w:type="dxa"/>
              <w:left w:w="0" w:type="dxa"/>
              <w:bottom w:w="0" w:type="dxa"/>
              <w:right w:w="0" w:type="dxa"/>
            </w:tcMar>
            <w:vAlign w:val="center"/>
          </w:tcPr>
          <w:p w14:paraId="6FA92E8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41874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415" w:type="dxa"/>
            <w:tcBorders>
              <w:tl2br w:val="nil"/>
              <w:tr2bl w:val="nil"/>
            </w:tcBorders>
            <w:shd w:val="clear" w:color="auto" w:fill="FFFFFF"/>
            <w:tcMar>
              <w:top w:w="0" w:type="dxa"/>
              <w:left w:w="0" w:type="dxa"/>
              <w:bottom w:w="0" w:type="dxa"/>
              <w:right w:w="0" w:type="dxa"/>
            </w:tcMar>
            <w:vAlign w:val="center"/>
          </w:tcPr>
          <w:p w14:paraId="18EB031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2163C81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4187EBB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污泥泵2台叠加</w:t>
            </w:r>
          </w:p>
        </w:tc>
        <w:tc>
          <w:tcPr>
            <w:tcW w:w="405" w:type="dxa"/>
            <w:tcBorders>
              <w:tl2br w:val="nil"/>
              <w:tr2bl w:val="nil"/>
            </w:tcBorders>
            <w:shd w:val="clear" w:color="auto" w:fill="FFFFFF"/>
            <w:tcMar>
              <w:top w:w="0" w:type="dxa"/>
              <w:left w:w="0" w:type="dxa"/>
              <w:bottom w:w="0" w:type="dxa"/>
              <w:right w:w="0" w:type="dxa"/>
            </w:tcMar>
            <w:vAlign w:val="center"/>
          </w:tcPr>
          <w:p w14:paraId="3D213DA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668250A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88</w:t>
            </w:r>
          </w:p>
        </w:tc>
        <w:tc>
          <w:tcPr>
            <w:tcW w:w="1878" w:type="dxa"/>
            <w:tcBorders>
              <w:tl2br w:val="nil"/>
              <w:tr2bl w:val="nil"/>
            </w:tcBorders>
            <w:shd w:val="clear" w:color="auto" w:fill="FFFFFF"/>
            <w:tcMar>
              <w:top w:w="0" w:type="dxa"/>
              <w:left w:w="0" w:type="dxa"/>
              <w:bottom w:w="0" w:type="dxa"/>
              <w:right w:w="0" w:type="dxa"/>
            </w:tcMar>
            <w:vAlign w:val="center"/>
          </w:tcPr>
          <w:p w14:paraId="429CA47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基础减震，水下吸声</w:t>
            </w:r>
          </w:p>
        </w:tc>
        <w:tc>
          <w:tcPr>
            <w:tcW w:w="555" w:type="dxa"/>
            <w:tcBorders>
              <w:tl2br w:val="nil"/>
              <w:tr2bl w:val="nil"/>
            </w:tcBorders>
            <w:shd w:val="clear" w:color="auto" w:fill="FFFFFF"/>
            <w:tcMar>
              <w:top w:w="0" w:type="dxa"/>
              <w:left w:w="0" w:type="dxa"/>
              <w:bottom w:w="0" w:type="dxa"/>
              <w:right w:w="0" w:type="dxa"/>
            </w:tcMar>
            <w:vAlign w:val="center"/>
          </w:tcPr>
          <w:p w14:paraId="7CE00C6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12.1</w:t>
            </w:r>
          </w:p>
        </w:tc>
        <w:tc>
          <w:tcPr>
            <w:tcW w:w="525" w:type="dxa"/>
            <w:tcBorders>
              <w:tl2br w:val="nil"/>
              <w:tr2bl w:val="nil"/>
            </w:tcBorders>
            <w:shd w:val="clear" w:color="auto" w:fill="FFFFFF"/>
            <w:tcMar>
              <w:top w:w="0" w:type="dxa"/>
              <w:left w:w="0" w:type="dxa"/>
              <w:bottom w:w="0" w:type="dxa"/>
              <w:right w:w="0" w:type="dxa"/>
            </w:tcMar>
            <w:vAlign w:val="center"/>
          </w:tcPr>
          <w:p w14:paraId="14AD51B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-0.1</w:t>
            </w:r>
          </w:p>
        </w:tc>
        <w:tc>
          <w:tcPr>
            <w:tcW w:w="429" w:type="dxa"/>
            <w:tcBorders>
              <w:tl2br w:val="nil"/>
              <w:tr2bl w:val="nil"/>
            </w:tcBorders>
            <w:shd w:val="clear" w:color="auto" w:fill="FFFFFF"/>
            <w:tcMar>
              <w:top w:w="0" w:type="dxa"/>
              <w:left w:w="0" w:type="dxa"/>
              <w:bottom w:w="0" w:type="dxa"/>
              <w:right w:w="0" w:type="dxa"/>
            </w:tcMar>
            <w:vAlign w:val="center"/>
          </w:tcPr>
          <w:p w14:paraId="1719605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3B07940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26.9</w:t>
            </w:r>
          </w:p>
        </w:tc>
        <w:tc>
          <w:tcPr>
            <w:tcW w:w="480" w:type="dxa"/>
            <w:tcBorders>
              <w:tl2br w:val="nil"/>
              <w:tr2bl w:val="nil"/>
            </w:tcBorders>
            <w:shd w:val="clear" w:color="auto" w:fill="FFFFFF"/>
            <w:tcMar>
              <w:top w:w="0" w:type="dxa"/>
              <w:left w:w="0" w:type="dxa"/>
              <w:bottom w:w="0" w:type="dxa"/>
              <w:right w:w="0" w:type="dxa"/>
            </w:tcMar>
            <w:vAlign w:val="center"/>
          </w:tcPr>
          <w:p w14:paraId="702A1D6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6.7</w:t>
            </w:r>
          </w:p>
        </w:tc>
        <w:tc>
          <w:tcPr>
            <w:tcW w:w="435" w:type="dxa"/>
            <w:tcBorders>
              <w:tl2br w:val="nil"/>
              <w:tr2bl w:val="nil"/>
            </w:tcBorders>
            <w:shd w:val="clear" w:color="auto" w:fill="FFFFFF"/>
            <w:tcMar>
              <w:top w:w="0" w:type="dxa"/>
              <w:left w:w="0" w:type="dxa"/>
              <w:bottom w:w="0" w:type="dxa"/>
              <w:right w:w="0" w:type="dxa"/>
            </w:tcMar>
            <w:vAlign w:val="center"/>
          </w:tcPr>
          <w:p w14:paraId="69318C6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32.8</w:t>
            </w:r>
          </w:p>
        </w:tc>
        <w:tc>
          <w:tcPr>
            <w:tcW w:w="483" w:type="dxa"/>
            <w:tcBorders>
              <w:tl2br w:val="nil"/>
              <w:tr2bl w:val="nil"/>
            </w:tcBorders>
            <w:shd w:val="clear" w:color="auto" w:fill="FFFFFF"/>
            <w:tcMar>
              <w:top w:w="0" w:type="dxa"/>
              <w:left w:w="0" w:type="dxa"/>
              <w:bottom w:w="0" w:type="dxa"/>
              <w:right w:w="0" w:type="dxa"/>
            </w:tcMar>
            <w:vAlign w:val="center"/>
          </w:tcPr>
          <w:p w14:paraId="1D013B0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6.1</w:t>
            </w:r>
          </w:p>
        </w:tc>
        <w:tc>
          <w:tcPr>
            <w:tcW w:w="413" w:type="dxa"/>
            <w:tcBorders>
              <w:tl2br w:val="nil"/>
              <w:tr2bl w:val="nil"/>
            </w:tcBorders>
            <w:shd w:val="clear" w:color="auto" w:fill="FFFFFF"/>
            <w:tcMar>
              <w:top w:w="0" w:type="dxa"/>
              <w:left w:w="0" w:type="dxa"/>
              <w:bottom w:w="0" w:type="dxa"/>
              <w:right w:w="0" w:type="dxa"/>
            </w:tcMar>
            <w:vAlign w:val="center"/>
          </w:tcPr>
          <w:p w14:paraId="712B81A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78.3</w:t>
            </w:r>
          </w:p>
        </w:tc>
        <w:tc>
          <w:tcPr>
            <w:tcW w:w="465" w:type="dxa"/>
            <w:tcBorders>
              <w:tl2br w:val="nil"/>
              <w:tr2bl w:val="nil"/>
            </w:tcBorders>
            <w:shd w:val="clear" w:color="auto" w:fill="FFFFFF"/>
            <w:tcMar>
              <w:top w:w="0" w:type="dxa"/>
              <w:left w:w="0" w:type="dxa"/>
              <w:bottom w:w="0" w:type="dxa"/>
              <w:right w:w="0" w:type="dxa"/>
            </w:tcMar>
            <w:vAlign w:val="center"/>
          </w:tcPr>
          <w:p w14:paraId="540E985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78.4</w:t>
            </w:r>
          </w:p>
        </w:tc>
        <w:tc>
          <w:tcPr>
            <w:tcW w:w="487" w:type="dxa"/>
            <w:tcBorders>
              <w:tl2br w:val="nil"/>
              <w:tr2bl w:val="nil"/>
            </w:tcBorders>
            <w:shd w:val="clear" w:color="auto" w:fill="FFFFFF"/>
            <w:tcMar>
              <w:top w:w="0" w:type="dxa"/>
              <w:left w:w="0" w:type="dxa"/>
              <w:bottom w:w="0" w:type="dxa"/>
              <w:right w:w="0" w:type="dxa"/>
            </w:tcMar>
            <w:vAlign w:val="center"/>
          </w:tcPr>
          <w:p w14:paraId="72E9488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78.3</w:t>
            </w:r>
          </w:p>
        </w:tc>
        <w:tc>
          <w:tcPr>
            <w:tcW w:w="491" w:type="dxa"/>
            <w:tcBorders>
              <w:tl2br w:val="nil"/>
              <w:tr2bl w:val="nil"/>
            </w:tcBorders>
            <w:shd w:val="clear" w:color="auto" w:fill="FFFFFF"/>
            <w:tcMar>
              <w:top w:w="0" w:type="dxa"/>
              <w:left w:w="0" w:type="dxa"/>
              <w:bottom w:w="0" w:type="dxa"/>
              <w:right w:w="0" w:type="dxa"/>
            </w:tcMar>
            <w:vAlign w:val="center"/>
          </w:tcPr>
          <w:p w14:paraId="672F1DB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78.4</w:t>
            </w:r>
          </w:p>
        </w:tc>
        <w:tc>
          <w:tcPr>
            <w:tcW w:w="480" w:type="dxa"/>
            <w:tcBorders>
              <w:tl2br w:val="nil"/>
              <w:tr2bl w:val="nil"/>
            </w:tcBorders>
            <w:shd w:val="clear" w:color="auto" w:fill="FFFFFF"/>
            <w:tcMar>
              <w:top w:w="0" w:type="dxa"/>
              <w:left w:w="0" w:type="dxa"/>
              <w:bottom w:w="0" w:type="dxa"/>
              <w:right w:w="0" w:type="dxa"/>
            </w:tcMar>
            <w:vAlign w:val="center"/>
          </w:tcPr>
          <w:p w14:paraId="50BCAFC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548FCD8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07833E3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3990825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4B30CAE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39C0205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52.3</w:t>
            </w:r>
          </w:p>
        </w:tc>
        <w:tc>
          <w:tcPr>
            <w:tcW w:w="472" w:type="dxa"/>
            <w:tcBorders>
              <w:tl2br w:val="nil"/>
              <w:tr2bl w:val="nil"/>
            </w:tcBorders>
            <w:shd w:val="clear" w:color="auto" w:fill="FFFFFF"/>
            <w:tcMar>
              <w:top w:w="0" w:type="dxa"/>
              <w:left w:w="0" w:type="dxa"/>
              <w:bottom w:w="0" w:type="dxa"/>
              <w:right w:w="0" w:type="dxa"/>
            </w:tcMar>
            <w:vAlign w:val="center"/>
          </w:tcPr>
          <w:p w14:paraId="5DB7749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52.4</w:t>
            </w:r>
          </w:p>
        </w:tc>
        <w:tc>
          <w:tcPr>
            <w:tcW w:w="450" w:type="dxa"/>
            <w:tcBorders>
              <w:tl2br w:val="nil"/>
              <w:tr2bl w:val="nil"/>
            </w:tcBorders>
            <w:shd w:val="clear" w:color="auto" w:fill="FFFFFF"/>
            <w:tcMar>
              <w:top w:w="0" w:type="dxa"/>
              <w:left w:w="0" w:type="dxa"/>
              <w:bottom w:w="0" w:type="dxa"/>
              <w:right w:w="0" w:type="dxa"/>
            </w:tcMar>
            <w:vAlign w:val="center"/>
          </w:tcPr>
          <w:p w14:paraId="43BC561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52.3</w:t>
            </w:r>
          </w:p>
        </w:tc>
        <w:tc>
          <w:tcPr>
            <w:tcW w:w="450" w:type="dxa"/>
            <w:tcBorders>
              <w:tl2br w:val="nil"/>
              <w:tr2bl w:val="nil"/>
            </w:tcBorders>
            <w:shd w:val="clear" w:color="auto" w:fill="FFFFFF"/>
            <w:tcMar>
              <w:top w:w="0" w:type="dxa"/>
              <w:left w:w="0" w:type="dxa"/>
              <w:bottom w:w="0" w:type="dxa"/>
              <w:right w:w="0" w:type="dxa"/>
            </w:tcMar>
            <w:vAlign w:val="center"/>
          </w:tcPr>
          <w:p w14:paraId="35612EE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52.4</w:t>
            </w:r>
          </w:p>
        </w:tc>
        <w:tc>
          <w:tcPr>
            <w:tcW w:w="530" w:type="dxa"/>
            <w:tcBorders>
              <w:tl2br w:val="nil"/>
              <w:tr2bl w:val="nil"/>
            </w:tcBorders>
            <w:shd w:val="clear" w:color="auto" w:fill="FFFFFF"/>
            <w:tcMar>
              <w:top w:w="0" w:type="dxa"/>
              <w:left w:w="0" w:type="dxa"/>
              <w:bottom w:w="0" w:type="dxa"/>
              <w:right w:w="0" w:type="dxa"/>
            </w:tcMar>
            <w:vAlign w:val="center"/>
          </w:tcPr>
          <w:p w14:paraId="33D2359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29ED5B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71" w:hRule="atLeast"/>
        </w:trPr>
        <w:tc>
          <w:tcPr>
            <w:tcW w:w="415" w:type="dxa"/>
            <w:tcBorders>
              <w:tl2br w:val="nil"/>
              <w:tr2bl w:val="nil"/>
            </w:tcBorders>
            <w:shd w:val="clear" w:color="auto" w:fill="FFFFFF"/>
            <w:tcMar>
              <w:top w:w="0" w:type="dxa"/>
              <w:left w:w="0" w:type="dxa"/>
              <w:bottom w:w="0" w:type="dxa"/>
              <w:right w:w="0" w:type="dxa"/>
            </w:tcMar>
            <w:vAlign w:val="center"/>
          </w:tcPr>
          <w:p w14:paraId="0C2AB4C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13</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5E7C35B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20C5A6E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污泥泵2台叠加</w:t>
            </w:r>
          </w:p>
        </w:tc>
        <w:tc>
          <w:tcPr>
            <w:tcW w:w="405" w:type="dxa"/>
            <w:tcBorders>
              <w:tl2br w:val="nil"/>
              <w:tr2bl w:val="nil"/>
            </w:tcBorders>
            <w:shd w:val="clear" w:color="auto" w:fill="FFFFFF"/>
            <w:tcMar>
              <w:top w:w="0" w:type="dxa"/>
              <w:left w:w="0" w:type="dxa"/>
              <w:bottom w:w="0" w:type="dxa"/>
              <w:right w:w="0" w:type="dxa"/>
            </w:tcMar>
            <w:vAlign w:val="center"/>
          </w:tcPr>
          <w:p w14:paraId="3929339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53C3076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88</w:t>
            </w:r>
          </w:p>
        </w:tc>
        <w:tc>
          <w:tcPr>
            <w:tcW w:w="1878" w:type="dxa"/>
            <w:tcBorders>
              <w:tl2br w:val="nil"/>
              <w:tr2bl w:val="nil"/>
            </w:tcBorders>
            <w:shd w:val="clear" w:color="auto" w:fill="FFFFFF"/>
            <w:tcMar>
              <w:top w:w="0" w:type="dxa"/>
              <w:left w:w="0" w:type="dxa"/>
              <w:bottom w:w="0" w:type="dxa"/>
              <w:right w:w="0" w:type="dxa"/>
            </w:tcMar>
            <w:vAlign w:val="center"/>
          </w:tcPr>
          <w:p w14:paraId="7ABCDAF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基础减震，水下吸声</w:t>
            </w:r>
          </w:p>
        </w:tc>
        <w:tc>
          <w:tcPr>
            <w:tcW w:w="555" w:type="dxa"/>
            <w:tcBorders>
              <w:tl2br w:val="nil"/>
              <w:tr2bl w:val="nil"/>
            </w:tcBorders>
            <w:shd w:val="clear" w:color="auto" w:fill="FFFFFF"/>
            <w:tcMar>
              <w:top w:w="0" w:type="dxa"/>
              <w:left w:w="0" w:type="dxa"/>
              <w:bottom w:w="0" w:type="dxa"/>
              <w:right w:w="0" w:type="dxa"/>
            </w:tcMar>
            <w:vAlign w:val="center"/>
          </w:tcPr>
          <w:p w14:paraId="08D1741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-15.3</w:t>
            </w:r>
          </w:p>
        </w:tc>
        <w:tc>
          <w:tcPr>
            <w:tcW w:w="525" w:type="dxa"/>
            <w:tcBorders>
              <w:tl2br w:val="nil"/>
              <w:tr2bl w:val="nil"/>
            </w:tcBorders>
            <w:shd w:val="clear" w:color="auto" w:fill="FFFFFF"/>
            <w:tcMar>
              <w:top w:w="0" w:type="dxa"/>
              <w:left w:w="0" w:type="dxa"/>
              <w:bottom w:w="0" w:type="dxa"/>
              <w:right w:w="0" w:type="dxa"/>
            </w:tcMar>
            <w:vAlign w:val="center"/>
          </w:tcPr>
          <w:p w14:paraId="253F019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0.1</w:t>
            </w:r>
          </w:p>
        </w:tc>
        <w:tc>
          <w:tcPr>
            <w:tcW w:w="429" w:type="dxa"/>
            <w:tcBorders>
              <w:tl2br w:val="nil"/>
              <w:tr2bl w:val="nil"/>
            </w:tcBorders>
            <w:shd w:val="clear" w:color="auto" w:fill="FFFFFF"/>
            <w:tcMar>
              <w:top w:w="0" w:type="dxa"/>
              <w:left w:w="0" w:type="dxa"/>
              <w:bottom w:w="0" w:type="dxa"/>
              <w:right w:w="0" w:type="dxa"/>
            </w:tcMar>
            <w:vAlign w:val="center"/>
          </w:tcPr>
          <w:p w14:paraId="773A694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028A22B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54.3</w:t>
            </w:r>
          </w:p>
        </w:tc>
        <w:tc>
          <w:tcPr>
            <w:tcW w:w="480" w:type="dxa"/>
            <w:tcBorders>
              <w:tl2br w:val="nil"/>
              <w:tr2bl w:val="nil"/>
            </w:tcBorders>
            <w:shd w:val="clear" w:color="auto" w:fill="FFFFFF"/>
            <w:tcMar>
              <w:top w:w="0" w:type="dxa"/>
              <w:left w:w="0" w:type="dxa"/>
              <w:bottom w:w="0" w:type="dxa"/>
              <w:right w:w="0" w:type="dxa"/>
            </w:tcMar>
            <w:vAlign w:val="center"/>
          </w:tcPr>
          <w:p w14:paraId="77D9B71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6.9</w:t>
            </w:r>
          </w:p>
        </w:tc>
        <w:tc>
          <w:tcPr>
            <w:tcW w:w="435" w:type="dxa"/>
            <w:tcBorders>
              <w:tl2br w:val="nil"/>
              <w:tr2bl w:val="nil"/>
            </w:tcBorders>
            <w:shd w:val="clear" w:color="auto" w:fill="FFFFFF"/>
            <w:tcMar>
              <w:top w:w="0" w:type="dxa"/>
              <w:left w:w="0" w:type="dxa"/>
              <w:bottom w:w="0" w:type="dxa"/>
              <w:right w:w="0" w:type="dxa"/>
            </w:tcMar>
            <w:vAlign w:val="center"/>
          </w:tcPr>
          <w:p w14:paraId="5C7855F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5.4</w:t>
            </w:r>
          </w:p>
        </w:tc>
        <w:tc>
          <w:tcPr>
            <w:tcW w:w="483" w:type="dxa"/>
            <w:tcBorders>
              <w:tl2br w:val="nil"/>
              <w:tr2bl w:val="nil"/>
            </w:tcBorders>
            <w:shd w:val="clear" w:color="auto" w:fill="FFFFFF"/>
            <w:tcMar>
              <w:top w:w="0" w:type="dxa"/>
              <w:left w:w="0" w:type="dxa"/>
              <w:bottom w:w="0" w:type="dxa"/>
              <w:right w:w="0" w:type="dxa"/>
            </w:tcMar>
            <w:vAlign w:val="center"/>
          </w:tcPr>
          <w:p w14:paraId="2EE7ECF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5.9</w:t>
            </w:r>
          </w:p>
        </w:tc>
        <w:tc>
          <w:tcPr>
            <w:tcW w:w="413" w:type="dxa"/>
            <w:tcBorders>
              <w:tl2br w:val="nil"/>
              <w:tr2bl w:val="nil"/>
            </w:tcBorders>
            <w:shd w:val="clear" w:color="auto" w:fill="FFFFFF"/>
            <w:tcMar>
              <w:top w:w="0" w:type="dxa"/>
              <w:left w:w="0" w:type="dxa"/>
              <w:bottom w:w="0" w:type="dxa"/>
              <w:right w:w="0" w:type="dxa"/>
            </w:tcMar>
            <w:vAlign w:val="center"/>
          </w:tcPr>
          <w:p w14:paraId="47DF13E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78.3</w:t>
            </w:r>
          </w:p>
        </w:tc>
        <w:tc>
          <w:tcPr>
            <w:tcW w:w="465" w:type="dxa"/>
            <w:tcBorders>
              <w:tl2br w:val="nil"/>
              <w:tr2bl w:val="nil"/>
            </w:tcBorders>
            <w:shd w:val="clear" w:color="auto" w:fill="FFFFFF"/>
            <w:tcMar>
              <w:top w:w="0" w:type="dxa"/>
              <w:left w:w="0" w:type="dxa"/>
              <w:bottom w:w="0" w:type="dxa"/>
              <w:right w:w="0" w:type="dxa"/>
            </w:tcMar>
            <w:vAlign w:val="center"/>
          </w:tcPr>
          <w:p w14:paraId="147BE1D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78.4</w:t>
            </w:r>
          </w:p>
        </w:tc>
        <w:tc>
          <w:tcPr>
            <w:tcW w:w="487" w:type="dxa"/>
            <w:tcBorders>
              <w:tl2br w:val="nil"/>
              <w:tr2bl w:val="nil"/>
            </w:tcBorders>
            <w:shd w:val="clear" w:color="auto" w:fill="FFFFFF"/>
            <w:tcMar>
              <w:top w:w="0" w:type="dxa"/>
              <w:left w:w="0" w:type="dxa"/>
              <w:bottom w:w="0" w:type="dxa"/>
              <w:right w:w="0" w:type="dxa"/>
            </w:tcMar>
            <w:vAlign w:val="center"/>
          </w:tcPr>
          <w:p w14:paraId="40B6AD5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78.4</w:t>
            </w:r>
          </w:p>
        </w:tc>
        <w:tc>
          <w:tcPr>
            <w:tcW w:w="491" w:type="dxa"/>
            <w:tcBorders>
              <w:tl2br w:val="nil"/>
              <w:tr2bl w:val="nil"/>
            </w:tcBorders>
            <w:shd w:val="clear" w:color="auto" w:fill="FFFFFF"/>
            <w:tcMar>
              <w:top w:w="0" w:type="dxa"/>
              <w:left w:w="0" w:type="dxa"/>
              <w:bottom w:w="0" w:type="dxa"/>
              <w:right w:w="0" w:type="dxa"/>
            </w:tcMar>
            <w:vAlign w:val="center"/>
          </w:tcPr>
          <w:p w14:paraId="1E9A77A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78.4</w:t>
            </w:r>
          </w:p>
        </w:tc>
        <w:tc>
          <w:tcPr>
            <w:tcW w:w="480" w:type="dxa"/>
            <w:tcBorders>
              <w:tl2br w:val="nil"/>
              <w:tr2bl w:val="nil"/>
            </w:tcBorders>
            <w:shd w:val="clear" w:color="auto" w:fill="FFFFFF"/>
            <w:tcMar>
              <w:top w:w="0" w:type="dxa"/>
              <w:left w:w="0" w:type="dxa"/>
              <w:bottom w:w="0" w:type="dxa"/>
              <w:right w:w="0" w:type="dxa"/>
            </w:tcMar>
            <w:vAlign w:val="center"/>
          </w:tcPr>
          <w:p w14:paraId="32CA9E8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07A716E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194F6DE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298B8A6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09C701E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5D0A86D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52.3</w:t>
            </w:r>
          </w:p>
        </w:tc>
        <w:tc>
          <w:tcPr>
            <w:tcW w:w="472" w:type="dxa"/>
            <w:tcBorders>
              <w:tl2br w:val="nil"/>
              <w:tr2bl w:val="nil"/>
            </w:tcBorders>
            <w:shd w:val="clear" w:color="auto" w:fill="FFFFFF"/>
            <w:tcMar>
              <w:top w:w="0" w:type="dxa"/>
              <w:left w:w="0" w:type="dxa"/>
              <w:bottom w:w="0" w:type="dxa"/>
              <w:right w:w="0" w:type="dxa"/>
            </w:tcMar>
            <w:vAlign w:val="center"/>
          </w:tcPr>
          <w:p w14:paraId="4287A8F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52.4</w:t>
            </w:r>
          </w:p>
        </w:tc>
        <w:tc>
          <w:tcPr>
            <w:tcW w:w="450" w:type="dxa"/>
            <w:tcBorders>
              <w:tl2br w:val="nil"/>
              <w:tr2bl w:val="nil"/>
            </w:tcBorders>
            <w:shd w:val="clear" w:color="auto" w:fill="FFFFFF"/>
            <w:tcMar>
              <w:top w:w="0" w:type="dxa"/>
              <w:left w:w="0" w:type="dxa"/>
              <w:bottom w:w="0" w:type="dxa"/>
              <w:right w:w="0" w:type="dxa"/>
            </w:tcMar>
            <w:vAlign w:val="center"/>
          </w:tcPr>
          <w:p w14:paraId="1997326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52.4</w:t>
            </w:r>
          </w:p>
        </w:tc>
        <w:tc>
          <w:tcPr>
            <w:tcW w:w="450" w:type="dxa"/>
            <w:tcBorders>
              <w:tl2br w:val="nil"/>
              <w:tr2bl w:val="nil"/>
            </w:tcBorders>
            <w:shd w:val="clear" w:color="auto" w:fill="FFFFFF"/>
            <w:tcMar>
              <w:top w:w="0" w:type="dxa"/>
              <w:left w:w="0" w:type="dxa"/>
              <w:bottom w:w="0" w:type="dxa"/>
              <w:right w:w="0" w:type="dxa"/>
            </w:tcMar>
            <w:vAlign w:val="center"/>
          </w:tcPr>
          <w:p w14:paraId="3C5EFE2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52.4</w:t>
            </w:r>
          </w:p>
        </w:tc>
        <w:tc>
          <w:tcPr>
            <w:tcW w:w="530" w:type="dxa"/>
            <w:tcBorders>
              <w:tl2br w:val="nil"/>
              <w:tr2bl w:val="nil"/>
            </w:tcBorders>
            <w:shd w:val="clear" w:color="auto" w:fill="FFFFFF"/>
            <w:tcMar>
              <w:top w:w="0" w:type="dxa"/>
              <w:left w:w="0" w:type="dxa"/>
              <w:bottom w:w="0" w:type="dxa"/>
              <w:right w:w="0" w:type="dxa"/>
            </w:tcMar>
            <w:vAlign w:val="center"/>
          </w:tcPr>
          <w:p w14:paraId="7FA0CB9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1F3F4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7" w:hRule="atLeast"/>
        </w:trPr>
        <w:tc>
          <w:tcPr>
            <w:tcW w:w="415" w:type="dxa"/>
            <w:tcBorders>
              <w:tl2br w:val="nil"/>
              <w:tr2bl w:val="nil"/>
            </w:tcBorders>
            <w:shd w:val="clear" w:color="auto" w:fill="FFFFFF"/>
            <w:tcMar>
              <w:top w:w="0" w:type="dxa"/>
              <w:left w:w="0" w:type="dxa"/>
              <w:bottom w:w="0" w:type="dxa"/>
              <w:right w:w="0" w:type="dxa"/>
            </w:tcMar>
            <w:vAlign w:val="center"/>
          </w:tcPr>
          <w:p w14:paraId="1430D42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14</w:t>
            </w:r>
          </w:p>
        </w:tc>
        <w:tc>
          <w:tcPr>
            <w:tcW w:w="610" w:type="dxa"/>
            <w:tcBorders>
              <w:tl2br w:val="nil"/>
              <w:tr2bl w:val="nil"/>
            </w:tcBorders>
            <w:shd w:val="clear" w:color="auto" w:fill="FFFFFF"/>
            <w:tcMar>
              <w:top w:w="0" w:type="dxa"/>
              <w:left w:w="0" w:type="dxa"/>
              <w:bottom w:w="0" w:type="dxa"/>
              <w:right w:w="0" w:type="dxa"/>
            </w:tcMar>
            <w:vAlign w:val="center"/>
          </w:tcPr>
          <w:p w14:paraId="240296B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贮泥池</w:t>
            </w:r>
          </w:p>
        </w:tc>
        <w:tc>
          <w:tcPr>
            <w:tcW w:w="1329" w:type="dxa"/>
            <w:tcBorders>
              <w:tl2br w:val="nil"/>
              <w:tr2bl w:val="nil"/>
            </w:tcBorders>
            <w:shd w:val="clear" w:color="auto" w:fill="FFFFFF"/>
            <w:tcMar>
              <w:top w:w="0" w:type="dxa"/>
              <w:left w:w="0" w:type="dxa"/>
              <w:bottom w:w="0" w:type="dxa"/>
              <w:right w:w="0" w:type="dxa"/>
            </w:tcMar>
            <w:vAlign w:val="center"/>
          </w:tcPr>
          <w:p w14:paraId="79973D8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搅拌机2台叠加</w:t>
            </w:r>
          </w:p>
        </w:tc>
        <w:tc>
          <w:tcPr>
            <w:tcW w:w="405" w:type="dxa"/>
            <w:tcBorders>
              <w:tl2br w:val="nil"/>
              <w:tr2bl w:val="nil"/>
            </w:tcBorders>
            <w:shd w:val="clear" w:color="auto" w:fill="FFFFFF"/>
            <w:tcMar>
              <w:top w:w="0" w:type="dxa"/>
              <w:left w:w="0" w:type="dxa"/>
              <w:bottom w:w="0" w:type="dxa"/>
              <w:right w:w="0" w:type="dxa"/>
            </w:tcMar>
            <w:vAlign w:val="center"/>
          </w:tcPr>
          <w:p w14:paraId="7A1C5B9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253D61C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w:t>
            </w:r>
          </w:p>
        </w:tc>
        <w:tc>
          <w:tcPr>
            <w:tcW w:w="1878" w:type="dxa"/>
            <w:tcBorders>
              <w:tl2br w:val="nil"/>
              <w:tr2bl w:val="nil"/>
            </w:tcBorders>
            <w:shd w:val="clear" w:color="auto" w:fill="FFFFFF"/>
            <w:tcMar>
              <w:top w:w="0" w:type="dxa"/>
              <w:left w:w="0" w:type="dxa"/>
              <w:bottom w:w="0" w:type="dxa"/>
              <w:right w:w="0" w:type="dxa"/>
            </w:tcMar>
            <w:vAlign w:val="center"/>
          </w:tcPr>
          <w:p w14:paraId="5210C26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基础减震，水下吸声</w:t>
            </w:r>
          </w:p>
        </w:tc>
        <w:tc>
          <w:tcPr>
            <w:tcW w:w="555" w:type="dxa"/>
            <w:tcBorders>
              <w:tl2br w:val="nil"/>
              <w:tr2bl w:val="nil"/>
            </w:tcBorders>
            <w:shd w:val="clear" w:color="auto" w:fill="FFFFFF"/>
            <w:tcMar>
              <w:top w:w="0" w:type="dxa"/>
              <w:left w:w="0" w:type="dxa"/>
              <w:bottom w:w="0" w:type="dxa"/>
              <w:right w:w="0" w:type="dxa"/>
            </w:tcMar>
            <w:vAlign w:val="center"/>
          </w:tcPr>
          <w:p w14:paraId="3B7F9E5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1.1</w:t>
            </w:r>
          </w:p>
        </w:tc>
        <w:tc>
          <w:tcPr>
            <w:tcW w:w="525" w:type="dxa"/>
            <w:tcBorders>
              <w:tl2br w:val="nil"/>
              <w:tr2bl w:val="nil"/>
            </w:tcBorders>
            <w:shd w:val="clear" w:color="auto" w:fill="FFFFFF"/>
            <w:tcMar>
              <w:top w:w="0" w:type="dxa"/>
              <w:left w:w="0" w:type="dxa"/>
              <w:bottom w:w="0" w:type="dxa"/>
              <w:right w:w="0" w:type="dxa"/>
            </w:tcMar>
            <w:vAlign w:val="center"/>
          </w:tcPr>
          <w:p w14:paraId="29751F4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-47.7</w:t>
            </w:r>
          </w:p>
        </w:tc>
        <w:tc>
          <w:tcPr>
            <w:tcW w:w="429" w:type="dxa"/>
            <w:tcBorders>
              <w:tl2br w:val="nil"/>
              <w:tr2bl w:val="nil"/>
            </w:tcBorders>
            <w:shd w:val="clear" w:color="auto" w:fill="FFFFFF"/>
            <w:tcMar>
              <w:top w:w="0" w:type="dxa"/>
              <w:left w:w="0" w:type="dxa"/>
              <w:bottom w:w="0" w:type="dxa"/>
              <w:right w:w="0" w:type="dxa"/>
            </w:tcMar>
            <w:vAlign w:val="center"/>
          </w:tcPr>
          <w:p w14:paraId="628B8FB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c>
          <w:tcPr>
            <w:tcW w:w="435" w:type="dxa"/>
            <w:tcBorders>
              <w:tl2br w:val="nil"/>
              <w:tr2bl w:val="nil"/>
            </w:tcBorders>
            <w:shd w:val="clear" w:color="auto" w:fill="FFFFFF"/>
            <w:tcMar>
              <w:top w:w="0" w:type="dxa"/>
              <w:left w:w="0" w:type="dxa"/>
              <w:bottom w:w="0" w:type="dxa"/>
              <w:right w:w="0" w:type="dxa"/>
            </w:tcMar>
            <w:vAlign w:val="center"/>
          </w:tcPr>
          <w:p w14:paraId="3E791BF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4.5</w:t>
            </w:r>
          </w:p>
        </w:tc>
        <w:tc>
          <w:tcPr>
            <w:tcW w:w="480" w:type="dxa"/>
            <w:tcBorders>
              <w:tl2br w:val="nil"/>
              <w:tr2bl w:val="nil"/>
            </w:tcBorders>
            <w:shd w:val="clear" w:color="auto" w:fill="FFFFFF"/>
            <w:tcMar>
              <w:top w:w="0" w:type="dxa"/>
              <w:left w:w="0" w:type="dxa"/>
              <w:bottom w:w="0" w:type="dxa"/>
              <w:right w:w="0" w:type="dxa"/>
            </w:tcMar>
            <w:vAlign w:val="center"/>
          </w:tcPr>
          <w:p w14:paraId="13694F7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5.5</w:t>
            </w:r>
          </w:p>
        </w:tc>
        <w:tc>
          <w:tcPr>
            <w:tcW w:w="435" w:type="dxa"/>
            <w:tcBorders>
              <w:tl2br w:val="nil"/>
              <w:tr2bl w:val="nil"/>
            </w:tcBorders>
            <w:shd w:val="clear" w:color="auto" w:fill="FFFFFF"/>
            <w:tcMar>
              <w:top w:w="0" w:type="dxa"/>
              <w:left w:w="0" w:type="dxa"/>
              <w:bottom w:w="0" w:type="dxa"/>
              <w:right w:w="0" w:type="dxa"/>
            </w:tcMar>
            <w:vAlign w:val="center"/>
          </w:tcPr>
          <w:p w14:paraId="69B673B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5.7</w:t>
            </w:r>
          </w:p>
        </w:tc>
        <w:tc>
          <w:tcPr>
            <w:tcW w:w="483" w:type="dxa"/>
            <w:tcBorders>
              <w:tl2br w:val="nil"/>
              <w:tr2bl w:val="nil"/>
            </w:tcBorders>
            <w:shd w:val="clear" w:color="auto" w:fill="FFFFFF"/>
            <w:tcMar>
              <w:top w:w="0" w:type="dxa"/>
              <w:left w:w="0" w:type="dxa"/>
              <w:bottom w:w="0" w:type="dxa"/>
              <w:right w:w="0" w:type="dxa"/>
            </w:tcMar>
            <w:vAlign w:val="center"/>
          </w:tcPr>
          <w:p w14:paraId="052599F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w:t>
            </w:r>
          </w:p>
        </w:tc>
        <w:tc>
          <w:tcPr>
            <w:tcW w:w="413" w:type="dxa"/>
            <w:tcBorders>
              <w:tl2br w:val="nil"/>
              <w:tr2bl w:val="nil"/>
            </w:tcBorders>
            <w:shd w:val="clear" w:color="auto" w:fill="FFFFFF"/>
            <w:tcMar>
              <w:top w:w="0" w:type="dxa"/>
              <w:left w:w="0" w:type="dxa"/>
              <w:bottom w:w="0" w:type="dxa"/>
              <w:right w:w="0" w:type="dxa"/>
            </w:tcMar>
            <w:vAlign w:val="center"/>
          </w:tcPr>
          <w:p w14:paraId="71C5592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74.1</w:t>
            </w:r>
          </w:p>
        </w:tc>
        <w:tc>
          <w:tcPr>
            <w:tcW w:w="465" w:type="dxa"/>
            <w:tcBorders>
              <w:tl2br w:val="nil"/>
              <w:tr2bl w:val="nil"/>
            </w:tcBorders>
            <w:shd w:val="clear" w:color="auto" w:fill="FFFFFF"/>
            <w:tcMar>
              <w:top w:w="0" w:type="dxa"/>
              <w:left w:w="0" w:type="dxa"/>
              <w:bottom w:w="0" w:type="dxa"/>
              <w:right w:w="0" w:type="dxa"/>
            </w:tcMar>
            <w:vAlign w:val="center"/>
          </w:tcPr>
          <w:p w14:paraId="720300E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74.1</w:t>
            </w:r>
          </w:p>
        </w:tc>
        <w:tc>
          <w:tcPr>
            <w:tcW w:w="487" w:type="dxa"/>
            <w:tcBorders>
              <w:tl2br w:val="nil"/>
              <w:tr2bl w:val="nil"/>
            </w:tcBorders>
            <w:shd w:val="clear" w:color="auto" w:fill="FFFFFF"/>
            <w:tcMar>
              <w:top w:w="0" w:type="dxa"/>
              <w:left w:w="0" w:type="dxa"/>
              <w:bottom w:w="0" w:type="dxa"/>
              <w:right w:w="0" w:type="dxa"/>
            </w:tcMar>
            <w:vAlign w:val="center"/>
          </w:tcPr>
          <w:p w14:paraId="2A85DB5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74.1</w:t>
            </w:r>
          </w:p>
        </w:tc>
        <w:tc>
          <w:tcPr>
            <w:tcW w:w="491" w:type="dxa"/>
            <w:tcBorders>
              <w:tl2br w:val="nil"/>
              <w:tr2bl w:val="nil"/>
            </w:tcBorders>
            <w:shd w:val="clear" w:color="auto" w:fill="FFFFFF"/>
            <w:tcMar>
              <w:top w:w="0" w:type="dxa"/>
              <w:left w:w="0" w:type="dxa"/>
              <w:bottom w:w="0" w:type="dxa"/>
              <w:right w:w="0" w:type="dxa"/>
            </w:tcMar>
            <w:vAlign w:val="center"/>
          </w:tcPr>
          <w:p w14:paraId="5A63619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74.1</w:t>
            </w:r>
          </w:p>
        </w:tc>
        <w:tc>
          <w:tcPr>
            <w:tcW w:w="480" w:type="dxa"/>
            <w:tcBorders>
              <w:tl2br w:val="nil"/>
              <w:tr2bl w:val="nil"/>
            </w:tcBorders>
            <w:shd w:val="clear" w:color="auto" w:fill="FFFFFF"/>
            <w:tcMar>
              <w:top w:w="0" w:type="dxa"/>
              <w:left w:w="0" w:type="dxa"/>
              <w:bottom w:w="0" w:type="dxa"/>
              <w:right w:w="0" w:type="dxa"/>
            </w:tcMar>
            <w:vAlign w:val="center"/>
          </w:tcPr>
          <w:p w14:paraId="03CD92C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4F3C47C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487BCEC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228F6DB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5A0A189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7AB69F2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48.1</w:t>
            </w:r>
          </w:p>
        </w:tc>
        <w:tc>
          <w:tcPr>
            <w:tcW w:w="472" w:type="dxa"/>
            <w:tcBorders>
              <w:tl2br w:val="nil"/>
              <w:tr2bl w:val="nil"/>
            </w:tcBorders>
            <w:shd w:val="clear" w:color="auto" w:fill="FFFFFF"/>
            <w:tcMar>
              <w:top w:w="0" w:type="dxa"/>
              <w:left w:w="0" w:type="dxa"/>
              <w:bottom w:w="0" w:type="dxa"/>
              <w:right w:w="0" w:type="dxa"/>
            </w:tcMar>
            <w:vAlign w:val="center"/>
          </w:tcPr>
          <w:p w14:paraId="67C734D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48.1</w:t>
            </w:r>
          </w:p>
        </w:tc>
        <w:tc>
          <w:tcPr>
            <w:tcW w:w="450" w:type="dxa"/>
            <w:tcBorders>
              <w:tl2br w:val="nil"/>
              <w:tr2bl w:val="nil"/>
            </w:tcBorders>
            <w:shd w:val="clear" w:color="auto" w:fill="FFFFFF"/>
            <w:tcMar>
              <w:top w:w="0" w:type="dxa"/>
              <w:left w:w="0" w:type="dxa"/>
              <w:bottom w:w="0" w:type="dxa"/>
              <w:right w:w="0" w:type="dxa"/>
            </w:tcMar>
            <w:vAlign w:val="center"/>
          </w:tcPr>
          <w:p w14:paraId="3E29154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48.1</w:t>
            </w:r>
          </w:p>
        </w:tc>
        <w:tc>
          <w:tcPr>
            <w:tcW w:w="450" w:type="dxa"/>
            <w:tcBorders>
              <w:tl2br w:val="nil"/>
              <w:tr2bl w:val="nil"/>
            </w:tcBorders>
            <w:shd w:val="clear" w:color="auto" w:fill="FFFFFF"/>
            <w:tcMar>
              <w:top w:w="0" w:type="dxa"/>
              <w:left w:w="0" w:type="dxa"/>
              <w:bottom w:w="0" w:type="dxa"/>
              <w:right w:w="0" w:type="dxa"/>
            </w:tcMar>
            <w:vAlign w:val="center"/>
          </w:tcPr>
          <w:p w14:paraId="3204F7B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48.1</w:t>
            </w:r>
          </w:p>
        </w:tc>
        <w:tc>
          <w:tcPr>
            <w:tcW w:w="530" w:type="dxa"/>
            <w:tcBorders>
              <w:tl2br w:val="nil"/>
              <w:tr2bl w:val="nil"/>
            </w:tcBorders>
            <w:shd w:val="clear" w:color="auto" w:fill="FFFFFF"/>
            <w:tcMar>
              <w:top w:w="0" w:type="dxa"/>
              <w:left w:w="0" w:type="dxa"/>
              <w:bottom w:w="0" w:type="dxa"/>
              <w:right w:w="0" w:type="dxa"/>
            </w:tcMar>
            <w:vAlign w:val="center"/>
          </w:tcPr>
          <w:p w14:paraId="7355C58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3E0B7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0" w:hRule="atLeast"/>
        </w:trPr>
        <w:tc>
          <w:tcPr>
            <w:tcW w:w="415" w:type="dxa"/>
            <w:tcBorders>
              <w:tl2br w:val="nil"/>
              <w:tr2bl w:val="nil"/>
            </w:tcBorders>
            <w:shd w:val="clear" w:color="auto" w:fill="FFFFFF"/>
            <w:tcMar>
              <w:top w:w="0" w:type="dxa"/>
              <w:left w:w="0" w:type="dxa"/>
              <w:bottom w:w="0" w:type="dxa"/>
              <w:right w:w="0" w:type="dxa"/>
            </w:tcMar>
            <w:vAlign w:val="center"/>
          </w:tcPr>
          <w:p w14:paraId="33AFD85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15</w:t>
            </w:r>
          </w:p>
        </w:tc>
        <w:tc>
          <w:tcPr>
            <w:tcW w:w="610" w:type="dxa"/>
            <w:vMerge w:val="restart"/>
            <w:tcBorders>
              <w:tl2br w:val="nil"/>
              <w:tr2bl w:val="nil"/>
            </w:tcBorders>
            <w:shd w:val="clear" w:color="auto" w:fill="FFFFFF"/>
            <w:tcMar>
              <w:top w:w="0" w:type="dxa"/>
              <w:left w:w="0" w:type="dxa"/>
              <w:bottom w:w="0" w:type="dxa"/>
              <w:right w:w="0" w:type="dxa"/>
            </w:tcMar>
            <w:vAlign w:val="center"/>
          </w:tcPr>
          <w:p w14:paraId="7F13BCB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污泥脱水及加氯间</w:t>
            </w:r>
          </w:p>
        </w:tc>
        <w:tc>
          <w:tcPr>
            <w:tcW w:w="1329" w:type="dxa"/>
            <w:tcBorders>
              <w:tl2br w:val="nil"/>
              <w:tr2bl w:val="nil"/>
            </w:tcBorders>
            <w:shd w:val="clear" w:color="auto" w:fill="FFFFFF"/>
            <w:tcMar>
              <w:top w:w="0" w:type="dxa"/>
              <w:left w:w="0" w:type="dxa"/>
              <w:bottom w:w="0" w:type="dxa"/>
              <w:right w:w="0" w:type="dxa"/>
            </w:tcMar>
            <w:vAlign w:val="center"/>
          </w:tcPr>
          <w:p w14:paraId="6A91CEF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高压清洗泵</w:t>
            </w:r>
          </w:p>
        </w:tc>
        <w:tc>
          <w:tcPr>
            <w:tcW w:w="405" w:type="dxa"/>
            <w:tcBorders>
              <w:tl2br w:val="nil"/>
              <w:tr2bl w:val="nil"/>
            </w:tcBorders>
            <w:shd w:val="clear" w:color="auto" w:fill="FFFFFF"/>
            <w:tcMar>
              <w:top w:w="0" w:type="dxa"/>
              <w:left w:w="0" w:type="dxa"/>
              <w:bottom w:w="0" w:type="dxa"/>
              <w:right w:w="0" w:type="dxa"/>
            </w:tcMar>
            <w:vAlign w:val="center"/>
          </w:tcPr>
          <w:p w14:paraId="7D06C03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4A87481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85</w:t>
            </w:r>
          </w:p>
        </w:tc>
        <w:tc>
          <w:tcPr>
            <w:tcW w:w="1878" w:type="dxa"/>
            <w:tcBorders>
              <w:tl2br w:val="nil"/>
              <w:tr2bl w:val="nil"/>
            </w:tcBorders>
            <w:shd w:val="clear" w:color="auto" w:fill="FFFFFF"/>
            <w:tcMar>
              <w:top w:w="0" w:type="dxa"/>
              <w:left w:w="0" w:type="dxa"/>
              <w:bottom w:w="0" w:type="dxa"/>
              <w:right w:w="0" w:type="dxa"/>
            </w:tcMar>
            <w:vAlign w:val="center"/>
          </w:tcPr>
          <w:p w14:paraId="69836E4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w:t>
            </w:r>
          </w:p>
        </w:tc>
        <w:tc>
          <w:tcPr>
            <w:tcW w:w="555" w:type="dxa"/>
            <w:tcBorders>
              <w:tl2br w:val="nil"/>
              <w:tr2bl w:val="nil"/>
            </w:tcBorders>
            <w:shd w:val="clear" w:color="auto" w:fill="FFFFFF"/>
            <w:tcMar>
              <w:top w:w="0" w:type="dxa"/>
              <w:left w:w="0" w:type="dxa"/>
              <w:bottom w:w="0" w:type="dxa"/>
              <w:right w:w="0" w:type="dxa"/>
            </w:tcMar>
            <w:vAlign w:val="center"/>
          </w:tcPr>
          <w:p w14:paraId="0DD1CDC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-12.1</w:t>
            </w:r>
          </w:p>
        </w:tc>
        <w:tc>
          <w:tcPr>
            <w:tcW w:w="525" w:type="dxa"/>
            <w:tcBorders>
              <w:tl2br w:val="nil"/>
              <w:tr2bl w:val="nil"/>
            </w:tcBorders>
            <w:shd w:val="clear" w:color="auto" w:fill="FFFFFF"/>
            <w:tcMar>
              <w:top w:w="0" w:type="dxa"/>
              <w:left w:w="0" w:type="dxa"/>
              <w:bottom w:w="0" w:type="dxa"/>
              <w:right w:w="0" w:type="dxa"/>
            </w:tcMar>
            <w:vAlign w:val="center"/>
          </w:tcPr>
          <w:p w14:paraId="0068F20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-27.2</w:t>
            </w:r>
          </w:p>
        </w:tc>
        <w:tc>
          <w:tcPr>
            <w:tcW w:w="429" w:type="dxa"/>
            <w:tcBorders>
              <w:tl2br w:val="nil"/>
              <w:tr2bl w:val="nil"/>
            </w:tcBorders>
            <w:shd w:val="clear" w:color="auto" w:fill="FFFFFF"/>
            <w:tcMar>
              <w:top w:w="0" w:type="dxa"/>
              <w:left w:w="0" w:type="dxa"/>
              <w:bottom w:w="0" w:type="dxa"/>
              <w:right w:w="0" w:type="dxa"/>
            </w:tcMar>
            <w:vAlign w:val="center"/>
          </w:tcPr>
          <w:p w14:paraId="24075A0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4A11463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10.1</w:t>
            </w:r>
          </w:p>
        </w:tc>
        <w:tc>
          <w:tcPr>
            <w:tcW w:w="480" w:type="dxa"/>
            <w:tcBorders>
              <w:tl2br w:val="nil"/>
              <w:tr2bl w:val="nil"/>
            </w:tcBorders>
            <w:shd w:val="clear" w:color="auto" w:fill="FFFFFF"/>
            <w:tcMar>
              <w:top w:w="0" w:type="dxa"/>
              <w:left w:w="0" w:type="dxa"/>
              <w:bottom w:w="0" w:type="dxa"/>
              <w:right w:w="0" w:type="dxa"/>
            </w:tcMar>
            <w:vAlign w:val="center"/>
          </w:tcPr>
          <w:p w14:paraId="494BF78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12.2</w:t>
            </w:r>
          </w:p>
        </w:tc>
        <w:tc>
          <w:tcPr>
            <w:tcW w:w="435" w:type="dxa"/>
            <w:tcBorders>
              <w:tl2br w:val="nil"/>
              <w:tr2bl w:val="nil"/>
            </w:tcBorders>
            <w:shd w:val="clear" w:color="auto" w:fill="FFFFFF"/>
            <w:tcMar>
              <w:top w:w="0" w:type="dxa"/>
              <w:left w:w="0" w:type="dxa"/>
              <w:bottom w:w="0" w:type="dxa"/>
              <w:right w:w="0" w:type="dxa"/>
            </w:tcMar>
            <w:vAlign w:val="center"/>
          </w:tcPr>
          <w:p w14:paraId="4BC3955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9.7</w:t>
            </w:r>
          </w:p>
        </w:tc>
        <w:tc>
          <w:tcPr>
            <w:tcW w:w="483" w:type="dxa"/>
            <w:tcBorders>
              <w:tl2br w:val="nil"/>
              <w:tr2bl w:val="nil"/>
            </w:tcBorders>
            <w:shd w:val="clear" w:color="auto" w:fill="FFFFFF"/>
            <w:tcMar>
              <w:top w:w="0" w:type="dxa"/>
              <w:left w:w="0" w:type="dxa"/>
              <w:bottom w:w="0" w:type="dxa"/>
              <w:right w:w="0" w:type="dxa"/>
            </w:tcMar>
            <w:vAlign w:val="center"/>
          </w:tcPr>
          <w:p w14:paraId="5BD22BA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11.5</w:t>
            </w:r>
          </w:p>
        </w:tc>
        <w:tc>
          <w:tcPr>
            <w:tcW w:w="413" w:type="dxa"/>
            <w:tcBorders>
              <w:tl2br w:val="nil"/>
              <w:tr2bl w:val="nil"/>
            </w:tcBorders>
            <w:shd w:val="clear" w:color="auto" w:fill="FFFFFF"/>
            <w:tcMar>
              <w:top w:w="0" w:type="dxa"/>
              <w:left w:w="0" w:type="dxa"/>
              <w:bottom w:w="0" w:type="dxa"/>
              <w:right w:w="0" w:type="dxa"/>
            </w:tcMar>
            <w:vAlign w:val="center"/>
          </w:tcPr>
          <w:p w14:paraId="6A7FAAA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77.6</w:t>
            </w:r>
          </w:p>
        </w:tc>
        <w:tc>
          <w:tcPr>
            <w:tcW w:w="465" w:type="dxa"/>
            <w:tcBorders>
              <w:tl2br w:val="nil"/>
              <w:tr2bl w:val="nil"/>
            </w:tcBorders>
            <w:shd w:val="clear" w:color="auto" w:fill="FFFFFF"/>
            <w:tcMar>
              <w:top w:w="0" w:type="dxa"/>
              <w:left w:w="0" w:type="dxa"/>
              <w:bottom w:w="0" w:type="dxa"/>
              <w:right w:w="0" w:type="dxa"/>
            </w:tcMar>
            <w:vAlign w:val="center"/>
          </w:tcPr>
          <w:p w14:paraId="7151645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77.6</w:t>
            </w:r>
          </w:p>
        </w:tc>
        <w:tc>
          <w:tcPr>
            <w:tcW w:w="487" w:type="dxa"/>
            <w:tcBorders>
              <w:tl2br w:val="nil"/>
              <w:tr2bl w:val="nil"/>
            </w:tcBorders>
            <w:shd w:val="clear" w:color="auto" w:fill="FFFFFF"/>
            <w:tcMar>
              <w:top w:w="0" w:type="dxa"/>
              <w:left w:w="0" w:type="dxa"/>
              <w:bottom w:w="0" w:type="dxa"/>
              <w:right w:w="0" w:type="dxa"/>
            </w:tcMar>
            <w:vAlign w:val="center"/>
          </w:tcPr>
          <w:p w14:paraId="2593BB1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77.6</w:t>
            </w:r>
          </w:p>
        </w:tc>
        <w:tc>
          <w:tcPr>
            <w:tcW w:w="491" w:type="dxa"/>
            <w:tcBorders>
              <w:tl2br w:val="nil"/>
              <w:tr2bl w:val="nil"/>
            </w:tcBorders>
            <w:shd w:val="clear" w:color="auto" w:fill="FFFFFF"/>
            <w:tcMar>
              <w:top w:w="0" w:type="dxa"/>
              <w:left w:w="0" w:type="dxa"/>
              <w:bottom w:w="0" w:type="dxa"/>
              <w:right w:w="0" w:type="dxa"/>
            </w:tcMar>
            <w:vAlign w:val="center"/>
          </w:tcPr>
          <w:p w14:paraId="1AC398C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77.6</w:t>
            </w:r>
          </w:p>
        </w:tc>
        <w:tc>
          <w:tcPr>
            <w:tcW w:w="480" w:type="dxa"/>
            <w:tcBorders>
              <w:tl2br w:val="nil"/>
              <w:tr2bl w:val="nil"/>
            </w:tcBorders>
            <w:shd w:val="clear" w:color="auto" w:fill="FFFFFF"/>
            <w:tcMar>
              <w:top w:w="0" w:type="dxa"/>
              <w:left w:w="0" w:type="dxa"/>
              <w:bottom w:w="0" w:type="dxa"/>
              <w:right w:w="0" w:type="dxa"/>
            </w:tcMar>
            <w:vAlign w:val="center"/>
          </w:tcPr>
          <w:p w14:paraId="42C090F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06479E7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74F4177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1166A5C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3334D09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65E93AB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51.6</w:t>
            </w:r>
          </w:p>
        </w:tc>
        <w:tc>
          <w:tcPr>
            <w:tcW w:w="472" w:type="dxa"/>
            <w:tcBorders>
              <w:tl2br w:val="nil"/>
              <w:tr2bl w:val="nil"/>
            </w:tcBorders>
            <w:shd w:val="clear" w:color="auto" w:fill="FFFFFF"/>
            <w:tcMar>
              <w:top w:w="0" w:type="dxa"/>
              <w:left w:w="0" w:type="dxa"/>
              <w:bottom w:w="0" w:type="dxa"/>
              <w:right w:w="0" w:type="dxa"/>
            </w:tcMar>
            <w:vAlign w:val="center"/>
          </w:tcPr>
          <w:p w14:paraId="01548DE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51.6</w:t>
            </w:r>
          </w:p>
        </w:tc>
        <w:tc>
          <w:tcPr>
            <w:tcW w:w="450" w:type="dxa"/>
            <w:tcBorders>
              <w:tl2br w:val="nil"/>
              <w:tr2bl w:val="nil"/>
            </w:tcBorders>
            <w:shd w:val="clear" w:color="auto" w:fill="FFFFFF"/>
            <w:tcMar>
              <w:top w:w="0" w:type="dxa"/>
              <w:left w:w="0" w:type="dxa"/>
              <w:bottom w:w="0" w:type="dxa"/>
              <w:right w:w="0" w:type="dxa"/>
            </w:tcMar>
            <w:vAlign w:val="center"/>
          </w:tcPr>
          <w:p w14:paraId="382BEA6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51.6</w:t>
            </w:r>
          </w:p>
        </w:tc>
        <w:tc>
          <w:tcPr>
            <w:tcW w:w="450" w:type="dxa"/>
            <w:tcBorders>
              <w:tl2br w:val="nil"/>
              <w:tr2bl w:val="nil"/>
            </w:tcBorders>
            <w:shd w:val="clear" w:color="auto" w:fill="FFFFFF"/>
            <w:tcMar>
              <w:top w:w="0" w:type="dxa"/>
              <w:left w:w="0" w:type="dxa"/>
              <w:bottom w:w="0" w:type="dxa"/>
              <w:right w:w="0" w:type="dxa"/>
            </w:tcMar>
            <w:vAlign w:val="center"/>
          </w:tcPr>
          <w:p w14:paraId="5111134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51.6</w:t>
            </w:r>
          </w:p>
        </w:tc>
        <w:tc>
          <w:tcPr>
            <w:tcW w:w="530" w:type="dxa"/>
            <w:tcBorders>
              <w:tl2br w:val="nil"/>
              <w:tr2bl w:val="nil"/>
            </w:tcBorders>
            <w:shd w:val="clear" w:color="auto" w:fill="FFFFFF"/>
            <w:tcMar>
              <w:top w:w="0" w:type="dxa"/>
              <w:left w:w="0" w:type="dxa"/>
              <w:bottom w:w="0" w:type="dxa"/>
              <w:right w:w="0" w:type="dxa"/>
            </w:tcMar>
            <w:vAlign w:val="center"/>
          </w:tcPr>
          <w:p w14:paraId="07C8001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4A190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1" w:hRule="atLeast"/>
        </w:trPr>
        <w:tc>
          <w:tcPr>
            <w:tcW w:w="415" w:type="dxa"/>
            <w:tcBorders>
              <w:tl2br w:val="nil"/>
              <w:tr2bl w:val="nil"/>
            </w:tcBorders>
            <w:shd w:val="clear" w:color="auto" w:fill="FFFFFF"/>
            <w:tcMar>
              <w:top w:w="0" w:type="dxa"/>
              <w:left w:w="0" w:type="dxa"/>
              <w:bottom w:w="0" w:type="dxa"/>
              <w:right w:w="0" w:type="dxa"/>
            </w:tcMar>
            <w:vAlign w:val="center"/>
          </w:tcPr>
          <w:p w14:paraId="4CC970B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16</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4338F20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1A8165A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空压机</w:t>
            </w:r>
          </w:p>
        </w:tc>
        <w:tc>
          <w:tcPr>
            <w:tcW w:w="405" w:type="dxa"/>
            <w:tcBorders>
              <w:tl2br w:val="nil"/>
              <w:tr2bl w:val="nil"/>
            </w:tcBorders>
            <w:shd w:val="clear" w:color="auto" w:fill="FFFFFF"/>
            <w:tcMar>
              <w:top w:w="0" w:type="dxa"/>
              <w:left w:w="0" w:type="dxa"/>
              <w:bottom w:w="0" w:type="dxa"/>
              <w:right w:w="0" w:type="dxa"/>
            </w:tcMar>
            <w:vAlign w:val="center"/>
          </w:tcPr>
          <w:p w14:paraId="7400EE3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6402138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85</w:t>
            </w:r>
          </w:p>
        </w:tc>
        <w:tc>
          <w:tcPr>
            <w:tcW w:w="1878" w:type="dxa"/>
            <w:tcBorders>
              <w:tl2br w:val="nil"/>
              <w:tr2bl w:val="nil"/>
            </w:tcBorders>
            <w:shd w:val="clear" w:color="auto" w:fill="FFFFFF"/>
            <w:tcMar>
              <w:top w:w="0" w:type="dxa"/>
              <w:left w:w="0" w:type="dxa"/>
              <w:bottom w:w="0" w:type="dxa"/>
              <w:right w:w="0" w:type="dxa"/>
            </w:tcMar>
            <w:vAlign w:val="center"/>
          </w:tcPr>
          <w:p w14:paraId="7A302C5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w:t>
            </w:r>
          </w:p>
        </w:tc>
        <w:tc>
          <w:tcPr>
            <w:tcW w:w="555" w:type="dxa"/>
            <w:tcBorders>
              <w:tl2br w:val="nil"/>
              <w:tr2bl w:val="nil"/>
            </w:tcBorders>
            <w:shd w:val="clear" w:color="auto" w:fill="FFFFFF"/>
            <w:tcMar>
              <w:top w:w="0" w:type="dxa"/>
              <w:left w:w="0" w:type="dxa"/>
              <w:bottom w:w="0" w:type="dxa"/>
              <w:right w:w="0" w:type="dxa"/>
            </w:tcMar>
            <w:vAlign w:val="center"/>
          </w:tcPr>
          <w:p w14:paraId="4A54CC1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-5.5</w:t>
            </w:r>
          </w:p>
        </w:tc>
        <w:tc>
          <w:tcPr>
            <w:tcW w:w="525" w:type="dxa"/>
            <w:tcBorders>
              <w:tl2br w:val="nil"/>
              <w:tr2bl w:val="nil"/>
            </w:tcBorders>
            <w:shd w:val="clear" w:color="auto" w:fill="FFFFFF"/>
            <w:tcMar>
              <w:top w:w="0" w:type="dxa"/>
              <w:left w:w="0" w:type="dxa"/>
              <w:bottom w:w="0" w:type="dxa"/>
              <w:right w:w="0" w:type="dxa"/>
            </w:tcMar>
            <w:vAlign w:val="center"/>
          </w:tcPr>
          <w:p w14:paraId="5F31BD3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-35</w:t>
            </w:r>
          </w:p>
        </w:tc>
        <w:tc>
          <w:tcPr>
            <w:tcW w:w="429" w:type="dxa"/>
            <w:tcBorders>
              <w:tl2br w:val="nil"/>
              <w:tr2bl w:val="nil"/>
            </w:tcBorders>
            <w:shd w:val="clear" w:color="auto" w:fill="FFFFFF"/>
            <w:tcMar>
              <w:top w:w="0" w:type="dxa"/>
              <w:left w:w="0" w:type="dxa"/>
              <w:bottom w:w="0" w:type="dxa"/>
              <w:right w:w="0" w:type="dxa"/>
            </w:tcMar>
            <w:vAlign w:val="center"/>
          </w:tcPr>
          <w:p w14:paraId="3F78052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424EED3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3.5</w:t>
            </w:r>
          </w:p>
        </w:tc>
        <w:tc>
          <w:tcPr>
            <w:tcW w:w="480" w:type="dxa"/>
            <w:tcBorders>
              <w:tl2br w:val="nil"/>
              <w:tr2bl w:val="nil"/>
            </w:tcBorders>
            <w:shd w:val="clear" w:color="auto" w:fill="FFFFFF"/>
            <w:tcMar>
              <w:top w:w="0" w:type="dxa"/>
              <w:left w:w="0" w:type="dxa"/>
              <w:bottom w:w="0" w:type="dxa"/>
              <w:right w:w="0" w:type="dxa"/>
            </w:tcMar>
            <w:vAlign w:val="center"/>
          </w:tcPr>
          <w:p w14:paraId="373B814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4.4</w:t>
            </w:r>
          </w:p>
        </w:tc>
        <w:tc>
          <w:tcPr>
            <w:tcW w:w="435" w:type="dxa"/>
            <w:tcBorders>
              <w:tl2br w:val="nil"/>
              <w:tr2bl w:val="nil"/>
            </w:tcBorders>
            <w:shd w:val="clear" w:color="auto" w:fill="FFFFFF"/>
            <w:tcMar>
              <w:top w:w="0" w:type="dxa"/>
              <w:left w:w="0" w:type="dxa"/>
              <w:bottom w:w="0" w:type="dxa"/>
              <w:right w:w="0" w:type="dxa"/>
            </w:tcMar>
            <w:vAlign w:val="center"/>
          </w:tcPr>
          <w:p w14:paraId="33D7104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16.3</w:t>
            </w:r>
          </w:p>
        </w:tc>
        <w:tc>
          <w:tcPr>
            <w:tcW w:w="483" w:type="dxa"/>
            <w:tcBorders>
              <w:tl2br w:val="nil"/>
              <w:tr2bl w:val="nil"/>
            </w:tcBorders>
            <w:shd w:val="clear" w:color="auto" w:fill="FFFFFF"/>
            <w:tcMar>
              <w:top w:w="0" w:type="dxa"/>
              <w:left w:w="0" w:type="dxa"/>
              <w:bottom w:w="0" w:type="dxa"/>
              <w:right w:w="0" w:type="dxa"/>
            </w:tcMar>
            <w:vAlign w:val="center"/>
          </w:tcPr>
          <w:p w14:paraId="0495E0B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19.3</w:t>
            </w:r>
          </w:p>
        </w:tc>
        <w:tc>
          <w:tcPr>
            <w:tcW w:w="413" w:type="dxa"/>
            <w:tcBorders>
              <w:tl2br w:val="nil"/>
              <w:tr2bl w:val="nil"/>
            </w:tcBorders>
            <w:shd w:val="clear" w:color="auto" w:fill="FFFFFF"/>
            <w:tcMar>
              <w:top w:w="0" w:type="dxa"/>
              <w:left w:w="0" w:type="dxa"/>
              <w:bottom w:w="0" w:type="dxa"/>
              <w:right w:w="0" w:type="dxa"/>
            </w:tcMar>
            <w:vAlign w:val="center"/>
          </w:tcPr>
          <w:p w14:paraId="6120968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77.7</w:t>
            </w:r>
          </w:p>
        </w:tc>
        <w:tc>
          <w:tcPr>
            <w:tcW w:w="465" w:type="dxa"/>
            <w:tcBorders>
              <w:tl2br w:val="nil"/>
              <w:tr2bl w:val="nil"/>
            </w:tcBorders>
            <w:shd w:val="clear" w:color="auto" w:fill="FFFFFF"/>
            <w:tcMar>
              <w:top w:w="0" w:type="dxa"/>
              <w:left w:w="0" w:type="dxa"/>
              <w:bottom w:w="0" w:type="dxa"/>
              <w:right w:w="0" w:type="dxa"/>
            </w:tcMar>
            <w:vAlign w:val="center"/>
          </w:tcPr>
          <w:p w14:paraId="69762A3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77.7</w:t>
            </w:r>
          </w:p>
        </w:tc>
        <w:tc>
          <w:tcPr>
            <w:tcW w:w="487" w:type="dxa"/>
            <w:tcBorders>
              <w:tl2br w:val="nil"/>
              <w:tr2bl w:val="nil"/>
            </w:tcBorders>
            <w:shd w:val="clear" w:color="auto" w:fill="FFFFFF"/>
            <w:tcMar>
              <w:top w:w="0" w:type="dxa"/>
              <w:left w:w="0" w:type="dxa"/>
              <w:bottom w:w="0" w:type="dxa"/>
              <w:right w:w="0" w:type="dxa"/>
            </w:tcMar>
            <w:vAlign w:val="center"/>
          </w:tcPr>
          <w:p w14:paraId="6519F2E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77.6</w:t>
            </w:r>
          </w:p>
        </w:tc>
        <w:tc>
          <w:tcPr>
            <w:tcW w:w="491" w:type="dxa"/>
            <w:tcBorders>
              <w:tl2br w:val="nil"/>
              <w:tr2bl w:val="nil"/>
            </w:tcBorders>
            <w:shd w:val="clear" w:color="auto" w:fill="FFFFFF"/>
            <w:tcMar>
              <w:top w:w="0" w:type="dxa"/>
              <w:left w:w="0" w:type="dxa"/>
              <w:bottom w:w="0" w:type="dxa"/>
              <w:right w:w="0" w:type="dxa"/>
            </w:tcMar>
            <w:vAlign w:val="center"/>
          </w:tcPr>
          <w:p w14:paraId="17082D9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77.6</w:t>
            </w:r>
          </w:p>
        </w:tc>
        <w:tc>
          <w:tcPr>
            <w:tcW w:w="480" w:type="dxa"/>
            <w:tcBorders>
              <w:tl2br w:val="nil"/>
              <w:tr2bl w:val="nil"/>
            </w:tcBorders>
            <w:shd w:val="clear" w:color="auto" w:fill="FFFFFF"/>
            <w:tcMar>
              <w:top w:w="0" w:type="dxa"/>
              <w:left w:w="0" w:type="dxa"/>
              <w:bottom w:w="0" w:type="dxa"/>
              <w:right w:w="0" w:type="dxa"/>
            </w:tcMar>
            <w:vAlign w:val="center"/>
          </w:tcPr>
          <w:p w14:paraId="15F358E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3A80E31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0EC8D75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0AE5B69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4CCDAD0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6D1E729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51.7</w:t>
            </w:r>
          </w:p>
        </w:tc>
        <w:tc>
          <w:tcPr>
            <w:tcW w:w="472" w:type="dxa"/>
            <w:tcBorders>
              <w:tl2br w:val="nil"/>
              <w:tr2bl w:val="nil"/>
            </w:tcBorders>
            <w:shd w:val="clear" w:color="auto" w:fill="FFFFFF"/>
            <w:tcMar>
              <w:top w:w="0" w:type="dxa"/>
              <w:left w:w="0" w:type="dxa"/>
              <w:bottom w:w="0" w:type="dxa"/>
              <w:right w:w="0" w:type="dxa"/>
            </w:tcMar>
            <w:vAlign w:val="center"/>
          </w:tcPr>
          <w:p w14:paraId="5AB8F72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51.7</w:t>
            </w:r>
          </w:p>
        </w:tc>
        <w:tc>
          <w:tcPr>
            <w:tcW w:w="450" w:type="dxa"/>
            <w:tcBorders>
              <w:tl2br w:val="nil"/>
              <w:tr2bl w:val="nil"/>
            </w:tcBorders>
            <w:shd w:val="clear" w:color="auto" w:fill="FFFFFF"/>
            <w:tcMar>
              <w:top w:w="0" w:type="dxa"/>
              <w:left w:w="0" w:type="dxa"/>
              <w:bottom w:w="0" w:type="dxa"/>
              <w:right w:w="0" w:type="dxa"/>
            </w:tcMar>
            <w:vAlign w:val="center"/>
          </w:tcPr>
          <w:p w14:paraId="4BABFE0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51.6</w:t>
            </w:r>
          </w:p>
        </w:tc>
        <w:tc>
          <w:tcPr>
            <w:tcW w:w="450" w:type="dxa"/>
            <w:tcBorders>
              <w:tl2br w:val="nil"/>
              <w:tr2bl w:val="nil"/>
            </w:tcBorders>
            <w:shd w:val="clear" w:color="auto" w:fill="FFFFFF"/>
            <w:tcMar>
              <w:top w:w="0" w:type="dxa"/>
              <w:left w:w="0" w:type="dxa"/>
              <w:bottom w:w="0" w:type="dxa"/>
              <w:right w:w="0" w:type="dxa"/>
            </w:tcMar>
            <w:vAlign w:val="center"/>
          </w:tcPr>
          <w:p w14:paraId="276534A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51.6</w:t>
            </w:r>
          </w:p>
        </w:tc>
        <w:tc>
          <w:tcPr>
            <w:tcW w:w="530" w:type="dxa"/>
            <w:tcBorders>
              <w:tl2br w:val="nil"/>
              <w:tr2bl w:val="nil"/>
            </w:tcBorders>
            <w:shd w:val="clear" w:color="auto" w:fill="FFFFFF"/>
            <w:tcMar>
              <w:top w:w="0" w:type="dxa"/>
              <w:left w:w="0" w:type="dxa"/>
              <w:bottom w:w="0" w:type="dxa"/>
              <w:right w:w="0" w:type="dxa"/>
            </w:tcMar>
            <w:vAlign w:val="center"/>
          </w:tcPr>
          <w:p w14:paraId="22A4A91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19C5F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60" w:hRule="atLeast"/>
        </w:trPr>
        <w:tc>
          <w:tcPr>
            <w:tcW w:w="415" w:type="dxa"/>
            <w:tcBorders>
              <w:tl2br w:val="nil"/>
              <w:tr2bl w:val="nil"/>
            </w:tcBorders>
            <w:shd w:val="clear" w:color="auto" w:fill="FFFFFF"/>
            <w:tcMar>
              <w:top w:w="0" w:type="dxa"/>
              <w:left w:w="0" w:type="dxa"/>
              <w:bottom w:w="0" w:type="dxa"/>
              <w:right w:w="0" w:type="dxa"/>
            </w:tcMar>
            <w:vAlign w:val="center"/>
          </w:tcPr>
          <w:p w14:paraId="41EC3A8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17</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41040122">
            <w:pPr>
              <w:keepNext w:val="0"/>
              <w:keepLines w:val="0"/>
              <w:suppressLineNumbers w:val="0"/>
              <w:adjustRightInd/>
              <w:spacing w:before="0" w:beforeAutospacing="0" w:after="0" w:afterAutospacing="0" w:line="240" w:lineRule="auto"/>
              <w:ind w:left="0" w:right="0" w:firstLine="0" w:firstLineChars="0"/>
              <w:jc w:val="both"/>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7043AD3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搅拌机2台叠加</w:t>
            </w:r>
          </w:p>
        </w:tc>
        <w:tc>
          <w:tcPr>
            <w:tcW w:w="405" w:type="dxa"/>
            <w:tcBorders>
              <w:tl2br w:val="nil"/>
              <w:tr2bl w:val="nil"/>
            </w:tcBorders>
            <w:shd w:val="clear" w:color="auto" w:fill="FFFFFF"/>
            <w:tcMar>
              <w:top w:w="0" w:type="dxa"/>
              <w:left w:w="0" w:type="dxa"/>
              <w:bottom w:w="0" w:type="dxa"/>
              <w:right w:w="0" w:type="dxa"/>
            </w:tcMar>
            <w:vAlign w:val="center"/>
          </w:tcPr>
          <w:p w14:paraId="5AA1239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0049C52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73</w:t>
            </w:r>
          </w:p>
        </w:tc>
        <w:tc>
          <w:tcPr>
            <w:tcW w:w="1878" w:type="dxa"/>
            <w:tcBorders>
              <w:tl2br w:val="nil"/>
              <w:tr2bl w:val="nil"/>
            </w:tcBorders>
            <w:shd w:val="clear" w:color="auto" w:fill="FFFFFF"/>
            <w:tcMar>
              <w:top w:w="0" w:type="dxa"/>
              <w:left w:w="0" w:type="dxa"/>
              <w:bottom w:w="0" w:type="dxa"/>
              <w:right w:w="0" w:type="dxa"/>
            </w:tcMar>
            <w:vAlign w:val="center"/>
          </w:tcPr>
          <w:p w14:paraId="45A98C6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基础减震，水下吸声</w:t>
            </w:r>
          </w:p>
        </w:tc>
        <w:tc>
          <w:tcPr>
            <w:tcW w:w="555" w:type="dxa"/>
            <w:tcBorders>
              <w:tl2br w:val="nil"/>
              <w:tr2bl w:val="nil"/>
            </w:tcBorders>
            <w:shd w:val="clear" w:color="auto" w:fill="FFFFFF"/>
            <w:tcMar>
              <w:top w:w="0" w:type="dxa"/>
              <w:left w:w="0" w:type="dxa"/>
              <w:bottom w:w="0" w:type="dxa"/>
              <w:right w:w="0" w:type="dxa"/>
            </w:tcMar>
            <w:vAlign w:val="center"/>
          </w:tcPr>
          <w:p w14:paraId="74F88F2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-17.9</w:t>
            </w:r>
          </w:p>
        </w:tc>
        <w:tc>
          <w:tcPr>
            <w:tcW w:w="525" w:type="dxa"/>
            <w:tcBorders>
              <w:tl2br w:val="nil"/>
              <w:tr2bl w:val="nil"/>
            </w:tcBorders>
            <w:shd w:val="clear" w:color="auto" w:fill="FFFFFF"/>
            <w:tcMar>
              <w:top w:w="0" w:type="dxa"/>
              <w:left w:w="0" w:type="dxa"/>
              <w:bottom w:w="0" w:type="dxa"/>
              <w:right w:w="0" w:type="dxa"/>
            </w:tcMar>
            <w:vAlign w:val="center"/>
          </w:tcPr>
          <w:p w14:paraId="6B149FA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-35.5</w:t>
            </w:r>
          </w:p>
        </w:tc>
        <w:tc>
          <w:tcPr>
            <w:tcW w:w="429" w:type="dxa"/>
            <w:tcBorders>
              <w:tl2br w:val="nil"/>
              <w:tr2bl w:val="nil"/>
            </w:tcBorders>
            <w:shd w:val="clear" w:color="auto" w:fill="FFFFFF"/>
            <w:tcMar>
              <w:top w:w="0" w:type="dxa"/>
              <w:left w:w="0" w:type="dxa"/>
              <w:bottom w:w="0" w:type="dxa"/>
              <w:right w:w="0" w:type="dxa"/>
            </w:tcMar>
            <w:vAlign w:val="center"/>
          </w:tcPr>
          <w:p w14:paraId="7DB5774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4F70899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15.9</w:t>
            </w:r>
          </w:p>
        </w:tc>
        <w:tc>
          <w:tcPr>
            <w:tcW w:w="480" w:type="dxa"/>
            <w:tcBorders>
              <w:tl2br w:val="nil"/>
              <w:tr2bl w:val="nil"/>
            </w:tcBorders>
            <w:shd w:val="clear" w:color="auto" w:fill="FFFFFF"/>
            <w:tcMar>
              <w:top w:w="0" w:type="dxa"/>
              <w:left w:w="0" w:type="dxa"/>
              <w:bottom w:w="0" w:type="dxa"/>
              <w:right w:w="0" w:type="dxa"/>
            </w:tcMar>
            <w:vAlign w:val="center"/>
          </w:tcPr>
          <w:p w14:paraId="38BDE80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3.9</w:t>
            </w:r>
          </w:p>
        </w:tc>
        <w:tc>
          <w:tcPr>
            <w:tcW w:w="435" w:type="dxa"/>
            <w:tcBorders>
              <w:tl2br w:val="nil"/>
              <w:tr2bl w:val="nil"/>
            </w:tcBorders>
            <w:shd w:val="clear" w:color="auto" w:fill="FFFFFF"/>
            <w:tcMar>
              <w:top w:w="0" w:type="dxa"/>
              <w:left w:w="0" w:type="dxa"/>
              <w:bottom w:w="0" w:type="dxa"/>
              <w:right w:w="0" w:type="dxa"/>
            </w:tcMar>
            <w:vAlign w:val="center"/>
          </w:tcPr>
          <w:p w14:paraId="6A7BA72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3.9</w:t>
            </w:r>
          </w:p>
        </w:tc>
        <w:tc>
          <w:tcPr>
            <w:tcW w:w="483" w:type="dxa"/>
            <w:tcBorders>
              <w:tl2br w:val="nil"/>
              <w:tr2bl w:val="nil"/>
            </w:tcBorders>
            <w:shd w:val="clear" w:color="auto" w:fill="FFFFFF"/>
            <w:tcMar>
              <w:top w:w="0" w:type="dxa"/>
              <w:left w:w="0" w:type="dxa"/>
              <w:bottom w:w="0" w:type="dxa"/>
              <w:right w:w="0" w:type="dxa"/>
            </w:tcMar>
            <w:vAlign w:val="center"/>
          </w:tcPr>
          <w:p w14:paraId="257AC83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19.8</w:t>
            </w:r>
          </w:p>
        </w:tc>
        <w:tc>
          <w:tcPr>
            <w:tcW w:w="413" w:type="dxa"/>
            <w:tcBorders>
              <w:tl2br w:val="nil"/>
              <w:tr2bl w:val="nil"/>
            </w:tcBorders>
            <w:shd w:val="clear" w:color="auto" w:fill="FFFFFF"/>
            <w:tcMar>
              <w:top w:w="0" w:type="dxa"/>
              <w:left w:w="0" w:type="dxa"/>
              <w:bottom w:w="0" w:type="dxa"/>
              <w:right w:w="0" w:type="dxa"/>
            </w:tcMar>
            <w:vAlign w:val="center"/>
          </w:tcPr>
          <w:p w14:paraId="01BC481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65.6</w:t>
            </w:r>
          </w:p>
        </w:tc>
        <w:tc>
          <w:tcPr>
            <w:tcW w:w="465" w:type="dxa"/>
            <w:tcBorders>
              <w:tl2br w:val="nil"/>
              <w:tr2bl w:val="nil"/>
            </w:tcBorders>
            <w:shd w:val="clear" w:color="auto" w:fill="FFFFFF"/>
            <w:tcMar>
              <w:top w:w="0" w:type="dxa"/>
              <w:left w:w="0" w:type="dxa"/>
              <w:bottom w:w="0" w:type="dxa"/>
              <w:right w:w="0" w:type="dxa"/>
            </w:tcMar>
            <w:vAlign w:val="center"/>
          </w:tcPr>
          <w:p w14:paraId="6C0E160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65.7</w:t>
            </w:r>
          </w:p>
        </w:tc>
        <w:tc>
          <w:tcPr>
            <w:tcW w:w="487" w:type="dxa"/>
            <w:tcBorders>
              <w:tl2br w:val="nil"/>
              <w:tr2bl w:val="nil"/>
            </w:tcBorders>
            <w:shd w:val="clear" w:color="auto" w:fill="FFFFFF"/>
            <w:tcMar>
              <w:top w:w="0" w:type="dxa"/>
              <w:left w:w="0" w:type="dxa"/>
              <w:bottom w:w="0" w:type="dxa"/>
              <w:right w:w="0" w:type="dxa"/>
            </w:tcMar>
            <w:vAlign w:val="center"/>
          </w:tcPr>
          <w:p w14:paraId="2B1C231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65.7</w:t>
            </w:r>
          </w:p>
        </w:tc>
        <w:tc>
          <w:tcPr>
            <w:tcW w:w="491" w:type="dxa"/>
            <w:tcBorders>
              <w:tl2br w:val="nil"/>
              <w:tr2bl w:val="nil"/>
            </w:tcBorders>
            <w:shd w:val="clear" w:color="auto" w:fill="FFFFFF"/>
            <w:tcMar>
              <w:top w:w="0" w:type="dxa"/>
              <w:left w:w="0" w:type="dxa"/>
              <w:bottom w:w="0" w:type="dxa"/>
              <w:right w:w="0" w:type="dxa"/>
            </w:tcMar>
            <w:vAlign w:val="center"/>
          </w:tcPr>
          <w:p w14:paraId="46DB946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65.6</w:t>
            </w:r>
          </w:p>
        </w:tc>
        <w:tc>
          <w:tcPr>
            <w:tcW w:w="480" w:type="dxa"/>
            <w:tcBorders>
              <w:tl2br w:val="nil"/>
              <w:tr2bl w:val="nil"/>
            </w:tcBorders>
            <w:shd w:val="clear" w:color="auto" w:fill="FFFFFF"/>
            <w:tcMar>
              <w:top w:w="0" w:type="dxa"/>
              <w:left w:w="0" w:type="dxa"/>
              <w:bottom w:w="0" w:type="dxa"/>
              <w:right w:w="0" w:type="dxa"/>
            </w:tcMar>
            <w:vAlign w:val="center"/>
          </w:tcPr>
          <w:p w14:paraId="48DCFA1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57A0C35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5D59C01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7C049DF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149F3BC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78F988A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39.6</w:t>
            </w:r>
          </w:p>
        </w:tc>
        <w:tc>
          <w:tcPr>
            <w:tcW w:w="472" w:type="dxa"/>
            <w:tcBorders>
              <w:tl2br w:val="nil"/>
              <w:tr2bl w:val="nil"/>
            </w:tcBorders>
            <w:shd w:val="clear" w:color="auto" w:fill="FFFFFF"/>
            <w:tcMar>
              <w:top w:w="0" w:type="dxa"/>
              <w:left w:w="0" w:type="dxa"/>
              <w:bottom w:w="0" w:type="dxa"/>
              <w:right w:w="0" w:type="dxa"/>
            </w:tcMar>
            <w:vAlign w:val="center"/>
          </w:tcPr>
          <w:p w14:paraId="33D2D21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39.7</w:t>
            </w:r>
          </w:p>
        </w:tc>
        <w:tc>
          <w:tcPr>
            <w:tcW w:w="450" w:type="dxa"/>
            <w:tcBorders>
              <w:tl2br w:val="nil"/>
              <w:tr2bl w:val="nil"/>
            </w:tcBorders>
            <w:shd w:val="clear" w:color="auto" w:fill="FFFFFF"/>
            <w:tcMar>
              <w:top w:w="0" w:type="dxa"/>
              <w:left w:w="0" w:type="dxa"/>
              <w:bottom w:w="0" w:type="dxa"/>
              <w:right w:w="0" w:type="dxa"/>
            </w:tcMar>
            <w:vAlign w:val="center"/>
          </w:tcPr>
          <w:p w14:paraId="37B4AEF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39.7</w:t>
            </w:r>
          </w:p>
        </w:tc>
        <w:tc>
          <w:tcPr>
            <w:tcW w:w="450" w:type="dxa"/>
            <w:tcBorders>
              <w:tl2br w:val="nil"/>
              <w:tr2bl w:val="nil"/>
            </w:tcBorders>
            <w:shd w:val="clear" w:color="auto" w:fill="FFFFFF"/>
            <w:tcMar>
              <w:top w:w="0" w:type="dxa"/>
              <w:left w:w="0" w:type="dxa"/>
              <w:bottom w:w="0" w:type="dxa"/>
              <w:right w:w="0" w:type="dxa"/>
            </w:tcMar>
            <w:vAlign w:val="center"/>
          </w:tcPr>
          <w:p w14:paraId="08287BF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39.6</w:t>
            </w:r>
          </w:p>
        </w:tc>
        <w:tc>
          <w:tcPr>
            <w:tcW w:w="530" w:type="dxa"/>
            <w:tcBorders>
              <w:tl2br w:val="nil"/>
              <w:tr2bl w:val="nil"/>
            </w:tcBorders>
            <w:shd w:val="clear" w:color="auto" w:fill="FFFFFF"/>
            <w:tcMar>
              <w:top w:w="0" w:type="dxa"/>
              <w:left w:w="0" w:type="dxa"/>
              <w:bottom w:w="0" w:type="dxa"/>
              <w:right w:w="0" w:type="dxa"/>
            </w:tcMar>
            <w:vAlign w:val="center"/>
          </w:tcPr>
          <w:p w14:paraId="3C6F1BC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4CF4C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7" w:hRule="atLeast"/>
        </w:trPr>
        <w:tc>
          <w:tcPr>
            <w:tcW w:w="415" w:type="dxa"/>
            <w:tcBorders>
              <w:tl2br w:val="nil"/>
              <w:tr2bl w:val="nil"/>
            </w:tcBorders>
            <w:shd w:val="clear" w:color="auto" w:fill="FFFFFF"/>
            <w:tcMar>
              <w:top w:w="0" w:type="dxa"/>
              <w:left w:w="0" w:type="dxa"/>
              <w:bottom w:w="0" w:type="dxa"/>
              <w:right w:w="0" w:type="dxa"/>
            </w:tcMar>
            <w:vAlign w:val="center"/>
          </w:tcPr>
          <w:p w14:paraId="7CE8C3F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18</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0CF9E5C9">
            <w:pPr>
              <w:keepNext w:val="0"/>
              <w:keepLines w:val="0"/>
              <w:suppressLineNumbers w:val="0"/>
              <w:adjustRightInd/>
              <w:spacing w:before="0" w:beforeAutospacing="0" w:after="0" w:afterAutospacing="0" w:line="240" w:lineRule="auto"/>
              <w:ind w:left="0" w:right="0" w:firstLine="0" w:firstLineChars="0"/>
              <w:jc w:val="both"/>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6287180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叠螺式污泥压缩机</w:t>
            </w:r>
          </w:p>
        </w:tc>
        <w:tc>
          <w:tcPr>
            <w:tcW w:w="405" w:type="dxa"/>
            <w:tcBorders>
              <w:tl2br w:val="nil"/>
              <w:tr2bl w:val="nil"/>
            </w:tcBorders>
            <w:shd w:val="clear" w:color="auto" w:fill="FFFFFF"/>
            <w:tcMar>
              <w:top w:w="0" w:type="dxa"/>
              <w:left w:w="0" w:type="dxa"/>
              <w:bottom w:w="0" w:type="dxa"/>
              <w:right w:w="0" w:type="dxa"/>
            </w:tcMar>
            <w:vAlign w:val="center"/>
          </w:tcPr>
          <w:p w14:paraId="002750E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7295F74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75</w:t>
            </w:r>
          </w:p>
        </w:tc>
        <w:tc>
          <w:tcPr>
            <w:tcW w:w="1878" w:type="dxa"/>
            <w:tcBorders>
              <w:tl2br w:val="nil"/>
              <w:tr2bl w:val="nil"/>
            </w:tcBorders>
            <w:shd w:val="clear" w:color="auto" w:fill="FFFFFF"/>
            <w:tcMar>
              <w:top w:w="0" w:type="dxa"/>
              <w:left w:w="0" w:type="dxa"/>
              <w:bottom w:w="0" w:type="dxa"/>
              <w:right w:w="0" w:type="dxa"/>
            </w:tcMar>
            <w:vAlign w:val="center"/>
          </w:tcPr>
          <w:p w14:paraId="577DF2B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w:t>
            </w:r>
          </w:p>
        </w:tc>
        <w:tc>
          <w:tcPr>
            <w:tcW w:w="555" w:type="dxa"/>
            <w:tcBorders>
              <w:tl2br w:val="nil"/>
              <w:tr2bl w:val="nil"/>
            </w:tcBorders>
            <w:shd w:val="clear" w:color="auto" w:fill="FFFFFF"/>
            <w:tcMar>
              <w:top w:w="0" w:type="dxa"/>
              <w:left w:w="0" w:type="dxa"/>
              <w:bottom w:w="0" w:type="dxa"/>
              <w:right w:w="0" w:type="dxa"/>
            </w:tcMar>
            <w:vAlign w:val="center"/>
          </w:tcPr>
          <w:p w14:paraId="2769EED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-7.7</w:t>
            </w:r>
          </w:p>
        </w:tc>
        <w:tc>
          <w:tcPr>
            <w:tcW w:w="525" w:type="dxa"/>
            <w:tcBorders>
              <w:tl2br w:val="nil"/>
              <w:tr2bl w:val="nil"/>
            </w:tcBorders>
            <w:shd w:val="clear" w:color="auto" w:fill="FFFFFF"/>
            <w:tcMar>
              <w:top w:w="0" w:type="dxa"/>
              <w:left w:w="0" w:type="dxa"/>
              <w:bottom w:w="0" w:type="dxa"/>
              <w:right w:w="0" w:type="dxa"/>
            </w:tcMar>
            <w:vAlign w:val="center"/>
          </w:tcPr>
          <w:p w14:paraId="555EF24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w:t>
            </w:r>
          </w:p>
        </w:tc>
        <w:tc>
          <w:tcPr>
            <w:tcW w:w="429" w:type="dxa"/>
            <w:tcBorders>
              <w:tl2br w:val="nil"/>
              <w:tr2bl w:val="nil"/>
            </w:tcBorders>
            <w:shd w:val="clear" w:color="auto" w:fill="FFFFFF"/>
            <w:tcMar>
              <w:top w:w="0" w:type="dxa"/>
              <w:left w:w="0" w:type="dxa"/>
              <w:bottom w:w="0" w:type="dxa"/>
              <w:right w:w="0" w:type="dxa"/>
            </w:tcMar>
            <w:vAlign w:val="center"/>
          </w:tcPr>
          <w:p w14:paraId="0FB215C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1F91C9A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5.7</w:t>
            </w:r>
          </w:p>
        </w:tc>
        <w:tc>
          <w:tcPr>
            <w:tcW w:w="480" w:type="dxa"/>
            <w:tcBorders>
              <w:tl2br w:val="nil"/>
              <w:tr2bl w:val="nil"/>
            </w:tcBorders>
            <w:shd w:val="clear" w:color="auto" w:fill="FFFFFF"/>
            <w:tcMar>
              <w:top w:w="0" w:type="dxa"/>
              <w:left w:w="0" w:type="dxa"/>
              <w:bottom w:w="0" w:type="dxa"/>
              <w:right w:w="0" w:type="dxa"/>
            </w:tcMar>
            <w:vAlign w:val="center"/>
          </w:tcPr>
          <w:p w14:paraId="1E43C0A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13.4</w:t>
            </w:r>
          </w:p>
        </w:tc>
        <w:tc>
          <w:tcPr>
            <w:tcW w:w="435" w:type="dxa"/>
            <w:tcBorders>
              <w:tl2br w:val="nil"/>
              <w:tr2bl w:val="nil"/>
            </w:tcBorders>
            <w:shd w:val="clear" w:color="auto" w:fill="FFFFFF"/>
            <w:tcMar>
              <w:top w:w="0" w:type="dxa"/>
              <w:left w:w="0" w:type="dxa"/>
              <w:bottom w:w="0" w:type="dxa"/>
              <w:right w:w="0" w:type="dxa"/>
            </w:tcMar>
            <w:vAlign w:val="center"/>
          </w:tcPr>
          <w:p w14:paraId="0D672A4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14.1</w:t>
            </w:r>
          </w:p>
        </w:tc>
        <w:tc>
          <w:tcPr>
            <w:tcW w:w="483" w:type="dxa"/>
            <w:tcBorders>
              <w:tl2br w:val="nil"/>
              <w:tr2bl w:val="nil"/>
            </w:tcBorders>
            <w:shd w:val="clear" w:color="auto" w:fill="FFFFFF"/>
            <w:tcMar>
              <w:top w:w="0" w:type="dxa"/>
              <w:left w:w="0" w:type="dxa"/>
              <w:bottom w:w="0" w:type="dxa"/>
              <w:right w:w="0" w:type="dxa"/>
            </w:tcMar>
            <w:vAlign w:val="center"/>
          </w:tcPr>
          <w:p w14:paraId="4F66965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10.3</w:t>
            </w:r>
          </w:p>
        </w:tc>
        <w:tc>
          <w:tcPr>
            <w:tcW w:w="413" w:type="dxa"/>
            <w:tcBorders>
              <w:tl2br w:val="nil"/>
              <w:tr2bl w:val="nil"/>
            </w:tcBorders>
            <w:shd w:val="clear" w:color="auto" w:fill="FFFFFF"/>
            <w:tcMar>
              <w:top w:w="0" w:type="dxa"/>
              <w:left w:w="0" w:type="dxa"/>
              <w:bottom w:w="0" w:type="dxa"/>
              <w:right w:w="0" w:type="dxa"/>
            </w:tcMar>
            <w:vAlign w:val="center"/>
          </w:tcPr>
          <w:p w14:paraId="184246A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67.6</w:t>
            </w:r>
          </w:p>
        </w:tc>
        <w:tc>
          <w:tcPr>
            <w:tcW w:w="465" w:type="dxa"/>
            <w:tcBorders>
              <w:tl2br w:val="nil"/>
              <w:tr2bl w:val="nil"/>
            </w:tcBorders>
            <w:shd w:val="clear" w:color="auto" w:fill="FFFFFF"/>
            <w:tcMar>
              <w:top w:w="0" w:type="dxa"/>
              <w:left w:w="0" w:type="dxa"/>
              <w:bottom w:w="0" w:type="dxa"/>
              <w:right w:w="0" w:type="dxa"/>
            </w:tcMar>
            <w:vAlign w:val="center"/>
          </w:tcPr>
          <w:p w14:paraId="6C1F91E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67.6</w:t>
            </w:r>
          </w:p>
        </w:tc>
        <w:tc>
          <w:tcPr>
            <w:tcW w:w="487" w:type="dxa"/>
            <w:tcBorders>
              <w:tl2br w:val="nil"/>
              <w:tr2bl w:val="nil"/>
            </w:tcBorders>
            <w:shd w:val="clear" w:color="auto" w:fill="FFFFFF"/>
            <w:tcMar>
              <w:top w:w="0" w:type="dxa"/>
              <w:left w:w="0" w:type="dxa"/>
              <w:bottom w:w="0" w:type="dxa"/>
              <w:right w:w="0" w:type="dxa"/>
            </w:tcMar>
            <w:vAlign w:val="center"/>
          </w:tcPr>
          <w:p w14:paraId="7F9B15B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67.6</w:t>
            </w:r>
          </w:p>
        </w:tc>
        <w:tc>
          <w:tcPr>
            <w:tcW w:w="491" w:type="dxa"/>
            <w:tcBorders>
              <w:tl2br w:val="nil"/>
              <w:tr2bl w:val="nil"/>
            </w:tcBorders>
            <w:shd w:val="clear" w:color="auto" w:fill="FFFFFF"/>
            <w:tcMar>
              <w:top w:w="0" w:type="dxa"/>
              <w:left w:w="0" w:type="dxa"/>
              <w:bottom w:w="0" w:type="dxa"/>
              <w:right w:w="0" w:type="dxa"/>
            </w:tcMar>
            <w:vAlign w:val="center"/>
          </w:tcPr>
          <w:p w14:paraId="18D2128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67.6</w:t>
            </w:r>
          </w:p>
        </w:tc>
        <w:tc>
          <w:tcPr>
            <w:tcW w:w="480" w:type="dxa"/>
            <w:tcBorders>
              <w:tl2br w:val="nil"/>
              <w:tr2bl w:val="nil"/>
            </w:tcBorders>
            <w:shd w:val="clear" w:color="auto" w:fill="FFFFFF"/>
            <w:tcMar>
              <w:top w:w="0" w:type="dxa"/>
              <w:left w:w="0" w:type="dxa"/>
              <w:bottom w:w="0" w:type="dxa"/>
              <w:right w:w="0" w:type="dxa"/>
            </w:tcMar>
            <w:vAlign w:val="center"/>
          </w:tcPr>
          <w:p w14:paraId="0434CB5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7748E91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749996C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3C98E3F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4ACDB40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2B837ED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41.6</w:t>
            </w:r>
          </w:p>
        </w:tc>
        <w:tc>
          <w:tcPr>
            <w:tcW w:w="472" w:type="dxa"/>
            <w:tcBorders>
              <w:tl2br w:val="nil"/>
              <w:tr2bl w:val="nil"/>
            </w:tcBorders>
            <w:shd w:val="clear" w:color="auto" w:fill="FFFFFF"/>
            <w:tcMar>
              <w:top w:w="0" w:type="dxa"/>
              <w:left w:w="0" w:type="dxa"/>
              <w:bottom w:w="0" w:type="dxa"/>
              <w:right w:w="0" w:type="dxa"/>
            </w:tcMar>
            <w:vAlign w:val="center"/>
          </w:tcPr>
          <w:p w14:paraId="1104E7A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41.6</w:t>
            </w:r>
          </w:p>
        </w:tc>
        <w:tc>
          <w:tcPr>
            <w:tcW w:w="450" w:type="dxa"/>
            <w:tcBorders>
              <w:tl2br w:val="nil"/>
              <w:tr2bl w:val="nil"/>
            </w:tcBorders>
            <w:shd w:val="clear" w:color="auto" w:fill="FFFFFF"/>
            <w:tcMar>
              <w:top w:w="0" w:type="dxa"/>
              <w:left w:w="0" w:type="dxa"/>
              <w:bottom w:w="0" w:type="dxa"/>
              <w:right w:w="0" w:type="dxa"/>
            </w:tcMar>
            <w:vAlign w:val="center"/>
          </w:tcPr>
          <w:p w14:paraId="6CC6B32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41.6</w:t>
            </w:r>
          </w:p>
        </w:tc>
        <w:tc>
          <w:tcPr>
            <w:tcW w:w="450" w:type="dxa"/>
            <w:tcBorders>
              <w:tl2br w:val="nil"/>
              <w:tr2bl w:val="nil"/>
            </w:tcBorders>
            <w:shd w:val="clear" w:color="auto" w:fill="FFFFFF"/>
            <w:tcMar>
              <w:top w:w="0" w:type="dxa"/>
              <w:left w:w="0" w:type="dxa"/>
              <w:bottom w:w="0" w:type="dxa"/>
              <w:right w:w="0" w:type="dxa"/>
            </w:tcMar>
            <w:vAlign w:val="center"/>
          </w:tcPr>
          <w:p w14:paraId="00350EA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41.6</w:t>
            </w:r>
          </w:p>
        </w:tc>
        <w:tc>
          <w:tcPr>
            <w:tcW w:w="530" w:type="dxa"/>
            <w:tcBorders>
              <w:tl2br w:val="nil"/>
              <w:tr2bl w:val="nil"/>
            </w:tcBorders>
            <w:shd w:val="clear" w:color="auto" w:fill="FFFFFF"/>
            <w:tcMar>
              <w:top w:w="0" w:type="dxa"/>
              <w:left w:w="0" w:type="dxa"/>
              <w:bottom w:w="0" w:type="dxa"/>
              <w:right w:w="0" w:type="dxa"/>
            </w:tcMar>
            <w:vAlign w:val="center"/>
          </w:tcPr>
          <w:p w14:paraId="0542877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531AF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8" w:hRule="atLeast"/>
        </w:trPr>
        <w:tc>
          <w:tcPr>
            <w:tcW w:w="415" w:type="dxa"/>
            <w:tcBorders>
              <w:tl2br w:val="nil"/>
              <w:tr2bl w:val="nil"/>
            </w:tcBorders>
            <w:shd w:val="clear" w:color="auto" w:fill="FFFFFF"/>
            <w:tcMar>
              <w:top w:w="0" w:type="dxa"/>
              <w:left w:w="0" w:type="dxa"/>
              <w:bottom w:w="0" w:type="dxa"/>
              <w:right w:w="0" w:type="dxa"/>
            </w:tcMar>
            <w:vAlign w:val="center"/>
          </w:tcPr>
          <w:p w14:paraId="163D70B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19</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2F64B29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30DECB9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浓缩进料泵</w:t>
            </w:r>
          </w:p>
        </w:tc>
        <w:tc>
          <w:tcPr>
            <w:tcW w:w="405" w:type="dxa"/>
            <w:tcBorders>
              <w:tl2br w:val="nil"/>
              <w:tr2bl w:val="nil"/>
            </w:tcBorders>
            <w:shd w:val="clear" w:color="auto" w:fill="FFFFFF"/>
            <w:tcMar>
              <w:top w:w="0" w:type="dxa"/>
              <w:left w:w="0" w:type="dxa"/>
              <w:bottom w:w="0" w:type="dxa"/>
              <w:right w:w="0" w:type="dxa"/>
            </w:tcMar>
            <w:vAlign w:val="center"/>
          </w:tcPr>
          <w:p w14:paraId="2E7C411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1D268DE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80</w:t>
            </w:r>
          </w:p>
        </w:tc>
        <w:tc>
          <w:tcPr>
            <w:tcW w:w="1878" w:type="dxa"/>
            <w:tcBorders>
              <w:tl2br w:val="nil"/>
              <w:tr2bl w:val="nil"/>
            </w:tcBorders>
            <w:shd w:val="clear" w:color="auto" w:fill="FFFFFF"/>
            <w:tcMar>
              <w:top w:w="0" w:type="dxa"/>
              <w:left w:w="0" w:type="dxa"/>
              <w:bottom w:w="0" w:type="dxa"/>
              <w:right w:w="0" w:type="dxa"/>
            </w:tcMar>
            <w:vAlign w:val="center"/>
          </w:tcPr>
          <w:p w14:paraId="4E09361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w:t>
            </w:r>
          </w:p>
        </w:tc>
        <w:tc>
          <w:tcPr>
            <w:tcW w:w="555" w:type="dxa"/>
            <w:tcBorders>
              <w:tl2br w:val="nil"/>
              <w:tr2bl w:val="nil"/>
            </w:tcBorders>
            <w:shd w:val="clear" w:color="auto" w:fill="FFFFFF"/>
            <w:tcMar>
              <w:top w:w="0" w:type="dxa"/>
              <w:left w:w="0" w:type="dxa"/>
              <w:bottom w:w="0" w:type="dxa"/>
              <w:right w:w="0" w:type="dxa"/>
            </w:tcMar>
            <w:vAlign w:val="center"/>
          </w:tcPr>
          <w:p w14:paraId="720A9C8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-9.5</w:t>
            </w:r>
          </w:p>
        </w:tc>
        <w:tc>
          <w:tcPr>
            <w:tcW w:w="525" w:type="dxa"/>
            <w:tcBorders>
              <w:tl2br w:val="nil"/>
              <w:tr2bl w:val="nil"/>
            </w:tcBorders>
            <w:shd w:val="clear" w:color="auto" w:fill="FFFFFF"/>
            <w:tcMar>
              <w:top w:w="0" w:type="dxa"/>
              <w:left w:w="0" w:type="dxa"/>
              <w:bottom w:w="0" w:type="dxa"/>
              <w:right w:w="0" w:type="dxa"/>
            </w:tcMar>
            <w:vAlign w:val="center"/>
          </w:tcPr>
          <w:p w14:paraId="62F3BA7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-33.8</w:t>
            </w:r>
          </w:p>
        </w:tc>
        <w:tc>
          <w:tcPr>
            <w:tcW w:w="429" w:type="dxa"/>
            <w:tcBorders>
              <w:tl2br w:val="nil"/>
              <w:tr2bl w:val="nil"/>
            </w:tcBorders>
            <w:shd w:val="clear" w:color="auto" w:fill="FFFFFF"/>
            <w:tcMar>
              <w:top w:w="0" w:type="dxa"/>
              <w:left w:w="0" w:type="dxa"/>
              <w:bottom w:w="0" w:type="dxa"/>
              <w:right w:w="0" w:type="dxa"/>
            </w:tcMar>
            <w:vAlign w:val="center"/>
          </w:tcPr>
          <w:p w14:paraId="1D18027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4D2CA8A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7.5</w:t>
            </w:r>
          </w:p>
        </w:tc>
        <w:tc>
          <w:tcPr>
            <w:tcW w:w="480" w:type="dxa"/>
            <w:tcBorders>
              <w:tl2br w:val="nil"/>
              <w:tr2bl w:val="nil"/>
            </w:tcBorders>
            <w:shd w:val="clear" w:color="auto" w:fill="FFFFFF"/>
            <w:tcMar>
              <w:top w:w="0" w:type="dxa"/>
              <w:left w:w="0" w:type="dxa"/>
              <w:bottom w:w="0" w:type="dxa"/>
              <w:right w:w="0" w:type="dxa"/>
            </w:tcMar>
            <w:vAlign w:val="center"/>
          </w:tcPr>
          <w:p w14:paraId="74D9F16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5.6</w:t>
            </w:r>
          </w:p>
        </w:tc>
        <w:tc>
          <w:tcPr>
            <w:tcW w:w="435" w:type="dxa"/>
            <w:tcBorders>
              <w:tl2br w:val="nil"/>
              <w:tr2bl w:val="nil"/>
            </w:tcBorders>
            <w:shd w:val="clear" w:color="auto" w:fill="FFFFFF"/>
            <w:tcMar>
              <w:top w:w="0" w:type="dxa"/>
              <w:left w:w="0" w:type="dxa"/>
              <w:bottom w:w="0" w:type="dxa"/>
              <w:right w:w="0" w:type="dxa"/>
            </w:tcMar>
            <w:vAlign w:val="center"/>
          </w:tcPr>
          <w:p w14:paraId="7FEB55B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12.3</w:t>
            </w:r>
          </w:p>
        </w:tc>
        <w:tc>
          <w:tcPr>
            <w:tcW w:w="483" w:type="dxa"/>
            <w:tcBorders>
              <w:tl2br w:val="nil"/>
              <w:tr2bl w:val="nil"/>
            </w:tcBorders>
            <w:shd w:val="clear" w:color="auto" w:fill="FFFFFF"/>
            <w:tcMar>
              <w:top w:w="0" w:type="dxa"/>
              <w:left w:w="0" w:type="dxa"/>
              <w:bottom w:w="0" w:type="dxa"/>
              <w:right w:w="0" w:type="dxa"/>
            </w:tcMar>
            <w:vAlign w:val="center"/>
          </w:tcPr>
          <w:p w14:paraId="345B2AE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18.1</w:t>
            </w:r>
          </w:p>
        </w:tc>
        <w:tc>
          <w:tcPr>
            <w:tcW w:w="413" w:type="dxa"/>
            <w:tcBorders>
              <w:tl2br w:val="nil"/>
              <w:tr2bl w:val="nil"/>
            </w:tcBorders>
            <w:shd w:val="clear" w:color="auto" w:fill="FFFFFF"/>
            <w:tcMar>
              <w:top w:w="0" w:type="dxa"/>
              <w:left w:w="0" w:type="dxa"/>
              <w:bottom w:w="0" w:type="dxa"/>
              <w:right w:w="0" w:type="dxa"/>
            </w:tcMar>
            <w:vAlign w:val="center"/>
          </w:tcPr>
          <w:p w14:paraId="0535FD6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72.6</w:t>
            </w:r>
          </w:p>
        </w:tc>
        <w:tc>
          <w:tcPr>
            <w:tcW w:w="465" w:type="dxa"/>
            <w:tcBorders>
              <w:tl2br w:val="nil"/>
              <w:tr2bl w:val="nil"/>
            </w:tcBorders>
            <w:shd w:val="clear" w:color="auto" w:fill="FFFFFF"/>
            <w:tcMar>
              <w:top w:w="0" w:type="dxa"/>
              <w:left w:w="0" w:type="dxa"/>
              <w:bottom w:w="0" w:type="dxa"/>
              <w:right w:w="0" w:type="dxa"/>
            </w:tcMar>
            <w:vAlign w:val="center"/>
          </w:tcPr>
          <w:p w14:paraId="395CCF1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72.6</w:t>
            </w:r>
          </w:p>
        </w:tc>
        <w:tc>
          <w:tcPr>
            <w:tcW w:w="487" w:type="dxa"/>
            <w:tcBorders>
              <w:tl2br w:val="nil"/>
              <w:tr2bl w:val="nil"/>
            </w:tcBorders>
            <w:shd w:val="clear" w:color="auto" w:fill="FFFFFF"/>
            <w:tcMar>
              <w:top w:w="0" w:type="dxa"/>
              <w:left w:w="0" w:type="dxa"/>
              <w:bottom w:w="0" w:type="dxa"/>
              <w:right w:w="0" w:type="dxa"/>
            </w:tcMar>
            <w:vAlign w:val="center"/>
          </w:tcPr>
          <w:p w14:paraId="4A3D7DD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72.6</w:t>
            </w:r>
          </w:p>
        </w:tc>
        <w:tc>
          <w:tcPr>
            <w:tcW w:w="491" w:type="dxa"/>
            <w:tcBorders>
              <w:tl2br w:val="nil"/>
              <w:tr2bl w:val="nil"/>
            </w:tcBorders>
            <w:shd w:val="clear" w:color="auto" w:fill="FFFFFF"/>
            <w:tcMar>
              <w:top w:w="0" w:type="dxa"/>
              <w:left w:w="0" w:type="dxa"/>
              <w:bottom w:w="0" w:type="dxa"/>
              <w:right w:w="0" w:type="dxa"/>
            </w:tcMar>
            <w:vAlign w:val="center"/>
          </w:tcPr>
          <w:p w14:paraId="41520AE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72.6</w:t>
            </w:r>
          </w:p>
        </w:tc>
        <w:tc>
          <w:tcPr>
            <w:tcW w:w="480" w:type="dxa"/>
            <w:tcBorders>
              <w:tl2br w:val="nil"/>
              <w:tr2bl w:val="nil"/>
            </w:tcBorders>
            <w:shd w:val="clear" w:color="auto" w:fill="FFFFFF"/>
            <w:tcMar>
              <w:top w:w="0" w:type="dxa"/>
              <w:left w:w="0" w:type="dxa"/>
              <w:bottom w:w="0" w:type="dxa"/>
              <w:right w:w="0" w:type="dxa"/>
            </w:tcMar>
            <w:vAlign w:val="center"/>
          </w:tcPr>
          <w:p w14:paraId="6A2C62B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4EBB947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5429AF7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7BF88F4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7A077BD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4F6B77C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46.6</w:t>
            </w:r>
          </w:p>
        </w:tc>
        <w:tc>
          <w:tcPr>
            <w:tcW w:w="472" w:type="dxa"/>
            <w:tcBorders>
              <w:tl2br w:val="nil"/>
              <w:tr2bl w:val="nil"/>
            </w:tcBorders>
            <w:shd w:val="clear" w:color="auto" w:fill="FFFFFF"/>
            <w:tcMar>
              <w:top w:w="0" w:type="dxa"/>
              <w:left w:w="0" w:type="dxa"/>
              <w:bottom w:w="0" w:type="dxa"/>
              <w:right w:w="0" w:type="dxa"/>
            </w:tcMar>
            <w:vAlign w:val="center"/>
          </w:tcPr>
          <w:p w14:paraId="041C328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46.6</w:t>
            </w:r>
          </w:p>
        </w:tc>
        <w:tc>
          <w:tcPr>
            <w:tcW w:w="450" w:type="dxa"/>
            <w:tcBorders>
              <w:tl2br w:val="nil"/>
              <w:tr2bl w:val="nil"/>
            </w:tcBorders>
            <w:shd w:val="clear" w:color="auto" w:fill="FFFFFF"/>
            <w:tcMar>
              <w:top w:w="0" w:type="dxa"/>
              <w:left w:w="0" w:type="dxa"/>
              <w:bottom w:w="0" w:type="dxa"/>
              <w:right w:w="0" w:type="dxa"/>
            </w:tcMar>
            <w:vAlign w:val="center"/>
          </w:tcPr>
          <w:p w14:paraId="19ADAAE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46.6</w:t>
            </w:r>
          </w:p>
        </w:tc>
        <w:tc>
          <w:tcPr>
            <w:tcW w:w="450" w:type="dxa"/>
            <w:tcBorders>
              <w:tl2br w:val="nil"/>
              <w:tr2bl w:val="nil"/>
            </w:tcBorders>
            <w:shd w:val="clear" w:color="auto" w:fill="FFFFFF"/>
            <w:tcMar>
              <w:top w:w="0" w:type="dxa"/>
              <w:left w:w="0" w:type="dxa"/>
              <w:bottom w:w="0" w:type="dxa"/>
              <w:right w:w="0" w:type="dxa"/>
            </w:tcMar>
            <w:vAlign w:val="center"/>
          </w:tcPr>
          <w:p w14:paraId="24B064E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46.6</w:t>
            </w:r>
          </w:p>
        </w:tc>
        <w:tc>
          <w:tcPr>
            <w:tcW w:w="530" w:type="dxa"/>
            <w:tcBorders>
              <w:tl2br w:val="nil"/>
              <w:tr2bl w:val="nil"/>
            </w:tcBorders>
            <w:shd w:val="clear" w:color="auto" w:fill="FFFFFF"/>
            <w:tcMar>
              <w:top w:w="0" w:type="dxa"/>
              <w:left w:w="0" w:type="dxa"/>
              <w:bottom w:w="0" w:type="dxa"/>
              <w:right w:w="0" w:type="dxa"/>
            </w:tcMar>
            <w:vAlign w:val="center"/>
          </w:tcPr>
          <w:p w14:paraId="1B0321A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078C4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8" w:hRule="atLeast"/>
        </w:trPr>
        <w:tc>
          <w:tcPr>
            <w:tcW w:w="415" w:type="dxa"/>
            <w:tcBorders>
              <w:tl2br w:val="nil"/>
              <w:tr2bl w:val="nil"/>
            </w:tcBorders>
            <w:shd w:val="clear" w:color="auto" w:fill="FFFFFF"/>
            <w:tcMar>
              <w:top w:w="0" w:type="dxa"/>
              <w:left w:w="0" w:type="dxa"/>
              <w:bottom w:w="0" w:type="dxa"/>
              <w:right w:w="0" w:type="dxa"/>
            </w:tcMar>
            <w:vAlign w:val="center"/>
          </w:tcPr>
          <w:p w14:paraId="2875230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20</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2124FAD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0AFA213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压榨机2台叠加</w:t>
            </w:r>
          </w:p>
        </w:tc>
        <w:tc>
          <w:tcPr>
            <w:tcW w:w="405" w:type="dxa"/>
            <w:tcBorders>
              <w:tl2br w:val="nil"/>
              <w:tr2bl w:val="nil"/>
            </w:tcBorders>
            <w:shd w:val="clear" w:color="auto" w:fill="FFFFFF"/>
            <w:tcMar>
              <w:top w:w="0" w:type="dxa"/>
              <w:left w:w="0" w:type="dxa"/>
              <w:bottom w:w="0" w:type="dxa"/>
              <w:right w:w="0" w:type="dxa"/>
            </w:tcMar>
            <w:vAlign w:val="center"/>
          </w:tcPr>
          <w:p w14:paraId="5209132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7EB913E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78</w:t>
            </w:r>
          </w:p>
        </w:tc>
        <w:tc>
          <w:tcPr>
            <w:tcW w:w="1878" w:type="dxa"/>
            <w:tcBorders>
              <w:tl2br w:val="nil"/>
              <w:tr2bl w:val="nil"/>
            </w:tcBorders>
            <w:shd w:val="clear" w:color="auto" w:fill="FFFFFF"/>
            <w:tcMar>
              <w:top w:w="0" w:type="dxa"/>
              <w:left w:w="0" w:type="dxa"/>
              <w:bottom w:w="0" w:type="dxa"/>
              <w:right w:w="0" w:type="dxa"/>
            </w:tcMar>
            <w:vAlign w:val="center"/>
          </w:tcPr>
          <w:p w14:paraId="6038B76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w:t>
            </w:r>
          </w:p>
        </w:tc>
        <w:tc>
          <w:tcPr>
            <w:tcW w:w="555" w:type="dxa"/>
            <w:tcBorders>
              <w:tl2br w:val="nil"/>
              <w:tr2bl w:val="nil"/>
            </w:tcBorders>
            <w:shd w:val="clear" w:color="auto" w:fill="FFFFFF"/>
            <w:tcMar>
              <w:top w:w="0" w:type="dxa"/>
              <w:left w:w="0" w:type="dxa"/>
              <w:bottom w:w="0" w:type="dxa"/>
              <w:right w:w="0" w:type="dxa"/>
            </w:tcMar>
            <w:vAlign w:val="center"/>
          </w:tcPr>
          <w:p w14:paraId="570FF42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-7.8</w:t>
            </w:r>
          </w:p>
        </w:tc>
        <w:tc>
          <w:tcPr>
            <w:tcW w:w="525" w:type="dxa"/>
            <w:tcBorders>
              <w:tl2br w:val="nil"/>
              <w:tr2bl w:val="nil"/>
            </w:tcBorders>
            <w:shd w:val="clear" w:color="auto" w:fill="FFFFFF"/>
            <w:tcMar>
              <w:top w:w="0" w:type="dxa"/>
              <w:left w:w="0" w:type="dxa"/>
              <w:bottom w:w="0" w:type="dxa"/>
              <w:right w:w="0" w:type="dxa"/>
            </w:tcMar>
            <w:vAlign w:val="center"/>
          </w:tcPr>
          <w:p w14:paraId="10E4C71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-20.4</w:t>
            </w:r>
          </w:p>
        </w:tc>
        <w:tc>
          <w:tcPr>
            <w:tcW w:w="429" w:type="dxa"/>
            <w:tcBorders>
              <w:tl2br w:val="nil"/>
              <w:tr2bl w:val="nil"/>
            </w:tcBorders>
            <w:shd w:val="clear" w:color="auto" w:fill="FFFFFF"/>
            <w:tcMar>
              <w:top w:w="0" w:type="dxa"/>
              <w:left w:w="0" w:type="dxa"/>
              <w:bottom w:w="0" w:type="dxa"/>
              <w:right w:w="0" w:type="dxa"/>
            </w:tcMar>
            <w:vAlign w:val="center"/>
          </w:tcPr>
          <w:p w14:paraId="1A46660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1.2</w:t>
            </w:r>
          </w:p>
        </w:tc>
        <w:tc>
          <w:tcPr>
            <w:tcW w:w="435" w:type="dxa"/>
            <w:tcBorders>
              <w:tl2br w:val="nil"/>
              <w:tr2bl w:val="nil"/>
            </w:tcBorders>
            <w:shd w:val="clear" w:color="auto" w:fill="FFFFFF"/>
            <w:tcMar>
              <w:top w:w="0" w:type="dxa"/>
              <w:left w:w="0" w:type="dxa"/>
              <w:bottom w:w="0" w:type="dxa"/>
              <w:right w:w="0" w:type="dxa"/>
            </w:tcMar>
            <w:vAlign w:val="center"/>
          </w:tcPr>
          <w:p w14:paraId="5C63EC35">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5.8</w:t>
            </w:r>
          </w:p>
        </w:tc>
        <w:tc>
          <w:tcPr>
            <w:tcW w:w="480" w:type="dxa"/>
            <w:tcBorders>
              <w:tl2br w:val="nil"/>
              <w:tr2bl w:val="nil"/>
            </w:tcBorders>
            <w:shd w:val="clear" w:color="auto" w:fill="FFFFFF"/>
            <w:tcMar>
              <w:top w:w="0" w:type="dxa"/>
              <w:left w:w="0" w:type="dxa"/>
              <w:bottom w:w="0" w:type="dxa"/>
              <w:right w:w="0" w:type="dxa"/>
            </w:tcMar>
            <w:vAlign w:val="center"/>
          </w:tcPr>
          <w:p w14:paraId="5E8B25A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19.0</w:t>
            </w:r>
          </w:p>
        </w:tc>
        <w:tc>
          <w:tcPr>
            <w:tcW w:w="435" w:type="dxa"/>
            <w:tcBorders>
              <w:tl2br w:val="nil"/>
              <w:tr2bl w:val="nil"/>
            </w:tcBorders>
            <w:shd w:val="clear" w:color="auto" w:fill="FFFFFF"/>
            <w:tcMar>
              <w:top w:w="0" w:type="dxa"/>
              <w:left w:w="0" w:type="dxa"/>
              <w:bottom w:w="0" w:type="dxa"/>
              <w:right w:w="0" w:type="dxa"/>
            </w:tcMar>
            <w:vAlign w:val="center"/>
          </w:tcPr>
          <w:p w14:paraId="4337804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14.0</w:t>
            </w:r>
          </w:p>
        </w:tc>
        <w:tc>
          <w:tcPr>
            <w:tcW w:w="483" w:type="dxa"/>
            <w:tcBorders>
              <w:tl2br w:val="nil"/>
              <w:tr2bl w:val="nil"/>
            </w:tcBorders>
            <w:shd w:val="clear" w:color="auto" w:fill="FFFFFF"/>
            <w:tcMar>
              <w:top w:w="0" w:type="dxa"/>
              <w:left w:w="0" w:type="dxa"/>
              <w:bottom w:w="0" w:type="dxa"/>
              <w:right w:w="0" w:type="dxa"/>
            </w:tcMar>
            <w:vAlign w:val="center"/>
          </w:tcPr>
          <w:p w14:paraId="5ABC8B7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4.7</w:t>
            </w:r>
          </w:p>
        </w:tc>
        <w:tc>
          <w:tcPr>
            <w:tcW w:w="413" w:type="dxa"/>
            <w:tcBorders>
              <w:tl2br w:val="nil"/>
              <w:tr2bl w:val="nil"/>
            </w:tcBorders>
            <w:shd w:val="clear" w:color="auto" w:fill="FFFFFF"/>
            <w:tcMar>
              <w:top w:w="0" w:type="dxa"/>
              <w:left w:w="0" w:type="dxa"/>
              <w:bottom w:w="0" w:type="dxa"/>
              <w:right w:w="0" w:type="dxa"/>
            </w:tcMar>
            <w:vAlign w:val="center"/>
          </w:tcPr>
          <w:p w14:paraId="7D59A99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70.6</w:t>
            </w:r>
          </w:p>
        </w:tc>
        <w:tc>
          <w:tcPr>
            <w:tcW w:w="465" w:type="dxa"/>
            <w:tcBorders>
              <w:tl2br w:val="nil"/>
              <w:tr2bl w:val="nil"/>
            </w:tcBorders>
            <w:shd w:val="clear" w:color="auto" w:fill="FFFFFF"/>
            <w:tcMar>
              <w:top w:w="0" w:type="dxa"/>
              <w:left w:w="0" w:type="dxa"/>
              <w:bottom w:w="0" w:type="dxa"/>
              <w:right w:w="0" w:type="dxa"/>
            </w:tcMar>
            <w:vAlign w:val="center"/>
          </w:tcPr>
          <w:p w14:paraId="399152C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70.6</w:t>
            </w:r>
          </w:p>
        </w:tc>
        <w:tc>
          <w:tcPr>
            <w:tcW w:w="487" w:type="dxa"/>
            <w:tcBorders>
              <w:tl2br w:val="nil"/>
              <w:tr2bl w:val="nil"/>
            </w:tcBorders>
            <w:shd w:val="clear" w:color="auto" w:fill="FFFFFF"/>
            <w:tcMar>
              <w:top w:w="0" w:type="dxa"/>
              <w:left w:w="0" w:type="dxa"/>
              <w:bottom w:w="0" w:type="dxa"/>
              <w:right w:w="0" w:type="dxa"/>
            </w:tcMar>
            <w:vAlign w:val="center"/>
          </w:tcPr>
          <w:p w14:paraId="1EE1F9F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70.6</w:t>
            </w:r>
          </w:p>
        </w:tc>
        <w:tc>
          <w:tcPr>
            <w:tcW w:w="491" w:type="dxa"/>
            <w:tcBorders>
              <w:tl2br w:val="nil"/>
              <w:tr2bl w:val="nil"/>
            </w:tcBorders>
            <w:shd w:val="clear" w:color="auto" w:fill="FFFFFF"/>
            <w:tcMar>
              <w:top w:w="0" w:type="dxa"/>
              <w:left w:w="0" w:type="dxa"/>
              <w:bottom w:w="0" w:type="dxa"/>
              <w:right w:w="0" w:type="dxa"/>
            </w:tcMar>
            <w:vAlign w:val="center"/>
          </w:tcPr>
          <w:p w14:paraId="06068BC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70.6</w:t>
            </w:r>
          </w:p>
        </w:tc>
        <w:tc>
          <w:tcPr>
            <w:tcW w:w="480" w:type="dxa"/>
            <w:tcBorders>
              <w:tl2br w:val="nil"/>
              <w:tr2bl w:val="nil"/>
            </w:tcBorders>
            <w:shd w:val="clear" w:color="auto" w:fill="FFFFFF"/>
            <w:tcMar>
              <w:top w:w="0" w:type="dxa"/>
              <w:left w:w="0" w:type="dxa"/>
              <w:bottom w:w="0" w:type="dxa"/>
              <w:right w:w="0" w:type="dxa"/>
            </w:tcMar>
            <w:vAlign w:val="center"/>
          </w:tcPr>
          <w:p w14:paraId="2E0B8C1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4CE4973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1C9B22B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2D36458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0D105EA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3A9455A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44.6</w:t>
            </w:r>
          </w:p>
        </w:tc>
        <w:tc>
          <w:tcPr>
            <w:tcW w:w="472" w:type="dxa"/>
            <w:tcBorders>
              <w:tl2br w:val="nil"/>
              <w:tr2bl w:val="nil"/>
            </w:tcBorders>
            <w:shd w:val="clear" w:color="auto" w:fill="FFFFFF"/>
            <w:tcMar>
              <w:top w:w="0" w:type="dxa"/>
              <w:left w:w="0" w:type="dxa"/>
              <w:bottom w:w="0" w:type="dxa"/>
              <w:right w:w="0" w:type="dxa"/>
            </w:tcMar>
            <w:vAlign w:val="center"/>
          </w:tcPr>
          <w:p w14:paraId="1B25BB2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44.6</w:t>
            </w:r>
          </w:p>
        </w:tc>
        <w:tc>
          <w:tcPr>
            <w:tcW w:w="450" w:type="dxa"/>
            <w:tcBorders>
              <w:tl2br w:val="nil"/>
              <w:tr2bl w:val="nil"/>
            </w:tcBorders>
            <w:shd w:val="clear" w:color="auto" w:fill="FFFFFF"/>
            <w:tcMar>
              <w:top w:w="0" w:type="dxa"/>
              <w:left w:w="0" w:type="dxa"/>
              <w:bottom w:w="0" w:type="dxa"/>
              <w:right w:w="0" w:type="dxa"/>
            </w:tcMar>
            <w:vAlign w:val="center"/>
          </w:tcPr>
          <w:p w14:paraId="612A331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44.6</w:t>
            </w:r>
          </w:p>
        </w:tc>
        <w:tc>
          <w:tcPr>
            <w:tcW w:w="450" w:type="dxa"/>
            <w:tcBorders>
              <w:tl2br w:val="nil"/>
              <w:tr2bl w:val="nil"/>
            </w:tcBorders>
            <w:shd w:val="clear" w:color="auto" w:fill="FFFFFF"/>
            <w:tcMar>
              <w:top w:w="0" w:type="dxa"/>
              <w:left w:w="0" w:type="dxa"/>
              <w:bottom w:w="0" w:type="dxa"/>
              <w:right w:w="0" w:type="dxa"/>
            </w:tcMar>
            <w:vAlign w:val="center"/>
          </w:tcPr>
          <w:p w14:paraId="398E0E7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44.6</w:t>
            </w:r>
          </w:p>
        </w:tc>
        <w:tc>
          <w:tcPr>
            <w:tcW w:w="530" w:type="dxa"/>
            <w:tcBorders>
              <w:tl2br w:val="nil"/>
              <w:tr2bl w:val="nil"/>
            </w:tcBorders>
            <w:shd w:val="clear" w:color="auto" w:fill="FFFFFF"/>
            <w:tcMar>
              <w:top w:w="0" w:type="dxa"/>
              <w:left w:w="0" w:type="dxa"/>
              <w:bottom w:w="0" w:type="dxa"/>
              <w:right w:w="0" w:type="dxa"/>
            </w:tcMar>
            <w:vAlign w:val="center"/>
          </w:tcPr>
          <w:p w14:paraId="219B904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tr w14:paraId="20C84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3" w:hRule="atLeast"/>
        </w:trPr>
        <w:tc>
          <w:tcPr>
            <w:tcW w:w="415" w:type="dxa"/>
            <w:tcBorders>
              <w:tl2br w:val="nil"/>
              <w:tr2bl w:val="nil"/>
            </w:tcBorders>
            <w:shd w:val="clear" w:color="auto" w:fill="FFFFFF"/>
            <w:tcMar>
              <w:top w:w="0" w:type="dxa"/>
              <w:left w:w="0" w:type="dxa"/>
              <w:bottom w:w="0" w:type="dxa"/>
              <w:right w:w="0" w:type="dxa"/>
            </w:tcMar>
            <w:vAlign w:val="center"/>
          </w:tcPr>
          <w:p w14:paraId="7467A58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21</w:t>
            </w:r>
          </w:p>
        </w:tc>
        <w:tc>
          <w:tcPr>
            <w:tcW w:w="610" w:type="dxa"/>
            <w:vMerge w:val="continue"/>
            <w:tcBorders>
              <w:tl2br w:val="nil"/>
              <w:tr2bl w:val="nil"/>
            </w:tcBorders>
            <w:shd w:val="clear" w:color="auto" w:fill="FFFFFF"/>
            <w:tcMar>
              <w:top w:w="0" w:type="dxa"/>
              <w:left w:w="0" w:type="dxa"/>
              <w:bottom w:w="0" w:type="dxa"/>
              <w:right w:w="0" w:type="dxa"/>
            </w:tcMar>
            <w:vAlign w:val="center"/>
          </w:tcPr>
          <w:p w14:paraId="36ED6F1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1329" w:type="dxa"/>
            <w:tcBorders>
              <w:tl2br w:val="nil"/>
              <w:tr2bl w:val="nil"/>
            </w:tcBorders>
            <w:shd w:val="clear" w:color="auto" w:fill="FFFFFF"/>
            <w:tcMar>
              <w:top w:w="0" w:type="dxa"/>
              <w:left w:w="0" w:type="dxa"/>
              <w:bottom w:w="0" w:type="dxa"/>
              <w:right w:w="0" w:type="dxa"/>
            </w:tcMar>
            <w:vAlign w:val="center"/>
          </w:tcPr>
          <w:p w14:paraId="27E657A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压缩进料泵2台叠加</w:t>
            </w:r>
          </w:p>
        </w:tc>
        <w:tc>
          <w:tcPr>
            <w:tcW w:w="405" w:type="dxa"/>
            <w:tcBorders>
              <w:tl2br w:val="nil"/>
              <w:tr2bl w:val="nil"/>
            </w:tcBorders>
            <w:shd w:val="clear" w:color="auto" w:fill="FFFFFF"/>
            <w:tcMar>
              <w:top w:w="0" w:type="dxa"/>
              <w:left w:w="0" w:type="dxa"/>
              <w:bottom w:w="0" w:type="dxa"/>
              <w:right w:w="0" w:type="dxa"/>
            </w:tcMar>
            <w:vAlign w:val="center"/>
          </w:tcPr>
          <w:p w14:paraId="6D526ED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p>
        </w:tc>
        <w:tc>
          <w:tcPr>
            <w:tcW w:w="721" w:type="dxa"/>
            <w:tcBorders>
              <w:tl2br w:val="nil"/>
              <w:tr2bl w:val="nil"/>
            </w:tcBorders>
            <w:shd w:val="clear" w:color="auto" w:fill="FFFFFF"/>
            <w:tcMar>
              <w:top w:w="0" w:type="dxa"/>
              <w:left w:w="0" w:type="dxa"/>
              <w:bottom w:w="0" w:type="dxa"/>
              <w:right w:w="0" w:type="dxa"/>
            </w:tcMar>
            <w:vAlign w:val="center"/>
          </w:tcPr>
          <w:p w14:paraId="5FDF713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83</w:t>
            </w:r>
          </w:p>
        </w:tc>
        <w:tc>
          <w:tcPr>
            <w:tcW w:w="1878" w:type="dxa"/>
            <w:tcBorders>
              <w:tl2br w:val="nil"/>
              <w:tr2bl w:val="nil"/>
            </w:tcBorders>
            <w:shd w:val="clear" w:color="auto" w:fill="FFFFFF"/>
            <w:tcMar>
              <w:top w:w="0" w:type="dxa"/>
              <w:left w:w="0" w:type="dxa"/>
              <w:bottom w:w="0" w:type="dxa"/>
              <w:right w:w="0" w:type="dxa"/>
            </w:tcMar>
            <w:vAlign w:val="center"/>
          </w:tcPr>
          <w:p w14:paraId="56EDB97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基础减震</w:t>
            </w:r>
          </w:p>
        </w:tc>
        <w:tc>
          <w:tcPr>
            <w:tcW w:w="555" w:type="dxa"/>
            <w:tcBorders>
              <w:tl2br w:val="nil"/>
              <w:tr2bl w:val="nil"/>
            </w:tcBorders>
            <w:shd w:val="clear" w:color="auto" w:fill="FFFFFF"/>
            <w:tcMar>
              <w:top w:w="0" w:type="dxa"/>
              <w:left w:w="0" w:type="dxa"/>
              <w:bottom w:w="0" w:type="dxa"/>
              <w:right w:w="0" w:type="dxa"/>
            </w:tcMar>
            <w:vAlign w:val="center"/>
          </w:tcPr>
          <w:p w14:paraId="4DF4F08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-7.4</w:t>
            </w:r>
          </w:p>
        </w:tc>
        <w:tc>
          <w:tcPr>
            <w:tcW w:w="525" w:type="dxa"/>
            <w:tcBorders>
              <w:tl2br w:val="nil"/>
              <w:tr2bl w:val="nil"/>
            </w:tcBorders>
            <w:shd w:val="clear" w:color="auto" w:fill="FFFFFF"/>
            <w:tcMar>
              <w:top w:w="0" w:type="dxa"/>
              <w:left w:w="0" w:type="dxa"/>
              <w:bottom w:w="0" w:type="dxa"/>
              <w:right w:w="0" w:type="dxa"/>
            </w:tcMar>
            <w:vAlign w:val="center"/>
          </w:tcPr>
          <w:p w14:paraId="5C9F9C2E">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-32.4</w:t>
            </w:r>
          </w:p>
        </w:tc>
        <w:tc>
          <w:tcPr>
            <w:tcW w:w="429" w:type="dxa"/>
            <w:tcBorders>
              <w:tl2br w:val="nil"/>
              <w:tr2bl w:val="nil"/>
            </w:tcBorders>
            <w:shd w:val="clear" w:color="auto" w:fill="FFFFFF"/>
            <w:tcMar>
              <w:top w:w="0" w:type="dxa"/>
              <w:left w:w="0" w:type="dxa"/>
              <w:bottom w:w="0" w:type="dxa"/>
              <w:right w:w="0" w:type="dxa"/>
            </w:tcMar>
            <w:vAlign w:val="center"/>
          </w:tcPr>
          <w:p w14:paraId="00836BA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0.5</w:t>
            </w:r>
          </w:p>
        </w:tc>
        <w:tc>
          <w:tcPr>
            <w:tcW w:w="435" w:type="dxa"/>
            <w:tcBorders>
              <w:tl2br w:val="nil"/>
              <w:tr2bl w:val="nil"/>
            </w:tcBorders>
            <w:shd w:val="clear" w:color="auto" w:fill="FFFFFF"/>
            <w:tcMar>
              <w:top w:w="0" w:type="dxa"/>
              <w:left w:w="0" w:type="dxa"/>
              <w:bottom w:w="0" w:type="dxa"/>
              <w:right w:w="0" w:type="dxa"/>
            </w:tcMar>
            <w:vAlign w:val="center"/>
          </w:tcPr>
          <w:p w14:paraId="3E28E6D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5.4</w:t>
            </w:r>
          </w:p>
        </w:tc>
        <w:tc>
          <w:tcPr>
            <w:tcW w:w="480" w:type="dxa"/>
            <w:tcBorders>
              <w:tl2br w:val="nil"/>
              <w:tr2bl w:val="nil"/>
            </w:tcBorders>
            <w:shd w:val="clear" w:color="auto" w:fill="FFFFFF"/>
            <w:tcMar>
              <w:top w:w="0" w:type="dxa"/>
              <w:left w:w="0" w:type="dxa"/>
              <w:bottom w:w="0" w:type="dxa"/>
              <w:right w:w="0" w:type="dxa"/>
            </w:tcMar>
            <w:vAlign w:val="center"/>
          </w:tcPr>
          <w:p w14:paraId="2752EB4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7.0</w:t>
            </w:r>
          </w:p>
        </w:tc>
        <w:tc>
          <w:tcPr>
            <w:tcW w:w="435" w:type="dxa"/>
            <w:tcBorders>
              <w:tl2br w:val="nil"/>
              <w:tr2bl w:val="nil"/>
            </w:tcBorders>
            <w:shd w:val="clear" w:color="auto" w:fill="FFFFFF"/>
            <w:tcMar>
              <w:top w:w="0" w:type="dxa"/>
              <w:left w:w="0" w:type="dxa"/>
              <w:bottom w:w="0" w:type="dxa"/>
              <w:right w:w="0" w:type="dxa"/>
            </w:tcMar>
            <w:vAlign w:val="center"/>
          </w:tcPr>
          <w:p w14:paraId="34FC4DB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14.4</w:t>
            </w:r>
          </w:p>
        </w:tc>
        <w:tc>
          <w:tcPr>
            <w:tcW w:w="483" w:type="dxa"/>
            <w:tcBorders>
              <w:tl2br w:val="nil"/>
              <w:tr2bl w:val="nil"/>
            </w:tcBorders>
            <w:shd w:val="clear" w:color="auto" w:fill="FFFFFF"/>
            <w:tcMar>
              <w:top w:w="0" w:type="dxa"/>
              <w:left w:w="0" w:type="dxa"/>
              <w:bottom w:w="0" w:type="dxa"/>
              <w:right w:w="0" w:type="dxa"/>
            </w:tcMar>
            <w:vAlign w:val="center"/>
          </w:tcPr>
          <w:p w14:paraId="6528881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16.7</w:t>
            </w:r>
          </w:p>
        </w:tc>
        <w:tc>
          <w:tcPr>
            <w:tcW w:w="413" w:type="dxa"/>
            <w:tcBorders>
              <w:tl2br w:val="nil"/>
              <w:tr2bl w:val="nil"/>
            </w:tcBorders>
            <w:shd w:val="clear" w:color="auto" w:fill="FFFFFF"/>
            <w:tcMar>
              <w:top w:w="0" w:type="dxa"/>
              <w:left w:w="0" w:type="dxa"/>
              <w:bottom w:w="0" w:type="dxa"/>
              <w:right w:w="0" w:type="dxa"/>
            </w:tcMar>
            <w:vAlign w:val="center"/>
          </w:tcPr>
          <w:p w14:paraId="13ECF0E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75.6</w:t>
            </w:r>
          </w:p>
        </w:tc>
        <w:tc>
          <w:tcPr>
            <w:tcW w:w="465" w:type="dxa"/>
            <w:tcBorders>
              <w:tl2br w:val="nil"/>
              <w:tr2bl w:val="nil"/>
            </w:tcBorders>
            <w:shd w:val="clear" w:color="auto" w:fill="FFFFFF"/>
            <w:tcMar>
              <w:top w:w="0" w:type="dxa"/>
              <w:left w:w="0" w:type="dxa"/>
              <w:bottom w:w="0" w:type="dxa"/>
              <w:right w:w="0" w:type="dxa"/>
            </w:tcMar>
            <w:vAlign w:val="center"/>
          </w:tcPr>
          <w:p w14:paraId="1FEA750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75.6</w:t>
            </w:r>
          </w:p>
        </w:tc>
        <w:tc>
          <w:tcPr>
            <w:tcW w:w="487" w:type="dxa"/>
            <w:tcBorders>
              <w:tl2br w:val="nil"/>
              <w:tr2bl w:val="nil"/>
            </w:tcBorders>
            <w:shd w:val="clear" w:color="auto" w:fill="FFFFFF"/>
            <w:tcMar>
              <w:top w:w="0" w:type="dxa"/>
              <w:left w:w="0" w:type="dxa"/>
              <w:bottom w:w="0" w:type="dxa"/>
              <w:right w:w="0" w:type="dxa"/>
            </w:tcMar>
            <w:vAlign w:val="center"/>
          </w:tcPr>
          <w:p w14:paraId="768B55C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75.6</w:t>
            </w:r>
          </w:p>
        </w:tc>
        <w:tc>
          <w:tcPr>
            <w:tcW w:w="491" w:type="dxa"/>
            <w:tcBorders>
              <w:tl2br w:val="nil"/>
              <w:tr2bl w:val="nil"/>
            </w:tcBorders>
            <w:shd w:val="clear" w:color="auto" w:fill="FFFFFF"/>
            <w:tcMar>
              <w:top w:w="0" w:type="dxa"/>
              <w:left w:w="0" w:type="dxa"/>
              <w:bottom w:w="0" w:type="dxa"/>
              <w:right w:w="0" w:type="dxa"/>
            </w:tcMar>
            <w:vAlign w:val="center"/>
          </w:tcPr>
          <w:p w14:paraId="11D017EC">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75.6</w:t>
            </w:r>
          </w:p>
        </w:tc>
        <w:tc>
          <w:tcPr>
            <w:tcW w:w="480" w:type="dxa"/>
            <w:tcBorders>
              <w:tl2br w:val="nil"/>
              <w:tr2bl w:val="nil"/>
            </w:tcBorders>
            <w:shd w:val="clear" w:color="auto" w:fill="FFFFFF"/>
            <w:tcMar>
              <w:top w:w="0" w:type="dxa"/>
              <w:left w:w="0" w:type="dxa"/>
              <w:bottom w:w="0" w:type="dxa"/>
              <w:right w:w="0" w:type="dxa"/>
            </w:tcMar>
            <w:vAlign w:val="center"/>
          </w:tcPr>
          <w:p w14:paraId="671D602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24.0</w:t>
            </w:r>
          </w:p>
        </w:tc>
        <w:tc>
          <w:tcPr>
            <w:tcW w:w="375" w:type="dxa"/>
            <w:tcBorders>
              <w:tl2br w:val="nil"/>
              <w:tr2bl w:val="nil"/>
            </w:tcBorders>
            <w:shd w:val="clear" w:color="auto" w:fill="FFFFFF"/>
            <w:tcMar>
              <w:top w:w="0" w:type="dxa"/>
              <w:left w:w="0" w:type="dxa"/>
              <w:bottom w:w="0" w:type="dxa"/>
              <w:right w:w="0" w:type="dxa"/>
            </w:tcMar>
            <w:vAlign w:val="center"/>
          </w:tcPr>
          <w:p w14:paraId="5D24B18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5" w:type="dxa"/>
            <w:tcBorders>
              <w:tl2br w:val="nil"/>
              <w:tr2bl w:val="nil"/>
            </w:tcBorders>
            <w:shd w:val="clear" w:color="auto" w:fill="FFFFFF"/>
            <w:tcMar>
              <w:top w:w="0" w:type="dxa"/>
              <w:left w:w="0" w:type="dxa"/>
              <w:bottom w:w="0" w:type="dxa"/>
              <w:right w:w="0" w:type="dxa"/>
            </w:tcMar>
            <w:vAlign w:val="center"/>
          </w:tcPr>
          <w:p w14:paraId="2BFCD26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42" w:type="dxa"/>
            <w:tcBorders>
              <w:tl2br w:val="nil"/>
              <w:tr2bl w:val="nil"/>
            </w:tcBorders>
            <w:shd w:val="clear" w:color="auto" w:fill="FFFFFF"/>
            <w:tcMar>
              <w:top w:w="0" w:type="dxa"/>
              <w:left w:w="0" w:type="dxa"/>
              <w:bottom w:w="0" w:type="dxa"/>
              <w:right w:w="0" w:type="dxa"/>
            </w:tcMar>
            <w:vAlign w:val="center"/>
          </w:tcPr>
          <w:p w14:paraId="150A574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67" w:type="dxa"/>
            <w:tcBorders>
              <w:tl2br w:val="nil"/>
              <w:tr2bl w:val="nil"/>
            </w:tcBorders>
            <w:shd w:val="clear" w:color="auto" w:fill="FFFFFF"/>
            <w:tcMar>
              <w:top w:w="0" w:type="dxa"/>
              <w:left w:w="0" w:type="dxa"/>
              <w:bottom w:w="0" w:type="dxa"/>
              <w:right w:w="0" w:type="dxa"/>
            </w:tcMar>
            <w:vAlign w:val="center"/>
          </w:tcPr>
          <w:p w14:paraId="0F7FA78B">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26.0</w:t>
            </w:r>
          </w:p>
        </w:tc>
        <w:tc>
          <w:tcPr>
            <w:tcW w:w="488" w:type="dxa"/>
            <w:tcBorders>
              <w:tl2br w:val="nil"/>
              <w:tr2bl w:val="nil"/>
            </w:tcBorders>
            <w:shd w:val="clear" w:color="auto" w:fill="FFFFFF"/>
            <w:tcMar>
              <w:top w:w="0" w:type="dxa"/>
              <w:left w:w="0" w:type="dxa"/>
              <w:bottom w:w="0" w:type="dxa"/>
              <w:right w:w="0" w:type="dxa"/>
            </w:tcMar>
            <w:vAlign w:val="center"/>
          </w:tcPr>
          <w:p w14:paraId="7D5AFD4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49.6</w:t>
            </w:r>
          </w:p>
        </w:tc>
        <w:tc>
          <w:tcPr>
            <w:tcW w:w="472" w:type="dxa"/>
            <w:tcBorders>
              <w:tl2br w:val="nil"/>
              <w:tr2bl w:val="nil"/>
            </w:tcBorders>
            <w:shd w:val="clear" w:color="auto" w:fill="FFFFFF"/>
            <w:tcMar>
              <w:top w:w="0" w:type="dxa"/>
              <w:left w:w="0" w:type="dxa"/>
              <w:bottom w:w="0" w:type="dxa"/>
              <w:right w:w="0" w:type="dxa"/>
            </w:tcMar>
            <w:vAlign w:val="center"/>
          </w:tcPr>
          <w:p w14:paraId="6273407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49.6</w:t>
            </w:r>
          </w:p>
        </w:tc>
        <w:tc>
          <w:tcPr>
            <w:tcW w:w="450" w:type="dxa"/>
            <w:tcBorders>
              <w:tl2br w:val="nil"/>
              <w:tr2bl w:val="nil"/>
            </w:tcBorders>
            <w:shd w:val="clear" w:color="auto" w:fill="FFFFFF"/>
            <w:tcMar>
              <w:top w:w="0" w:type="dxa"/>
              <w:left w:w="0" w:type="dxa"/>
              <w:bottom w:w="0" w:type="dxa"/>
              <w:right w:w="0" w:type="dxa"/>
            </w:tcMar>
            <w:vAlign w:val="center"/>
          </w:tcPr>
          <w:p w14:paraId="4F3BEBA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49.6</w:t>
            </w:r>
          </w:p>
        </w:tc>
        <w:tc>
          <w:tcPr>
            <w:tcW w:w="450" w:type="dxa"/>
            <w:tcBorders>
              <w:tl2br w:val="nil"/>
              <w:tr2bl w:val="nil"/>
            </w:tcBorders>
            <w:shd w:val="clear" w:color="auto" w:fill="FFFFFF"/>
            <w:tcMar>
              <w:top w:w="0" w:type="dxa"/>
              <w:left w:w="0" w:type="dxa"/>
              <w:bottom w:w="0" w:type="dxa"/>
              <w:right w:w="0" w:type="dxa"/>
            </w:tcMar>
            <w:vAlign w:val="center"/>
          </w:tcPr>
          <w:p w14:paraId="4C3CAFB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49.6</w:t>
            </w:r>
          </w:p>
        </w:tc>
        <w:tc>
          <w:tcPr>
            <w:tcW w:w="530" w:type="dxa"/>
            <w:tcBorders>
              <w:tl2br w:val="nil"/>
              <w:tr2bl w:val="nil"/>
            </w:tcBorders>
            <w:shd w:val="clear" w:color="auto" w:fill="FFFFFF"/>
            <w:tcMar>
              <w:top w:w="0" w:type="dxa"/>
              <w:left w:w="0" w:type="dxa"/>
              <w:bottom w:w="0" w:type="dxa"/>
              <w:right w:w="0" w:type="dxa"/>
            </w:tcMar>
            <w:vAlign w:val="center"/>
          </w:tcPr>
          <w:p w14:paraId="7A9078F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2"/>
                <w:szCs w:val="22"/>
                <w:u w:val="wave"/>
                <w:lang w:eastAsia="en-US"/>
                <w14:textFill>
                  <w14:solidFill>
                    <w14:schemeClr w14:val="tx1"/>
                  </w14:solidFill>
                </w14:textFill>
              </w:rPr>
            </w:pPr>
            <w:r>
              <w:rPr>
                <w:rFonts w:hint="default" w:ascii="Times New Roman" w:hAnsi="Times New Roman" w:eastAsia="Arial" w:cs="Times New Roman"/>
                <w:color w:val="000000" w:themeColor="text1"/>
                <w:sz w:val="20"/>
                <w:szCs w:val="22"/>
                <w:u w:val="wave"/>
                <w:lang w:eastAsia="en-US"/>
                <w14:textFill>
                  <w14:solidFill>
                    <w14:schemeClr w14:val="tx1"/>
                  </w14:solidFill>
                </w14:textFill>
              </w:rPr>
              <w:t>1</w:t>
            </w:r>
          </w:p>
        </w:tc>
      </w:tr>
      <w:bookmarkEnd w:id="128"/>
    </w:tbl>
    <w:p w14:paraId="7AB261E3">
      <w:pPr>
        <w:autoSpaceDE/>
        <w:autoSpaceDN/>
        <w:adjustRightInd w:val="0"/>
        <w:snapToGrid w:val="0"/>
        <w:spacing w:line="240" w:lineRule="auto"/>
        <w:ind w:firstLine="0" w:firstLineChars="0"/>
        <w:jc w:val="both"/>
        <w:outlineLvl w:val="9"/>
        <w:rPr>
          <w:rFonts w:hint="default" w:cs="Times New Roman"/>
          <w:b/>
          <w:bCs/>
          <w:color w:val="000000" w:themeColor="text1"/>
          <w:sz w:val="24"/>
          <w:szCs w:val="24"/>
          <w:highlight w:val="none"/>
          <w:u w:val="none" w:color="auto"/>
          <w:lang w:val="en-US" w:eastAsia="zh-CN" w:bidi="zh-CN"/>
          <w14:textFill>
            <w14:solidFill>
              <w14:schemeClr w14:val="tx1"/>
            </w14:solidFill>
          </w14:textFill>
        </w:rPr>
      </w:pPr>
    </w:p>
    <w:p w14:paraId="631D7D39">
      <w:pPr>
        <w:autoSpaceDE/>
        <w:autoSpaceDN/>
        <w:adjustRightInd w:val="0"/>
        <w:snapToGrid w:val="0"/>
        <w:spacing w:line="240" w:lineRule="auto"/>
        <w:ind w:firstLine="0" w:firstLineChars="0"/>
        <w:jc w:val="center"/>
        <w:outlineLvl w:val="9"/>
        <w:rPr>
          <w:rFonts w:hint="default" w:ascii="Times New Roman" w:hAnsi="Times New Roman" w:eastAsia="宋体" w:cs="Times New Roman"/>
          <w:b/>
          <w:bCs/>
          <w:color w:val="000000" w:themeColor="text1"/>
          <w:sz w:val="24"/>
          <w:szCs w:val="24"/>
          <w:highlight w:val="none"/>
          <w:u w:val="none" w:color="auto"/>
          <w:lang w:val="en-US" w:eastAsia="zh-CN" w:bidi="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color="auto"/>
          <w:lang w:val="en-US" w:eastAsia="zh-CN" w:bidi="zh-CN"/>
          <w14:textFill>
            <w14:solidFill>
              <w14:schemeClr w14:val="tx1"/>
            </w14:solidFill>
          </w14:textFill>
        </w:rPr>
        <w:br w:type="page"/>
      </w:r>
    </w:p>
    <w:p w14:paraId="0A7F67A6">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themeColor="text1"/>
          <w:sz w:val="24"/>
          <w:szCs w:val="24"/>
          <w:highlight w:val="none"/>
          <w:u w:val="none" w:color="auto"/>
          <w:lang w:val="en-US" w:eastAsia="zh-CN" w:bidi="zh-CN"/>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4722081">
      <w:pPr>
        <w:autoSpaceDE/>
        <w:autoSpaceDN/>
        <w:adjustRightInd w:val="0"/>
        <w:snapToGrid w:val="0"/>
        <w:spacing w:line="360" w:lineRule="auto"/>
        <w:ind w:firstLine="0" w:firstLineChars="0"/>
        <w:jc w:val="both"/>
        <w:outlineLvl w:val="3"/>
        <w:rPr>
          <w:rFonts w:hint="default" w:ascii="Times New Roman" w:hAnsi="Times New Roman" w:eastAsia="宋体" w:cs="Times New Roman"/>
          <w:b/>
          <w:color w:val="000000" w:themeColor="text1"/>
          <w:sz w:val="24"/>
          <w:szCs w:val="24"/>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wave" w:color="auto"/>
          <w:lang w:val="en-US" w:eastAsia="zh-CN" w:bidi="zh-CN"/>
          <w14:textFill>
            <w14:solidFill>
              <w14:schemeClr w14:val="tx1"/>
            </w14:solidFill>
          </w14:textFill>
        </w:rPr>
        <w:t>5.2.4.5预测结果</w:t>
      </w:r>
    </w:p>
    <w:p w14:paraId="4889431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u w:val="wave" w:color="auto"/>
          <w:lang w:val="en-US" w:eastAsia="zh-CN" w:bidi="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wave" w:color="auto"/>
          <w:lang w:val="en-US" w:eastAsia="zh-CN" w:bidi="zh-CN"/>
          <w14:textFill>
            <w14:solidFill>
              <w14:schemeClr w14:val="tx1"/>
            </w14:solidFill>
          </w14:textFill>
        </w:rPr>
        <w:t>项目噪声预</w:t>
      </w:r>
      <w:r>
        <w:rPr>
          <w:rFonts w:hint="default" w:ascii="Times New Roman" w:hAnsi="Times New Roman" w:eastAsia="宋体" w:cs="Times New Roman"/>
          <w:b w:val="0"/>
          <w:bCs w:val="0"/>
          <w:color w:val="000000" w:themeColor="text1"/>
          <w:sz w:val="24"/>
          <w:szCs w:val="24"/>
          <w:highlight w:val="none"/>
          <w:u w:val="wave" w:color="auto"/>
          <w:lang w:val="en-US" w:eastAsia="zh-CN" w:bidi="zh-CN"/>
          <w14:textFill>
            <w14:solidFill>
              <w14:schemeClr w14:val="tx1"/>
            </w14:solidFill>
          </w14:textFill>
        </w:rPr>
        <w:t>测结果与达标分析见表</w:t>
      </w:r>
      <w:r>
        <w:rPr>
          <w:rFonts w:hint="default" w:ascii="Times New Roman" w:hAnsi="Times New Roman" w:eastAsia="宋体" w:cs="Times New Roman"/>
          <w:b w:val="0"/>
          <w:bCs w:val="0"/>
          <w:color w:val="000000" w:themeColor="text1"/>
          <w:kern w:val="0"/>
          <w:sz w:val="24"/>
          <w:szCs w:val="24"/>
          <w:highlight w:val="none"/>
          <w:u w:val="wave" w:color="auto"/>
          <w:lang w:val="en-US" w:eastAsia="zh-CN" w:bidi="zh-CN"/>
          <w14:textFill>
            <w14:solidFill>
              <w14:schemeClr w14:val="tx1"/>
            </w14:solidFill>
          </w14:textFill>
        </w:rPr>
        <w:t>5.2-</w:t>
      </w:r>
      <w:r>
        <w:rPr>
          <w:rFonts w:hint="default" w:ascii="Times New Roman" w:hAnsi="Times New Roman" w:cs="Times New Roman"/>
          <w:b w:val="0"/>
          <w:bCs w:val="0"/>
          <w:color w:val="000000" w:themeColor="text1"/>
          <w:kern w:val="0"/>
          <w:sz w:val="24"/>
          <w:szCs w:val="24"/>
          <w:highlight w:val="none"/>
          <w:u w:val="wave" w:color="auto"/>
          <w:lang w:val="en-US" w:eastAsia="zh-CN" w:bidi="zh-CN"/>
          <w14:textFill>
            <w14:solidFill>
              <w14:schemeClr w14:val="tx1"/>
            </w14:solidFill>
          </w14:textFill>
        </w:rPr>
        <w:t>23</w:t>
      </w:r>
      <w:r>
        <w:rPr>
          <w:rFonts w:hint="default" w:ascii="Times New Roman" w:hAnsi="Times New Roman" w:eastAsia="宋体" w:cs="Times New Roman"/>
          <w:b w:val="0"/>
          <w:bCs w:val="0"/>
          <w:color w:val="000000" w:themeColor="text1"/>
          <w:sz w:val="24"/>
          <w:szCs w:val="24"/>
          <w:highlight w:val="none"/>
          <w:u w:val="wave" w:color="auto"/>
          <w:lang w:val="en-US" w:eastAsia="zh-CN" w:bidi="zh-CN"/>
          <w14:textFill>
            <w14:solidFill>
              <w14:schemeClr w14:val="tx1"/>
            </w14:solidFill>
          </w14:textFill>
        </w:rPr>
        <w:t>，声环境保护目标噪声预测结果与达标分析见表</w:t>
      </w:r>
      <w:r>
        <w:rPr>
          <w:rFonts w:hint="default" w:ascii="Times New Roman" w:hAnsi="Times New Roman" w:eastAsia="宋体" w:cs="Times New Roman"/>
          <w:b w:val="0"/>
          <w:bCs w:val="0"/>
          <w:color w:val="000000" w:themeColor="text1"/>
          <w:kern w:val="0"/>
          <w:sz w:val="24"/>
          <w:szCs w:val="24"/>
          <w:highlight w:val="none"/>
          <w:u w:val="wave" w:color="auto"/>
          <w:lang w:val="en-US" w:eastAsia="zh-CN" w:bidi="zh-CN"/>
          <w14:textFill>
            <w14:solidFill>
              <w14:schemeClr w14:val="tx1"/>
            </w14:solidFill>
          </w14:textFill>
        </w:rPr>
        <w:t>5.2-</w:t>
      </w:r>
      <w:r>
        <w:rPr>
          <w:rFonts w:hint="default" w:ascii="Times New Roman" w:hAnsi="Times New Roman" w:cs="Times New Roman"/>
          <w:b w:val="0"/>
          <w:bCs w:val="0"/>
          <w:color w:val="000000" w:themeColor="text1"/>
          <w:kern w:val="0"/>
          <w:sz w:val="24"/>
          <w:szCs w:val="24"/>
          <w:highlight w:val="none"/>
          <w:u w:val="wave" w:color="auto"/>
          <w:lang w:val="en-US" w:eastAsia="zh-CN" w:bidi="zh-CN"/>
          <w14:textFill>
            <w14:solidFill>
              <w14:schemeClr w14:val="tx1"/>
            </w14:solidFill>
          </w14:textFill>
        </w:rPr>
        <w:t>24</w:t>
      </w:r>
      <w:r>
        <w:rPr>
          <w:rFonts w:hint="default" w:ascii="Times New Roman" w:hAnsi="Times New Roman" w:eastAsia="宋体" w:cs="Times New Roman"/>
          <w:b w:val="0"/>
          <w:bCs w:val="0"/>
          <w:color w:val="000000" w:themeColor="text1"/>
          <w:sz w:val="24"/>
          <w:szCs w:val="24"/>
          <w:highlight w:val="none"/>
          <w:u w:val="wave" w:color="auto"/>
          <w:lang w:val="en-US" w:eastAsia="zh-CN" w:bidi="zh-CN"/>
          <w14:textFill>
            <w14:solidFill>
              <w14:schemeClr w14:val="tx1"/>
            </w14:solidFill>
          </w14:textFill>
        </w:rPr>
        <w:t>：</w:t>
      </w:r>
    </w:p>
    <w:p w14:paraId="7A3D2CFE">
      <w:pPr>
        <w:adjustRightInd w:val="0"/>
        <w:snapToGrid w:val="0"/>
        <w:spacing w:line="240" w:lineRule="auto"/>
        <w:ind w:firstLine="0" w:firstLineChars="0"/>
        <w:jc w:val="center"/>
        <w:rPr>
          <w:rFonts w:hint="default" w:ascii="Times New Roman" w:hAnsi="Times New Roman" w:eastAsia="宋体" w:cs="Times New Roman"/>
          <w:b/>
          <w:color w:val="000000" w:themeColor="text1"/>
          <w:sz w:val="24"/>
          <w:szCs w:val="24"/>
          <w:highlight w:val="none"/>
          <w:u w:val="wave" w:color="auto"/>
          <w:lang w:val="zh-CN" w:eastAsia="zh-CN" w:bidi="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wave" w:color="auto"/>
          <w:lang w:val="zh-CN" w:eastAsia="zh-CN" w:bidi="zh-CN"/>
          <w14:textFill>
            <w14:solidFill>
              <w14:schemeClr w14:val="tx1"/>
            </w14:solidFill>
          </w14:textFill>
        </w:rPr>
        <w:t>表</w:t>
      </w:r>
      <w:r>
        <w:rPr>
          <w:rFonts w:hint="default" w:ascii="Times New Roman" w:hAnsi="Times New Roman" w:eastAsia="宋体" w:cs="Times New Roman"/>
          <w:b/>
          <w:color w:val="000000" w:themeColor="text1"/>
          <w:kern w:val="0"/>
          <w:sz w:val="24"/>
          <w:szCs w:val="24"/>
          <w:highlight w:val="none"/>
          <w:u w:val="wave" w:color="auto"/>
          <w:lang w:val="en-US" w:eastAsia="zh-CN" w:bidi="zh-CN"/>
          <w14:textFill>
            <w14:solidFill>
              <w14:schemeClr w14:val="tx1"/>
            </w14:solidFill>
          </w14:textFill>
        </w:rPr>
        <w:t>5.2-</w:t>
      </w:r>
      <w:r>
        <w:rPr>
          <w:rFonts w:hint="default" w:ascii="Times New Roman" w:hAnsi="Times New Roman" w:cs="Times New Roman"/>
          <w:b/>
          <w:color w:val="000000" w:themeColor="text1"/>
          <w:kern w:val="0"/>
          <w:sz w:val="24"/>
          <w:szCs w:val="24"/>
          <w:highlight w:val="none"/>
          <w:u w:val="wave" w:color="auto"/>
          <w:lang w:val="en-US" w:eastAsia="zh-CN" w:bidi="zh-CN"/>
          <w14:textFill>
            <w14:solidFill>
              <w14:schemeClr w14:val="tx1"/>
            </w14:solidFill>
          </w14:textFill>
        </w:rPr>
        <w:t>23</w:t>
      </w:r>
      <w:r>
        <w:rPr>
          <w:rFonts w:hint="default" w:ascii="Times New Roman" w:hAnsi="Times New Roman" w:eastAsia="宋体" w:cs="Times New Roman"/>
          <w:b/>
          <w:color w:val="000000" w:themeColor="text1"/>
          <w:kern w:val="0"/>
          <w:sz w:val="24"/>
          <w:szCs w:val="24"/>
          <w:highlight w:val="none"/>
          <w:u w:val="wave" w:color="auto"/>
          <w:lang w:val="en-US" w:eastAsia="zh-CN" w:bidi="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u w:val="wave" w:color="auto"/>
          <w:lang w:val="zh-CN" w:eastAsia="zh-CN" w:bidi="zh-CN"/>
          <w14:textFill>
            <w14:solidFill>
              <w14:schemeClr w14:val="tx1"/>
            </w14:solidFill>
          </w14:textFill>
        </w:rPr>
        <w:t>噪声预测结果与达标分析表</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855"/>
        <w:gridCol w:w="855"/>
        <w:gridCol w:w="855"/>
        <w:gridCol w:w="1057"/>
        <w:gridCol w:w="1509"/>
        <w:gridCol w:w="1510"/>
        <w:gridCol w:w="1265"/>
      </w:tblGrid>
      <w:tr w14:paraId="55CAC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exact"/>
          <w:jc w:val="center"/>
        </w:trPr>
        <w:tc>
          <w:tcPr>
            <w:tcW w:w="1172" w:type="dxa"/>
            <w:vMerge w:val="restart"/>
            <w:tcBorders>
              <w:tl2br w:val="nil"/>
              <w:tr2bl w:val="nil"/>
            </w:tcBorders>
            <w:vAlign w:val="center"/>
          </w:tcPr>
          <w:p w14:paraId="71C0E772">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color="auto"/>
                <w:lang w:eastAsia="en-US"/>
                <w14:textFill>
                  <w14:solidFill>
                    <w14:schemeClr w14:val="tx1"/>
                  </w14:solidFill>
                </w14:textFill>
              </w:rPr>
              <w:t>预测方位</w:t>
            </w:r>
          </w:p>
        </w:tc>
        <w:tc>
          <w:tcPr>
            <w:tcW w:w="2565" w:type="dxa"/>
            <w:gridSpan w:val="3"/>
            <w:tcBorders>
              <w:tl2br w:val="nil"/>
              <w:tr2bl w:val="nil"/>
            </w:tcBorders>
            <w:vAlign w:val="center"/>
          </w:tcPr>
          <w:p w14:paraId="25EAA60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r>
              <w:rPr>
                <w:rFonts w:hint="eastAsia" w:ascii="Times New Roman" w:hAnsi="Times New Roman" w:eastAsia="宋体" w:cs="Times New Roman"/>
                <w:b/>
                <w:color w:val="000000" w:themeColor="text1"/>
                <w:sz w:val="21"/>
                <w:szCs w:val="21"/>
                <w:u w:val="wave" w:color="auto"/>
                <w:lang w:val="en-US" w:eastAsia="zh-CN"/>
                <w14:textFill>
                  <w14:solidFill>
                    <w14:schemeClr w14:val="tx1"/>
                  </w14:solidFill>
                </w14:textFill>
              </w:rPr>
              <w:t>最大值点</w:t>
            </w:r>
            <w:r>
              <w:rPr>
                <w:rFonts w:hint="default" w:ascii="Times New Roman" w:hAnsi="Times New Roman" w:eastAsia="宋体" w:cs="Times New Roman"/>
                <w:b/>
                <w:color w:val="000000" w:themeColor="text1"/>
                <w:sz w:val="21"/>
                <w:szCs w:val="21"/>
                <w:u w:val="wave" w:color="auto"/>
                <w:lang w:eastAsia="en-US"/>
                <w14:textFill>
                  <w14:solidFill>
                    <w14:schemeClr w14:val="tx1"/>
                  </w14:solidFill>
                </w14:textFill>
              </w:rPr>
              <w:t>空间相对位置/m</w:t>
            </w:r>
          </w:p>
        </w:tc>
        <w:tc>
          <w:tcPr>
            <w:tcW w:w="1057" w:type="dxa"/>
            <w:vMerge w:val="restart"/>
            <w:tcBorders>
              <w:tl2br w:val="nil"/>
              <w:tr2bl w:val="nil"/>
            </w:tcBorders>
            <w:vAlign w:val="center"/>
          </w:tcPr>
          <w:p w14:paraId="6AB5309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color="auto"/>
                <w:lang w:eastAsia="en-US"/>
                <w14:textFill>
                  <w14:solidFill>
                    <w14:schemeClr w14:val="tx1"/>
                  </w14:solidFill>
                </w14:textFill>
              </w:rPr>
              <w:t>时段</w:t>
            </w:r>
          </w:p>
        </w:tc>
        <w:tc>
          <w:tcPr>
            <w:tcW w:w="1509" w:type="dxa"/>
            <w:vMerge w:val="restart"/>
            <w:tcBorders>
              <w:tl2br w:val="nil"/>
              <w:tr2bl w:val="nil"/>
            </w:tcBorders>
            <w:vAlign w:val="center"/>
          </w:tcPr>
          <w:p w14:paraId="323B51A1">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r>
              <w:rPr>
                <w:rFonts w:hint="eastAsia" w:ascii="Times New Roman" w:hAnsi="Times New Roman" w:eastAsia="宋体" w:cs="Times New Roman"/>
                <w:b/>
                <w:color w:val="000000" w:themeColor="text1"/>
                <w:sz w:val="21"/>
                <w:szCs w:val="21"/>
                <w:u w:val="wave" w:color="auto"/>
                <w:lang w:eastAsia="en-US"/>
                <w14:textFill>
                  <w14:solidFill>
                    <w14:schemeClr w14:val="tx1"/>
                  </w14:solidFill>
                </w14:textFill>
              </w:rPr>
              <w:t>贡献值</w:t>
            </w:r>
            <w:r>
              <w:rPr>
                <w:rFonts w:hint="default" w:ascii="Times New Roman" w:hAnsi="Times New Roman" w:eastAsia="宋体" w:cs="Times New Roman"/>
                <w:b/>
                <w:color w:val="000000" w:themeColor="text1"/>
                <w:sz w:val="21"/>
                <w:szCs w:val="21"/>
                <w:u w:val="wave" w:color="auto"/>
                <w:lang w:eastAsia="en-US"/>
                <w14:textFill>
                  <w14:solidFill>
                    <w14:schemeClr w14:val="tx1"/>
                  </w14:solidFill>
                </w14:textFill>
              </w:rPr>
              <w:t>（dB(A)）</w:t>
            </w:r>
          </w:p>
        </w:tc>
        <w:tc>
          <w:tcPr>
            <w:tcW w:w="1510" w:type="dxa"/>
            <w:vMerge w:val="restart"/>
            <w:tcBorders>
              <w:tl2br w:val="nil"/>
              <w:tr2bl w:val="nil"/>
            </w:tcBorders>
            <w:vAlign w:val="center"/>
          </w:tcPr>
          <w:p w14:paraId="3672CEA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color="auto"/>
                <w:lang w:eastAsia="en-US"/>
                <w14:textFill>
                  <w14:solidFill>
                    <w14:schemeClr w14:val="tx1"/>
                  </w14:solidFill>
                </w14:textFill>
              </w:rPr>
              <w:t>标准限值（dB(A)）</w:t>
            </w:r>
          </w:p>
        </w:tc>
        <w:tc>
          <w:tcPr>
            <w:tcW w:w="1265" w:type="dxa"/>
            <w:vMerge w:val="restart"/>
            <w:tcBorders>
              <w:tl2br w:val="nil"/>
              <w:tr2bl w:val="nil"/>
            </w:tcBorders>
            <w:vAlign w:val="center"/>
          </w:tcPr>
          <w:p w14:paraId="57A93CD4">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r>
              <w:rPr>
                <w:rFonts w:hint="default" w:ascii="Times New Roman" w:hAnsi="Times New Roman" w:eastAsia="宋体" w:cs="Times New Roman"/>
                <w:b/>
                <w:color w:val="000000" w:themeColor="text1"/>
                <w:sz w:val="21"/>
                <w:szCs w:val="21"/>
                <w:u w:val="wave" w:color="auto"/>
                <w:lang w:eastAsia="en-US"/>
                <w14:textFill>
                  <w14:solidFill>
                    <w14:schemeClr w14:val="tx1"/>
                  </w14:solidFill>
                </w14:textFill>
              </w:rPr>
              <w:t>达标情况</w:t>
            </w:r>
          </w:p>
        </w:tc>
      </w:tr>
      <w:tr w14:paraId="5BC58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72" w:type="dxa"/>
            <w:vMerge w:val="continue"/>
            <w:tcBorders>
              <w:tl2br w:val="nil"/>
              <w:tr2bl w:val="nil"/>
            </w:tcBorders>
            <w:shd w:val="clear" w:color="auto" w:fill="FFFFFF"/>
            <w:vAlign w:val="center"/>
          </w:tcPr>
          <w:p w14:paraId="54B52627">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p>
        </w:tc>
        <w:tc>
          <w:tcPr>
            <w:tcW w:w="855" w:type="dxa"/>
            <w:tcBorders>
              <w:tl2br w:val="nil"/>
              <w:tr2bl w:val="nil"/>
            </w:tcBorders>
            <w:shd w:val="clear" w:color="auto" w:fill="FFFFFF"/>
            <w:vAlign w:val="center"/>
          </w:tcPr>
          <w:p w14:paraId="70BC3700">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t>X</w:t>
            </w:r>
          </w:p>
        </w:tc>
        <w:tc>
          <w:tcPr>
            <w:tcW w:w="855" w:type="dxa"/>
            <w:tcBorders>
              <w:tl2br w:val="nil"/>
              <w:tr2bl w:val="nil"/>
            </w:tcBorders>
            <w:shd w:val="clear" w:color="auto" w:fill="FFFFFF"/>
            <w:vAlign w:val="center"/>
          </w:tcPr>
          <w:p w14:paraId="0A9C59F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t>Y</w:t>
            </w:r>
          </w:p>
        </w:tc>
        <w:tc>
          <w:tcPr>
            <w:tcW w:w="855" w:type="dxa"/>
            <w:tcBorders>
              <w:tl2br w:val="nil"/>
              <w:tr2bl w:val="nil"/>
            </w:tcBorders>
            <w:shd w:val="clear" w:color="auto" w:fill="FFFFFF"/>
            <w:vAlign w:val="center"/>
          </w:tcPr>
          <w:p w14:paraId="4F98C2D3">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t>Z</w:t>
            </w:r>
          </w:p>
        </w:tc>
        <w:tc>
          <w:tcPr>
            <w:tcW w:w="1057" w:type="dxa"/>
            <w:vMerge w:val="continue"/>
            <w:tcBorders>
              <w:tl2br w:val="nil"/>
              <w:tr2bl w:val="nil"/>
            </w:tcBorders>
            <w:shd w:val="clear" w:color="auto" w:fill="FFFFFF"/>
            <w:vAlign w:val="center"/>
          </w:tcPr>
          <w:p w14:paraId="0CF27B46">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p>
        </w:tc>
        <w:tc>
          <w:tcPr>
            <w:tcW w:w="1509" w:type="dxa"/>
            <w:vMerge w:val="continue"/>
            <w:tcBorders>
              <w:tl2br w:val="nil"/>
              <w:tr2bl w:val="nil"/>
            </w:tcBorders>
            <w:shd w:val="clear" w:color="auto" w:fill="FFFFFF"/>
            <w:vAlign w:val="center"/>
          </w:tcPr>
          <w:p w14:paraId="51EBAC59">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p>
        </w:tc>
        <w:tc>
          <w:tcPr>
            <w:tcW w:w="1510" w:type="dxa"/>
            <w:vMerge w:val="continue"/>
            <w:tcBorders>
              <w:tl2br w:val="nil"/>
              <w:tr2bl w:val="nil"/>
            </w:tcBorders>
            <w:shd w:val="clear" w:color="auto" w:fill="FFFFFF"/>
            <w:vAlign w:val="center"/>
          </w:tcPr>
          <w:p w14:paraId="0EB5BC48">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p>
        </w:tc>
        <w:tc>
          <w:tcPr>
            <w:tcW w:w="1265" w:type="dxa"/>
            <w:vMerge w:val="continue"/>
            <w:tcBorders>
              <w:tl2br w:val="nil"/>
              <w:tr2bl w:val="nil"/>
            </w:tcBorders>
            <w:shd w:val="clear" w:color="auto" w:fill="FFFFFF"/>
            <w:vAlign w:val="center"/>
          </w:tcPr>
          <w:p w14:paraId="5BB0260A">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u w:val="wave" w:color="auto"/>
                <w:lang w:eastAsia="en-US"/>
                <w14:textFill>
                  <w14:solidFill>
                    <w14:schemeClr w14:val="tx1"/>
                  </w14:solidFill>
                </w14:textFill>
              </w:rPr>
            </w:pPr>
          </w:p>
        </w:tc>
      </w:tr>
      <w:tr w14:paraId="0B490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5" w:hRule="exact"/>
          <w:jc w:val="center"/>
        </w:trPr>
        <w:tc>
          <w:tcPr>
            <w:tcW w:w="1172" w:type="dxa"/>
            <w:vMerge w:val="restart"/>
            <w:tcBorders>
              <w:tl2br w:val="nil"/>
              <w:tr2bl w:val="nil"/>
            </w:tcBorders>
            <w:shd w:val="clear" w:color="auto" w:fill="FFFFFF"/>
            <w:vAlign w:val="center"/>
          </w:tcPr>
          <w:p w14:paraId="2AB32CDE">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东侧</w:t>
            </w:r>
          </w:p>
        </w:tc>
        <w:tc>
          <w:tcPr>
            <w:tcW w:w="855" w:type="dxa"/>
            <w:tcBorders>
              <w:tl2br w:val="nil"/>
              <w:tr2bl w:val="nil"/>
            </w:tcBorders>
            <w:shd w:val="clear" w:color="auto" w:fill="FFFFFF"/>
            <w:vAlign w:val="center"/>
          </w:tcPr>
          <w:p w14:paraId="07098B3E">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b/>
                <w:color w:val="000000" w:themeColor="text1"/>
                <w:sz w:val="20"/>
                <w:szCs w:val="22"/>
                <w:u w:val="wave" w:color="auto"/>
                <w:lang w:eastAsia="en-US"/>
                <w14:textFill>
                  <w14:solidFill>
                    <w14:schemeClr w14:val="tx1"/>
                  </w14:solidFill>
                </w14:textFill>
              </w:rPr>
              <w:t>35.4</w:t>
            </w:r>
          </w:p>
        </w:tc>
        <w:tc>
          <w:tcPr>
            <w:tcW w:w="855" w:type="dxa"/>
            <w:tcBorders>
              <w:tl2br w:val="nil"/>
              <w:tr2bl w:val="nil"/>
            </w:tcBorders>
            <w:shd w:val="clear" w:color="auto" w:fill="FFFFFF"/>
            <w:vAlign w:val="center"/>
          </w:tcPr>
          <w:p w14:paraId="57CF837F">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b/>
                <w:color w:val="000000" w:themeColor="text1"/>
                <w:sz w:val="20"/>
                <w:szCs w:val="22"/>
                <w:u w:val="wave" w:color="auto"/>
                <w:lang w:eastAsia="en-US"/>
                <w14:textFill>
                  <w14:solidFill>
                    <w14:schemeClr w14:val="tx1"/>
                  </w14:solidFill>
                </w14:textFill>
              </w:rPr>
              <w:t>-12.2</w:t>
            </w:r>
          </w:p>
        </w:tc>
        <w:tc>
          <w:tcPr>
            <w:tcW w:w="855" w:type="dxa"/>
            <w:tcBorders>
              <w:tl2br w:val="nil"/>
              <w:tr2bl w:val="nil"/>
            </w:tcBorders>
            <w:shd w:val="clear" w:color="auto" w:fill="FFFFFF"/>
            <w:vAlign w:val="center"/>
          </w:tcPr>
          <w:p w14:paraId="59069022">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b/>
                <w:color w:val="000000" w:themeColor="text1"/>
                <w:sz w:val="20"/>
                <w:szCs w:val="22"/>
                <w:u w:val="wave" w:color="auto"/>
                <w:lang w:eastAsia="en-US"/>
                <w14:textFill>
                  <w14:solidFill>
                    <w14:schemeClr w14:val="tx1"/>
                  </w14:solidFill>
                </w14:textFill>
              </w:rPr>
              <w:t>1.2</w:t>
            </w:r>
          </w:p>
        </w:tc>
        <w:tc>
          <w:tcPr>
            <w:tcW w:w="1057" w:type="dxa"/>
            <w:tcBorders>
              <w:tl2br w:val="nil"/>
              <w:tr2bl w:val="nil"/>
            </w:tcBorders>
            <w:shd w:val="clear" w:color="auto" w:fill="FFFFFF"/>
            <w:vAlign w:val="center"/>
          </w:tcPr>
          <w:p w14:paraId="183EFB0E">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昼间</w:t>
            </w:r>
          </w:p>
        </w:tc>
        <w:tc>
          <w:tcPr>
            <w:tcW w:w="1509" w:type="dxa"/>
            <w:tcBorders>
              <w:tl2br w:val="nil"/>
              <w:tr2bl w:val="nil"/>
            </w:tcBorders>
            <w:shd w:val="clear" w:color="auto" w:fill="FFFFFF"/>
            <w:vAlign w:val="center"/>
          </w:tcPr>
          <w:p w14:paraId="3F980451">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b/>
                <w:color w:val="000000" w:themeColor="text1"/>
                <w:sz w:val="20"/>
                <w:szCs w:val="22"/>
                <w:u w:val="wave" w:color="auto"/>
                <w:lang w:eastAsia="en-US"/>
                <w14:textFill>
                  <w14:solidFill>
                    <w14:schemeClr w14:val="tx1"/>
                  </w14:solidFill>
                </w14:textFill>
              </w:rPr>
              <w:t>32</w:t>
            </w:r>
          </w:p>
        </w:tc>
        <w:tc>
          <w:tcPr>
            <w:tcW w:w="1510" w:type="dxa"/>
            <w:tcBorders>
              <w:tl2br w:val="nil"/>
              <w:tr2bl w:val="nil"/>
            </w:tcBorders>
            <w:shd w:val="clear" w:color="auto" w:fill="FFFFFF"/>
            <w:vAlign w:val="center"/>
          </w:tcPr>
          <w:p w14:paraId="494ADD65">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65</w:t>
            </w:r>
          </w:p>
        </w:tc>
        <w:tc>
          <w:tcPr>
            <w:tcW w:w="1265" w:type="dxa"/>
            <w:tcBorders>
              <w:tl2br w:val="nil"/>
              <w:tr2bl w:val="nil"/>
            </w:tcBorders>
            <w:shd w:val="clear" w:color="auto" w:fill="FFFFFF"/>
            <w:vAlign w:val="center"/>
          </w:tcPr>
          <w:p w14:paraId="7323E7E9">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达标</w:t>
            </w:r>
          </w:p>
        </w:tc>
      </w:tr>
      <w:tr w14:paraId="41502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5" w:hRule="exact"/>
          <w:jc w:val="center"/>
        </w:trPr>
        <w:tc>
          <w:tcPr>
            <w:tcW w:w="1172" w:type="dxa"/>
            <w:vMerge w:val="continue"/>
            <w:tcBorders>
              <w:tl2br w:val="nil"/>
              <w:tr2bl w:val="nil"/>
            </w:tcBorders>
            <w:shd w:val="clear" w:color="auto" w:fill="FFFFFF"/>
            <w:vAlign w:val="center"/>
          </w:tcPr>
          <w:p w14:paraId="6BD58D4E">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p>
        </w:tc>
        <w:tc>
          <w:tcPr>
            <w:tcW w:w="855" w:type="dxa"/>
            <w:tcBorders>
              <w:tl2br w:val="nil"/>
              <w:tr2bl w:val="nil"/>
            </w:tcBorders>
            <w:shd w:val="clear" w:color="auto" w:fill="FFFFFF"/>
            <w:vAlign w:val="center"/>
          </w:tcPr>
          <w:p w14:paraId="545D7700">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b/>
                <w:color w:val="000000" w:themeColor="text1"/>
                <w:sz w:val="20"/>
                <w:szCs w:val="22"/>
                <w:u w:val="wave" w:color="auto"/>
                <w:lang w:eastAsia="en-US"/>
                <w14:textFill>
                  <w14:solidFill>
                    <w14:schemeClr w14:val="tx1"/>
                  </w14:solidFill>
                </w14:textFill>
              </w:rPr>
              <w:t>35.4</w:t>
            </w:r>
          </w:p>
        </w:tc>
        <w:tc>
          <w:tcPr>
            <w:tcW w:w="855" w:type="dxa"/>
            <w:tcBorders>
              <w:tl2br w:val="nil"/>
              <w:tr2bl w:val="nil"/>
            </w:tcBorders>
            <w:shd w:val="clear" w:color="auto" w:fill="FFFFFF"/>
            <w:vAlign w:val="center"/>
          </w:tcPr>
          <w:p w14:paraId="6E36AB74">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b/>
                <w:color w:val="000000" w:themeColor="text1"/>
                <w:sz w:val="20"/>
                <w:szCs w:val="22"/>
                <w:u w:val="wave" w:color="auto"/>
                <w:lang w:eastAsia="en-US"/>
                <w14:textFill>
                  <w14:solidFill>
                    <w14:schemeClr w14:val="tx1"/>
                  </w14:solidFill>
                </w14:textFill>
              </w:rPr>
              <w:t>-12.2</w:t>
            </w:r>
          </w:p>
        </w:tc>
        <w:tc>
          <w:tcPr>
            <w:tcW w:w="855" w:type="dxa"/>
            <w:tcBorders>
              <w:tl2br w:val="nil"/>
              <w:tr2bl w:val="nil"/>
            </w:tcBorders>
            <w:shd w:val="clear" w:color="auto" w:fill="FFFFFF"/>
            <w:vAlign w:val="center"/>
          </w:tcPr>
          <w:p w14:paraId="6A8575F1">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b/>
                <w:color w:val="000000" w:themeColor="text1"/>
                <w:sz w:val="20"/>
                <w:szCs w:val="22"/>
                <w:u w:val="wave" w:color="auto"/>
                <w:lang w:eastAsia="en-US"/>
                <w14:textFill>
                  <w14:solidFill>
                    <w14:schemeClr w14:val="tx1"/>
                  </w14:solidFill>
                </w14:textFill>
              </w:rPr>
              <w:t>1.2</w:t>
            </w:r>
          </w:p>
        </w:tc>
        <w:tc>
          <w:tcPr>
            <w:tcW w:w="1057" w:type="dxa"/>
            <w:tcBorders>
              <w:tl2br w:val="nil"/>
              <w:tr2bl w:val="nil"/>
            </w:tcBorders>
            <w:shd w:val="clear" w:color="auto" w:fill="FFFFFF"/>
            <w:vAlign w:val="center"/>
          </w:tcPr>
          <w:p w14:paraId="3F3070B4">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夜间</w:t>
            </w:r>
          </w:p>
        </w:tc>
        <w:tc>
          <w:tcPr>
            <w:tcW w:w="1509" w:type="dxa"/>
            <w:tcBorders>
              <w:tl2br w:val="nil"/>
              <w:tr2bl w:val="nil"/>
            </w:tcBorders>
            <w:shd w:val="clear" w:color="auto" w:fill="FFFFFF"/>
            <w:vAlign w:val="center"/>
          </w:tcPr>
          <w:p w14:paraId="0948EAB9">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b/>
                <w:color w:val="000000" w:themeColor="text1"/>
                <w:sz w:val="20"/>
                <w:szCs w:val="22"/>
                <w:u w:val="wave" w:color="auto"/>
                <w:lang w:eastAsia="en-US"/>
                <w14:textFill>
                  <w14:solidFill>
                    <w14:schemeClr w14:val="tx1"/>
                  </w14:solidFill>
                </w14:textFill>
              </w:rPr>
              <w:t>32</w:t>
            </w:r>
          </w:p>
        </w:tc>
        <w:tc>
          <w:tcPr>
            <w:tcW w:w="1510" w:type="dxa"/>
            <w:tcBorders>
              <w:tl2br w:val="nil"/>
              <w:tr2bl w:val="nil"/>
            </w:tcBorders>
            <w:shd w:val="clear" w:color="auto" w:fill="FFFFFF"/>
            <w:vAlign w:val="center"/>
          </w:tcPr>
          <w:p w14:paraId="18B7AF9F">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55</w:t>
            </w:r>
          </w:p>
        </w:tc>
        <w:tc>
          <w:tcPr>
            <w:tcW w:w="1265" w:type="dxa"/>
            <w:tcBorders>
              <w:tl2br w:val="nil"/>
              <w:tr2bl w:val="nil"/>
            </w:tcBorders>
            <w:shd w:val="clear" w:color="auto" w:fill="FFFFFF"/>
            <w:vAlign w:val="center"/>
          </w:tcPr>
          <w:p w14:paraId="568DB6DF">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达标</w:t>
            </w:r>
          </w:p>
        </w:tc>
      </w:tr>
      <w:tr w14:paraId="5E127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5" w:hRule="exact"/>
          <w:jc w:val="center"/>
        </w:trPr>
        <w:tc>
          <w:tcPr>
            <w:tcW w:w="1172" w:type="dxa"/>
            <w:vMerge w:val="restart"/>
            <w:tcBorders>
              <w:tl2br w:val="nil"/>
              <w:tr2bl w:val="nil"/>
            </w:tcBorders>
            <w:shd w:val="clear" w:color="auto" w:fill="FFFFFF"/>
            <w:vAlign w:val="center"/>
          </w:tcPr>
          <w:p w14:paraId="6D358D21">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南侧</w:t>
            </w:r>
          </w:p>
        </w:tc>
        <w:tc>
          <w:tcPr>
            <w:tcW w:w="855" w:type="dxa"/>
            <w:tcBorders>
              <w:tl2br w:val="nil"/>
              <w:tr2bl w:val="nil"/>
            </w:tcBorders>
            <w:shd w:val="clear" w:color="auto" w:fill="FFFFFF"/>
            <w:vAlign w:val="center"/>
          </w:tcPr>
          <w:p w14:paraId="482BE5B5">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-3.3</w:t>
            </w:r>
          </w:p>
        </w:tc>
        <w:tc>
          <w:tcPr>
            <w:tcW w:w="855" w:type="dxa"/>
            <w:tcBorders>
              <w:tl2br w:val="nil"/>
              <w:tr2bl w:val="nil"/>
            </w:tcBorders>
            <w:shd w:val="clear" w:color="auto" w:fill="FFFFFF"/>
            <w:vAlign w:val="center"/>
          </w:tcPr>
          <w:p w14:paraId="39069723">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-65.8</w:t>
            </w:r>
          </w:p>
        </w:tc>
        <w:tc>
          <w:tcPr>
            <w:tcW w:w="855" w:type="dxa"/>
            <w:tcBorders>
              <w:tl2br w:val="nil"/>
              <w:tr2bl w:val="nil"/>
            </w:tcBorders>
            <w:shd w:val="clear" w:color="auto" w:fill="FFFFFF"/>
            <w:vAlign w:val="center"/>
          </w:tcPr>
          <w:p w14:paraId="5B4223A6">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1.2</w:t>
            </w:r>
          </w:p>
        </w:tc>
        <w:tc>
          <w:tcPr>
            <w:tcW w:w="1057" w:type="dxa"/>
            <w:tcBorders>
              <w:tl2br w:val="nil"/>
              <w:tr2bl w:val="nil"/>
            </w:tcBorders>
            <w:shd w:val="clear" w:color="auto" w:fill="FFFFFF"/>
            <w:vAlign w:val="center"/>
          </w:tcPr>
          <w:p w14:paraId="35A0B7B2">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昼间</w:t>
            </w:r>
          </w:p>
        </w:tc>
        <w:tc>
          <w:tcPr>
            <w:tcW w:w="1509" w:type="dxa"/>
            <w:tcBorders>
              <w:tl2br w:val="nil"/>
              <w:tr2bl w:val="nil"/>
            </w:tcBorders>
            <w:shd w:val="clear" w:color="auto" w:fill="FFFFFF"/>
            <w:vAlign w:val="center"/>
          </w:tcPr>
          <w:p w14:paraId="41896059">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26.5</w:t>
            </w:r>
          </w:p>
        </w:tc>
        <w:tc>
          <w:tcPr>
            <w:tcW w:w="1510" w:type="dxa"/>
            <w:tcBorders>
              <w:tl2br w:val="nil"/>
              <w:tr2bl w:val="nil"/>
            </w:tcBorders>
            <w:shd w:val="clear" w:color="auto" w:fill="FFFFFF"/>
            <w:vAlign w:val="center"/>
          </w:tcPr>
          <w:p w14:paraId="53B8C0B5">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65</w:t>
            </w:r>
          </w:p>
        </w:tc>
        <w:tc>
          <w:tcPr>
            <w:tcW w:w="1265" w:type="dxa"/>
            <w:tcBorders>
              <w:tl2br w:val="nil"/>
              <w:tr2bl w:val="nil"/>
            </w:tcBorders>
            <w:shd w:val="clear" w:color="auto" w:fill="FFFFFF"/>
            <w:vAlign w:val="center"/>
          </w:tcPr>
          <w:p w14:paraId="74BC8070">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达标</w:t>
            </w:r>
          </w:p>
        </w:tc>
      </w:tr>
      <w:tr w14:paraId="2E4DB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5" w:hRule="exact"/>
          <w:jc w:val="center"/>
        </w:trPr>
        <w:tc>
          <w:tcPr>
            <w:tcW w:w="1172" w:type="dxa"/>
            <w:vMerge w:val="continue"/>
            <w:tcBorders>
              <w:tl2br w:val="nil"/>
              <w:tr2bl w:val="nil"/>
            </w:tcBorders>
            <w:shd w:val="clear" w:color="auto" w:fill="FFFFFF"/>
            <w:vAlign w:val="center"/>
          </w:tcPr>
          <w:p w14:paraId="06827BC6">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p>
        </w:tc>
        <w:tc>
          <w:tcPr>
            <w:tcW w:w="855" w:type="dxa"/>
            <w:tcBorders>
              <w:tl2br w:val="nil"/>
              <w:tr2bl w:val="nil"/>
            </w:tcBorders>
            <w:shd w:val="clear" w:color="auto" w:fill="FFFFFF"/>
            <w:vAlign w:val="center"/>
          </w:tcPr>
          <w:p w14:paraId="0D9D00B9">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-3.3</w:t>
            </w:r>
          </w:p>
        </w:tc>
        <w:tc>
          <w:tcPr>
            <w:tcW w:w="855" w:type="dxa"/>
            <w:tcBorders>
              <w:tl2br w:val="nil"/>
              <w:tr2bl w:val="nil"/>
            </w:tcBorders>
            <w:shd w:val="clear" w:color="auto" w:fill="FFFFFF"/>
            <w:vAlign w:val="center"/>
          </w:tcPr>
          <w:p w14:paraId="4A5055BD">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-65.8</w:t>
            </w:r>
          </w:p>
        </w:tc>
        <w:tc>
          <w:tcPr>
            <w:tcW w:w="855" w:type="dxa"/>
            <w:tcBorders>
              <w:tl2br w:val="nil"/>
              <w:tr2bl w:val="nil"/>
            </w:tcBorders>
            <w:shd w:val="clear" w:color="auto" w:fill="FFFFFF"/>
            <w:vAlign w:val="center"/>
          </w:tcPr>
          <w:p w14:paraId="53BC8919">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1.2</w:t>
            </w:r>
          </w:p>
        </w:tc>
        <w:tc>
          <w:tcPr>
            <w:tcW w:w="1057" w:type="dxa"/>
            <w:tcBorders>
              <w:tl2br w:val="nil"/>
              <w:tr2bl w:val="nil"/>
            </w:tcBorders>
            <w:shd w:val="clear" w:color="auto" w:fill="FFFFFF"/>
            <w:vAlign w:val="center"/>
          </w:tcPr>
          <w:p w14:paraId="0B56DED3">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夜间</w:t>
            </w:r>
          </w:p>
        </w:tc>
        <w:tc>
          <w:tcPr>
            <w:tcW w:w="1509" w:type="dxa"/>
            <w:tcBorders>
              <w:tl2br w:val="nil"/>
              <w:tr2bl w:val="nil"/>
            </w:tcBorders>
            <w:shd w:val="clear" w:color="auto" w:fill="FFFFFF"/>
            <w:vAlign w:val="center"/>
          </w:tcPr>
          <w:p w14:paraId="77D0017B">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26.5</w:t>
            </w:r>
          </w:p>
        </w:tc>
        <w:tc>
          <w:tcPr>
            <w:tcW w:w="1510" w:type="dxa"/>
            <w:tcBorders>
              <w:tl2br w:val="nil"/>
              <w:tr2bl w:val="nil"/>
            </w:tcBorders>
            <w:shd w:val="clear" w:color="auto" w:fill="FFFFFF"/>
            <w:vAlign w:val="center"/>
          </w:tcPr>
          <w:p w14:paraId="49416DCA">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55</w:t>
            </w:r>
          </w:p>
        </w:tc>
        <w:tc>
          <w:tcPr>
            <w:tcW w:w="1265" w:type="dxa"/>
            <w:tcBorders>
              <w:tl2br w:val="nil"/>
              <w:tr2bl w:val="nil"/>
            </w:tcBorders>
            <w:shd w:val="clear" w:color="auto" w:fill="FFFFFF"/>
            <w:vAlign w:val="center"/>
          </w:tcPr>
          <w:p w14:paraId="58B9767E">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达标</w:t>
            </w:r>
          </w:p>
        </w:tc>
      </w:tr>
      <w:tr w14:paraId="0AA88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5" w:hRule="exact"/>
          <w:jc w:val="center"/>
        </w:trPr>
        <w:tc>
          <w:tcPr>
            <w:tcW w:w="1172" w:type="dxa"/>
            <w:vMerge w:val="restart"/>
            <w:tcBorders>
              <w:tl2br w:val="nil"/>
              <w:tr2bl w:val="nil"/>
            </w:tcBorders>
            <w:shd w:val="clear" w:color="auto" w:fill="FFFFFF"/>
            <w:vAlign w:val="center"/>
          </w:tcPr>
          <w:p w14:paraId="2D568558">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西侧</w:t>
            </w:r>
          </w:p>
        </w:tc>
        <w:tc>
          <w:tcPr>
            <w:tcW w:w="855" w:type="dxa"/>
            <w:tcBorders>
              <w:tl2br w:val="nil"/>
              <w:tr2bl w:val="nil"/>
            </w:tcBorders>
            <w:shd w:val="clear" w:color="auto" w:fill="FFFFFF"/>
            <w:vAlign w:val="center"/>
          </w:tcPr>
          <w:p w14:paraId="3D8F63E0">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-33.2</w:t>
            </w:r>
          </w:p>
        </w:tc>
        <w:tc>
          <w:tcPr>
            <w:tcW w:w="855" w:type="dxa"/>
            <w:tcBorders>
              <w:tl2br w:val="nil"/>
              <w:tr2bl w:val="nil"/>
            </w:tcBorders>
            <w:shd w:val="clear" w:color="auto" w:fill="FFFFFF"/>
            <w:vAlign w:val="center"/>
          </w:tcPr>
          <w:p w14:paraId="04835AFF">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-42.3</w:t>
            </w:r>
          </w:p>
        </w:tc>
        <w:tc>
          <w:tcPr>
            <w:tcW w:w="855" w:type="dxa"/>
            <w:tcBorders>
              <w:tl2br w:val="nil"/>
              <w:tr2bl w:val="nil"/>
            </w:tcBorders>
            <w:shd w:val="clear" w:color="auto" w:fill="FFFFFF"/>
            <w:vAlign w:val="center"/>
          </w:tcPr>
          <w:p w14:paraId="72DC1776">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1.2</w:t>
            </w:r>
          </w:p>
        </w:tc>
        <w:tc>
          <w:tcPr>
            <w:tcW w:w="1057" w:type="dxa"/>
            <w:tcBorders>
              <w:tl2br w:val="nil"/>
              <w:tr2bl w:val="nil"/>
            </w:tcBorders>
            <w:shd w:val="clear" w:color="auto" w:fill="FFFFFF"/>
            <w:vAlign w:val="center"/>
          </w:tcPr>
          <w:p w14:paraId="3A683F7F">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昼间</w:t>
            </w:r>
          </w:p>
        </w:tc>
        <w:tc>
          <w:tcPr>
            <w:tcW w:w="1509" w:type="dxa"/>
            <w:tcBorders>
              <w:tl2br w:val="nil"/>
              <w:tr2bl w:val="nil"/>
            </w:tcBorders>
            <w:shd w:val="clear" w:color="auto" w:fill="FFFFFF"/>
            <w:vAlign w:val="center"/>
          </w:tcPr>
          <w:p w14:paraId="47E4F2BC">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28.1</w:t>
            </w:r>
          </w:p>
        </w:tc>
        <w:tc>
          <w:tcPr>
            <w:tcW w:w="1510" w:type="dxa"/>
            <w:tcBorders>
              <w:tl2br w:val="nil"/>
              <w:tr2bl w:val="nil"/>
            </w:tcBorders>
            <w:shd w:val="clear" w:color="auto" w:fill="FFFFFF"/>
            <w:vAlign w:val="center"/>
          </w:tcPr>
          <w:p w14:paraId="42A1518F">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65</w:t>
            </w:r>
          </w:p>
        </w:tc>
        <w:tc>
          <w:tcPr>
            <w:tcW w:w="1265" w:type="dxa"/>
            <w:tcBorders>
              <w:tl2br w:val="nil"/>
              <w:tr2bl w:val="nil"/>
            </w:tcBorders>
            <w:shd w:val="clear" w:color="auto" w:fill="FFFFFF"/>
            <w:vAlign w:val="center"/>
          </w:tcPr>
          <w:p w14:paraId="2BA23A67">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达标</w:t>
            </w:r>
          </w:p>
        </w:tc>
      </w:tr>
      <w:tr w14:paraId="6F07C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5" w:hRule="exact"/>
          <w:jc w:val="center"/>
        </w:trPr>
        <w:tc>
          <w:tcPr>
            <w:tcW w:w="1172" w:type="dxa"/>
            <w:vMerge w:val="continue"/>
            <w:tcBorders>
              <w:tl2br w:val="nil"/>
              <w:tr2bl w:val="nil"/>
            </w:tcBorders>
            <w:shd w:val="clear" w:color="auto" w:fill="FFFFFF"/>
            <w:vAlign w:val="center"/>
          </w:tcPr>
          <w:p w14:paraId="5B3C68BF">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p>
        </w:tc>
        <w:tc>
          <w:tcPr>
            <w:tcW w:w="855" w:type="dxa"/>
            <w:tcBorders>
              <w:tl2br w:val="nil"/>
              <w:tr2bl w:val="nil"/>
            </w:tcBorders>
            <w:shd w:val="clear" w:color="auto" w:fill="FFFFFF"/>
            <w:vAlign w:val="center"/>
          </w:tcPr>
          <w:p w14:paraId="01B3AE4C">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-33.2</w:t>
            </w:r>
          </w:p>
        </w:tc>
        <w:tc>
          <w:tcPr>
            <w:tcW w:w="855" w:type="dxa"/>
            <w:tcBorders>
              <w:tl2br w:val="nil"/>
              <w:tr2bl w:val="nil"/>
            </w:tcBorders>
            <w:shd w:val="clear" w:color="auto" w:fill="FFFFFF"/>
            <w:vAlign w:val="center"/>
          </w:tcPr>
          <w:p w14:paraId="5EBC74DC">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-42.3</w:t>
            </w:r>
          </w:p>
        </w:tc>
        <w:tc>
          <w:tcPr>
            <w:tcW w:w="855" w:type="dxa"/>
            <w:tcBorders>
              <w:tl2br w:val="nil"/>
              <w:tr2bl w:val="nil"/>
            </w:tcBorders>
            <w:shd w:val="clear" w:color="auto" w:fill="FFFFFF"/>
            <w:vAlign w:val="center"/>
          </w:tcPr>
          <w:p w14:paraId="23AF5CC2">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1.2</w:t>
            </w:r>
          </w:p>
        </w:tc>
        <w:tc>
          <w:tcPr>
            <w:tcW w:w="1057" w:type="dxa"/>
            <w:tcBorders>
              <w:tl2br w:val="nil"/>
              <w:tr2bl w:val="nil"/>
            </w:tcBorders>
            <w:shd w:val="clear" w:color="auto" w:fill="FFFFFF"/>
            <w:vAlign w:val="center"/>
          </w:tcPr>
          <w:p w14:paraId="48C046C2">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夜间</w:t>
            </w:r>
          </w:p>
        </w:tc>
        <w:tc>
          <w:tcPr>
            <w:tcW w:w="1509" w:type="dxa"/>
            <w:tcBorders>
              <w:tl2br w:val="nil"/>
              <w:tr2bl w:val="nil"/>
            </w:tcBorders>
            <w:shd w:val="clear" w:color="auto" w:fill="FFFFFF"/>
            <w:vAlign w:val="center"/>
          </w:tcPr>
          <w:p w14:paraId="12EA8C69">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28.1</w:t>
            </w:r>
          </w:p>
        </w:tc>
        <w:tc>
          <w:tcPr>
            <w:tcW w:w="1510" w:type="dxa"/>
            <w:tcBorders>
              <w:tl2br w:val="nil"/>
              <w:tr2bl w:val="nil"/>
            </w:tcBorders>
            <w:shd w:val="clear" w:color="auto" w:fill="FFFFFF"/>
            <w:vAlign w:val="center"/>
          </w:tcPr>
          <w:p w14:paraId="6A2A4D3D">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55</w:t>
            </w:r>
          </w:p>
        </w:tc>
        <w:tc>
          <w:tcPr>
            <w:tcW w:w="1265" w:type="dxa"/>
            <w:tcBorders>
              <w:tl2br w:val="nil"/>
              <w:tr2bl w:val="nil"/>
            </w:tcBorders>
            <w:shd w:val="clear" w:color="auto" w:fill="FFFFFF"/>
            <w:vAlign w:val="center"/>
          </w:tcPr>
          <w:p w14:paraId="2F574DB8">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达标</w:t>
            </w:r>
          </w:p>
        </w:tc>
      </w:tr>
      <w:tr w14:paraId="2B040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5" w:hRule="exact"/>
          <w:jc w:val="center"/>
        </w:trPr>
        <w:tc>
          <w:tcPr>
            <w:tcW w:w="1172" w:type="dxa"/>
            <w:vMerge w:val="restart"/>
            <w:tcBorders>
              <w:tl2br w:val="nil"/>
              <w:tr2bl w:val="nil"/>
            </w:tcBorders>
            <w:shd w:val="clear" w:color="auto" w:fill="FFFFFF"/>
            <w:vAlign w:val="center"/>
          </w:tcPr>
          <w:p w14:paraId="3C6D2E2E">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北侧</w:t>
            </w:r>
          </w:p>
        </w:tc>
        <w:tc>
          <w:tcPr>
            <w:tcW w:w="855" w:type="dxa"/>
            <w:tcBorders>
              <w:tl2br w:val="nil"/>
              <w:tr2bl w:val="nil"/>
            </w:tcBorders>
            <w:shd w:val="clear" w:color="auto" w:fill="FFFFFF"/>
            <w:vAlign w:val="center"/>
          </w:tcPr>
          <w:p w14:paraId="3FF9903B">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32.2</w:t>
            </w:r>
          </w:p>
        </w:tc>
        <w:tc>
          <w:tcPr>
            <w:tcW w:w="855" w:type="dxa"/>
            <w:tcBorders>
              <w:tl2br w:val="nil"/>
              <w:tr2bl w:val="nil"/>
            </w:tcBorders>
            <w:shd w:val="clear" w:color="auto" w:fill="FFFFFF"/>
            <w:vAlign w:val="center"/>
          </w:tcPr>
          <w:p w14:paraId="2A9045E2">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46.6</w:t>
            </w:r>
          </w:p>
        </w:tc>
        <w:tc>
          <w:tcPr>
            <w:tcW w:w="855" w:type="dxa"/>
            <w:tcBorders>
              <w:tl2br w:val="nil"/>
              <w:tr2bl w:val="nil"/>
            </w:tcBorders>
            <w:shd w:val="clear" w:color="auto" w:fill="FFFFFF"/>
            <w:vAlign w:val="center"/>
          </w:tcPr>
          <w:p w14:paraId="595DB10C">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1.2</w:t>
            </w:r>
          </w:p>
        </w:tc>
        <w:tc>
          <w:tcPr>
            <w:tcW w:w="1057" w:type="dxa"/>
            <w:tcBorders>
              <w:tl2br w:val="nil"/>
              <w:tr2bl w:val="nil"/>
            </w:tcBorders>
            <w:shd w:val="clear" w:color="auto" w:fill="FFFFFF"/>
            <w:vAlign w:val="center"/>
          </w:tcPr>
          <w:p w14:paraId="5BFBDCDD">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昼间</w:t>
            </w:r>
          </w:p>
        </w:tc>
        <w:tc>
          <w:tcPr>
            <w:tcW w:w="1509" w:type="dxa"/>
            <w:tcBorders>
              <w:tl2br w:val="nil"/>
              <w:tr2bl w:val="nil"/>
            </w:tcBorders>
            <w:shd w:val="clear" w:color="auto" w:fill="FFFFFF"/>
            <w:vAlign w:val="center"/>
          </w:tcPr>
          <w:p w14:paraId="074FD4E8">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24.5</w:t>
            </w:r>
          </w:p>
        </w:tc>
        <w:tc>
          <w:tcPr>
            <w:tcW w:w="1510" w:type="dxa"/>
            <w:tcBorders>
              <w:tl2br w:val="nil"/>
              <w:tr2bl w:val="nil"/>
            </w:tcBorders>
            <w:shd w:val="clear" w:color="auto" w:fill="FFFFFF"/>
            <w:vAlign w:val="center"/>
          </w:tcPr>
          <w:p w14:paraId="1B43F76B">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65</w:t>
            </w:r>
          </w:p>
        </w:tc>
        <w:tc>
          <w:tcPr>
            <w:tcW w:w="1265" w:type="dxa"/>
            <w:tcBorders>
              <w:tl2br w:val="nil"/>
              <w:tr2bl w:val="nil"/>
            </w:tcBorders>
            <w:shd w:val="clear" w:color="auto" w:fill="FFFFFF"/>
            <w:vAlign w:val="center"/>
          </w:tcPr>
          <w:p w14:paraId="61804C4F">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达标</w:t>
            </w:r>
          </w:p>
        </w:tc>
      </w:tr>
      <w:tr w14:paraId="1D2D1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35" w:hRule="exact"/>
          <w:jc w:val="center"/>
        </w:trPr>
        <w:tc>
          <w:tcPr>
            <w:tcW w:w="1172" w:type="dxa"/>
            <w:vMerge w:val="continue"/>
            <w:tcBorders>
              <w:tl2br w:val="nil"/>
              <w:tr2bl w:val="nil"/>
            </w:tcBorders>
            <w:shd w:val="clear" w:color="auto" w:fill="FFFFFF"/>
            <w:vAlign w:val="center"/>
          </w:tcPr>
          <w:p w14:paraId="78389734">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p>
        </w:tc>
        <w:tc>
          <w:tcPr>
            <w:tcW w:w="855" w:type="dxa"/>
            <w:tcBorders>
              <w:tl2br w:val="nil"/>
              <w:tr2bl w:val="nil"/>
            </w:tcBorders>
            <w:shd w:val="clear" w:color="auto" w:fill="FFFFFF"/>
            <w:vAlign w:val="center"/>
          </w:tcPr>
          <w:p w14:paraId="4F2A6A04">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32.2</w:t>
            </w:r>
          </w:p>
        </w:tc>
        <w:tc>
          <w:tcPr>
            <w:tcW w:w="855" w:type="dxa"/>
            <w:tcBorders>
              <w:tl2br w:val="nil"/>
              <w:tr2bl w:val="nil"/>
            </w:tcBorders>
            <w:shd w:val="clear" w:color="auto" w:fill="FFFFFF"/>
            <w:vAlign w:val="center"/>
          </w:tcPr>
          <w:p w14:paraId="4368BD3C">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46.6</w:t>
            </w:r>
          </w:p>
        </w:tc>
        <w:tc>
          <w:tcPr>
            <w:tcW w:w="855" w:type="dxa"/>
            <w:tcBorders>
              <w:tl2br w:val="nil"/>
              <w:tr2bl w:val="nil"/>
            </w:tcBorders>
            <w:shd w:val="clear" w:color="auto" w:fill="FFFFFF"/>
            <w:vAlign w:val="center"/>
          </w:tcPr>
          <w:p w14:paraId="7E6E35B2">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1.2</w:t>
            </w:r>
          </w:p>
        </w:tc>
        <w:tc>
          <w:tcPr>
            <w:tcW w:w="1057" w:type="dxa"/>
            <w:tcBorders>
              <w:tl2br w:val="nil"/>
              <w:tr2bl w:val="nil"/>
            </w:tcBorders>
            <w:shd w:val="clear" w:color="auto" w:fill="FFFFFF"/>
            <w:vAlign w:val="center"/>
          </w:tcPr>
          <w:p w14:paraId="0CB7750A">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夜间</w:t>
            </w:r>
          </w:p>
        </w:tc>
        <w:tc>
          <w:tcPr>
            <w:tcW w:w="1509" w:type="dxa"/>
            <w:tcBorders>
              <w:tl2br w:val="nil"/>
              <w:tr2bl w:val="nil"/>
            </w:tcBorders>
            <w:shd w:val="clear" w:color="auto" w:fill="FFFFFF"/>
            <w:vAlign w:val="center"/>
          </w:tcPr>
          <w:p w14:paraId="7ABCC4F1">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24.5</w:t>
            </w:r>
          </w:p>
        </w:tc>
        <w:tc>
          <w:tcPr>
            <w:tcW w:w="1510" w:type="dxa"/>
            <w:tcBorders>
              <w:tl2br w:val="nil"/>
              <w:tr2bl w:val="nil"/>
            </w:tcBorders>
            <w:shd w:val="clear" w:color="auto" w:fill="FFFFFF"/>
            <w:vAlign w:val="center"/>
          </w:tcPr>
          <w:p w14:paraId="41FC2F14">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55</w:t>
            </w:r>
          </w:p>
        </w:tc>
        <w:tc>
          <w:tcPr>
            <w:tcW w:w="1265" w:type="dxa"/>
            <w:tcBorders>
              <w:tl2br w:val="nil"/>
              <w:tr2bl w:val="nil"/>
            </w:tcBorders>
            <w:shd w:val="clear" w:color="auto" w:fill="FFFFFF"/>
            <w:vAlign w:val="center"/>
          </w:tcPr>
          <w:p w14:paraId="287F87FC">
            <w:pPr>
              <w:keepNext w:val="0"/>
              <w:keepLines w:val="0"/>
              <w:suppressLineNumbers w:val="0"/>
              <w:adjustRightInd/>
              <w:spacing w:before="0" w:beforeAutospacing="0" w:after="0" w:afterAutospacing="0" w:line="240" w:lineRule="auto"/>
              <w:ind w:left="0" w:right="0" w:firstLine="0" w:firstLineChars="0"/>
              <w:jc w:val="center"/>
              <w:rPr>
                <w:rFonts w:hint="default" w:ascii="宋体" w:hAnsi="宋体" w:eastAsia="宋体" w:cs="宋体"/>
                <w:color w:val="000000" w:themeColor="text1"/>
                <w:sz w:val="22"/>
                <w:szCs w:val="22"/>
                <w:u w:val="wave" w:color="auto"/>
                <w:lang w:eastAsia="en-US"/>
                <w14:textFill>
                  <w14:solidFill>
                    <w14:schemeClr w14:val="tx1"/>
                  </w14:solidFill>
                </w14:textFill>
              </w:rPr>
            </w:pPr>
            <w:r>
              <w:rPr>
                <w:rFonts w:hint="default" w:ascii="Arial" w:hAnsi="Arial" w:eastAsia="Arial" w:cs="Arial"/>
                <w:color w:val="000000" w:themeColor="text1"/>
                <w:sz w:val="20"/>
                <w:szCs w:val="22"/>
                <w:u w:val="wave" w:color="auto"/>
                <w:lang w:eastAsia="en-US"/>
                <w14:textFill>
                  <w14:solidFill>
                    <w14:schemeClr w14:val="tx1"/>
                  </w14:solidFill>
                </w14:textFill>
              </w:rPr>
              <w:t>达标</w:t>
            </w:r>
          </w:p>
        </w:tc>
      </w:tr>
    </w:tbl>
    <w:p w14:paraId="7067A513">
      <w:pPr>
        <w:adjustRightInd/>
        <w:snapToGrid w:val="0"/>
        <w:spacing w:line="360" w:lineRule="auto"/>
        <w:ind w:firstLine="480" w:firstLineChars="200"/>
        <w:jc w:val="left"/>
        <w:rPr>
          <w:rFonts w:hint="default" w:ascii="Times New Roman" w:hAnsi="Times New Roman" w:eastAsia="宋体" w:cs="Times New Roman"/>
          <w:color w:val="000000" w:themeColor="text1"/>
          <w:sz w:val="24"/>
          <w:szCs w:val="24"/>
          <w:highlight w:val="none"/>
          <w:u w:val="wave" w:color="auto"/>
          <w:lang w:val="zh-CN" w:eastAsia="zh-CN" w:bidi="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wave" w:color="auto"/>
          <w:lang w:val="zh-CN" w:eastAsia="zh-CN" w:bidi="zh-CN"/>
          <w14:textFill>
            <w14:solidFill>
              <w14:schemeClr w14:val="tx1"/>
            </w14:solidFill>
          </w14:textFill>
        </w:rPr>
        <w:t>由上表可知，正常工况下，</w:t>
      </w:r>
      <w:r>
        <w:rPr>
          <w:rFonts w:hint="default" w:ascii="Times New Roman" w:hAnsi="Times New Roman" w:eastAsia="宋体" w:cs="Times New Roman"/>
          <w:color w:val="000000" w:themeColor="text1"/>
          <w:sz w:val="24"/>
          <w:szCs w:val="24"/>
          <w:highlight w:val="none"/>
          <w:u w:val="wave" w:color="auto"/>
          <w:lang w:val="en-US" w:eastAsia="zh-CN" w:bidi="zh-CN"/>
          <w14:textFill>
            <w14:solidFill>
              <w14:schemeClr w14:val="tx1"/>
            </w14:solidFill>
          </w14:textFill>
        </w:rPr>
        <w:t>项目厂界</w:t>
      </w:r>
      <w:r>
        <w:rPr>
          <w:rFonts w:hint="default" w:ascii="Times New Roman" w:hAnsi="Times New Roman" w:eastAsia="宋体" w:cs="Times New Roman"/>
          <w:color w:val="000000" w:themeColor="text1"/>
          <w:sz w:val="24"/>
          <w:szCs w:val="24"/>
          <w:highlight w:val="none"/>
          <w:u w:val="wave" w:color="auto"/>
          <w:lang w:val="zh-CN" w:eastAsia="zh-CN" w:bidi="zh-CN"/>
          <w14:textFill>
            <w14:solidFill>
              <w14:schemeClr w14:val="tx1"/>
            </w14:solidFill>
          </w14:textFill>
        </w:rPr>
        <w:t>噪声满足《工业企业厂界环境噪声排放标准》(GB12348.2008)</w:t>
      </w:r>
      <w:r>
        <w:rPr>
          <w:rFonts w:hint="default" w:ascii="Times New Roman" w:hAnsi="Times New Roman" w:cs="Times New Roman"/>
          <w:color w:val="000000" w:themeColor="text1"/>
          <w:sz w:val="24"/>
          <w:szCs w:val="24"/>
          <w:highlight w:val="none"/>
          <w:u w:val="wave" w:color="auto"/>
          <w:lang w:val="en-US" w:eastAsia="zh-CN" w:bidi="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wave" w:color="auto"/>
          <w:lang w:val="zh-CN" w:eastAsia="zh-CN" w:bidi="zh-CN"/>
          <w14:textFill>
            <w14:solidFill>
              <w14:schemeClr w14:val="tx1"/>
            </w14:solidFill>
          </w14:textFill>
        </w:rPr>
        <w:t>类标准。</w:t>
      </w:r>
    </w:p>
    <w:p w14:paraId="19EB2F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4"/>
          <w:szCs w:val="24"/>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wave" w:color="auto"/>
          <w:lang w:val="zh-CN" w:eastAsia="zh-CN" w:bidi="zh-CN"/>
          <w14:textFill>
            <w14:solidFill>
              <w14:schemeClr w14:val="tx1"/>
            </w14:solidFill>
          </w14:textFill>
        </w:rPr>
        <w:t>表</w:t>
      </w:r>
      <w:r>
        <w:rPr>
          <w:rFonts w:hint="default" w:ascii="Times New Roman" w:hAnsi="Times New Roman" w:eastAsia="宋体" w:cs="Times New Roman"/>
          <w:b/>
          <w:color w:val="000000" w:themeColor="text1"/>
          <w:kern w:val="0"/>
          <w:sz w:val="24"/>
          <w:szCs w:val="24"/>
          <w:highlight w:val="none"/>
          <w:u w:val="wave" w:color="auto"/>
          <w:lang w:val="en-US" w:eastAsia="zh-CN" w:bidi="zh-CN"/>
          <w14:textFill>
            <w14:solidFill>
              <w14:schemeClr w14:val="tx1"/>
            </w14:solidFill>
          </w14:textFill>
        </w:rPr>
        <w:t>5.2-</w:t>
      </w:r>
      <w:r>
        <w:rPr>
          <w:rFonts w:hint="default" w:ascii="Times New Roman" w:hAnsi="Times New Roman" w:cs="Times New Roman"/>
          <w:b/>
          <w:color w:val="000000" w:themeColor="text1"/>
          <w:kern w:val="0"/>
          <w:sz w:val="24"/>
          <w:szCs w:val="24"/>
          <w:highlight w:val="none"/>
          <w:u w:val="wave" w:color="auto"/>
          <w:lang w:val="en-US" w:eastAsia="zh-CN" w:bidi="zh-CN"/>
          <w14:textFill>
            <w14:solidFill>
              <w14:schemeClr w14:val="tx1"/>
            </w14:solidFill>
          </w14:textFill>
        </w:rPr>
        <w:t>24</w:t>
      </w:r>
      <w:r>
        <w:rPr>
          <w:rFonts w:hint="default" w:ascii="Times New Roman" w:hAnsi="Times New Roman" w:eastAsia="宋体" w:cs="Times New Roman"/>
          <w:b/>
          <w:color w:val="000000" w:themeColor="text1"/>
          <w:sz w:val="24"/>
          <w:szCs w:val="24"/>
          <w:highlight w:val="none"/>
          <w:u w:val="wave" w:color="auto"/>
          <w:lang w:val="en-US" w:eastAsia="zh-CN" w:bidi="zh-CN"/>
          <w14:textFill>
            <w14:solidFill>
              <w14:schemeClr w14:val="tx1"/>
            </w14:solidFill>
          </w14:textFill>
        </w:rPr>
        <w:t>声环境保护目标噪声预测结果与达标分析</w:t>
      </w:r>
      <w:r>
        <w:rPr>
          <w:rFonts w:hint="default" w:ascii="Times New Roman" w:hAnsi="Times New Roman" w:eastAsia="宋体" w:cs="Times New Roman"/>
          <w:b/>
          <w:color w:val="000000" w:themeColor="text1"/>
          <w:sz w:val="24"/>
          <w:szCs w:val="24"/>
          <w:highlight w:val="none"/>
          <w:u w:val="wave" w:color="auto"/>
          <w:lang w:val="zh-CN" w:eastAsia="zh-CN" w:bidi="zh-CN"/>
          <w14:textFill>
            <w14:solidFill>
              <w14:schemeClr w14:val="tx1"/>
            </w14:solidFill>
          </w14:textFill>
        </w:rPr>
        <w:t>表</w:t>
      </w:r>
    </w:p>
    <w:tbl>
      <w:tblPr>
        <w:tblStyle w:val="77"/>
        <w:tblW w:w="4774"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070"/>
        <w:gridCol w:w="745"/>
        <w:gridCol w:w="879"/>
        <w:gridCol w:w="743"/>
        <w:gridCol w:w="772"/>
        <w:gridCol w:w="796"/>
        <w:gridCol w:w="1018"/>
        <w:gridCol w:w="769"/>
        <w:gridCol w:w="1247"/>
        <w:gridCol w:w="827"/>
      </w:tblGrid>
      <w:tr w14:paraId="23B0B9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982" w:type="dxa"/>
            <w:vMerge w:val="restart"/>
            <w:tcBorders>
              <w:tl2br w:val="nil"/>
              <w:tr2bl w:val="nil"/>
            </w:tcBorders>
            <w:noWrap w:val="0"/>
            <w:vAlign w:val="center"/>
          </w:tcPr>
          <w:p w14:paraId="69E58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zh-CN" w:bidi="zh-CN"/>
                <w14:textFill>
                  <w14:solidFill>
                    <w14:schemeClr w14:val="tx1"/>
                  </w14:solidFill>
                </w14:textFill>
              </w:rPr>
              <w:t>保护目标名称</w:t>
            </w:r>
          </w:p>
        </w:tc>
        <w:tc>
          <w:tcPr>
            <w:tcW w:w="1491" w:type="dxa"/>
            <w:gridSpan w:val="2"/>
            <w:tcBorders>
              <w:tl2br w:val="nil"/>
              <w:tr2bl w:val="nil"/>
            </w:tcBorders>
            <w:noWrap w:val="0"/>
            <w:vAlign w:val="center"/>
          </w:tcPr>
          <w:p w14:paraId="09DAA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背景值（dB(A)）</w:t>
            </w:r>
          </w:p>
        </w:tc>
        <w:tc>
          <w:tcPr>
            <w:tcW w:w="1391" w:type="dxa"/>
            <w:gridSpan w:val="2"/>
            <w:tcBorders>
              <w:tl2br w:val="nil"/>
              <w:tr2bl w:val="nil"/>
            </w:tcBorders>
            <w:noWrap w:val="0"/>
            <w:vAlign w:val="center"/>
          </w:tcPr>
          <w:p w14:paraId="67B811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贡献值（dB(A)）</w:t>
            </w:r>
          </w:p>
        </w:tc>
        <w:tc>
          <w:tcPr>
            <w:tcW w:w="1665" w:type="dxa"/>
            <w:gridSpan w:val="2"/>
            <w:tcBorders>
              <w:tl2br w:val="nil"/>
              <w:tr2bl w:val="nil"/>
            </w:tcBorders>
            <w:noWrap w:val="0"/>
            <w:vAlign w:val="center"/>
          </w:tcPr>
          <w:p w14:paraId="55FA9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预测值（dB(A)）</w:t>
            </w:r>
          </w:p>
        </w:tc>
        <w:tc>
          <w:tcPr>
            <w:tcW w:w="1851" w:type="dxa"/>
            <w:gridSpan w:val="2"/>
            <w:tcBorders>
              <w:tl2br w:val="nil"/>
              <w:tr2bl w:val="nil"/>
            </w:tcBorders>
            <w:noWrap w:val="0"/>
            <w:vAlign w:val="center"/>
          </w:tcPr>
          <w:p w14:paraId="533A32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标准限值（dB(A)）</w:t>
            </w:r>
          </w:p>
        </w:tc>
        <w:tc>
          <w:tcPr>
            <w:tcW w:w="758" w:type="dxa"/>
            <w:vMerge w:val="restart"/>
            <w:tcBorders>
              <w:tl2br w:val="nil"/>
              <w:tr2bl w:val="nil"/>
            </w:tcBorders>
            <w:noWrap w:val="0"/>
            <w:vAlign w:val="center"/>
          </w:tcPr>
          <w:p w14:paraId="34A3E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达标</w:t>
            </w:r>
          </w:p>
          <w:p w14:paraId="0FC35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情况</w:t>
            </w:r>
          </w:p>
        </w:tc>
      </w:tr>
      <w:tr w14:paraId="03FE1D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99" w:hRule="atLeast"/>
          <w:jc w:val="center"/>
        </w:trPr>
        <w:tc>
          <w:tcPr>
            <w:tcW w:w="982" w:type="dxa"/>
            <w:vMerge w:val="continue"/>
            <w:tcBorders>
              <w:tl2br w:val="nil"/>
              <w:tr2bl w:val="nil"/>
            </w:tcBorders>
            <w:noWrap w:val="0"/>
            <w:vAlign w:val="center"/>
          </w:tcPr>
          <w:p w14:paraId="22B7ED6F">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u w:val="wave" w:color="auto"/>
                <w:lang w:val="zh-CN" w:bidi="zh-CN"/>
                <w14:textFill>
                  <w14:solidFill>
                    <w14:schemeClr w14:val="tx1"/>
                  </w14:solidFill>
                </w14:textFill>
              </w:rPr>
            </w:pPr>
          </w:p>
        </w:tc>
        <w:tc>
          <w:tcPr>
            <w:tcW w:w="684" w:type="dxa"/>
            <w:tcBorders>
              <w:tl2br w:val="nil"/>
              <w:tr2bl w:val="nil"/>
            </w:tcBorders>
            <w:noWrap w:val="0"/>
            <w:vAlign w:val="center"/>
          </w:tcPr>
          <w:p w14:paraId="7C2A3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昼间</w:t>
            </w:r>
          </w:p>
        </w:tc>
        <w:tc>
          <w:tcPr>
            <w:tcW w:w="807" w:type="dxa"/>
            <w:tcBorders>
              <w:tl2br w:val="nil"/>
              <w:tr2bl w:val="nil"/>
            </w:tcBorders>
            <w:noWrap w:val="0"/>
            <w:vAlign w:val="center"/>
          </w:tcPr>
          <w:p w14:paraId="25211D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夜间</w:t>
            </w:r>
          </w:p>
        </w:tc>
        <w:tc>
          <w:tcPr>
            <w:tcW w:w="682" w:type="dxa"/>
            <w:tcBorders>
              <w:tl2br w:val="nil"/>
              <w:tr2bl w:val="nil"/>
            </w:tcBorders>
            <w:noWrap w:val="0"/>
            <w:vAlign w:val="center"/>
          </w:tcPr>
          <w:p w14:paraId="2ED89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昼间</w:t>
            </w:r>
          </w:p>
        </w:tc>
        <w:tc>
          <w:tcPr>
            <w:tcW w:w="709" w:type="dxa"/>
            <w:tcBorders>
              <w:tl2br w:val="nil"/>
              <w:tr2bl w:val="nil"/>
            </w:tcBorders>
            <w:noWrap w:val="0"/>
            <w:vAlign w:val="center"/>
          </w:tcPr>
          <w:p w14:paraId="5255D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夜间</w:t>
            </w:r>
          </w:p>
        </w:tc>
        <w:tc>
          <w:tcPr>
            <w:tcW w:w="731" w:type="dxa"/>
            <w:tcBorders>
              <w:tl2br w:val="nil"/>
              <w:tr2bl w:val="nil"/>
            </w:tcBorders>
            <w:noWrap w:val="0"/>
            <w:vAlign w:val="center"/>
          </w:tcPr>
          <w:p w14:paraId="6998E0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昼间</w:t>
            </w:r>
          </w:p>
        </w:tc>
        <w:tc>
          <w:tcPr>
            <w:tcW w:w="934" w:type="dxa"/>
            <w:tcBorders>
              <w:tl2br w:val="nil"/>
              <w:tr2bl w:val="nil"/>
            </w:tcBorders>
            <w:noWrap w:val="0"/>
            <w:vAlign w:val="center"/>
          </w:tcPr>
          <w:p w14:paraId="6FDD1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夜间</w:t>
            </w:r>
          </w:p>
        </w:tc>
        <w:tc>
          <w:tcPr>
            <w:tcW w:w="706" w:type="dxa"/>
            <w:tcBorders>
              <w:tl2br w:val="nil"/>
              <w:tr2bl w:val="nil"/>
            </w:tcBorders>
            <w:noWrap w:val="0"/>
            <w:vAlign w:val="center"/>
          </w:tcPr>
          <w:p w14:paraId="05A43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昼间</w:t>
            </w:r>
          </w:p>
        </w:tc>
        <w:tc>
          <w:tcPr>
            <w:tcW w:w="1145" w:type="dxa"/>
            <w:tcBorders>
              <w:tl2br w:val="nil"/>
              <w:tr2bl w:val="nil"/>
            </w:tcBorders>
            <w:noWrap w:val="0"/>
            <w:vAlign w:val="center"/>
          </w:tcPr>
          <w:p w14:paraId="5D2CA7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t>夜间</w:t>
            </w:r>
          </w:p>
        </w:tc>
        <w:tc>
          <w:tcPr>
            <w:tcW w:w="758" w:type="dxa"/>
            <w:vMerge w:val="continue"/>
            <w:tcBorders>
              <w:tl2br w:val="nil"/>
              <w:tr2bl w:val="nil"/>
            </w:tcBorders>
            <w:noWrap w:val="0"/>
            <w:vAlign w:val="center"/>
          </w:tcPr>
          <w:p w14:paraId="6291A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000000" w:themeColor="text1"/>
                <w:sz w:val="21"/>
                <w:szCs w:val="21"/>
                <w:highlight w:val="none"/>
                <w:u w:val="wave" w:color="auto"/>
                <w:lang w:val="en-US" w:eastAsia="zh-CN" w:bidi="zh-CN"/>
                <w14:textFill>
                  <w14:solidFill>
                    <w14:schemeClr w14:val="tx1"/>
                  </w14:solidFill>
                </w14:textFill>
              </w:rPr>
            </w:pPr>
          </w:p>
        </w:tc>
      </w:tr>
      <w:tr w14:paraId="70C1FD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43" w:hRule="atLeast"/>
          <w:jc w:val="center"/>
        </w:trPr>
        <w:tc>
          <w:tcPr>
            <w:tcW w:w="982" w:type="dxa"/>
            <w:tcBorders>
              <w:tl2br w:val="nil"/>
              <w:tr2bl w:val="nil"/>
            </w:tcBorders>
            <w:noWrap w:val="0"/>
            <w:vAlign w:val="center"/>
          </w:tcPr>
          <w:p w14:paraId="6A38FC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wave" w:color="auto"/>
                <w:lang w:val="en-US" w:eastAsia="zh-CN" w:bidi="zh-CN"/>
                <w14:textFill>
                  <w14:solidFill>
                    <w14:schemeClr w14:val="tx1"/>
                  </w14:solidFill>
                </w14:textFill>
              </w:rPr>
              <w:t>西侧40m处居民点</w:t>
            </w:r>
          </w:p>
        </w:tc>
        <w:tc>
          <w:tcPr>
            <w:tcW w:w="684" w:type="dxa"/>
            <w:tcBorders>
              <w:tl2br w:val="nil"/>
              <w:tr2bl w:val="nil"/>
            </w:tcBorders>
            <w:noWrap w:val="0"/>
            <w:vAlign w:val="center"/>
          </w:tcPr>
          <w:p w14:paraId="16793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Arial" w:cs="Times New Roman"/>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Arial" w:cs="Times New Roman"/>
                <w:color w:val="000000" w:themeColor="text1"/>
                <w:sz w:val="21"/>
                <w:szCs w:val="21"/>
                <w:highlight w:val="none"/>
                <w:u w:val="wave" w:color="auto"/>
                <w:lang w:val="en-US" w:eastAsia="zh-CN" w:bidi="zh-CN"/>
                <w14:textFill>
                  <w14:solidFill>
                    <w14:schemeClr w14:val="tx1"/>
                  </w14:solidFill>
                </w14:textFill>
              </w:rPr>
              <w:t>53</w:t>
            </w:r>
          </w:p>
        </w:tc>
        <w:tc>
          <w:tcPr>
            <w:tcW w:w="807" w:type="dxa"/>
            <w:tcBorders>
              <w:tl2br w:val="nil"/>
              <w:tr2bl w:val="nil"/>
            </w:tcBorders>
            <w:noWrap w:val="0"/>
            <w:vAlign w:val="center"/>
          </w:tcPr>
          <w:p w14:paraId="6453C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Arial" w:cs="Times New Roman"/>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Arial" w:cs="Times New Roman"/>
                <w:color w:val="000000" w:themeColor="text1"/>
                <w:sz w:val="21"/>
                <w:szCs w:val="21"/>
                <w:highlight w:val="none"/>
                <w:u w:val="wave" w:color="auto"/>
                <w:lang w:val="en-US" w:eastAsia="zh-CN" w:bidi="zh-CN"/>
                <w14:textFill>
                  <w14:solidFill>
                    <w14:schemeClr w14:val="tx1"/>
                  </w14:solidFill>
                </w14:textFill>
              </w:rPr>
              <w:t>42</w:t>
            </w:r>
          </w:p>
        </w:tc>
        <w:tc>
          <w:tcPr>
            <w:tcW w:w="682" w:type="dxa"/>
            <w:tcBorders>
              <w:tl2br w:val="nil"/>
              <w:tr2bl w:val="nil"/>
            </w:tcBorders>
            <w:noWrap w:val="0"/>
            <w:vAlign w:val="center"/>
          </w:tcPr>
          <w:p w14:paraId="14223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Arial" w:cs="Times New Roman"/>
                <w:color w:val="000000" w:themeColor="text1"/>
                <w:sz w:val="21"/>
                <w:szCs w:val="21"/>
                <w:highlight w:val="none"/>
                <w:u w:val="wave" w:color="auto"/>
                <w:lang w:val="en-US" w:eastAsia="zh-CN" w:bidi="zh-CN"/>
                <w14:textFill>
                  <w14:solidFill>
                    <w14:schemeClr w14:val="tx1"/>
                  </w14:solidFill>
                </w14:textFill>
              </w:rPr>
            </w:pPr>
            <w:r>
              <w:rPr>
                <w:rFonts w:hint="eastAsia" w:cs="Times New Roman"/>
                <w:color w:val="000000" w:themeColor="text1"/>
                <w:sz w:val="21"/>
                <w:szCs w:val="21"/>
                <w:highlight w:val="none"/>
                <w:u w:val="wave" w:color="auto"/>
                <w:lang w:val="en-US" w:eastAsia="zh-CN" w:bidi="zh-CN"/>
                <w14:textFill>
                  <w14:solidFill>
                    <w14:schemeClr w14:val="tx1"/>
                  </w14:solidFill>
                </w14:textFill>
              </w:rPr>
              <w:t>10.9</w:t>
            </w:r>
          </w:p>
        </w:tc>
        <w:tc>
          <w:tcPr>
            <w:tcW w:w="709" w:type="dxa"/>
            <w:tcBorders>
              <w:tl2br w:val="nil"/>
              <w:tr2bl w:val="nil"/>
            </w:tcBorders>
            <w:noWrap w:val="0"/>
            <w:vAlign w:val="center"/>
          </w:tcPr>
          <w:p w14:paraId="5D16D1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Arial" w:cs="Times New Roman"/>
                <w:color w:val="000000" w:themeColor="text1"/>
                <w:sz w:val="21"/>
                <w:szCs w:val="21"/>
                <w:highlight w:val="none"/>
                <w:u w:val="wave" w:color="auto"/>
                <w:lang w:val="en-US" w:eastAsia="zh-CN" w:bidi="zh-CN"/>
                <w14:textFill>
                  <w14:solidFill>
                    <w14:schemeClr w14:val="tx1"/>
                  </w14:solidFill>
                </w14:textFill>
              </w:rPr>
            </w:pPr>
            <w:r>
              <w:rPr>
                <w:rFonts w:hint="eastAsia" w:cs="Times New Roman"/>
                <w:color w:val="000000" w:themeColor="text1"/>
                <w:sz w:val="21"/>
                <w:szCs w:val="21"/>
                <w:highlight w:val="none"/>
                <w:u w:val="wave" w:color="auto"/>
                <w:lang w:val="en-US" w:eastAsia="zh-CN" w:bidi="zh-CN"/>
                <w14:textFill>
                  <w14:solidFill>
                    <w14:schemeClr w14:val="tx1"/>
                  </w14:solidFill>
                </w14:textFill>
              </w:rPr>
              <w:t>10.9</w:t>
            </w:r>
          </w:p>
        </w:tc>
        <w:tc>
          <w:tcPr>
            <w:tcW w:w="731" w:type="dxa"/>
            <w:tcBorders>
              <w:tl2br w:val="nil"/>
              <w:tr2bl w:val="nil"/>
            </w:tcBorders>
            <w:noWrap w:val="0"/>
            <w:vAlign w:val="center"/>
          </w:tcPr>
          <w:p w14:paraId="5AB88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Arial" w:cs="Times New Roman"/>
                <w:color w:val="000000" w:themeColor="text1"/>
                <w:sz w:val="21"/>
                <w:szCs w:val="21"/>
                <w:highlight w:val="none"/>
                <w:u w:val="wave" w:color="auto"/>
                <w:lang w:val="en-US" w:eastAsia="zh-CN" w:bidi="zh-CN"/>
                <w14:textFill>
                  <w14:solidFill>
                    <w14:schemeClr w14:val="tx1"/>
                  </w14:solidFill>
                </w14:textFill>
              </w:rPr>
              <w:t>53</w:t>
            </w:r>
            <w:r>
              <w:rPr>
                <w:rFonts w:hint="eastAsia" w:eastAsia="Arial" w:cs="Times New Roman"/>
                <w:color w:val="000000" w:themeColor="text1"/>
                <w:sz w:val="21"/>
                <w:szCs w:val="21"/>
                <w:highlight w:val="none"/>
                <w:u w:val="wave" w:color="auto"/>
                <w:lang w:val="en-US" w:eastAsia="zh-CN" w:bidi="zh-CN"/>
                <w14:textFill>
                  <w14:solidFill>
                    <w14:schemeClr w14:val="tx1"/>
                  </w14:solidFill>
                </w14:textFill>
              </w:rPr>
              <w:t>.0</w:t>
            </w:r>
          </w:p>
        </w:tc>
        <w:tc>
          <w:tcPr>
            <w:tcW w:w="934" w:type="dxa"/>
            <w:tcBorders>
              <w:tl2br w:val="nil"/>
              <w:tr2bl w:val="nil"/>
            </w:tcBorders>
            <w:noWrap w:val="0"/>
            <w:vAlign w:val="center"/>
          </w:tcPr>
          <w:p w14:paraId="2D10DA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Arial" w:cs="Times New Roman"/>
                <w:color w:val="000000" w:themeColor="text1"/>
                <w:sz w:val="21"/>
                <w:szCs w:val="21"/>
                <w:highlight w:val="none"/>
                <w:u w:val="wave" w:color="auto"/>
                <w:lang w:val="en-US" w:eastAsia="zh-CN" w:bidi="zh-CN"/>
                <w14:textFill>
                  <w14:solidFill>
                    <w14:schemeClr w14:val="tx1"/>
                  </w14:solidFill>
                </w14:textFill>
              </w:rPr>
              <w:t>42</w:t>
            </w:r>
            <w:r>
              <w:rPr>
                <w:rFonts w:hint="eastAsia" w:eastAsia="Arial" w:cs="Times New Roman"/>
                <w:color w:val="000000" w:themeColor="text1"/>
                <w:sz w:val="21"/>
                <w:szCs w:val="21"/>
                <w:highlight w:val="none"/>
                <w:u w:val="wave" w:color="auto"/>
                <w:lang w:val="en-US" w:eastAsia="zh-CN" w:bidi="zh-CN"/>
                <w14:textFill>
                  <w14:solidFill>
                    <w14:schemeClr w14:val="tx1"/>
                  </w14:solidFill>
                </w14:textFill>
              </w:rPr>
              <w:t>.0</w:t>
            </w:r>
          </w:p>
        </w:tc>
        <w:tc>
          <w:tcPr>
            <w:tcW w:w="706" w:type="dxa"/>
            <w:tcBorders>
              <w:tl2br w:val="nil"/>
              <w:tr2bl w:val="nil"/>
            </w:tcBorders>
            <w:noWrap w:val="0"/>
            <w:vAlign w:val="center"/>
          </w:tcPr>
          <w:p w14:paraId="4682763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wave" w:color="auto"/>
                <w:lang w:val="en-US" w:eastAsia="zh-CN" w:bidi="zh-CN"/>
                <w14:textFill>
                  <w14:solidFill>
                    <w14:schemeClr w14:val="tx1"/>
                  </w14:solidFill>
                </w14:textFill>
              </w:rPr>
              <w:t>60</w:t>
            </w:r>
          </w:p>
        </w:tc>
        <w:tc>
          <w:tcPr>
            <w:tcW w:w="1145" w:type="dxa"/>
            <w:tcBorders>
              <w:tl2br w:val="nil"/>
              <w:tr2bl w:val="nil"/>
            </w:tcBorders>
            <w:noWrap w:val="0"/>
            <w:vAlign w:val="center"/>
          </w:tcPr>
          <w:p w14:paraId="1D3A771D">
            <w:pPr>
              <w:keepNext w:val="0"/>
              <w:keepLines w:val="0"/>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u w:val="wave" w:color="auto"/>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wave" w:color="auto"/>
                <w:lang w:val="en-US" w:eastAsia="zh-CN" w:bidi="zh-CN"/>
                <w14:textFill>
                  <w14:solidFill>
                    <w14:schemeClr w14:val="tx1"/>
                  </w14:solidFill>
                </w14:textFill>
              </w:rPr>
              <w:t>50</w:t>
            </w:r>
          </w:p>
        </w:tc>
        <w:tc>
          <w:tcPr>
            <w:tcW w:w="758" w:type="dxa"/>
            <w:tcBorders>
              <w:tl2br w:val="nil"/>
              <w:tr2bl w:val="nil"/>
            </w:tcBorders>
            <w:noWrap w:val="0"/>
            <w:vAlign w:val="center"/>
          </w:tcPr>
          <w:p w14:paraId="5DFBBE39">
            <w:pPr>
              <w:keepNext w:val="0"/>
              <w:keepLines w:val="0"/>
              <w:suppressLineNumbers w:val="0"/>
              <w:adjustRightInd/>
              <w:spacing w:before="0" w:beforeAutospacing="0" w:after="0" w:afterAutospacing="0" w:line="360" w:lineRule="auto"/>
              <w:ind w:left="0" w:leftChars="0" w:right="0" w:firstLine="0" w:firstLineChars="0"/>
              <w:jc w:val="center"/>
              <w:rPr>
                <w:rFonts w:hint="default" w:ascii="Times New Roman" w:hAnsi="Times New Roman" w:eastAsia="宋体" w:cs="Times New Roman"/>
                <w:b/>
                <w:color w:val="000000" w:themeColor="text1"/>
                <w:sz w:val="24"/>
                <w:szCs w:val="24"/>
                <w:highlight w:val="none"/>
                <w:u w:val="wave" w:color="auto"/>
                <w:vertAlign w:val="baseline"/>
                <w:lang w:val="en-US" w:eastAsia="zh-CN" w:bidi="zh-CN"/>
                <w14:textFill>
                  <w14:solidFill>
                    <w14:schemeClr w14:val="tx1"/>
                  </w14:solidFill>
                </w14:textFill>
              </w:rPr>
            </w:pPr>
            <w:r>
              <w:rPr>
                <w:rFonts w:hint="default" w:ascii="Times New Roman" w:hAnsi="Times New Roman" w:eastAsia="Arial" w:cs="Times New Roman"/>
                <w:color w:val="000000" w:themeColor="text1"/>
                <w:sz w:val="20"/>
                <w:szCs w:val="22"/>
                <w:highlight w:val="none"/>
                <w:u w:val="wave" w:color="auto"/>
                <w:lang w:val="zh-CN" w:bidi="zh-CN"/>
                <w14:textFill>
                  <w14:solidFill>
                    <w14:schemeClr w14:val="tx1"/>
                  </w14:solidFill>
                </w14:textFill>
              </w:rPr>
              <w:t>达标</w:t>
            </w:r>
          </w:p>
        </w:tc>
      </w:tr>
    </w:tbl>
    <w:p w14:paraId="45D2E1D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i w:val="0"/>
          <w:iCs w:val="0"/>
          <w:color w:val="000000" w:themeColor="text1"/>
          <w:sz w:val="24"/>
          <w:szCs w:val="24"/>
          <w:highlight w:val="none"/>
          <w:u w:val="wave" w:color="auto"/>
          <w:lang w:val="zh-CN" w:eastAsia="zh-CN" w:bidi="zh-CN"/>
          <w14:textFill>
            <w14:solidFill>
              <w14:schemeClr w14:val="tx1"/>
            </w14:solidFill>
          </w14:textFill>
        </w:rPr>
      </w:pPr>
      <w:r>
        <w:rPr>
          <w:rFonts w:hint="default" w:ascii="Times New Roman" w:hAnsi="Times New Roman" w:eastAsia="宋体" w:cs="Times New Roman"/>
          <w:i w:val="0"/>
          <w:iCs w:val="0"/>
          <w:color w:val="000000" w:themeColor="text1"/>
          <w:sz w:val="24"/>
          <w:szCs w:val="24"/>
          <w:highlight w:val="none"/>
          <w:u w:val="wave" w:color="auto"/>
          <w:lang w:val="en-US" w:eastAsia="zh-CN" w:bidi="zh-CN"/>
          <w14:textFill>
            <w14:solidFill>
              <w14:schemeClr w14:val="tx1"/>
            </w14:solidFill>
          </w14:textFill>
        </w:rPr>
        <w:t>由上表可知，项目声环境保护目标噪声满足</w:t>
      </w:r>
      <w:r>
        <w:rPr>
          <w:rFonts w:hint="default" w:ascii="Times New Roman" w:hAnsi="Times New Roman" w:eastAsia="宋体" w:cs="Times New Roman"/>
          <w:i w:val="0"/>
          <w:iCs w:val="0"/>
          <w:color w:val="000000" w:themeColor="text1"/>
          <w:sz w:val="24"/>
          <w:szCs w:val="24"/>
          <w:highlight w:val="none"/>
          <w:u w:val="wave" w:color="auto"/>
          <w:lang w:val="zh-CN" w:eastAsia="zh-CN" w:bidi="zh-CN"/>
          <w14:textFill>
            <w14:solidFill>
              <w14:schemeClr w14:val="tx1"/>
            </w14:solidFill>
          </w14:textFill>
        </w:rPr>
        <w:t xml:space="preserve">《声环境质量标准》(GB3096-2008) </w:t>
      </w:r>
      <w:bookmarkStart w:id="130" w:name="PO_2"/>
      <w:bookmarkEnd w:id="130"/>
      <w:r>
        <w:rPr>
          <w:rFonts w:hint="default" w:ascii="Times New Roman" w:hAnsi="Times New Roman" w:eastAsia="宋体" w:cs="Times New Roman"/>
          <w:i w:val="0"/>
          <w:iCs w:val="0"/>
          <w:color w:val="000000" w:themeColor="text1"/>
          <w:sz w:val="24"/>
          <w:szCs w:val="24"/>
          <w:highlight w:val="none"/>
          <w:u w:val="wave" w:color="auto"/>
          <w:lang w:val="en-US" w:eastAsia="zh-CN" w:bidi="zh-CN"/>
          <w14:textFill>
            <w14:solidFill>
              <w14:schemeClr w14:val="tx1"/>
            </w14:solidFill>
          </w14:textFill>
        </w:rPr>
        <w:t>2</w:t>
      </w:r>
      <w:r>
        <w:rPr>
          <w:rFonts w:hint="default" w:ascii="Times New Roman" w:hAnsi="Times New Roman" w:eastAsia="宋体" w:cs="Times New Roman"/>
          <w:i w:val="0"/>
          <w:iCs w:val="0"/>
          <w:color w:val="000000" w:themeColor="text1"/>
          <w:sz w:val="24"/>
          <w:szCs w:val="24"/>
          <w:highlight w:val="none"/>
          <w:u w:val="wave" w:color="auto"/>
          <w:lang w:val="zh-CN" w:eastAsia="zh-CN" w:bidi="zh-CN"/>
          <w14:textFill>
            <w14:solidFill>
              <w14:schemeClr w14:val="tx1"/>
            </w14:solidFill>
          </w14:textFill>
        </w:rPr>
        <w:t>类标准。</w:t>
      </w:r>
      <w:bookmarkEnd w:id="124"/>
      <w:bookmarkEnd w:id="125"/>
      <w:bookmarkEnd w:id="126"/>
      <w:bookmarkStart w:id="131" w:name="_Toc28609"/>
    </w:p>
    <w:p w14:paraId="476C507B">
      <w:pPr>
        <w:pStyle w:val="4"/>
        <w:numPr>
          <w:ilvl w:val="3"/>
          <w:numId w:val="0"/>
        </w:numPr>
        <w:outlineLvl w:val="2"/>
        <w:rPr>
          <w:rFonts w:hint="default" w:ascii="Times New Roman" w:hAnsi="Times New Roman" w:eastAsia="宋体" w:cs="Times New Roman"/>
          <w:color w:val="000000" w:themeColor="text1"/>
          <w:sz w:val="28"/>
          <w:szCs w:val="28"/>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u w:val="none" w:color="auto"/>
          <w:lang w:val="en-US" w:eastAsia="zh-CN"/>
          <w14:textFill>
            <w14:solidFill>
              <w14:schemeClr w14:val="tx1"/>
            </w14:solidFill>
          </w14:textFill>
        </w:rPr>
        <w:t>5.2.5 运营期固体废物环境影响分析</w:t>
      </w:r>
      <w:bookmarkEnd w:id="131"/>
    </w:p>
    <w:p w14:paraId="0D3F5E67">
      <w:pPr>
        <w:pStyle w:val="5"/>
        <w:numPr>
          <w:ilvl w:val="2"/>
          <w:numId w:val="0"/>
        </w:numPr>
        <w:ind w:leftChars="0" w:firstLine="482" w:firstLineChars="200"/>
        <w:outlineLvl w:val="3"/>
        <w:rPr>
          <w:rFonts w:hint="default" w:ascii="Times New Roman" w:hAnsi="Times New Roman" w:cs="Times New Roman"/>
          <w:color w:val="000000" w:themeColor="text1"/>
          <w:sz w:val="24"/>
          <w:szCs w:val="28"/>
          <w:highlight w:val="none"/>
          <w:u w:val="none" w:color="auto"/>
          <w14:textFill>
            <w14:solidFill>
              <w14:schemeClr w14:val="tx1"/>
            </w14:solidFill>
          </w14:textFill>
        </w:rPr>
      </w:pPr>
      <w:r>
        <w:rPr>
          <w:rFonts w:hint="default" w:ascii="Times New Roman" w:hAnsi="Times New Roman" w:cs="Times New Roman"/>
          <w:color w:val="000000" w:themeColor="text1"/>
          <w:sz w:val="24"/>
          <w:szCs w:val="28"/>
          <w:highlight w:val="none"/>
          <w:u w:val="none" w:color="auto"/>
          <w:lang w:val="en-US" w:eastAsia="zh-CN"/>
          <w14:textFill>
            <w14:solidFill>
              <w14:schemeClr w14:val="tx1"/>
            </w14:solidFill>
          </w14:textFill>
        </w:rPr>
        <w:t xml:space="preserve">5.2.5.1 </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固体废物分类及产生量</w:t>
      </w:r>
    </w:p>
    <w:p w14:paraId="339C2DA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本项目产生的固体废物包括生活垃圾、污水处理阶段截留的格栅渣和沉砂、污泥以及设备维修养护过程中产生的废机油、废含油抹布及手套、化验室废液及沾染性废物以及在线监测废液</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项目固废产生量详见表5.2-25</w:t>
      </w:r>
      <w:r>
        <w:rPr>
          <w:rFonts w:hint="default" w:ascii="Times New Roman" w:hAnsi="Times New Roman" w:cs="Times New Roman"/>
          <w:color w:val="auto"/>
          <w:highlight w:val="none"/>
          <w:u w:val="none" w:color="auto"/>
        </w:rPr>
        <w:t>。</w:t>
      </w:r>
    </w:p>
    <w:p w14:paraId="4546570D">
      <w:pPr>
        <w:pStyle w:val="194"/>
        <w:spacing w:line="240" w:lineRule="auto"/>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5.2</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25</w:t>
      </w:r>
      <w:r>
        <w:rPr>
          <w:rFonts w:hint="default" w:ascii="Times New Roman" w:hAnsi="Times New Roman" w:cs="Times New Roman"/>
          <w:color w:val="000000" w:themeColor="text1"/>
          <w:highlight w:val="none"/>
          <w:u w:val="none" w:color="auto"/>
          <w14:textFill>
            <w14:solidFill>
              <w14:schemeClr w14:val="tx1"/>
            </w14:solidFill>
          </w14:textFill>
        </w:rPr>
        <w:t xml:space="preserve">  项目固体废物</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产生量一览表</w:t>
      </w:r>
    </w:p>
    <w:tbl>
      <w:tblPr>
        <w:tblStyle w:val="76"/>
        <w:tblW w:w="492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74"/>
        <w:gridCol w:w="2340"/>
        <w:gridCol w:w="914"/>
        <w:gridCol w:w="1284"/>
        <w:gridCol w:w="831"/>
        <w:gridCol w:w="1909"/>
        <w:gridCol w:w="1013"/>
      </w:tblGrid>
      <w:tr w14:paraId="6621EB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8" w:hRule="atLeast"/>
          <w:jc w:val="center"/>
        </w:trPr>
        <w:tc>
          <w:tcPr>
            <w:tcW w:w="672" w:type="dxa"/>
            <w:tcBorders>
              <w:tl2br w:val="nil"/>
              <w:tr2bl w:val="nil"/>
            </w:tcBorders>
            <w:vAlign w:val="center"/>
          </w:tcPr>
          <w:p w14:paraId="459217F1">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序号</w:t>
            </w:r>
          </w:p>
        </w:tc>
        <w:tc>
          <w:tcPr>
            <w:tcW w:w="2332" w:type="dxa"/>
            <w:tcBorders>
              <w:tl2br w:val="nil"/>
              <w:tr2bl w:val="nil"/>
            </w:tcBorders>
            <w:vAlign w:val="center"/>
          </w:tcPr>
          <w:p w14:paraId="7CDC5A47">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固废名称</w:t>
            </w:r>
          </w:p>
        </w:tc>
        <w:tc>
          <w:tcPr>
            <w:tcW w:w="911" w:type="dxa"/>
            <w:tcBorders>
              <w:tl2br w:val="nil"/>
              <w:tr2bl w:val="nil"/>
            </w:tcBorders>
            <w:vAlign w:val="center"/>
          </w:tcPr>
          <w:p w14:paraId="068DA7BB">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属性</w:t>
            </w:r>
          </w:p>
        </w:tc>
        <w:tc>
          <w:tcPr>
            <w:tcW w:w="1280" w:type="dxa"/>
            <w:tcBorders>
              <w:tl2br w:val="nil"/>
              <w:tr2bl w:val="nil"/>
            </w:tcBorders>
            <w:vAlign w:val="center"/>
          </w:tcPr>
          <w:p w14:paraId="4425588C">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产生工序</w:t>
            </w:r>
          </w:p>
        </w:tc>
        <w:tc>
          <w:tcPr>
            <w:tcW w:w="828" w:type="dxa"/>
            <w:tcBorders>
              <w:tl2br w:val="nil"/>
              <w:tr2bl w:val="nil"/>
            </w:tcBorders>
            <w:vAlign w:val="center"/>
          </w:tcPr>
          <w:p w14:paraId="61A441AE">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形态</w:t>
            </w:r>
          </w:p>
        </w:tc>
        <w:tc>
          <w:tcPr>
            <w:tcW w:w="1903" w:type="dxa"/>
            <w:tcBorders>
              <w:tl2br w:val="nil"/>
              <w:tr2bl w:val="nil"/>
            </w:tcBorders>
            <w:vAlign w:val="center"/>
          </w:tcPr>
          <w:p w14:paraId="4FB2AE4D">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废物代码</w:t>
            </w:r>
          </w:p>
        </w:tc>
        <w:tc>
          <w:tcPr>
            <w:tcW w:w="1010" w:type="dxa"/>
            <w:tcBorders>
              <w:tl2br w:val="nil"/>
              <w:tr2bl w:val="nil"/>
            </w:tcBorders>
            <w:vAlign w:val="center"/>
          </w:tcPr>
          <w:p w14:paraId="4BC0DAB0">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产生量</w:t>
            </w:r>
          </w:p>
          <w:p w14:paraId="1F38CFB9">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（t/a）</w:t>
            </w:r>
          </w:p>
        </w:tc>
      </w:tr>
      <w:tr w14:paraId="3B502E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672" w:type="dxa"/>
            <w:tcBorders>
              <w:tl2br w:val="nil"/>
              <w:tr2bl w:val="nil"/>
            </w:tcBorders>
            <w:vAlign w:val="center"/>
          </w:tcPr>
          <w:p w14:paraId="7F4C66DB">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w:t>
            </w:r>
          </w:p>
        </w:tc>
        <w:tc>
          <w:tcPr>
            <w:tcW w:w="2332" w:type="dxa"/>
            <w:tcBorders>
              <w:tl2br w:val="nil"/>
              <w:tr2bl w:val="nil"/>
            </w:tcBorders>
            <w:vAlign w:val="center"/>
          </w:tcPr>
          <w:p w14:paraId="07C3CF05">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格栅渣</w:t>
            </w:r>
          </w:p>
        </w:tc>
        <w:tc>
          <w:tcPr>
            <w:tcW w:w="911" w:type="dxa"/>
            <w:vMerge w:val="restart"/>
            <w:tcBorders>
              <w:tl2br w:val="nil"/>
              <w:tr2bl w:val="nil"/>
            </w:tcBorders>
            <w:vAlign w:val="center"/>
          </w:tcPr>
          <w:p w14:paraId="754D50DE">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一般工业废物</w:t>
            </w:r>
          </w:p>
        </w:tc>
        <w:tc>
          <w:tcPr>
            <w:tcW w:w="1280" w:type="dxa"/>
            <w:tcBorders>
              <w:tl2br w:val="nil"/>
              <w:tr2bl w:val="nil"/>
            </w:tcBorders>
            <w:vAlign w:val="center"/>
          </w:tcPr>
          <w:p w14:paraId="15E6306E">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粗细格栅</w:t>
            </w:r>
          </w:p>
        </w:tc>
        <w:tc>
          <w:tcPr>
            <w:tcW w:w="828" w:type="dxa"/>
            <w:tcBorders>
              <w:tl2br w:val="nil"/>
              <w:tr2bl w:val="nil"/>
            </w:tcBorders>
            <w:vAlign w:val="center"/>
          </w:tcPr>
          <w:p w14:paraId="28ED91C5">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3" w:type="dxa"/>
            <w:tcBorders>
              <w:tl2br w:val="nil"/>
              <w:tr2bl w:val="nil"/>
            </w:tcBorders>
            <w:vAlign w:val="center"/>
          </w:tcPr>
          <w:p w14:paraId="78CB6D23">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900-999-99</w:t>
            </w:r>
          </w:p>
        </w:tc>
        <w:tc>
          <w:tcPr>
            <w:tcW w:w="1010" w:type="dxa"/>
            <w:tcBorders>
              <w:tl2br w:val="nil"/>
              <w:tr2bl w:val="nil"/>
            </w:tcBorders>
            <w:vAlign w:val="center"/>
          </w:tcPr>
          <w:p w14:paraId="759E3248">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73.584</w:t>
            </w:r>
          </w:p>
        </w:tc>
      </w:tr>
      <w:tr w14:paraId="476EA8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672" w:type="dxa"/>
            <w:tcBorders>
              <w:tl2br w:val="nil"/>
              <w:tr2bl w:val="nil"/>
            </w:tcBorders>
            <w:vAlign w:val="center"/>
          </w:tcPr>
          <w:p w14:paraId="2146CBB3">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w:t>
            </w:r>
          </w:p>
        </w:tc>
        <w:tc>
          <w:tcPr>
            <w:tcW w:w="2332" w:type="dxa"/>
            <w:tcBorders>
              <w:tl2br w:val="nil"/>
              <w:tr2bl w:val="nil"/>
            </w:tcBorders>
            <w:vAlign w:val="center"/>
          </w:tcPr>
          <w:p w14:paraId="2D277AF0">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沉砂</w:t>
            </w:r>
          </w:p>
        </w:tc>
        <w:tc>
          <w:tcPr>
            <w:tcW w:w="911" w:type="dxa"/>
            <w:vMerge w:val="continue"/>
            <w:tcBorders>
              <w:tl2br w:val="nil"/>
              <w:tr2bl w:val="nil"/>
            </w:tcBorders>
            <w:vAlign w:val="center"/>
          </w:tcPr>
          <w:p w14:paraId="75A84C87">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0" w:type="dxa"/>
            <w:tcBorders>
              <w:tl2br w:val="nil"/>
              <w:tr2bl w:val="nil"/>
            </w:tcBorders>
            <w:vAlign w:val="center"/>
          </w:tcPr>
          <w:p w14:paraId="7AC1641C">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沉砂池</w:t>
            </w:r>
          </w:p>
        </w:tc>
        <w:tc>
          <w:tcPr>
            <w:tcW w:w="828" w:type="dxa"/>
            <w:tcBorders>
              <w:tl2br w:val="nil"/>
              <w:tr2bl w:val="nil"/>
            </w:tcBorders>
            <w:vAlign w:val="center"/>
          </w:tcPr>
          <w:p w14:paraId="6B8B3D6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3" w:type="dxa"/>
            <w:tcBorders>
              <w:tl2br w:val="nil"/>
              <w:tr2bl w:val="nil"/>
            </w:tcBorders>
            <w:vAlign w:val="center"/>
          </w:tcPr>
          <w:p w14:paraId="66381BF6">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900-999-99</w:t>
            </w:r>
          </w:p>
        </w:tc>
        <w:tc>
          <w:tcPr>
            <w:tcW w:w="1010" w:type="dxa"/>
            <w:tcBorders>
              <w:tl2br w:val="nil"/>
              <w:tr2bl w:val="nil"/>
            </w:tcBorders>
            <w:vAlign w:val="center"/>
          </w:tcPr>
          <w:p w14:paraId="340F3F3A">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49.275</w:t>
            </w:r>
          </w:p>
        </w:tc>
      </w:tr>
      <w:tr w14:paraId="03CBD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672" w:type="dxa"/>
            <w:tcBorders>
              <w:tl2br w:val="nil"/>
              <w:tr2bl w:val="nil"/>
            </w:tcBorders>
            <w:vAlign w:val="center"/>
          </w:tcPr>
          <w:p w14:paraId="3379E1E1">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3</w:t>
            </w:r>
          </w:p>
        </w:tc>
        <w:tc>
          <w:tcPr>
            <w:tcW w:w="2332" w:type="dxa"/>
            <w:tcBorders>
              <w:tl2br w:val="nil"/>
              <w:tr2bl w:val="nil"/>
            </w:tcBorders>
            <w:vAlign w:val="center"/>
          </w:tcPr>
          <w:p w14:paraId="217E6F3F">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污</w:t>
            </w:r>
            <w:r>
              <w:rPr>
                <w:rFonts w:hint="default" w:ascii="Times New Roman" w:hAnsi="Times New Roman" w:cs="Times New Roman"/>
                <w:color w:val="000000" w:themeColor="text1"/>
                <w:highlight w:val="none"/>
                <w:u w:val="none" w:color="auto"/>
                <w:lang w:eastAsia="zh-CN"/>
                <w14:textFill>
                  <w14:solidFill>
                    <w14:schemeClr w14:val="tx1"/>
                  </w14:solidFill>
                </w14:textFill>
              </w:rPr>
              <w:t>泥</w:t>
            </w:r>
          </w:p>
        </w:tc>
        <w:tc>
          <w:tcPr>
            <w:tcW w:w="911" w:type="dxa"/>
            <w:vMerge w:val="continue"/>
            <w:tcBorders>
              <w:tl2br w:val="nil"/>
              <w:tr2bl w:val="nil"/>
            </w:tcBorders>
            <w:vAlign w:val="center"/>
          </w:tcPr>
          <w:p w14:paraId="75AA9952">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0" w:type="dxa"/>
            <w:tcBorders>
              <w:tl2br w:val="nil"/>
              <w:tr2bl w:val="nil"/>
            </w:tcBorders>
            <w:vAlign w:val="center"/>
          </w:tcPr>
          <w:p w14:paraId="1B8E196E">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污泥脱水</w:t>
            </w:r>
            <w:r>
              <w:rPr>
                <w:rFonts w:hint="default" w:ascii="Times New Roman" w:hAnsi="Times New Roman" w:cs="Times New Roman"/>
                <w:color w:val="000000" w:themeColor="text1"/>
                <w:highlight w:val="none"/>
                <w:u w:val="none" w:color="auto"/>
                <w14:textFill>
                  <w14:solidFill>
                    <w14:schemeClr w14:val="tx1"/>
                  </w14:solidFill>
                </w14:textFill>
              </w:rPr>
              <w:t>机房</w:t>
            </w:r>
          </w:p>
        </w:tc>
        <w:tc>
          <w:tcPr>
            <w:tcW w:w="828" w:type="dxa"/>
            <w:tcBorders>
              <w:tl2br w:val="nil"/>
              <w:tr2bl w:val="nil"/>
            </w:tcBorders>
            <w:vAlign w:val="center"/>
          </w:tcPr>
          <w:p w14:paraId="10D19E1D">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3" w:type="dxa"/>
            <w:tcBorders>
              <w:tl2br w:val="nil"/>
              <w:tr2bl w:val="nil"/>
            </w:tcBorders>
            <w:vAlign w:val="center"/>
          </w:tcPr>
          <w:p w14:paraId="52A530B6">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462-001-62</w:t>
            </w:r>
          </w:p>
        </w:tc>
        <w:tc>
          <w:tcPr>
            <w:tcW w:w="1010" w:type="dxa"/>
            <w:tcBorders>
              <w:tl2br w:val="nil"/>
              <w:tr2bl w:val="nil"/>
            </w:tcBorders>
            <w:vAlign w:val="center"/>
          </w:tcPr>
          <w:p w14:paraId="1272336C">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930.75</w:t>
            </w:r>
          </w:p>
        </w:tc>
      </w:tr>
      <w:tr w14:paraId="00C273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672" w:type="dxa"/>
            <w:tcBorders>
              <w:tl2br w:val="nil"/>
              <w:tr2bl w:val="nil"/>
            </w:tcBorders>
            <w:vAlign w:val="center"/>
          </w:tcPr>
          <w:p w14:paraId="09548E53">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w:t>
            </w:r>
          </w:p>
        </w:tc>
        <w:tc>
          <w:tcPr>
            <w:tcW w:w="2332" w:type="dxa"/>
            <w:tcBorders>
              <w:tl2br w:val="nil"/>
              <w:tr2bl w:val="nil"/>
            </w:tcBorders>
            <w:vAlign w:val="center"/>
          </w:tcPr>
          <w:p w14:paraId="7BA9988B">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生活垃圾</w:t>
            </w:r>
          </w:p>
        </w:tc>
        <w:tc>
          <w:tcPr>
            <w:tcW w:w="911" w:type="dxa"/>
            <w:tcBorders>
              <w:tl2br w:val="nil"/>
              <w:tr2bl w:val="nil"/>
            </w:tcBorders>
            <w:vAlign w:val="center"/>
          </w:tcPr>
          <w:p w14:paraId="4586A1E4">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生活垃圾</w:t>
            </w:r>
          </w:p>
        </w:tc>
        <w:tc>
          <w:tcPr>
            <w:tcW w:w="1280" w:type="dxa"/>
            <w:tcBorders>
              <w:tl2br w:val="nil"/>
              <w:tr2bl w:val="nil"/>
            </w:tcBorders>
            <w:vAlign w:val="center"/>
          </w:tcPr>
          <w:p w14:paraId="708EA734">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职工生活</w:t>
            </w:r>
          </w:p>
        </w:tc>
        <w:tc>
          <w:tcPr>
            <w:tcW w:w="828" w:type="dxa"/>
            <w:tcBorders>
              <w:tl2br w:val="nil"/>
              <w:tr2bl w:val="nil"/>
            </w:tcBorders>
            <w:vAlign w:val="center"/>
          </w:tcPr>
          <w:p w14:paraId="21DAADE2">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3" w:type="dxa"/>
            <w:tcBorders>
              <w:tl2br w:val="nil"/>
              <w:tr2bl w:val="nil"/>
            </w:tcBorders>
            <w:vAlign w:val="center"/>
          </w:tcPr>
          <w:p w14:paraId="3A9F9F8B">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p>
        </w:tc>
        <w:tc>
          <w:tcPr>
            <w:tcW w:w="1010" w:type="dxa"/>
            <w:tcBorders>
              <w:tl2br w:val="nil"/>
              <w:tr2bl w:val="nil"/>
            </w:tcBorders>
            <w:vAlign w:val="center"/>
          </w:tcPr>
          <w:p w14:paraId="557EA4C8">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highlight w:val="none"/>
                <w:u w:val="none" w:color="auto"/>
                <w:lang w:val="en-US" w:eastAsia="zh-CN"/>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5.84</w:t>
            </w:r>
          </w:p>
        </w:tc>
      </w:tr>
      <w:tr w14:paraId="364C10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672" w:type="dxa"/>
            <w:tcBorders>
              <w:tl2br w:val="nil"/>
              <w:tr2bl w:val="nil"/>
            </w:tcBorders>
            <w:vAlign w:val="center"/>
          </w:tcPr>
          <w:p w14:paraId="4A872212">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p>
        </w:tc>
        <w:tc>
          <w:tcPr>
            <w:tcW w:w="2332" w:type="dxa"/>
            <w:tcBorders>
              <w:tl2br w:val="nil"/>
              <w:tr2bl w:val="nil"/>
            </w:tcBorders>
            <w:vAlign w:val="center"/>
          </w:tcPr>
          <w:p w14:paraId="3566579E">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废矿物油</w:t>
            </w:r>
          </w:p>
        </w:tc>
        <w:tc>
          <w:tcPr>
            <w:tcW w:w="911" w:type="dxa"/>
            <w:vMerge w:val="restart"/>
            <w:tcBorders>
              <w:tl2br w:val="nil"/>
              <w:tr2bl w:val="nil"/>
            </w:tcBorders>
            <w:vAlign w:val="center"/>
          </w:tcPr>
          <w:p w14:paraId="28D9F1C6">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危险废物</w:t>
            </w:r>
          </w:p>
        </w:tc>
        <w:tc>
          <w:tcPr>
            <w:tcW w:w="1280" w:type="dxa"/>
            <w:vMerge w:val="restart"/>
            <w:tcBorders>
              <w:tl2br w:val="nil"/>
              <w:tr2bl w:val="nil"/>
            </w:tcBorders>
            <w:vAlign w:val="center"/>
          </w:tcPr>
          <w:p w14:paraId="0B59E243">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设备维修养护</w:t>
            </w:r>
          </w:p>
        </w:tc>
        <w:tc>
          <w:tcPr>
            <w:tcW w:w="828" w:type="dxa"/>
            <w:tcBorders>
              <w:tl2br w:val="nil"/>
              <w:tr2bl w:val="nil"/>
            </w:tcBorders>
            <w:vAlign w:val="center"/>
          </w:tcPr>
          <w:p w14:paraId="77C8002C">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3" w:type="dxa"/>
            <w:tcBorders>
              <w:tl2br w:val="nil"/>
              <w:tr2bl w:val="nil"/>
            </w:tcBorders>
            <w:vAlign w:val="center"/>
          </w:tcPr>
          <w:p w14:paraId="06FA3604">
            <w:pPr>
              <w:pStyle w:val="159"/>
              <w:keepNext w:val="0"/>
              <w:keepLines w:val="0"/>
              <w:suppressLineNumbers w:val="0"/>
              <w:spacing w:before="0" w:beforeAutospacing="0" w:after="0" w:afterAutospacing="0"/>
              <w:ind w:left="0" w:right="0"/>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HW08 900-214-08</w:t>
            </w:r>
          </w:p>
        </w:tc>
        <w:tc>
          <w:tcPr>
            <w:tcW w:w="1010" w:type="dxa"/>
            <w:tcBorders>
              <w:tl2br w:val="nil"/>
              <w:tr2bl w:val="nil"/>
            </w:tcBorders>
            <w:vAlign w:val="center"/>
          </w:tcPr>
          <w:p w14:paraId="7A35B2E2">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0.1</w:t>
            </w:r>
          </w:p>
        </w:tc>
      </w:tr>
      <w:tr w14:paraId="46AFE0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672" w:type="dxa"/>
            <w:tcBorders>
              <w:tl2br w:val="nil"/>
              <w:tr2bl w:val="nil"/>
            </w:tcBorders>
            <w:vAlign w:val="center"/>
          </w:tcPr>
          <w:p w14:paraId="090BB332">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w:t>
            </w:r>
          </w:p>
        </w:tc>
        <w:tc>
          <w:tcPr>
            <w:tcW w:w="2332" w:type="dxa"/>
            <w:tcBorders>
              <w:tl2br w:val="nil"/>
              <w:tr2bl w:val="nil"/>
            </w:tcBorders>
            <w:vAlign w:val="center"/>
          </w:tcPr>
          <w:p w14:paraId="3831A7D9">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废含油抹布及手套</w:t>
            </w:r>
          </w:p>
        </w:tc>
        <w:tc>
          <w:tcPr>
            <w:tcW w:w="911" w:type="dxa"/>
            <w:vMerge w:val="continue"/>
            <w:tcBorders>
              <w:tl2br w:val="nil"/>
              <w:tr2bl w:val="nil"/>
            </w:tcBorders>
            <w:vAlign w:val="center"/>
          </w:tcPr>
          <w:p w14:paraId="7C094F26">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0" w:type="dxa"/>
            <w:vMerge w:val="continue"/>
            <w:tcBorders>
              <w:tl2br w:val="nil"/>
              <w:tr2bl w:val="nil"/>
            </w:tcBorders>
            <w:vAlign w:val="center"/>
          </w:tcPr>
          <w:p w14:paraId="64F889C3">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828" w:type="dxa"/>
            <w:tcBorders>
              <w:tl2br w:val="nil"/>
              <w:tr2bl w:val="nil"/>
            </w:tcBorders>
            <w:vAlign w:val="center"/>
          </w:tcPr>
          <w:p w14:paraId="2825B6C4">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3" w:type="dxa"/>
            <w:tcBorders>
              <w:tl2br w:val="nil"/>
              <w:tr2bl w:val="nil"/>
            </w:tcBorders>
            <w:vAlign w:val="center"/>
          </w:tcPr>
          <w:p w14:paraId="4400F795">
            <w:pPr>
              <w:pStyle w:val="159"/>
              <w:keepNext w:val="0"/>
              <w:keepLines w:val="0"/>
              <w:suppressLineNumbers w:val="0"/>
              <w:spacing w:before="0" w:beforeAutospacing="0" w:after="0" w:afterAutospacing="0"/>
              <w:ind w:left="0" w:right="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HW49 900-041-49</w:t>
            </w:r>
          </w:p>
        </w:tc>
        <w:tc>
          <w:tcPr>
            <w:tcW w:w="1010" w:type="dxa"/>
            <w:tcBorders>
              <w:tl2br w:val="nil"/>
              <w:tr2bl w:val="nil"/>
            </w:tcBorders>
            <w:vAlign w:val="center"/>
          </w:tcPr>
          <w:p w14:paraId="0A3C2407">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0.01</w:t>
            </w:r>
          </w:p>
        </w:tc>
      </w:tr>
      <w:tr w14:paraId="38225F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672" w:type="dxa"/>
            <w:tcBorders>
              <w:tl2br w:val="nil"/>
              <w:tr2bl w:val="nil"/>
            </w:tcBorders>
            <w:vAlign w:val="center"/>
          </w:tcPr>
          <w:p w14:paraId="6889E0EE">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w:t>
            </w:r>
          </w:p>
        </w:tc>
        <w:tc>
          <w:tcPr>
            <w:tcW w:w="2332" w:type="dxa"/>
            <w:tcBorders>
              <w:tl2br w:val="nil"/>
              <w:tr2bl w:val="nil"/>
            </w:tcBorders>
            <w:vAlign w:val="center"/>
          </w:tcPr>
          <w:p w14:paraId="5D797299">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在线监测废液</w:t>
            </w:r>
          </w:p>
        </w:tc>
        <w:tc>
          <w:tcPr>
            <w:tcW w:w="911" w:type="dxa"/>
            <w:vMerge w:val="continue"/>
            <w:tcBorders>
              <w:tl2br w:val="nil"/>
              <w:tr2bl w:val="nil"/>
            </w:tcBorders>
            <w:vAlign w:val="center"/>
          </w:tcPr>
          <w:p w14:paraId="377A7D9E">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0" w:type="dxa"/>
            <w:tcBorders>
              <w:tl2br w:val="nil"/>
              <w:tr2bl w:val="nil"/>
            </w:tcBorders>
            <w:vAlign w:val="center"/>
          </w:tcPr>
          <w:p w14:paraId="603A9174">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在线监测</w:t>
            </w:r>
          </w:p>
        </w:tc>
        <w:tc>
          <w:tcPr>
            <w:tcW w:w="828" w:type="dxa"/>
            <w:tcBorders>
              <w:tl2br w:val="nil"/>
              <w:tr2bl w:val="nil"/>
            </w:tcBorders>
            <w:vAlign w:val="center"/>
          </w:tcPr>
          <w:p w14:paraId="74ABA21C">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液态</w:t>
            </w:r>
          </w:p>
        </w:tc>
        <w:tc>
          <w:tcPr>
            <w:tcW w:w="1903" w:type="dxa"/>
            <w:tcBorders>
              <w:tl2br w:val="nil"/>
              <w:tr2bl w:val="nil"/>
            </w:tcBorders>
            <w:vAlign w:val="center"/>
          </w:tcPr>
          <w:p w14:paraId="5105DB0C">
            <w:pPr>
              <w:pStyle w:val="159"/>
              <w:keepNext w:val="0"/>
              <w:keepLines w:val="0"/>
              <w:suppressLineNumbers w:val="0"/>
              <w:spacing w:before="0" w:beforeAutospacing="0" w:after="0" w:afterAutospacing="0"/>
              <w:ind w:left="0" w:right="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HW49 900-047-49</w:t>
            </w:r>
          </w:p>
        </w:tc>
        <w:tc>
          <w:tcPr>
            <w:tcW w:w="1010" w:type="dxa"/>
            <w:tcBorders>
              <w:tl2br w:val="nil"/>
              <w:tr2bl w:val="nil"/>
            </w:tcBorders>
            <w:vAlign w:val="center"/>
          </w:tcPr>
          <w:p w14:paraId="53BDCB20">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2.4</w:t>
            </w:r>
          </w:p>
        </w:tc>
      </w:tr>
      <w:tr w14:paraId="3DD7F8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672" w:type="dxa"/>
            <w:tcBorders>
              <w:tl2br w:val="nil"/>
              <w:tr2bl w:val="nil"/>
            </w:tcBorders>
            <w:vAlign w:val="center"/>
          </w:tcPr>
          <w:p w14:paraId="312048E6">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w:t>
            </w:r>
          </w:p>
        </w:tc>
        <w:tc>
          <w:tcPr>
            <w:tcW w:w="2332" w:type="dxa"/>
            <w:tcBorders>
              <w:tl2br w:val="nil"/>
              <w:tr2bl w:val="nil"/>
            </w:tcBorders>
            <w:vAlign w:val="center"/>
          </w:tcPr>
          <w:p w14:paraId="5B309B6D">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化验室废液</w:t>
            </w:r>
          </w:p>
        </w:tc>
        <w:tc>
          <w:tcPr>
            <w:tcW w:w="911" w:type="dxa"/>
            <w:vMerge w:val="continue"/>
            <w:tcBorders>
              <w:tl2br w:val="nil"/>
              <w:tr2bl w:val="nil"/>
            </w:tcBorders>
            <w:vAlign w:val="center"/>
          </w:tcPr>
          <w:p w14:paraId="3535C809">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0" w:type="dxa"/>
            <w:vMerge w:val="restart"/>
            <w:tcBorders>
              <w:tl2br w:val="nil"/>
              <w:tr2bl w:val="nil"/>
            </w:tcBorders>
            <w:vAlign w:val="center"/>
          </w:tcPr>
          <w:p w14:paraId="7FFE8962">
            <w:pPr>
              <w:pStyle w:val="159"/>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污水检测</w:t>
            </w:r>
          </w:p>
        </w:tc>
        <w:tc>
          <w:tcPr>
            <w:tcW w:w="828" w:type="dxa"/>
            <w:tcBorders>
              <w:tl2br w:val="nil"/>
              <w:tr2bl w:val="nil"/>
            </w:tcBorders>
            <w:vAlign w:val="center"/>
          </w:tcPr>
          <w:p w14:paraId="43F88DEF">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液态</w:t>
            </w:r>
          </w:p>
        </w:tc>
        <w:tc>
          <w:tcPr>
            <w:tcW w:w="1903" w:type="dxa"/>
            <w:tcBorders>
              <w:tl2br w:val="nil"/>
              <w:tr2bl w:val="nil"/>
            </w:tcBorders>
            <w:vAlign w:val="center"/>
          </w:tcPr>
          <w:p w14:paraId="411B10A0">
            <w:pPr>
              <w:pStyle w:val="159"/>
              <w:keepNext w:val="0"/>
              <w:keepLines w:val="0"/>
              <w:suppressLineNumbers w:val="0"/>
              <w:spacing w:before="0" w:beforeAutospacing="0" w:after="0" w:afterAutospacing="0"/>
              <w:ind w:left="0" w:right="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HW49 900-047-49</w:t>
            </w:r>
          </w:p>
        </w:tc>
        <w:tc>
          <w:tcPr>
            <w:tcW w:w="1010" w:type="dxa"/>
            <w:tcBorders>
              <w:tl2br w:val="nil"/>
              <w:tr2bl w:val="nil"/>
            </w:tcBorders>
            <w:vAlign w:val="center"/>
          </w:tcPr>
          <w:p w14:paraId="148B8DD6">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0.3</w:t>
            </w:r>
          </w:p>
        </w:tc>
      </w:tr>
      <w:tr w14:paraId="188693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672" w:type="dxa"/>
            <w:tcBorders>
              <w:tl2br w:val="nil"/>
              <w:tr2bl w:val="nil"/>
            </w:tcBorders>
            <w:vAlign w:val="center"/>
          </w:tcPr>
          <w:p w14:paraId="541FC757">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9</w:t>
            </w:r>
          </w:p>
        </w:tc>
        <w:tc>
          <w:tcPr>
            <w:tcW w:w="2332" w:type="dxa"/>
            <w:tcBorders>
              <w:tl2br w:val="nil"/>
              <w:tr2bl w:val="nil"/>
            </w:tcBorders>
            <w:vAlign w:val="center"/>
          </w:tcPr>
          <w:p w14:paraId="6A931543">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沾染性废物</w:t>
            </w:r>
          </w:p>
        </w:tc>
        <w:tc>
          <w:tcPr>
            <w:tcW w:w="911" w:type="dxa"/>
            <w:vMerge w:val="continue"/>
            <w:tcBorders>
              <w:tl2br w:val="nil"/>
              <w:tr2bl w:val="nil"/>
            </w:tcBorders>
            <w:vAlign w:val="center"/>
          </w:tcPr>
          <w:p w14:paraId="52BC78D2">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280" w:type="dxa"/>
            <w:vMerge w:val="continue"/>
            <w:tcBorders>
              <w:tl2br w:val="nil"/>
              <w:tr2bl w:val="nil"/>
            </w:tcBorders>
            <w:vAlign w:val="center"/>
          </w:tcPr>
          <w:p w14:paraId="3D225A43">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828" w:type="dxa"/>
            <w:tcBorders>
              <w:tl2br w:val="nil"/>
              <w:tr2bl w:val="nil"/>
            </w:tcBorders>
            <w:vAlign w:val="center"/>
          </w:tcPr>
          <w:p w14:paraId="5CF82A06">
            <w:pPr>
              <w:pStyle w:val="15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固态</w:t>
            </w:r>
          </w:p>
        </w:tc>
        <w:tc>
          <w:tcPr>
            <w:tcW w:w="1903" w:type="dxa"/>
            <w:tcBorders>
              <w:tl2br w:val="nil"/>
              <w:tr2bl w:val="nil"/>
            </w:tcBorders>
            <w:vAlign w:val="center"/>
          </w:tcPr>
          <w:p w14:paraId="049F33EC">
            <w:pPr>
              <w:pStyle w:val="159"/>
              <w:keepNext w:val="0"/>
              <w:keepLines w:val="0"/>
              <w:suppressLineNumbers w:val="0"/>
              <w:spacing w:before="0" w:beforeAutospacing="0" w:after="0" w:afterAutospacing="0"/>
              <w:ind w:left="0" w:right="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HW49 900-041-49</w:t>
            </w:r>
          </w:p>
        </w:tc>
        <w:tc>
          <w:tcPr>
            <w:tcW w:w="1010" w:type="dxa"/>
            <w:tcBorders>
              <w:tl2br w:val="nil"/>
              <w:tr2bl w:val="nil"/>
            </w:tcBorders>
            <w:vAlign w:val="center"/>
          </w:tcPr>
          <w:p w14:paraId="6F3D7649">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lang w:val="en-US" w:eastAsia="zh-CN"/>
              </w:rPr>
              <w:t>0.15</w:t>
            </w:r>
          </w:p>
        </w:tc>
      </w:tr>
    </w:tbl>
    <w:p w14:paraId="60F8E58B">
      <w:pPr>
        <w:pStyle w:val="5"/>
        <w:numPr>
          <w:ilvl w:val="2"/>
          <w:numId w:val="0"/>
        </w:numPr>
        <w:ind w:firstLine="482" w:firstLineChars="200"/>
        <w:outlineLvl w:val="3"/>
        <w:rPr>
          <w:rFonts w:hint="default" w:ascii="Times New Roman" w:hAnsi="Times New Roman" w:cs="Times New Roman"/>
          <w:color w:val="auto"/>
          <w:sz w:val="24"/>
          <w:szCs w:val="28"/>
          <w:highlight w:val="none"/>
          <w:u w:val="none" w:color="auto"/>
          <w:lang w:val="en-US" w:eastAsia="zh-CN"/>
        </w:rPr>
      </w:pPr>
      <w:r>
        <w:rPr>
          <w:rFonts w:hint="default" w:ascii="Times New Roman" w:hAnsi="Times New Roman" w:cs="Times New Roman"/>
          <w:color w:val="auto"/>
          <w:sz w:val="24"/>
          <w:szCs w:val="28"/>
          <w:highlight w:val="none"/>
          <w:u w:val="none" w:color="auto"/>
          <w:lang w:val="en-US" w:eastAsia="zh-CN"/>
        </w:rPr>
        <w:t>5.2.5.2 固体废物处置措施</w:t>
      </w:r>
    </w:p>
    <w:p w14:paraId="3108DE31">
      <w:pPr>
        <w:pStyle w:val="74"/>
        <w:spacing w:after="0"/>
        <w:ind w:firstLine="480" w:firstLineChars="200"/>
        <w:rPr>
          <w:rFonts w:hint="default" w:ascii="Times New Roman" w:hAnsi="Times New Roman" w:eastAsia="宋体" w:cs="Times New Roman"/>
          <w:color w:val="auto"/>
          <w:highlight w:val="none"/>
          <w:u w:val="none" w:color="auto"/>
          <w:lang w:val="en-US" w:eastAsia="zh-CN"/>
        </w:rPr>
      </w:pPr>
      <w:bookmarkStart w:id="132" w:name="_Hlk33543078"/>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项目设置有污泥脱水间，污泥经浓缩脱水后，含水率低于60%，暂存于污泥脱水间，委托</w:t>
      </w:r>
      <w:r>
        <w:rPr>
          <w:rFonts w:hint="default" w:ascii="Times New Roman" w:hAnsi="Times New Roman" w:cs="Times New Roman"/>
          <w:color w:val="000000" w:themeColor="text1"/>
          <w:highlight w:val="none"/>
          <w:u w:val="none" w:color="auto"/>
          <w:lang w:eastAsia="zh-CN"/>
          <w14:textFill>
            <w14:solidFill>
              <w14:schemeClr w14:val="tx1"/>
            </w14:solidFill>
          </w14:textFill>
        </w:rPr>
        <w:t>益阳海螺环保科技有限责任公司</w:t>
      </w:r>
      <w:r>
        <w:rPr>
          <w:rFonts w:hint="default" w:ascii="Times New Roman" w:hAnsi="Times New Roman" w:cs="Times New Roman"/>
          <w:color w:val="000000" w:themeColor="text1"/>
          <w:highlight w:val="none"/>
          <w:u w:val="none" w:color="auto"/>
          <w14:textFill>
            <w14:solidFill>
              <w14:schemeClr w14:val="tx1"/>
            </w14:solidFill>
          </w14:textFill>
        </w:rPr>
        <w:t>进行处置</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p>
    <w:p w14:paraId="1365C523">
      <w:pPr>
        <w:pStyle w:val="189"/>
        <w:ind w:left="0" w:leftChars="0" w:firstLine="420" w:firstLineChars="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lang w:eastAsia="zh-CN"/>
        </w:rPr>
        <w:t>）污水处理过程产生的栅渣、沉砂和员工生活垃圾分类收集后，暂存于厂区内垃圾收集点，由当地环卫部门定期清运处理。</w:t>
      </w:r>
    </w:p>
    <w:p w14:paraId="3E7F5028">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设备维修养护过程中产生的废机油、废含油抹布及手套、化验室废液及沾染性废物以及在线监测废液采</w:t>
      </w:r>
      <w:r>
        <w:rPr>
          <w:rFonts w:hint="default" w:ascii="Times New Roman" w:hAnsi="Times New Roman" w:cs="Times New Roman"/>
          <w:color w:val="auto"/>
          <w:highlight w:val="none"/>
          <w:u w:val="none" w:color="auto"/>
          <w:lang w:val="en-US" w:eastAsia="zh-CN"/>
        </w:rPr>
        <w:t>分类</w:t>
      </w:r>
      <w:r>
        <w:rPr>
          <w:rFonts w:hint="default" w:ascii="Times New Roman" w:hAnsi="Times New Roman" w:cs="Times New Roman"/>
          <w:color w:val="auto"/>
          <w:highlight w:val="none"/>
          <w:u w:val="none" w:color="auto"/>
        </w:rPr>
        <w:t>收集后，暂存于危废间，委托有相应危废处置资质的单位进行处置。</w:t>
      </w:r>
    </w:p>
    <w:p w14:paraId="6414273C">
      <w:pPr>
        <w:pStyle w:val="5"/>
        <w:numPr>
          <w:ilvl w:val="2"/>
          <w:numId w:val="0"/>
        </w:numPr>
        <w:ind w:firstLine="482" w:firstLineChars="200"/>
        <w:outlineLvl w:val="3"/>
        <w:rPr>
          <w:rFonts w:hint="default" w:ascii="Times New Roman" w:hAnsi="Times New Roman" w:cs="Times New Roman"/>
          <w:color w:val="auto"/>
          <w:sz w:val="24"/>
          <w:szCs w:val="28"/>
          <w:highlight w:val="none"/>
          <w:u w:val="none" w:color="auto"/>
          <w:lang w:val="en-US" w:eastAsia="zh-CN"/>
        </w:rPr>
      </w:pPr>
      <w:r>
        <w:rPr>
          <w:rFonts w:hint="default" w:ascii="Times New Roman" w:hAnsi="Times New Roman" w:cs="Times New Roman"/>
          <w:color w:val="auto"/>
          <w:sz w:val="24"/>
          <w:szCs w:val="28"/>
          <w:highlight w:val="none"/>
          <w:u w:val="none" w:color="auto"/>
          <w:lang w:val="en-US" w:eastAsia="zh-CN"/>
        </w:rPr>
        <w:t>5.2.5.3 固废临时贮存场及处置过程相关要求</w:t>
      </w:r>
    </w:p>
    <w:p w14:paraId="65A1F4E1">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（1）危险废物</w:t>
      </w:r>
    </w:p>
    <w:p w14:paraId="637DC520">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项目危废间应按照《危险废物贮存污染控制标准》(GB18597-2023)相关要求贮存、利用、处置危险废物，不得擅自倾倒、堆放。</w:t>
      </w:r>
    </w:p>
    <w:p w14:paraId="636D5A3B">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1）收集要求</w:t>
      </w:r>
    </w:p>
    <w:p w14:paraId="18E7E0BB">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①配置专职人员专门负责厂区危险废物的收集，并采用符合要求的封闭式收集容器或包装袋进行收集，收集人员配备个人防护设备。</w:t>
      </w:r>
    </w:p>
    <w:p w14:paraId="20981CD6">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②应在醒目位置贴有危险废物标签，在收集场所及暂存区醒目的地方设置危险废物警告标识。</w:t>
      </w:r>
    </w:p>
    <w:p w14:paraId="3B67BCEA">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③危险废物标签应标明以下信息：废物形态、危险特性、主要成分、有害成分、产生时间、重量、负责人及联系方式等。</w:t>
      </w:r>
    </w:p>
    <w:p w14:paraId="74C5FE98">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④危险废物在产生点收集后严格按照指定路线转移运输至危险废物堆场，运输过程采用专用运输工具。</w:t>
      </w:r>
    </w:p>
    <w:p w14:paraId="2A28C093">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2）暂存场建设要求</w:t>
      </w:r>
    </w:p>
    <w:p w14:paraId="7AED6DDF">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①贮存设施或场所、容器和包装物应按《危险废物识别标志设置技术规范》（HJ1276-2022）要求设置危险废物贮存设施或场所标志、危险废物贮存分区标志和危险废物标签等危险废物识别标志。</w:t>
      </w:r>
    </w:p>
    <w:p w14:paraId="3792F653">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②贮存设施应根据危险废物的形态、物理化学性质、包装形式和污染物迁移途径，采取必要的防风、防晒、防雨、防漏、防渗、防腐以及其他环境污染防治措施，不应露天堆放危险废物。</w:t>
      </w:r>
    </w:p>
    <w:p w14:paraId="631E64E7">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③贮存设施应根据危险废物的类别、数量、形态、物理化学性质和污染防治等要求设置必要的贮存分区，避免不相容的危险废物接触、混合。</w:t>
      </w:r>
    </w:p>
    <w:p w14:paraId="6F037D81">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④贮存设施或贮存分区内地面、墙面裙角、堵截泄漏的围堰、接触危险废物的隔板和墙体等应采用坚固的材料建造，表面无裂缝。</w:t>
      </w:r>
    </w:p>
    <w:p w14:paraId="7426E1E4">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⑤贮存设施地面与裙脚应采取表面防渗措施；表面防渗材料应与所接触的物料或污染物相容，可采用抗渗混凝土、高密度聚乙烯膜、钠基膨润土防水毯或其他防渗性能等</w:t>
      </w:r>
    </w:p>
    <w:p w14:paraId="4DECD182">
      <w:pPr>
        <w:pStyle w:val="189"/>
        <w:ind w:left="0" w:lef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效的材料。贮存的危险废物直接接触地面的，还应进行基础防渗，防渗层为至少1m厚黏</w:t>
      </w:r>
    </w:p>
    <w:p w14:paraId="56F89EC1">
      <w:pPr>
        <w:pStyle w:val="189"/>
        <w:ind w:left="0" w:lef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土层（渗透系数不大于10</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-7</w:t>
      </w:r>
      <w:r>
        <w:rPr>
          <w:rFonts w:hint="default" w:ascii="Times New Roman" w:hAnsi="Times New Roman" w:cs="Times New Roman"/>
          <w:color w:val="000000" w:themeColor="text1"/>
          <w:highlight w:val="none"/>
          <w:u w:val="none" w:color="auto"/>
          <w14:textFill>
            <w14:solidFill>
              <w14:schemeClr w14:val="tx1"/>
            </w14:solidFill>
          </w14:textFill>
        </w:rPr>
        <w:t>cm/s），或至少2mm厚高密度聚乙烯膜等人工防渗材料（渗</w:t>
      </w:r>
    </w:p>
    <w:p w14:paraId="778FB3B8">
      <w:pPr>
        <w:pStyle w:val="189"/>
        <w:ind w:left="0" w:lef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透系数不大于10</w:t>
      </w:r>
      <w:r>
        <w:rPr>
          <w:rFonts w:hint="default" w:ascii="Times New Roman" w:hAnsi="Times New Roman" w:cs="Times New Roman"/>
          <w:color w:val="000000" w:themeColor="text1"/>
          <w:highlight w:val="none"/>
          <w:u w:val="none" w:color="auto"/>
          <w:vertAlign w:val="superscript"/>
          <w14:textFill>
            <w14:solidFill>
              <w14:schemeClr w14:val="tx1"/>
            </w14:solidFill>
          </w14:textFill>
        </w:rPr>
        <w:t>-10</w:t>
      </w:r>
      <w:r>
        <w:rPr>
          <w:rFonts w:hint="default" w:ascii="Times New Roman" w:hAnsi="Times New Roman" w:cs="Times New Roman"/>
          <w:color w:val="000000" w:themeColor="text1"/>
          <w:highlight w:val="none"/>
          <w:u w:val="none" w:color="auto"/>
          <w14:textFill>
            <w14:solidFill>
              <w14:schemeClr w14:val="tx1"/>
            </w14:solidFill>
          </w14:textFill>
        </w:rPr>
        <w:t>cm/s），或其他防渗性能等效的材料。</w:t>
      </w:r>
    </w:p>
    <w:p w14:paraId="276FE224">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⑥半固态危险废物应装入容器或包装袋内贮存。</w:t>
      </w:r>
    </w:p>
    <w:p w14:paraId="51B56167">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3）危废的转移和运输</w:t>
      </w:r>
    </w:p>
    <w:p w14:paraId="669C2D8F">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制定危废管理计划，明确转移危险废物的种类、重量（数量）和流向等信息；建立危废管理台账，如实记录并妥善保存拟转移危险废物的种类、重量（数量）和接收人等相关信息。</w:t>
      </w:r>
    </w:p>
    <w:p w14:paraId="35F9306A">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转移前需对承运人或者接收人的主体资格和技术能力进行核实，依法签订书面合同，并在合同中约定运输、贮存、利用、处置危险废物的污染防治要求及相关责任；转移前产废单位需提前填报转移计划，并备案通过，提前发起电子联单，如实填写移出人、承运人、接收人信息，转移危险废物的种类、重量（数量）、危险特性等信息，以及突发环境事件的防范措施等；</w:t>
      </w:r>
    </w:p>
    <w:p w14:paraId="7B9BAC65">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4）环境管理要求</w:t>
      </w:r>
    </w:p>
    <w:p w14:paraId="2634833B">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①建立贮存设施环境管理制度、管理人员岗位职责制度、设施运行操作制度及人员岗位培训制度等；</w:t>
      </w:r>
    </w:p>
    <w:p w14:paraId="3852CCE7">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②应定期检查危险废物的贮存状况，及时清理贮存设施地面，更换破损泄漏的危险废物贮存容器和包装物，保证堆存危险废物的防雨、防风、防扬尘等设施功能完好。</w:t>
      </w:r>
    </w:p>
    <w:p w14:paraId="7EB47718">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③危废暂存间应有固定边界，并采取措施与其他区域进行隔离；</w:t>
      </w:r>
    </w:p>
    <w:p w14:paraId="286D70DB">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④对危险废物的容器和包装物以及收集、贮存、运输、处置危险废物的设施、场所，必须设置危险废物识别标志；</w:t>
      </w:r>
    </w:p>
    <w:p w14:paraId="7170C20D">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⑤建立危险废物管理台账，记录厂区内危险废物的产生、贮存、处置等情况。</w:t>
      </w:r>
    </w:p>
    <w:p w14:paraId="5A0BFAE2">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⑥禁止将危险废物提供或者委托给无经营许可证的单位从事收集、贮存、利用、处置的经营活动。</w:t>
      </w:r>
    </w:p>
    <w:p w14:paraId="3BB26DEF">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（2）一般工业固废</w:t>
      </w:r>
    </w:p>
    <w:p w14:paraId="66658108">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项目污泥脱水间区域参照《一般工业固体废物贮存和填埋污染控制标准》(GB18599-2020)进行规范建设，其贮存过程应满足相应防渗漏、防雨淋、防扬尘等环境保护要求。</w:t>
      </w:r>
    </w:p>
    <w:p w14:paraId="4B7CAB21">
      <w:pPr>
        <w:pStyle w:val="5"/>
        <w:numPr>
          <w:ilvl w:val="2"/>
          <w:numId w:val="0"/>
        </w:numPr>
        <w:ind w:firstLine="482" w:firstLineChars="200"/>
        <w:outlineLvl w:val="3"/>
        <w:rPr>
          <w:rFonts w:hint="default" w:ascii="Times New Roman" w:hAnsi="Times New Roman" w:cs="Times New Roman"/>
          <w:color w:val="auto"/>
          <w:sz w:val="24"/>
          <w:szCs w:val="28"/>
          <w:highlight w:val="none"/>
          <w:u w:val="none" w:color="auto"/>
          <w:lang w:val="en-US" w:eastAsia="zh-CN"/>
        </w:rPr>
      </w:pPr>
      <w:r>
        <w:rPr>
          <w:rFonts w:hint="default" w:ascii="Times New Roman" w:hAnsi="Times New Roman" w:cs="Times New Roman"/>
          <w:color w:val="auto"/>
          <w:sz w:val="24"/>
          <w:szCs w:val="28"/>
          <w:highlight w:val="none"/>
          <w:u w:val="none" w:color="auto"/>
          <w:lang w:val="en-US" w:eastAsia="zh-CN"/>
        </w:rPr>
        <w:t>5.2.5.4 固体废物对环境的影响分析</w:t>
      </w:r>
    </w:p>
    <w:p w14:paraId="107C5056">
      <w:pPr>
        <w:pStyle w:val="189"/>
        <w:ind w:left="0" w:leftChars="0"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危险废物</w:t>
      </w:r>
    </w:p>
    <w:p w14:paraId="471C55F2">
      <w:pPr>
        <w:pStyle w:val="189"/>
        <w:ind w:left="0" w:leftChars="0"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项目在厂内加药间南侧设置危废暂存间，按《危险废物贮存污染控制标准》(GB18597-2023)要求规范化设计，选址满足GB18597-2023相关要求。</w:t>
      </w:r>
    </w:p>
    <w:p w14:paraId="45944848">
      <w:pPr>
        <w:pStyle w:val="189"/>
        <w:ind w:left="0" w:leftChars="0"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危废暂存间占地18.9m</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，最大贮存能力为10t，项目在线监测废液产生量为2.4t，化验室废液0.3t，沾染性废物0.15t，废矿物油0.1t，废含油抹布及手套0.01t，危废半年~一年转运一次，危废暂存间贮存能力满足危废的暂存需求。</w:t>
      </w:r>
    </w:p>
    <w:p w14:paraId="2CFC9638">
      <w:pPr>
        <w:pStyle w:val="189"/>
        <w:ind w:left="0" w:leftChars="0"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项目主要危险废物均采用封闭式桶装，并在底部设置环保托盘，危废正常贮存并在加强管理的条件下不会对周边环境造成太大影响；危险废物需委托有相应处置资质的单位进行处置，严禁将危险废物提供或者委托给无经营许可证的单位处置。</w:t>
      </w:r>
    </w:p>
    <w:p w14:paraId="3086566E">
      <w:pPr>
        <w:pStyle w:val="189"/>
        <w:numPr>
          <w:ilvl w:val="0"/>
          <w:numId w:val="0"/>
        </w:numPr>
        <w:ind w:left="420" w:left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（2）一般工业固废</w:t>
      </w:r>
    </w:p>
    <w:p w14:paraId="3AC762DB">
      <w:pPr>
        <w:pStyle w:val="189"/>
        <w:numPr>
          <w:ilvl w:val="0"/>
          <w:numId w:val="0"/>
        </w:numPr>
        <w:ind w:left="420" w:left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①污泥</w:t>
      </w:r>
    </w:p>
    <w:p w14:paraId="3F139D4B">
      <w:pPr>
        <w:pStyle w:val="189"/>
        <w:numPr>
          <w:ilvl w:val="0"/>
          <w:numId w:val="0"/>
        </w:numPr>
        <w:ind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环境保护部《关于污（废）水处理设施产生污泥危险特性鉴别有关意见的函》（环函[2010]129号）中明确指出：单纯用于处理城镇生活污水的公共污水处理厂，其产生的污泥通常情况下不具有危险特性，可作为一般固体废物管理。为确保项目污泥妥善处置，避免对周围环境造成影响，项目污泥暂存及处理过程要求如下：</w:t>
      </w:r>
    </w:p>
    <w:p w14:paraId="12873FD9">
      <w:pPr>
        <w:pStyle w:val="189"/>
        <w:numPr>
          <w:ilvl w:val="0"/>
          <w:numId w:val="18"/>
        </w:numPr>
        <w:ind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污泥暂存场所</w:t>
      </w:r>
    </w:p>
    <w:p w14:paraId="205C1933">
      <w:pPr>
        <w:pStyle w:val="189"/>
        <w:numPr>
          <w:ilvl w:val="0"/>
          <w:numId w:val="0"/>
        </w:numP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   设置封闭式干泥仓，最大储存量为20t，并设置抽气装置，废气收集后进入生物除臭塔内净化处理。要求项目污泥及时清运，减少恶臭排放。</w:t>
      </w:r>
    </w:p>
    <w:p w14:paraId="2096C664">
      <w:pPr>
        <w:pStyle w:val="189"/>
        <w:numPr>
          <w:ilvl w:val="0"/>
          <w:numId w:val="0"/>
        </w:numPr>
        <w:ind w:firstLine="480" w:firstLineChars="20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2）确保污泥安全运输</w:t>
      </w:r>
    </w:p>
    <w:p w14:paraId="0C5C6F8F">
      <w:pPr>
        <w:pStyle w:val="189"/>
        <w:numPr>
          <w:ilvl w:val="0"/>
          <w:numId w:val="0"/>
        </w:numPr>
        <w:ind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对本污水处理厂污泥转运实行四联单制度。由污水处理厂将转运污泥的时间、数量、去向等统一登记在四联单上，联单随污泥一并转移。污水处理厂、污泥运输单位和污泥接收单位分别签字盖章后，各保留一联，并由污水处理厂报当地环保部门一联备案。</w:t>
      </w:r>
    </w:p>
    <w:p w14:paraId="51BE9C23">
      <w:pPr>
        <w:pStyle w:val="189"/>
        <w:numPr>
          <w:ilvl w:val="0"/>
          <w:numId w:val="0"/>
        </w:numPr>
        <w:ind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污泥运输车辆应采用密闭车辆，符合不洒、不漏的要求，在运输过程中要加强管理，保持车辆完好，不使车子有漏孔，车辆装载量要合适，不要超载，并尽量绕开闹市区，严禁随意倾倒、偷排等违法行为，防止因暴露、洒落或滴漏造成对环境的二次污染。</w:t>
      </w:r>
    </w:p>
    <w:p w14:paraId="4F4C475B">
      <w:pPr>
        <w:pStyle w:val="189"/>
        <w:numPr>
          <w:ilvl w:val="0"/>
          <w:numId w:val="0"/>
        </w:numPr>
        <w:ind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3）规范污泥处置利用行为</w:t>
      </w:r>
    </w:p>
    <w:p w14:paraId="40CE6E1B">
      <w:pPr>
        <w:pStyle w:val="189"/>
        <w:numPr>
          <w:ilvl w:val="0"/>
          <w:numId w:val="0"/>
        </w:numPr>
        <w:ind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在污泥干化后暂存于干泥仓，不能随意倾倒或丢弃，并及时处理和清运污泥，避免对周边环境造成影响。</w:t>
      </w:r>
    </w:p>
    <w:p w14:paraId="1F8FEE78">
      <w:pPr>
        <w:pStyle w:val="189"/>
        <w:numPr>
          <w:ilvl w:val="0"/>
          <w:numId w:val="0"/>
        </w:numPr>
        <w:ind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4）建立日常管理制度</w:t>
      </w:r>
    </w:p>
    <w:p w14:paraId="318B3C9B">
      <w:pPr>
        <w:pStyle w:val="189"/>
        <w:numPr>
          <w:ilvl w:val="0"/>
          <w:numId w:val="0"/>
        </w:numPr>
        <w:ind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应建立污泥管理台账制度，如实记录污泥产生、贮存和利用处置的数量和流向等情况。</w:t>
      </w:r>
    </w:p>
    <w:p w14:paraId="130A63E0">
      <w:pPr>
        <w:pStyle w:val="189"/>
        <w:numPr>
          <w:ilvl w:val="0"/>
          <w:numId w:val="0"/>
        </w:numPr>
        <w:ind w:left="420" w:left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（2）栅渣、沉砂及生活垃圾</w:t>
      </w:r>
    </w:p>
    <w:p w14:paraId="04B62703">
      <w:pPr>
        <w:pStyle w:val="189"/>
        <w:numPr>
          <w:ilvl w:val="0"/>
          <w:numId w:val="0"/>
        </w:numPr>
        <w:ind w:left="420" w:left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栅渣、沉砂及生活垃圾若处理不当将影响环境卫生，滋生老鼠、蚊蝇等，影响人们</w:t>
      </w:r>
    </w:p>
    <w:p w14:paraId="31485A7B">
      <w:pPr>
        <w:pStyle w:val="189"/>
        <w:numPr>
          <w:ilvl w:val="0"/>
          <w:numId w:val="0"/>
        </w:numP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的生活质量。本项目栅渣、沉砂及生活垃圾集中收集后暂存于厂区内垃圾收集点，由当</w:t>
      </w:r>
    </w:p>
    <w:p w14:paraId="4FF305F6">
      <w:pPr>
        <w:pStyle w:val="189"/>
        <w:numPr>
          <w:ilvl w:val="0"/>
          <w:numId w:val="0"/>
        </w:numP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地环卫部门定期清运处理。</w:t>
      </w:r>
    </w:p>
    <w:p w14:paraId="71B039B7">
      <w:pPr>
        <w:pStyle w:val="5"/>
        <w:numPr>
          <w:ilvl w:val="2"/>
          <w:numId w:val="0"/>
        </w:numPr>
        <w:ind w:firstLine="482" w:firstLineChars="200"/>
        <w:outlineLvl w:val="3"/>
        <w:rPr>
          <w:rFonts w:hint="default" w:ascii="Times New Roman" w:hAnsi="Times New Roman" w:cs="Times New Roman"/>
          <w:color w:val="auto"/>
          <w:sz w:val="24"/>
          <w:szCs w:val="28"/>
          <w:highlight w:val="none"/>
          <w:u w:val="none" w:color="auto"/>
          <w:lang w:val="en-US" w:eastAsia="zh-CN"/>
        </w:rPr>
      </w:pPr>
      <w:r>
        <w:rPr>
          <w:rFonts w:hint="default" w:ascii="Times New Roman" w:hAnsi="Times New Roman" w:cs="Times New Roman"/>
          <w:color w:val="auto"/>
          <w:sz w:val="24"/>
          <w:szCs w:val="28"/>
          <w:highlight w:val="none"/>
          <w:u w:val="none" w:color="auto"/>
          <w:lang w:val="en-US" w:eastAsia="zh-CN"/>
        </w:rPr>
        <w:t>5.2.5.5 固体废物环境小结</w:t>
      </w:r>
    </w:p>
    <w:p w14:paraId="36582CB1">
      <w:pPr>
        <w:pStyle w:val="189"/>
        <w:numPr>
          <w:ilvl w:val="0"/>
          <w:numId w:val="0"/>
        </w:numPr>
        <w:ind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项目污泥属于一般工业固废，污泥脱水（含水率60%）后</w:t>
      </w:r>
      <w:r>
        <w:rPr>
          <w:rFonts w:hint="default" w:ascii="Times New Roman" w:hAnsi="Times New Roman" w:cs="Times New Roman"/>
          <w:color w:val="000000" w:themeColor="text1"/>
          <w:highlight w:val="none"/>
          <w:u w:val="none" w:color="auto"/>
          <w14:textFill>
            <w14:solidFill>
              <w14:schemeClr w14:val="tx1"/>
            </w14:solidFill>
          </w14:textFill>
        </w:rPr>
        <w:t>运至</w:t>
      </w:r>
      <w:r>
        <w:rPr>
          <w:rFonts w:hint="default" w:ascii="Times New Roman" w:hAnsi="Times New Roman" w:cs="Times New Roman"/>
          <w:color w:val="000000" w:themeColor="text1"/>
          <w:highlight w:val="none"/>
          <w:u w:val="none" w:color="auto"/>
          <w:lang w:eastAsia="zh-CN"/>
          <w14:textFill>
            <w14:solidFill>
              <w14:schemeClr w14:val="tx1"/>
            </w14:solidFill>
          </w14:textFill>
        </w:rPr>
        <w:t>益阳海螺环保科技有限责任公司</w:t>
      </w:r>
      <w:r>
        <w:rPr>
          <w:rFonts w:hint="default" w:ascii="Times New Roman" w:hAnsi="Times New Roman" w:cs="Times New Roman"/>
          <w:color w:val="000000" w:themeColor="text1"/>
          <w:highlight w:val="none"/>
          <w:u w:val="none" w:color="auto"/>
          <w14:textFill>
            <w14:solidFill>
              <w14:schemeClr w14:val="tx1"/>
            </w14:solidFill>
          </w14:textFill>
        </w:rPr>
        <w:t>进行处置</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在线监测废液、化验室废液等危险废物采用密闭桶装收集后，暂存于危废间，委托有相应危废处置资质的单位进行处置；栅渣、沉砂及生活垃圾集中收集后暂存于厂区内垃圾收集点，由当地环卫部门定期清运处理。</w:t>
      </w:r>
    </w:p>
    <w:p w14:paraId="4BA4044B">
      <w:pPr>
        <w:pStyle w:val="189"/>
        <w:numPr>
          <w:ilvl w:val="0"/>
          <w:numId w:val="0"/>
        </w:numPr>
        <w:ind w:firstLine="42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项目各项固体废物均可得到合理妥善地处置，不会对周围环境造成二次污染。</w:t>
      </w:r>
    </w:p>
    <w:bookmarkEnd w:id="132"/>
    <w:p w14:paraId="5A0C3138">
      <w:pPr>
        <w:pStyle w:val="4"/>
        <w:numPr>
          <w:ilvl w:val="3"/>
          <w:numId w:val="0"/>
        </w:numPr>
        <w:outlineLvl w:val="2"/>
        <w:rPr>
          <w:rFonts w:hint="default" w:ascii="Times New Roman" w:hAnsi="Times New Roman" w:eastAsia="宋体" w:cs="Times New Roman"/>
          <w:color w:val="auto"/>
          <w:sz w:val="28"/>
          <w:szCs w:val="28"/>
          <w:highlight w:val="none"/>
          <w:u w:val="none" w:color="auto"/>
          <w:lang w:val="en-US" w:eastAsia="zh-CN"/>
        </w:rPr>
      </w:pPr>
      <w:r>
        <w:rPr>
          <w:rFonts w:hint="default" w:ascii="Times New Roman" w:hAnsi="Times New Roman" w:cs="Times New Roman"/>
          <w:color w:val="auto"/>
          <w:sz w:val="28"/>
          <w:szCs w:val="28"/>
          <w:highlight w:val="none"/>
          <w:u w:val="none" w:color="auto"/>
          <w:lang w:val="en-US" w:eastAsia="zh-CN"/>
        </w:rPr>
        <w:t xml:space="preserve">5.2.6 </w:t>
      </w:r>
      <w:r>
        <w:rPr>
          <w:rFonts w:hint="default" w:ascii="Times New Roman" w:hAnsi="Times New Roman" w:cs="Times New Roman"/>
          <w:color w:val="auto"/>
          <w:sz w:val="28"/>
          <w:szCs w:val="28"/>
          <w:highlight w:val="none"/>
          <w:u w:val="none" w:color="auto"/>
        </w:rPr>
        <w:t>土壤环境影响评价</w:t>
      </w:r>
    </w:p>
    <w:p w14:paraId="0D0D598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本项目对土壤可能产生影响的途径主要为固体废物和污水的处理处置工程未采取土壤保护措施或保护措施不当，会有部分污染物随着进入土壤。</w:t>
      </w:r>
    </w:p>
    <w:p w14:paraId="3BCB5E72">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项目固体废物主要为污泥和格栅渣。厂区固废暂存区地面采用混凝土硬化，严格遵照国家</w:t>
      </w:r>
      <w:r>
        <w:rPr>
          <w:rFonts w:hint="default" w:ascii="Times New Roman" w:hAnsi="Times New Roman" w:cs="Times New Roman"/>
          <w:color w:val="auto"/>
          <w:highlight w:val="none"/>
          <w:u w:val="none" w:color="auto"/>
          <w:lang w:eastAsia="zh-CN"/>
        </w:rPr>
        <w:t>《一般工业固体废物贮存和填埋污染控制标准》（GB18599-2020）</w:t>
      </w:r>
      <w:r>
        <w:rPr>
          <w:rFonts w:hint="default" w:ascii="Times New Roman" w:hAnsi="Times New Roman" w:cs="Times New Roman"/>
          <w:color w:val="auto"/>
          <w:highlight w:val="none"/>
          <w:u w:val="none" w:color="auto"/>
        </w:rPr>
        <w:t>要求及相关建筑设计规范：采用成熟技术从严设计、施工，可有效降低固体废物对土壤的污染影响。化验室废液、废矿物油</w:t>
      </w:r>
      <w:r>
        <w:rPr>
          <w:rFonts w:hint="default" w:ascii="Times New Roman" w:hAnsi="Times New Roman" w:cs="Times New Roman"/>
          <w:color w:val="auto"/>
          <w:highlight w:val="none"/>
          <w:u w:val="none" w:color="auto"/>
          <w:lang w:val="en-US" w:eastAsia="zh-CN"/>
        </w:rPr>
        <w:t>等危险废物</w:t>
      </w:r>
      <w:r>
        <w:rPr>
          <w:rFonts w:hint="default" w:ascii="Times New Roman" w:hAnsi="Times New Roman" w:cs="Times New Roman"/>
          <w:color w:val="auto"/>
          <w:highlight w:val="none"/>
          <w:u w:val="none" w:color="auto"/>
        </w:rPr>
        <w:t>采用封闭式桶装，在危废间暂存，危废间按重点防渗区采取防渗措施。因此，固体废物对土壤环境影响很小。</w:t>
      </w:r>
    </w:p>
    <w:p w14:paraId="046B3B5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本项目污水处理厂处理的</w:t>
      </w:r>
      <w:r>
        <w:rPr>
          <w:rFonts w:hint="default" w:ascii="Times New Roman" w:hAnsi="Times New Roman" w:cs="Times New Roman"/>
          <w:color w:val="auto"/>
          <w:highlight w:val="none"/>
          <w:u w:val="none" w:color="auto"/>
          <w:lang w:eastAsia="zh-CN"/>
        </w:rPr>
        <w:t>主要为</w:t>
      </w:r>
      <w:r>
        <w:rPr>
          <w:rFonts w:hint="default" w:ascii="Times New Roman" w:hAnsi="Times New Roman" w:cs="Times New Roman"/>
          <w:color w:val="auto"/>
          <w:highlight w:val="none"/>
          <w:u w:val="none" w:color="auto"/>
          <w:lang w:val="en-US" w:eastAsia="zh-CN"/>
        </w:rPr>
        <w:t>园内</w:t>
      </w:r>
      <w:r>
        <w:rPr>
          <w:rFonts w:hint="default" w:ascii="Times New Roman" w:hAnsi="Times New Roman" w:cs="Times New Roman"/>
          <w:color w:val="auto"/>
          <w:highlight w:val="none"/>
          <w:u w:val="none" w:color="auto"/>
        </w:rPr>
        <w:t>工业废水，</w:t>
      </w:r>
      <w:r>
        <w:rPr>
          <w:rFonts w:hint="default" w:ascii="Times New Roman" w:hAnsi="Times New Roman" w:cs="Times New Roman"/>
          <w:color w:val="auto"/>
          <w:highlight w:val="none"/>
          <w:u w:val="none" w:color="auto"/>
          <w:lang w:val="en-US" w:eastAsia="zh-CN"/>
        </w:rPr>
        <w:t>企业废水经自身预处理设施处理后达纳管标准后进入本工程</w:t>
      </w:r>
      <w:r>
        <w:rPr>
          <w:rFonts w:hint="default" w:ascii="Times New Roman" w:hAnsi="Times New Roman" w:cs="Times New Roman"/>
          <w:color w:val="auto"/>
          <w:highlight w:val="none"/>
          <w:u w:val="none" w:color="auto"/>
        </w:rPr>
        <w:t>，污水中污染物种类简单，属于易分解的非持久性污染物，且项目污水处理量较小，污水泄露风险相对较小。本项目设置有完善的废水、雨水收集系统，污水、污泥处理建构筑物及污水输送管道均采取严格的防渗措施，在落实好厂区防渗工作的前提下，项目运行过程中对厂区及其周围土壤影响较小。</w:t>
      </w:r>
    </w:p>
    <w:p w14:paraId="2C511632">
      <w:pPr>
        <w:pStyle w:val="4"/>
        <w:numPr>
          <w:ilvl w:val="1"/>
          <w:numId w:val="0"/>
        </w:numPr>
        <w:ind w:leftChars="0"/>
        <w:outlineLvl w:val="2"/>
        <w:rPr>
          <w:rFonts w:hint="default" w:ascii="Times New Roman" w:hAnsi="Times New Roman" w:cs="Times New Roman"/>
          <w:color w:val="auto"/>
          <w:sz w:val="28"/>
          <w:szCs w:val="28"/>
          <w:highlight w:val="none"/>
          <w:u w:val="none" w:color="auto"/>
        </w:rPr>
      </w:pPr>
      <w:r>
        <w:rPr>
          <w:rFonts w:hint="default" w:ascii="Times New Roman" w:hAnsi="Times New Roman" w:cs="Times New Roman"/>
          <w:color w:val="auto"/>
          <w:sz w:val="28"/>
          <w:szCs w:val="28"/>
          <w:highlight w:val="none"/>
          <w:u w:val="none" w:color="auto"/>
          <w:lang w:val="en-US" w:eastAsia="zh-CN"/>
        </w:rPr>
        <w:t xml:space="preserve">5.2.7 </w:t>
      </w:r>
      <w:r>
        <w:rPr>
          <w:rFonts w:hint="default" w:ascii="Times New Roman" w:hAnsi="Times New Roman" w:cs="Times New Roman"/>
          <w:color w:val="auto"/>
          <w:sz w:val="28"/>
          <w:szCs w:val="28"/>
          <w:highlight w:val="none"/>
          <w:u w:val="none" w:color="auto"/>
        </w:rPr>
        <w:t>营运期对生态环境的影响</w:t>
      </w:r>
    </w:p>
    <w:p w14:paraId="6FA1619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w:t>
      </w:r>
      <w:r>
        <w:rPr>
          <w:rFonts w:hint="default" w:ascii="Times New Roman" w:hAnsi="Times New Roman" w:cs="Times New Roman"/>
          <w:color w:val="auto"/>
          <w:highlight w:val="none"/>
          <w:u w:val="none" w:color="auto"/>
          <w:lang w:val="en-US" w:eastAsia="zh-CN"/>
        </w:rPr>
        <w:t>位于工业园内</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新增地块有少量</w:t>
      </w:r>
      <w:r>
        <w:rPr>
          <w:rFonts w:hint="default" w:ascii="Times New Roman" w:hAnsi="Times New Roman" w:cs="Times New Roman"/>
          <w:color w:val="auto"/>
          <w:highlight w:val="none"/>
          <w:u w:val="none" w:color="auto"/>
          <w:lang w:eastAsia="zh-CN"/>
        </w:rPr>
        <w:t>植被覆盖，</w:t>
      </w:r>
      <w:r>
        <w:rPr>
          <w:rFonts w:hint="default" w:ascii="Times New Roman" w:hAnsi="Times New Roman" w:cs="Times New Roman"/>
          <w:color w:val="auto"/>
          <w:highlight w:val="none"/>
          <w:u w:val="none" w:color="auto"/>
        </w:rPr>
        <w:t>无珍稀保护野生动植物分布。项目用地不涉及生态敏感区，不涉及生态公益林、基本农田等生态敏感目标。</w:t>
      </w:r>
    </w:p>
    <w:p w14:paraId="04F09265">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所在区域，由于人类的开发和密集的生产生活活动的深刻影响，现状区位生境中常见的野生动物主要为鸟类，项目及其周边，未发现涉及有重要野生动物或鸟类的明显集中栖息繁衍等敏感生境，项目对区域内野生动物影响很小；项目</w:t>
      </w:r>
      <w:r>
        <w:rPr>
          <w:rFonts w:hint="default" w:ascii="Times New Roman" w:hAnsi="Times New Roman" w:cs="Times New Roman"/>
          <w:color w:val="auto"/>
          <w:highlight w:val="none"/>
          <w:u w:val="none" w:color="auto"/>
          <w:lang w:val="en-US" w:eastAsia="zh-CN"/>
        </w:rPr>
        <w:t>扩建部分新增地块为规划的污水处理用地</w:t>
      </w:r>
      <w:r>
        <w:rPr>
          <w:rFonts w:hint="default" w:ascii="Times New Roman" w:hAnsi="Times New Roman" w:cs="Times New Roman"/>
          <w:color w:val="auto"/>
          <w:highlight w:val="none"/>
          <w:u w:val="none" w:color="auto"/>
        </w:rPr>
        <w:t>，地块内</w:t>
      </w:r>
      <w:r>
        <w:rPr>
          <w:rFonts w:hint="default" w:ascii="Times New Roman" w:hAnsi="Times New Roman" w:cs="Times New Roman"/>
          <w:color w:val="auto"/>
          <w:highlight w:val="none"/>
          <w:u w:val="none" w:color="auto"/>
          <w:lang w:val="en-US" w:eastAsia="zh-CN"/>
        </w:rPr>
        <w:t>仅有少量</w:t>
      </w:r>
      <w:r>
        <w:rPr>
          <w:rFonts w:hint="default" w:ascii="Times New Roman" w:hAnsi="Times New Roman" w:cs="Times New Roman"/>
          <w:color w:val="auto"/>
          <w:highlight w:val="none"/>
          <w:u w:val="none" w:color="auto"/>
        </w:rPr>
        <w:t>野生动植物，无珍稀植物和古树名木，不会对珍稀植物和古树名木造成影响。</w:t>
      </w:r>
    </w:p>
    <w:p w14:paraId="67B507F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综上，项目建设对区域生态环境影响很小。</w:t>
      </w:r>
    </w:p>
    <w:p w14:paraId="6BD12316">
      <w:pPr>
        <w:pStyle w:val="189"/>
        <w:rPr>
          <w:rFonts w:hint="default" w:ascii="Times New Roman" w:hAnsi="Times New Roman" w:cs="Times New Roman"/>
          <w:color w:val="FF0000"/>
          <w:highlight w:val="none"/>
          <w:u w:val="none" w:color="auto"/>
        </w:rPr>
        <w:sectPr>
          <w:headerReference r:id="rId16" w:type="default"/>
          <w:footerReference r:id="rId17"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312" w:charSpace="0"/>
        </w:sectPr>
      </w:pPr>
    </w:p>
    <w:p w14:paraId="04D741B0">
      <w:pPr>
        <w:pStyle w:val="2"/>
        <w:numPr>
          <w:ilvl w:val="0"/>
          <w:numId w:val="0"/>
        </w:numPr>
        <w:ind w:leftChars="0"/>
        <w:rPr>
          <w:rFonts w:hint="default" w:ascii="Times New Roman" w:hAnsi="Times New Roman" w:cs="Times New Roman"/>
          <w:color w:val="auto"/>
          <w:highlight w:val="none"/>
          <w:u w:val="none" w:color="auto"/>
        </w:rPr>
      </w:pPr>
      <w:bookmarkStart w:id="133" w:name="bookmark36"/>
      <w:bookmarkEnd w:id="133"/>
      <w:bookmarkStart w:id="134" w:name="_Toc930"/>
      <w:r>
        <w:rPr>
          <w:rFonts w:hint="default" w:ascii="Times New Roman" w:hAnsi="Times New Roman" w:cs="Times New Roman"/>
          <w:color w:val="auto"/>
          <w:highlight w:val="none"/>
          <w:u w:val="none" w:color="auto"/>
          <w:lang w:val="en-US" w:eastAsia="zh-CN"/>
        </w:rPr>
        <w:t xml:space="preserve">6 </w:t>
      </w:r>
      <w:r>
        <w:rPr>
          <w:rFonts w:hint="default" w:ascii="Times New Roman" w:hAnsi="Times New Roman" w:cs="Times New Roman"/>
          <w:color w:val="auto"/>
          <w:highlight w:val="none"/>
          <w:u w:val="none" w:color="auto"/>
        </w:rPr>
        <w:t>环境风险评价</w:t>
      </w:r>
      <w:bookmarkEnd w:id="134"/>
    </w:p>
    <w:p w14:paraId="421621E0">
      <w:pPr>
        <w:pStyle w:val="3"/>
        <w:numPr>
          <w:ilvl w:val="1"/>
          <w:numId w:val="0"/>
        </w:numPr>
        <w:ind w:leftChars="0"/>
        <w:rPr>
          <w:rFonts w:hint="default" w:ascii="Times New Roman" w:hAnsi="Times New Roman" w:cs="Times New Roman"/>
          <w:color w:val="auto"/>
          <w:highlight w:val="none"/>
          <w:u w:val="none" w:color="auto"/>
        </w:rPr>
      </w:pPr>
      <w:bookmarkStart w:id="135" w:name="_Toc24216"/>
      <w:r>
        <w:rPr>
          <w:rFonts w:hint="default" w:ascii="Times New Roman" w:hAnsi="Times New Roman" w:cs="Times New Roman"/>
          <w:color w:val="auto"/>
          <w:highlight w:val="none"/>
          <w:u w:val="none" w:color="auto"/>
          <w:lang w:val="en-US" w:eastAsia="zh-CN"/>
        </w:rPr>
        <w:t xml:space="preserve">6.1 </w:t>
      </w:r>
      <w:r>
        <w:rPr>
          <w:rFonts w:hint="default" w:ascii="Times New Roman" w:hAnsi="Times New Roman" w:cs="Times New Roman"/>
          <w:color w:val="auto"/>
          <w:highlight w:val="none"/>
          <w:u w:val="none" w:color="auto"/>
        </w:rPr>
        <w:t>风险调查</w:t>
      </w:r>
      <w:bookmarkEnd w:id="135"/>
    </w:p>
    <w:p w14:paraId="55708894">
      <w:pPr>
        <w:pStyle w:val="4"/>
        <w:numPr>
          <w:ilvl w:val="2"/>
          <w:numId w:val="0"/>
        </w:numPr>
        <w:ind w:leftChars="0"/>
        <w:rPr>
          <w:rFonts w:hint="default" w:ascii="Times New Roman" w:hAnsi="Times New Roman" w:cs="Times New Roman"/>
          <w:color w:val="000000" w:themeColor="text1"/>
          <w:highlight w:val="none"/>
          <w:u w:val="wave" w:color="auto"/>
          <w14:textFill>
            <w14:solidFill>
              <w14:schemeClr w14:val="tx1"/>
            </w14:solidFill>
          </w14:textFill>
        </w:rPr>
      </w:pPr>
      <w:bookmarkStart w:id="136" w:name="_Toc17733"/>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6.1.1 </w:t>
      </w:r>
      <w:r>
        <w:rPr>
          <w:rFonts w:hint="default" w:ascii="Times New Roman" w:hAnsi="Times New Roman" w:cs="Times New Roman"/>
          <w:color w:val="000000" w:themeColor="text1"/>
          <w:highlight w:val="none"/>
          <w:u w:val="wave" w:color="auto"/>
          <w14:textFill>
            <w14:solidFill>
              <w14:schemeClr w14:val="tx1"/>
            </w14:solidFill>
          </w14:textFill>
        </w:rPr>
        <w:t>风险物质调查</w:t>
      </w:r>
      <w:bookmarkEnd w:id="136"/>
    </w:p>
    <w:p w14:paraId="1A96D588">
      <w:pPr>
        <w:pStyle w:val="189"/>
        <w:ind w:left="0" w:leftChars="0" w:firstLine="420" w:firstLineChars="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项目设计的化学物质数量及主要分布情况具体详见表6.1-1。</w:t>
      </w:r>
    </w:p>
    <w:p w14:paraId="3C9412F9">
      <w:pPr>
        <w:pStyle w:val="194"/>
        <w:spacing w:line="240" w:lineRule="auto"/>
        <w:rPr>
          <w:rFonts w:hint="default" w:ascii="Times New Roman" w:hAnsi="Times New Roman" w:eastAsia="宋体" w:cs="Times New Roman"/>
          <w:color w:val="000000" w:themeColor="text1"/>
          <w:szCs w:val="24"/>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表 </w:t>
      </w:r>
      <w:r>
        <w:rPr>
          <w:rFonts w:hint="default" w:ascii="Times New Roman" w:hAnsi="Times New Roman" w:cs="Times New Roman"/>
          <w:color w:val="000000" w:themeColor="text1"/>
          <w:highlight w:val="none"/>
          <w:u w:val="wave" w:color="auto"/>
          <w14:textFill>
            <w14:solidFill>
              <w14:schemeClr w14:val="tx1"/>
            </w14:solidFill>
          </w14:textFill>
        </w:rPr>
        <w:fldChar w:fldCharType="begin"/>
      </w:r>
      <w:r>
        <w:rPr>
          <w:rFonts w:hint="default" w:ascii="Times New Roman" w:hAnsi="Times New Roman" w:cs="Times New Roman"/>
          <w:color w:val="000000" w:themeColor="text1"/>
          <w:highlight w:val="none"/>
          <w:u w:val="wav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wave" w:color="auto"/>
          <w14:textFill>
            <w14:solidFill>
              <w14:schemeClr w14:val="tx1"/>
            </w14:solidFill>
          </w14:textFill>
        </w:rPr>
        <w:fldChar w:fldCharType="separate"/>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w:t>
      </w:r>
      <w:r>
        <w:rPr>
          <w:rFonts w:hint="default" w:ascii="Times New Roman" w:hAnsi="Times New Roman" w:cs="Times New Roman"/>
          <w:color w:val="000000" w:themeColor="text1"/>
          <w:highlight w:val="none"/>
          <w:u w:val="wave" w:color="auto"/>
          <w14:textFill>
            <w14:solidFill>
              <w14:schemeClr w14:val="tx1"/>
            </w14:solidFill>
          </w14:textFill>
        </w:rPr>
        <w:t>.1</w:t>
      </w:r>
      <w:r>
        <w:rPr>
          <w:rFonts w:hint="default" w:ascii="Times New Roman" w:hAnsi="Times New Roman" w:cs="Times New Roman"/>
          <w:color w:val="000000" w:themeColor="text1"/>
          <w:highlight w:val="none"/>
          <w:u w:val="wave" w:color="auto"/>
          <w14:textFill>
            <w14:solidFill>
              <w14:schemeClr w14:val="tx1"/>
            </w14:solidFill>
          </w14:textFill>
        </w:rPr>
        <w:fldChar w:fldCharType="end"/>
      </w:r>
      <w:r>
        <w:rPr>
          <w:rFonts w:hint="default" w:ascii="Times New Roman" w:hAnsi="Times New Roman" w:cs="Times New Roman"/>
          <w:color w:val="000000" w:themeColor="text1"/>
          <w:highlight w:val="none"/>
          <w:u w:val="wave" w:color="auto"/>
          <w14:textFill>
            <w14:solidFill>
              <w14:schemeClr w14:val="tx1"/>
            </w14:solidFill>
          </w14:textFill>
        </w:rPr>
        <w:noBreakHyphen/>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wave" w:color="auto"/>
          <w14:textFill>
            <w14:solidFill>
              <w14:schemeClr w14:val="tx1"/>
            </w14:solidFill>
          </w14:textFill>
        </w:rPr>
        <w:t xml:space="preserve">  </w:t>
      </w:r>
      <w:r>
        <w:rPr>
          <w:rFonts w:hint="default" w:ascii="Times New Roman" w:hAnsi="Times New Roman" w:cs="Times New Roman"/>
          <w:color w:val="000000" w:themeColor="text1"/>
          <w:szCs w:val="24"/>
          <w:highlight w:val="none"/>
          <w:u w:val="wave" w:color="auto"/>
          <w:lang w:val="en-US" w:eastAsia="zh-CN"/>
          <w14:textFill>
            <w14:solidFill>
              <w14:schemeClr w14:val="tx1"/>
            </w14:solidFill>
          </w14:textFill>
        </w:rPr>
        <w:t>提标改造后项目主要化学物质存量及储存方式</w:t>
      </w:r>
    </w:p>
    <w:tbl>
      <w:tblPr>
        <w:tblStyle w:val="76"/>
        <w:tblW w:w="486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0"/>
        <w:gridCol w:w="2156"/>
        <w:gridCol w:w="1950"/>
        <w:gridCol w:w="1840"/>
        <w:gridCol w:w="2021"/>
      </w:tblGrid>
      <w:tr w14:paraId="1E491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1070" w:type="dxa"/>
            <w:shd w:val="clear" w:color="auto" w:fill="auto"/>
            <w:vAlign w:val="center"/>
          </w:tcPr>
          <w:p w14:paraId="22CE321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u w:val="wave" w:color="auto"/>
                <w:lang w:eastAsia="zh-CN"/>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序号</w:t>
            </w:r>
          </w:p>
        </w:tc>
        <w:tc>
          <w:tcPr>
            <w:tcW w:w="2156" w:type="dxa"/>
            <w:shd w:val="clear" w:color="auto" w:fill="auto"/>
            <w:vAlign w:val="center"/>
          </w:tcPr>
          <w:p w14:paraId="5C2B2C1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b/>
                <w:bCs/>
                <w:color w:val="000000" w:themeColor="text1"/>
                <w:highlight w:val="none"/>
                <w:u w:val="wave" w:color="auto"/>
                <w14:textFill>
                  <w14:solidFill>
                    <w14:schemeClr w14:val="tx1"/>
                  </w14:solidFill>
                </w14:textFill>
              </w:rPr>
            </w:pPr>
            <w:r>
              <w:rPr>
                <w:rFonts w:hint="default" w:ascii="Times New Roman" w:hAnsi="Times New Roman" w:cs="Times New Roman"/>
                <w:b/>
                <w:bCs/>
                <w:color w:val="000000" w:themeColor="text1"/>
                <w:highlight w:val="none"/>
                <w:u w:val="wave" w:color="auto"/>
                <w:lang w:val="en-US" w:eastAsia="zh-CN"/>
                <w14:textFill>
                  <w14:solidFill>
                    <w14:schemeClr w14:val="tx1"/>
                  </w14:solidFill>
                </w14:textFill>
              </w:rPr>
              <w:t>物质</w:t>
            </w:r>
            <w:r>
              <w:rPr>
                <w:rFonts w:hint="default" w:ascii="Times New Roman" w:hAnsi="Times New Roman" w:cs="Times New Roman"/>
                <w:b/>
                <w:bCs/>
                <w:color w:val="000000" w:themeColor="text1"/>
                <w:highlight w:val="none"/>
                <w:u w:val="wave" w:color="auto"/>
                <w14:textFill>
                  <w14:solidFill>
                    <w14:schemeClr w14:val="tx1"/>
                  </w14:solidFill>
                </w14:textFill>
              </w:rPr>
              <w:t>名称</w:t>
            </w:r>
          </w:p>
        </w:tc>
        <w:tc>
          <w:tcPr>
            <w:tcW w:w="1950" w:type="dxa"/>
            <w:vAlign w:val="center"/>
          </w:tcPr>
          <w:p w14:paraId="7B64A08B">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b/>
                <w:color w:val="000000" w:themeColor="text1"/>
                <w:highlight w:val="none"/>
                <w:u w:val="wave" w:color="auto"/>
                <w14:textFill>
                  <w14:solidFill>
                    <w14:schemeClr w14:val="tx1"/>
                  </w14:solidFill>
                </w14:textFill>
              </w:rPr>
              <w:t>厂内最大存储量</w:t>
            </w:r>
          </w:p>
        </w:tc>
        <w:tc>
          <w:tcPr>
            <w:tcW w:w="1840" w:type="dxa"/>
            <w:vAlign w:val="center"/>
          </w:tcPr>
          <w:p w14:paraId="790469E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b/>
                <w:color w:val="000000" w:themeColor="text1"/>
                <w:highlight w:val="none"/>
                <w:u w:val="wave" w:color="auto"/>
                <w:lang w:val="en-US" w:eastAsia="zh-CN"/>
                <w14:textFill>
                  <w14:solidFill>
                    <w14:schemeClr w14:val="tx1"/>
                  </w14:solidFill>
                </w14:textFill>
              </w:rPr>
              <w:t>储存方式</w:t>
            </w:r>
          </w:p>
        </w:tc>
        <w:tc>
          <w:tcPr>
            <w:tcW w:w="2021" w:type="dxa"/>
            <w:vAlign w:val="center"/>
          </w:tcPr>
          <w:p w14:paraId="18336055">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b/>
                <w:color w:val="000000" w:themeColor="text1"/>
                <w:highlight w:val="none"/>
                <w:u w:val="wave" w:color="auto"/>
                <w:lang w:val="en-US" w:eastAsia="zh-CN"/>
                <w14:textFill>
                  <w14:solidFill>
                    <w14:schemeClr w14:val="tx1"/>
                  </w14:solidFill>
                </w14:textFill>
              </w:rPr>
              <w:t>储存场所</w:t>
            </w:r>
          </w:p>
        </w:tc>
      </w:tr>
      <w:tr w14:paraId="674E65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070" w:type="dxa"/>
            <w:shd w:val="clear" w:color="auto" w:fill="auto"/>
            <w:vAlign w:val="center"/>
          </w:tcPr>
          <w:p w14:paraId="1BAB033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p>
        </w:tc>
        <w:tc>
          <w:tcPr>
            <w:tcW w:w="2156" w:type="dxa"/>
            <w:shd w:val="clear" w:color="auto" w:fill="auto"/>
            <w:vAlign w:val="center"/>
          </w:tcPr>
          <w:p w14:paraId="7496AFF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聚丙烯酰胺</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阴离子型</w:t>
            </w:r>
          </w:p>
        </w:tc>
        <w:tc>
          <w:tcPr>
            <w:tcW w:w="1950" w:type="dxa"/>
            <w:vAlign w:val="center"/>
          </w:tcPr>
          <w:p w14:paraId="78808EE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0.5t</w:t>
            </w:r>
          </w:p>
        </w:tc>
        <w:tc>
          <w:tcPr>
            <w:tcW w:w="1840" w:type="dxa"/>
            <w:vAlign w:val="center"/>
          </w:tcPr>
          <w:p w14:paraId="0744815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袋装</w:t>
            </w:r>
          </w:p>
        </w:tc>
        <w:tc>
          <w:tcPr>
            <w:tcW w:w="2021" w:type="dxa"/>
            <w:vMerge w:val="restart"/>
            <w:vAlign w:val="center"/>
          </w:tcPr>
          <w:p w14:paraId="1AA47B0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加药间</w:t>
            </w:r>
          </w:p>
        </w:tc>
      </w:tr>
      <w:tr w14:paraId="6688B2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070" w:type="dxa"/>
            <w:shd w:val="clear" w:color="auto" w:fill="auto"/>
            <w:vAlign w:val="center"/>
          </w:tcPr>
          <w:p w14:paraId="66E1466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w:t>
            </w:r>
          </w:p>
        </w:tc>
        <w:tc>
          <w:tcPr>
            <w:tcW w:w="2156" w:type="dxa"/>
            <w:shd w:val="clear" w:color="auto" w:fill="auto"/>
            <w:vAlign w:val="center"/>
          </w:tcPr>
          <w:p w14:paraId="0D60D22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聚丙烯酰胺</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阳离子型</w:t>
            </w:r>
          </w:p>
        </w:tc>
        <w:tc>
          <w:tcPr>
            <w:tcW w:w="1950" w:type="dxa"/>
            <w:vAlign w:val="center"/>
          </w:tcPr>
          <w:p w14:paraId="70A16D0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0.1</w:t>
            </w:r>
            <w:r>
              <w:rPr>
                <w:rFonts w:hint="default" w:ascii="Times New Roman" w:hAnsi="Times New Roman" w:cs="Times New Roman"/>
                <w:color w:val="000000" w:themeColor="text1"/>
                <w:highlight w:val="none"/>
                <w:u w:val="wave" w:color="auto"/>
                <w14:textFill>
                  <w14:solidFill>
                    <w14:schemeClr w14:val="tx1"/>
                  </w14:solidFill>
                </w14:textFill>
              </w:rPr>
              <w:t>t</w:t>
            </w:r>
          </w:p>
        </w:tc>
        <w:tc>
          <w:tcPr>
            <w:tcW w:w="1840" w:type="dxa"/>
            <w:vAlign w:val="center"/>
          </w:tcPr>
          <w:p w14:paraId="43DE066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袋装</w:t>
            </w:r>
          </w:p>
        </w:tc>
        <w:tc>
          <w:tcPr>
            <w:tcW w:w="2021" w:type="dxa"/>
            <w:vMerge w:val="continue"/>
            <w:vAlign w:val="center"/>
          </w:tcPr>
          <w:p w14:paraId="3379E88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22E15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1070" w:type="dxa"/>
            <w:shd w:val="clear" w:color="auto" w:fill="auto"/>
            <w:vAlign w:val="center"/>
          </w:tcPr>
          <w:p w14:paraId="02B30F4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3</w:t>
            </w:r>
          </w:p>
        </w:tc>
        <w:tc>
          <w:tcPr>
            <w:tcW w:w="2156" w:type="dxa"/>
            <w:shd w:val="clear" w:color="auto" w:fill="auto"/>
            <w:vAlign w:val="center"/>
          </w:tcPr>
          <w:p w14:paraId="69EBF2D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聚合氯化铝（PAC）</w:t>
            </w:r>
          </w:p>
        </w:tc>
        <w:tc>
          <w:tcPr>
            <w:tcW w:w="1950" w:type="dxa"/>
            <w:vAlign w:val="center"/>
          </w:tcPr>
          <w:p w14:paraId="4B65B7A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15t</w:t>
            </w:r>
          </w:p>
        </w:tc>
        <w:tc>
          <w:tcPr>
            <w:tcW w:w="1840" w:type="dxa"/>
            <w:vAlign w:val="center"/>
          </w:tcPr>
          <w:p w14:paraId="0F04D50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袋装</w:t>
            </w:r>
          </w:p>
        </w:tc>
        <w:tc>
          <w:tcPr>
            <w:tcW w:w="2021" w:type="dxa"/>
            <w:vMerge w:val="continue"/>
            <w:vAlign w:val="center"/>
          </w:tcPr>
          <w:p w14:paraId="1023DBF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428E55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1070" w:type="dxa"/>
            <w:shd w:val="clear" w:color="auto" w:fill="auto"/>
            <w:vAlign w:val="center"/>
          </w:tcPr>
          <w:p w14:paraId="0EDB35B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w:t>
            </w:r>
          </w:p>
        </w:tc>
        <w:tc>
          <w:tcPr>
            <w:tcW w:w="2156" w:type="dxa"/>
            <w:shd w:val="clear" w:color="auto" w:fill="auto"/>
            <w:vAlign w:val="center"/>
          </w:tcPr>
          <w:p w14:paraId="76F6112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乙酸钠</w:t>
            </w:r>
          </w:p>
        </w:tc>
        <w:tc>
          <w:tcPr>
            <w:tcW w:w="1950" w:type="dxa"/>
            <w:vAlign w:val="center"/>
          </w:tcPr>
          <w:p w14:paraId="1D663D6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5t</w:t>
            </w:r>
          </w:p>
        </w:tc>
        <w:tc>
          <w:tcPr>
            <w:tcW w:w="1840" w:type="dxa"/>
            <w:vAlign w:val="center"/>
          </w:tcPr>
          <w:p w14:paraId="7F53A71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袋装</w:t>
            </w:r>
          </w:p>
        </w:tc>
        <w:tc>
          <w:tcPr>
            <w:tcW w:w="2021" w:type="dxa"/>
            <w:vMerge w:val="continue"/>
            <w:vAlign w:val="center"/>
          </w:tcPr>
          <w:p w14:paraId="2C0ACF5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4F6C8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1070" w:type="dxa"/>
            <w:shd w:val="clear" w:color="auto" w:fill="auto"/>
            <w:vAlign w:val="center"/>
          </w:tcPr>
          <w:p w14:paraId="72921D4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w:t>
            </w:r>
          </w:p>
        </w:tc>
        <w:tc>
          <w:tcPr>
            <w:tcW w:w="2156" w:type="dxa"/>
            <w:shd w:val="clear" w:color="auto" w:fill="auto"/>
            <w:vAlign w:val="center"/>
          </w:tcPr>
          <w:p w14:paraId="1092D85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除臭剂</w:t>
            </w:r>
          </w:p>
        </w:tc>
        <w:tc>
          <w:tcPr>
            <w:tcW w:w="1950" w:type="dxa"/>
            <w:vAlign w:val="center"/>
          </w:tcPr>
          <w:p w14:paraId="76F39DF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0.1t</w:t>
            </w:r>
          </w:p>
        </w:tc>
        <w:tc>
          <w:tcPr>
            <w:tcW w:w="1840" w:type="dxa"/>
            <w:vAlign w:val="center"/>
          </w:tcPr>
          <w:p w14:paraId="6B2C89F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袋装</w:t>
            </w:r>
          </w:p>
        </w:tc>
        <w:tc>
          <w:tcPr>
            <w:tcW w:w="2021" w:type="dxa"/>
            <w:vMerge w:val="continue"/>
            <w:vAlign w:val="center"/>
          </w:tcPr>
          <w:p w14:paraId="051EFC6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66734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85" w:hRule="atLeast"/>
          <w:jc w:val="center"/>
        </w:trPr>
        <w:tc>
          <w:tcPr>
            <w:tcW w:w="1070" w:type="dxa"/>
            <w:shd w:val="clear" w:color="auto" w:fill="auto"/>
            <w:vAlign w:val="center"/>
          </w:tcPr>
          <w:p w14:paraId="07A2451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6</w:t>
            </w:r>
          </w:p>
        </w:tc>
        <w:tc>
          <w:tcPr>
            <w:tcW w:w="2156" w:type="dxa"/>
            <w:shd w:val="clear" w:color="auto" w:fill="auto"/>
            <w:vAlign w:val="center"/>
          </w:tcPr>
          <w:p w14:paraId="1538822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消泡剂</w:t>
            </w:r>
          </w:p>
        </w:tc>
        <w:tc>
          <w:tcPr>
            <w:tcW w:w="1950" w:type="dxa"/>
            <w:vAlign w:val="center"/>
          </w:tcPr>
          <w:p w14:paraId="2BBEE5B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0.5t</w:t>
            </w:r>
          </w:p>
        </w:tc>
        <w:tc>
          <w:tcPr>
            <w:tcW w:w="1840" w:type="dxa"/>
            <w:vAlign w:val="center"/>
          </w:tcPr>
          <w:p w14:paraId="7A857E8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袋装</w:t>
            </w:r>
          </w:p>
        </w:tc>
        <w:tc>
          <w:tcPr>
            <w:tcW w:w="2021" w:type="dxa"/>
            <w:vMerge w:val="continue"/>
            <w:vAlign w:val="center"/>
          </w:tcPr>
          <w:p w14:paraId="5BC62DB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3B3D9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208718B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7</w:t>
            </w:r>
          </w:p>
        </w:tc>
        <w:tc>
          <w:tcPr>
            <w:tcW w:w="2156" w:type="dxa"/>
            <w:shd w:val="clear" w:color="auto" w:fill="auto"/>
            <w:vAlign w:val="center"/>
          </w:tcPr>
          <w:p w14:paraId="37080AD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次氯酸钠（10%）</w:t>
            </w:r>
          </w:p>
        </w:tc>
        <w:tc>
          <w:tcPr>
            <w:tcW w:w="1950" w:type="dxa"/>
            <w:vAlign w:val="center"/>
          </w:tcPr>
          <w:p w14:paraId="0818E4D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2m</w:t>
            </w:r>
            <w:r>
              <w:rPr>
                <w:rFonts w:hint="default" w:ascii="Times New Roman" w:hAnsi="Times New Roman" w:cs="Times New Roman"/>
                <w:color w:val="000000" w:themeColor="text1"/>
                <w:highlight w:val="none"/>
                <w:u w:val="wave" w:color="auto"/>
                <w:vertAlign w:val="superscript"/>
                <w:lang w:val="en-US" w:eastAsia="zh-CN"/>
                <w14:textFill>
                  <w14:solidFill>
                    <w14:schemeClr w14:val="tx1"/>
                  </w14:solidFill>
                </w14:textFill>
              </w:rPr>
              <w:t>3</w:t>
            </w:r>
          </w:p>
        </w:tc>
        <w:tc>
          <w:tcPr>
            <w:tcW w:w="1840" w:type="dxa"/>
            <w:vAlign w:val="center"/>
          </w:tcPr>
          <w:p w14:paraId="1963597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储罐</w:t>
            </w:r>
          </w:p>
        </w:tc>
        <w:tc>
          <w:tcPr>
            <w:tcW w:w="2021" w:type="dxa"/>
            <w:vAlign w:val="center"/>
          </w:tcPr>
          <w:p w14:paraId="043380F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加氯间</w:t>
            </w:r>
          </w:p>
        </w:tc>
      </w:tr>
      <w:tr w14:paraId="515ED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0ED1ADD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8</w:t>
            </w:r>
          </w:p>
        </w:tc>
        <w:tc>
          <w:tcPr>
            <w:tcW w:w="2156" w:type="dxa"/>
            <w:shd w:val="clear" w:color="auto" w:fill="auto"/>
            <w:vAlign w:val="center"/>
          </w:tcPr>
          <w:p w14:paraId="181DDA9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硫酸</w:t>
            </w:r>
          </w:p>
        </w:tc>
        <w:tc>
          <w:tcPr>
            <w:tcW w:w="1950" w:type="dxa"/>
            <w:vAlign w:val="center"/>
          </w:tcPr>
          <w:p w14:paraId="74ABEA3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44.16kg</w:t>
            </w:r>
          </w:p>
        </w:tc>
        <w:tc>
          <w:tcPr>
            <w:tcW w:w="1840" w:type="dxa"/>
            <w:vAlign w:val="center"/>
          </w:tcPr>
          <w:p w14:paraId="5D7A833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restart"/>
            <w:vAlign w:val="center"/>
          </w:tcPr>
          <w:p w14:paraId="690A2E2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化验室</w:t>
            </w:r>
          </w:p>
        </w:tc>
      </w:tr>
      <w:tr w14:paraId="3CA79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40B0A58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9</w:t>
            </w:r>
          </w:p>
        </w:tc>
        <w:tc>
          <w:tcPr>
            <w:tcW w:w="2156" w:type="dxa"/>
            <w:shd w:val="clear" w:color="auto" w:fill="auto"/>
            <w:vAlign w:val="center"/>
          </w:tcPr>
          <w:p w14:paraId="7DE75AD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盐酸</w:t>
            </w:r>
          </w:p>
        </w:tc>
        <w:tc>
          <w:tcPr>
            <w:tcW w:w="1950" w:type="dxa"/>
            <w:vAlign w:val="center"/>
          </w:tcPr>
          <w:p w14:paraId="5D048BC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5.75kg</w:t>
            </w:r>
          </w:p>
        </w:tc>
        <w:tc>
          <w:tcPr>
            <w:tcW w:w="1840" w:type="dxa"/>
            <w:vAlign w:val="center"/>
          </w:tcPr>
          <w:p w14:paraId="5805196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7D30020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2A658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20FD8A4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10</w:t>
            </w:r>
          </w:p>
        </w:tc>
        <w:tc>
          <w:tcPr>
            <w:tcW w:w="2156" w:type="dxa"/>
            <w:shd w:val="clear" w:color="auto" w:fill="auto"/>
            <w:vAlign w:val="center"/>
          </w:tcPr>
          <w:p w14:paraId="73B207C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高锰酸钾</w:t>
            </w:r>
          </w:p>
        </w:tc>
        <w:tc>
          <w:tcPr>
            <w:tcW w:w="1950" w:type="dxa"/>
            <w:vAlign w:val="center"/>
          </w:tcPr>
          <w:p w14:paraId="3FEB58D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0.5kg</w:t>
            </w:r>
          </w:p>
        </w:tc>
        <w:tc>
          <w:tcPr>
            <w:tcW w:w="1840" w:type="dxa"/>
            <w:vAlign w:val="center"/>
          </w:tcPr>
          <w:p w14:paraId="2EC903A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6C068BE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52307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7112E27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11</w:t>
            </w:r>
          </w:p>
        </w:tc>
        <w:tc>
          <w:tcPr>
            <w:tcW w:w="2156" w:type="dxa"/>
            <w:shd w:val="clear" w:color="auto" w:fill="auto"/>
            <w:vAlign w:val="center"/>
          </w:tcPr>
          <w:p w14:paraId="1FC61BB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硝酸</w:t>
            </w:r>
          </w:p>
        </w:tc>
        <w:tc>
          <w:tcPr>
            <w:tcW w:w="1950" w:type="dxa"/>
            <w:vAlign w:val="center"/>
          </w:tcPr>
          <w:p w14:paraId="164BB0D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0.755kg</w:t>
            </w:r>
          </w:p>
        </w:tc>
        <w:tc>
          <w:tcPr>
            <w:tcW w:w="1840" w:type="dxa"/>
            <w:vAlign w:val="center"/>
          </w:tcPr>
          <w:p w14:paraId="1D06204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0A38868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3E8A5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53F4E76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12</w:t>
            </w:r>
          </w:p>
        </w:tc>
        <w:tc>
          <w:tcPr>
            <w:tcW w:w="2156" w:type="dxa"/>
            <w:shd w:val="clear" w:color="auto" w:fill="auto"/>
            <w:vAlign w:val="center"/>
          </w:tcPr>
          <w:p w14:paraId="0843B40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重铬酸钾</w:t>
            </w:r>
          </w:p>
        </w:tc>
        <w:tc>
          <w:tcPr>
            <w:tcW w:w="1950" w:type="dxa"/>
            <w:vAlign w:val="center"/>
          </w:tcPr>
          <w:p w14:paraId="4FBC861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0.5kg</w:t>
            </w:r>
          </w:p>
        </w:tc>
        <w:tc>
          <w:tcPr>
            <w:tcW w:w="1840" w:type="dxa"/>
            <w:vAlign w:val="center"/>
          </w:tcPr>
          <w:p w14:paraId="4F0061E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3A748B9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5D87C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5F580EA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13</w:t>
            </w:r>
          </w:p>
        </w:tc>
        <w:tc>
          <w:tcPr>
            <w:tcW w:w="2156" w:type="dxa"/>
            <w:shd w:val="clear" w:color="auto" w:fill="auto"/>
            <w:vAlign w:val="center"/>
          </w:tcPr>
          <w:p w14:paraId="2601495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硝酸钾</w:t>
            </w:r>
          </w:p>
        </w:tc>
        <w:tc>
          <w:tcPr>
            <w:tcW w:w="1950" w:type="dxa"/>
            <w:vAlign w:val="center"/>
          </w:tcPr>
          <w:p w14:paraId="51ED2E4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0.5kg</w:t>
            </w:r>
          </w:p>
        </w:tc>
        <w:tc>
          <w:tcPr>
            <w:tcW w:w="1840" w:type="dxa"/>
            <w:vAlign w:val="center"/>
          </w:tcPr>
          <w:p w14:paraId="0B0FF92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04F098B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155B2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4B1CE58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14</w:t>
            </w:r>
          </w:p>
        </w:tc>
        <w:tc>
          <w:tcPr>
            <w:tcW w:w="2156" w:type="dxa"/>
            <w:shd w:val="clear" w:color="auto" w:fill="auto"/>
            <w:vAlign w:val="center"/>
          </w:tcPr>
          <w:p w14:paraId="7239551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硝酸银</w:t>
            </w:r>
          </w:p>
        </w:tc>
        <w:tc>
          <w:tcPr>
            <w:tcW w:w="1950" w:type="dxa"/>
            <w:vAlign w:val="center"/>
          </w:tcPr>
          <w:p w14:paraId="54FB8C5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0.1kg</w:t>
            </w:r>
          </w:p>
        </w:tc>
        <w:tc>
          <w:tcPr>
            <w:tcW w:w="1840" w:type="dxa"/>
            <w:vAlign w:val="center"/>
          </w:tcPr>
          <w:p w14:paraId="6FB8F4D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10641D3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7B1E6F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06569E9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15</w:t>
            </w:r>
          </w:p>
        </w:tc>
        <w:tc>
          <w:tcPr>
            <w:tcW w:w="2156" w:type="dxa"/>
            <w:shd w:val="clear" w:color="auto" w:fill="auto"/>
            <w:vAlign w:val="center"/>
          </w:tcPr>
          <w:p w14:paraId="5FECCEB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硫酸汞</w:t>
            </w:r>
          </w:p>
        </w:tc>
        <w:tc>
          <w:tcPr>
            <w:tcW w:w="1950" w:type="dxa"/>
            <w:vAlign w:val="center"/>
          </w:tcPr>
          <w:p w14:paraId="56C5FBD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1.25kg</w:t>
            </w:r>
          </w:p>
        </w:tc>
        <w:tc>
          <w:tcPr>
            <w:tcW w:w="1840" w:type="dxa"/>
            <w:vAlign w:val="center"/>
          </w:tcPr>
          <w:p w14:paraId="289F60F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205810B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1439CD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53E6C47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16</w:t>
            </w:r>
          </w:p>
        </w:tc>
        <w:tc>
          <w:tcPr>
            <w:tcW w:w="2156" w:type="dxa"/>
            <w:shd w:val="clear" w:color="auto" w:fill="auto"/>
            <w:vAlign w:val="center"/>
          </w:tcPr>
          <w:p w14:paraId="3CFAA93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碘化汞</w:t>
            </w:r>
          </w:p>
        </w:tc>
        <w:tc>
          <w:tcPr>
            <w:tcW w:w="1950" w:type="dxa"/>
            <w:vAlign w:val="center"/>
          </w:tcPr>
          <w:p w14:paraId="6CEE9D5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1kg</w:t>
            </w:r>
          </w:p>
        </w:tc>
        <w:tc>
          <w:tcPr>
            <w:tcW w:w="1840" w:type="dxa"/>
            <w:vAlign w:val="center"/>
          </w:tcPr>
          <w:p w14:paraId="2C55854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1A261C3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6B16F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006CD73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17</w:t>
            </w:r>
          </w:p>
        </w:tc>
        <w:tc>
          <w:tcPr>
            <w:tcW w:w="2156" w:type="dxa"/>
            <w:shd w:val="clear" w:color="auto" w:fill="auto"/>
            <w:vAlign w:val="center"/>
          </w:tcPr>
          <w:p w14:paraId="246160F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铬酸钾</w:t>
            </w:r>
          </w:p>
        </w:tc>
        <w:tc>
          <w:tcPr>
            <w:tcW w:w="1950" w:type="dxa"/>
            <w:vAlign w:val="center"/>
          </w:tcPr>
          <w:p w14:paraId="76C73F9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0.5kg</w:t>
            </w:r>
          </w:p>
        </w:tc>
        <w:tc>
          <w:tcPr>
            <w:tcW w:w="1840" w:type="dxa"/>
            <w:vAlign w:val="center"/>
          </w:tcPr>
          <w:p w14:paraId="3F600E5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5F7860C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4E301D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74F8068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18</w:t>
            </w:r>
          </w:p>
        </w:tc>
        <w:tc>
          <w:tcPr>
            <w:tcW w:w="2156" w:type="dxa"/>
            <w:shd w:val="clear" w:color="auto" w:fill="auto"/>
            <w:vAlign w:val="center"/>
          </w:tcPr>
          <w:p w14:paraId="4AD96E1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N-烯丙基硫脲</w:t>
            </w:r>
          </w:p>
        </w:tc>
        <w:tc>
          <w:tcPr>
            <w:tcW w:w="1950" w:type="dxa"/>
            <w:vAlign w:val="center"/>
          </w:tcPr>
          <w:p w14:paraId="7365B02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0.1kg</w:t>
            </w:r>
          </w:p>
        </w:tc>
        <w:tc>
          <w:tcPr>
            <w:tcW w:w="1840" w:type="dxa"/>
            <w:vAlign w:val="center"/>
          </w:tcPr>
          <w:p w14:paraId="27082D8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0F3E2AA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63EAE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64FFE8F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19</w:t>
            </w:r>
          </w:p>
        </w:tc>
        <w:tc>
          <w:tcPr>
            <w:tcW w:w="2156" w:type="dxa"/>
            <w:shd w:val="clear" w:color="auto" w:fill="auto"/>
            <w:vAlign w:val="center"/>
          </w:tcPr>
          <w:p w14:paraId="5829CB7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硼酸</w:t>
            </w:r>
          </w:p>
        </w:tc>
        <w:tc>
          <w:tcPr>
            <w:tcW w:w="1950" w:type="dxa"/>
            <w:vAlign w:val="center"/>
          </w:tcPr>
          <w:p w14:paraId="6DA4317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0.5kg</w:t>
            </w:r>
          </w:p>
        </w:tc>
        <w:tc>
          <w:tcPr>
            <w:tcW w:w="1840" w:type="dxa"/>
            <w:vAlign w:val="center"/>
          </w:tcPr>
          <w:p w14:paraId="4BC0D3F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72323D0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40BFA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5EA6BD7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20</w:t>
            </w:r>
          </w:p>
        </w:tc>
        <w:tc>
          <w:tcPr>
            <w:tcW w:w="2156" w:type="dxa"/>
            <w:shd w:val="clear" w:color="auto" w:fill="auto"/>
            <w:vAlign w:val="center"/>
          </w:tcPr>
          <w:p w14:paraId="18DAD63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氢氧化钾</w:t>
            </w:r>
          </w:p>
        </w:tc>
        <w:tc>
          <w:tcPr>
            <w:tcW w:w="1950" w:type="dxa"/>
            <w:vAlign w:val="center"/>
          </w:tcPr>
          <w:p w14:paraId="45B0DC6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0.5kg</w:t>
            </w:r>
          </w:p>
        </w:tc>
        <w:tc>
          <w:tcPr>
            <w:tcW w:w="1840" w:type="dxa"/>
            <w:vAlign w:val="center"/>
          </w:tcPr>
          <w:p w14:paraId="77C5142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77EF89A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5FD90C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1877F9B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21</w:t>
            </w:r>
          </w:p>
        </w:tc>
        <w:tc>
          <w:tcPr>
            <w:tcW w:w="2156" w:type="dxa"/>
            <w:shd w:val="clear" w:color="auto" w:fill="auto"/>
            <w:vAlign w:val="center"/>
          </w:tcPr>
          <w:p w14:paraId="2860CA7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氢氧化钠</w:t>
            </w:r>
          </w:p>
        </w:tc>
        <w:tc>
          <w:tcPr>
            <w:tcW w:w="1950" w:type="dxa"/>
            <w:vAlign w:val="center"/>
          </w:tcPr>
          <w:p w14:paraId="02D480C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2.5kg</w:t>
            </w:r>
          </w:p>
        </w:tc>
        <w:tc>
          <w:tcPr>
            <w:tcW w:w="1840" w:type="dxa"/>
            <w:vAlign w:val="center"/>
          </w:tcPr>
          <w:p w14:paraId="1EAAA6A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042FDF5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156D5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6B33449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22</w:t>
            </w:r>
          </w:p>
        </w:tc>
        <w:tc>
          <w:tcPr>
            <w:tcW w:w="2156" w:type="dxa"/>
            <w:shd w:val="clear" w:color="auto" w:fill="auto"/>
            <w:vAlign w:val="center"/>
          </w:tcPr>
          <w:p w14:paraId="04CD74D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氨水</w:t>
            </w:r>
          </w:p>
        </w:tc>
        <w:tc>
          <w:tcPr>
            <w:tcW w:w="1950" w:type="dxa"/>
            <w:vAlign w:val="center"/>
          </w:tcPr>
          <w:p w14:paraId="3772467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0.49kg</w:t>
            </w:r>
          </w:p>
        </w:tc>
        <w:tc>
          <w:tcPr>
            <w:tcW w:w="1840" w:type="dxa"/>
            <w:vAlign w:val="center"/>
          </w:tcPr>
          <w:p w14:paraId="5BE96F5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3253F81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37A84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716554E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23</w:t>
            </w:r>
          </w:p>
        </w:tc>
        <w:tc>
          <w:tcPr>
            <w:tcW w:w="2156" w:type="dxa"/>
            <w:shd w:val="clear" w:color="auto" w:fill="auto"/>
            <w:vAlign w:val="center"/>
          </w:tcPr>
          <w:p w14:paraId="3982E72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六水合三氯化铁</w:t>
            </w:r>
          </w:p>
        </w:tc>
        <w:tc>
          <w:tcPr>
            <w:tcW w:w="1950" w:type="dxa"/>
            <w:vAlign w:val="center"/>
          </w:tcPr>
          <w:p w14:paraId="5A355E9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0.5kg</w:t>
            </w:r>
          </w:p>
        </w:tc>
        <w:tc>
          <w:tcPr>
            <w:tcW w:w="1840" w:type="dxa"/>
            <w:vAlign w:val="center"/>
          </w:tcPr>
          <w:p w14:paraId="73DC3E3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5571A3D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5D089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6387B08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24</w:t>
            </w:r>
          </w:p>
        </w:tc>
        <w:tc>
          <w:tcPr>
            <w:tcW w:w="2156" w:type="dxa"/>
            <w:shd w:val="clear" w:color="auto" w:fill="auto"/>
            <w:vAlign w:val="center"/>
          </w:tcPr>
          <w:p w14:paraId="5879AAB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氯化锌</w:t>
            </w:r>
          </w:p>
        </w:tc>
        <w:tc>
          <w:tcPr>
            <w:tcW w:w="1950" w:type="dxa"/>
            <w:vAlign w:val="center"/>
          </w:tcPr>
          <w:p w14:paraId="09E0B55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0.5kg</w:t>
            </w:r>
          </w:p>
        </w:tc>
        <w:tc>
          <w:tcPr>
            <w:tcW w:w="1840" w:type="dxa"/>
            <w:vAlign w:val="center"/>
          </w:tcPr>
          <w:p w14:paraId="01659E4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74E9CFF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204FC3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29EFB4D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25</w:t>
            </w:r>
          </w:p>
        </w:tc>
        <w:tc>
          <w:tcPr>
            <w:tcW w:w="2156" w:type="dxa"/>
            <w:shd w:val="clear" w:color="auto" w:fill="auto"/>
            <w:vAlign w:val="center"/>
          </w:tcPr>
          <w:p w14:paraId="1930603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乙酸</w:t>
            </w:r>
          </w:p>
        </w:tc>
        <w:tc>
          <w:tcPr>
            <w:tcW w:w="1950" w:type="dxa"/>
            <w:vAlign w:val="center"/>
          </w:tcPr>
          <w:p w14:paraId="3F95951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0.525kg</w:t>
            </w:r>
          </w:p>
        </w:tc>
        <w:tc>
          <w:tcPr>
            <w:tcW w:w="1840" w:type="dxa"/>
            <w:vAlign w:val="center"/>
          </w:tcPr>
          <w:p w14:paraId="5107F9C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1E01B8B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6F5B6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52001D9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26</w:t>
            </w:r>
          </w:p>
        </w:tc>
        <w:tc>
          <w:tcPr>
            <w:tcW w:w="2156" w:type="dxa"/>
            <w:shd w:val="clear" w:color="auto" w:fill="auto"/>
            <w:vAlign w:val="center"/>
          </w:tcPr>
          <w:p w14:paraId="49C428A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无水乙醇</w:t>
            </w:r>
          </w:p>
        </w:tc>
        <w:tc>
          <w:tcPr>
            <w:tcW w:w="1950" w:type="dxa"/>
            <w:vAlign w:val="center"/>
          </w:tcPr>
          <w:p w14:paraId="6F3BF15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0.395kg</w:t>
            </w:r>
          </w:p>
        </w:tc>
        <w:tc>
          <w:tcPr>
            <w:tcW w:w="1840" w:type="dxa"/>
            <w:vAlign w:val="center"/>
          </w:tcPr>
          <w:p w14:paraId="43FD449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206B8F4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7D1A5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6409A3A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27</w:t>
            </w:r>
          </w:p>
        </w:tc>
        <w:tc>
          <w:tcPr>
            <w:tcW w:w="2156" w:type="dxa"/>
            <w:shd w:val="clear" w:color="auto" w:fill="auto"/>
            <w:vAlign w:val="center"/>
          </w:tcPr>
          <w:p w14:paraId="2C0E3F3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过硫酸钾</w:t>
            </w:r>
          </w:p>
        </w:tc>
        <w:tc>
          <w:tcPr>
            <w:tcW w:w="1950" w:type="dxa"/>
            <w:vAlign w:val="center"/>
          </w:tcPr>
          <w:p w14:paraId="79F970A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2.5kg</w:t>
            </w:r>
          </w:p>
        </w:tc>
        <w:tc>
          <w:tcPr>
            <w:tcW w:w="1840" w:type="dxa"/>
            <w:vAlign w:val="center"/>
          </w:tcPr>
          <w:p w14:paraId="37F9266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瓶装</w:t>
            </w:r>
          </w:p>
        </w:tc>
        <w:tc>
          <w:tcPr>
            <w:tcW w:w="2021" w:type="dxa"/>
            <w:vMerge w:val="continue"/>
            <w:vAlign w:val="center"/>
          </w:tcPr>
          <w:p w14:paraId="06965F6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47DCEA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3D5CC61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28</w:t>
            </w:r>
          </w:p>
        </w:tc>
        <w:tc>
          <w:tcPr>
            <w:tcW w:w="2156" w:type="dxa"/>
            <w:shd w:val="clear" w:color="auto" w:fill="auto"/>
            <w:vAlign w:val="center"/>
          </w:tcPr>
          <w:p w14:paraId="634F306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废矿物油</w:t>
            </w:r>
          </w:p>
        </w:tc>
        <w:tc>
          <w:tcPr>
            <w:tcW w:w="1950" w:type="dxa"/>
            <w:vAlign w:val="center"/>
          </w:tcPr>
          <w:p w14:paraId="2E17B6E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0.1t</w:t>
            </w:r>
          </w:p>
        </w:tc>
        <w:tc>
          <w:tcPr>
            <w:tcW w:w="1840" w:type="dxa"/>
            <w:vAlign w:val="center"/>
          </w:tcPr>
          <w:p w14:paraId="50E6628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桶装</w:t>
            </w:r>
          </w:p>
        </w:tc>
        <w:tc>
          <w:tcPr>
            <w:tcW w:w="2021" w:type="dxa"/>
            <w:vMerge w:val="restart"/>
            <w:vAlign w:val="center"/>
          </w:tcPr>
          <w:p w14:paraId="4F416E0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危废暂存间</w:t>
            </w:r>
          </w:p>
        </w:tc>
      </w:tr>
      <w:tr w14:paraId="3F7CC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2EFC6D8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29</w:t>
            </w:r>
          </w:p>
        </w:tc>
        <w:tc>
          <w:tcPr>
            <w:tcW w:w="2156" w:type="dxa"/>
            <w:shd w:val="clear" w:color="auto" w:fill="auto"/>
            <w:vAlign w:val="center"/>
          </w:tcPr>
          <w:p w14:paraId="7B10A54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在线监测废液</w:t>
            </w:r>
          </w:p>
        </w:tc>
        <w:tc>
          <w:tcPr>
            <w:tcW w:w="1950" w:type="dxa"/>
            <w:vAlign w:val="center"/>
          </w:tcPr>
          <w:p w14:paraId="0A3262C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2.4t</w:t>
            </w:r>
          </w:p>
        </w:tc>
        <w:tc>
          <w:tcPr>
            <w:tcW w:w="1840" w:type="dxa"/>
            <w:vAlign w:val="center"/>
          </w:tcPr>
          <w:p w14:paraId="72B9BB2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桶装</w:t>
            </w:r>
          </w:p>
        </w:tc>
        <w:tc>
          <w:tcPr>
            <w:tcW w:w="2021" w:type="dxa"/>
            <w:vMerge w:val="continue"/>
            <w:vAlign w:val="center"/>
          </w:tcPr>
          <w:p w14:paraId="7F145E9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r w14:paraId="56030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70" w:type="dxa"/>
            <w:shd w:val="clear" w:color="auto" w:fill="auto"/>
            <w:vAlign w:val="center"/>
          </w:tcPr>
          <w:p w14:paraId="49D1EF5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30</w:t>
            </w:r>
          </w:p>
        </w:tc>
        <w:tc>
          <w:tcPr>
            <w:tcW w:w="2156" w:type="dxa"/>
            <w:shd w:val="clear" w:color="auto" w:fill="auto"/>
            <w:vAlign w:val="center"/>
          </w:tcPr>
          <w:p w14:paraId="6EA3320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t>化验室废液</w:t>
            </w:r>
          </w:p>
        </w:tc>
        <w:tc>
          <w:tcPr>
            <w:tcW w:w="1950" w:type="dxa"/>
            <w:vAlign w:val="center"/>
          </w:tcPr>
          <w:p w14:paraId="30F998D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0.3t</w:t>
            </w:r>
          </w:p>
        </w:tc>
        <w:tc>
          <w:tcPr>
            <w:tcW w:w="1840" w:type="dxa"/>
            <w:vAlign w:val="center"/>
          </w:tcPr>
          <w:p w14:paraId="65F409C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桶装</w:t>
            </w:r>
          </w:p>
        </w:tc>
        <w:tc>
          <w:tcPr>
            <w:tcW w:w="2021" w:type="dxa"/>
            <w:vMerge w:val="continue"/>
            <w:vAlign w:val="center"/>
          </w:tcPr>
          <w:p w14:paraId="34602B6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p>
        </w:tc>
      </w:tr>
    </w:tbl>
    <w:p w14:paraId="5DCC548B">
      <w:pPr>
        <w:pStyle w:val="4"/>
        <w:numPr>
          <w:ilvl w:val="2"/>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bookmarkStart w:id="137" w:name="_Toc19995"/>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6.1.2 </w:t>
      </w:r>
      <w:r>
        <w:rPr>
          <w:rFonts w:hint="default" w:ascii="Times New Roman" w:hAnsi="Times New Roman" w:cs="Times New Roman"/>
          <w:color w:val="000000" w:themeColor="text1"/>
          <w:highlight w:val="none"/>
          <w:u w:val="none" w:color="auto"/>
          <w14:textFill>
            <w14:solidFill>
              <w14:schemeClr w14:val="tx1"/>
            </w14:solidFill>
          </w14:textFill>
        </w:rPr>
        <w:t>环境敏感目标调查</w:t>
      </w:r>
      <w:bookmarkEnd w:id="137"/>
    </w:p>
    <w:p w14:paraId="447A25D5">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根据建设项目所在区域的生态环境以及危险物质可能的</w:t>
      </w:r>
      <w:r>
        <w:rPr>
          <w:rFonts w:hint="default" w:ascii="Times New Roman" w:hAnsi="Times New Roman" w:cs="Times New Roman"/>
          <w:color w:val="auto"/>
          <w:highlight w:val="none"/>
          <w:u w:val="none" w:color="auto"/>
        </w:rPr>
        <w:t>影响途径，明确环境敏感目标。</w:t>
      </w:r>
    </w:p>
    <w:p w14:paraId="54383D1B">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 xml:space="preserve">  风险保护目标表</w:t>
      </w:r>
    </w:p>
    <w:tbl>
      <w:tblPr>
        <w:tblStyle w:val="76"/>
        <w:tblW w:w="505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84"/>
        <w:gridCol w:w="584"/>
        <w:gridCol w:w="1716"/>
        <w:gridCol w:w="873"/>
        <w:gridCol w:w="541"/>
        <w:gridCol w:w="1142"/>
        <w:gridCol w:w="763"/>
        <w:gridCol w:w="1092"/>
        <w:gridCol w:w="857"/>
        <w:gridCol w:w="1040"/>
      </w:tblGrid>
      <w:tr w14:paraId="6E9F9B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78" w:type="dxa"/>
            <w:vMerge w:val="restart"/>
            <w:vAlign w:val="center"/>
          </w:tcPr>
          <w:p w14:paraId="424896D1">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类别</w:t>
            </w:r>
          </w:p>
        </w:tc>
        <w:tc>
          <w:tcPr>
            <w:tcW w:w="8522" w:type="dxa"/>
            <w:gridSpan w:val="9"/>
            <w:shd w:val="clear" w:color="auto" w:fill="auto"/>
            <w:vAlign w:val="center"/>
          </w:tcPr>
          <w:p w14:paraId="264A0A88">
            <w:pPr>
              <w:pStyle w:val="96"/>
              <w:keepNext w:val="0"/>
              <w:keepLines w:val="0"/>
              <w:suppressLineNumbers w:val="0"/>
              <w:spacing w:before="0" w:beforeAutospacing="0" w:after="0" w:afterAutospacing="0"/>
              <w:ind w:left="0" w:right="0"/>
              <w:jc w:val="center"/>
              <w:rPr>
                <w:rFonts w:hint="default" w:ascii="Times New Roman" w:hAnsi="Times New Roman" w:cs="Times New Roman"/>
                <w:b/>
                <w:color w:val="auto"/>
                <w:w w:val="95"/>
                <w:highlight w:val="none"/>
                <w:u w:val="none" w:color="auto"/>
              </w:rPr>
            </w:pPr>
            <w:r>
              <w:rPr>
                <w:rFonts w:hint="default" w:ascii="Times New Roman" w:hAnsi="Times New Roman" w:eastAsia="宋体" w:cs="Times New Roman"/>
                <w:b/>
                <w:color w:val="auto"/>
                <w:sz w:val="21"/>
                <w:szCs w:val="21"/>
                <w:highlight w:val="none"/>
                <w:u w:val="none" w:color="auto"/>
              </w:rPr>
              <w:t>环境敏感特征</w:t>
            </w:r>
            <w:r>
              <w:rPr>
                <w:rFonts w:hint="default" w:ascii="Times New Roman" w:hAnsi="Times New Roman" w:cs="Times New Roman"/>
                <w:b/>
                <w:color w:val="auto"/>
                <w:sz w:val="21"/>
                <w:szCs w:val="21"/>
                <w:highlight w:val="none"/>
                <w:u w:val="none" w:color="auto"/>
              </w:rPr>
              <w:t xml:space="preserve"> </w:t>
            </w:r>
          </w:p>
        </w:tc>
      </w:tr>
      <w:tr w14:paraId="42A291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78" w:type="dxa"/>
            <w:vMerge w:val="continue"/>
            <w:vAlign w:val="center"/>
          </w:tcPr>
          <w:p w14:paraId="776818D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8522" w:type="dxa"/>
            <w:gridSpan w:val="9"/>
            <w:shd w:val="clear" w:color="auto" w:fill="auto"/>
            <w:vAlign w:val="center"/>
          </w:tcPr>
          <w:p w14:paraId="06D41FA5">
            <w:pPr>
              <w:pStyle w:val="96"/>
              <w:keepNext w:val="0"/>
              <w:keepLines w:val="0"/>
              <w:suppressLineNumbers w:val="0"/>
              <w:spacing w:before="0" w:beforeAutospacing="0" w:after="0" w:afterAutospacing="0"/>
              <w:ind w:left="0" w:right="0"/>
              <w:jc w:val="center"/>
              <w:rPr>
                <w:rFonts w:hint="default" w:ascii="Times New Roman" w:hAnsi="Times New Roman" w:cs="Times New Roman"/>
                <w:b/>
                <w:color w:val="auto"/>
                <w:w w:val="95"/>
                <w:highlight w:val="none"/>
                <w:u w:val="none" w:color="auto"/>
              </w:rPr>
            </w:pPr>
            <w:r>
              <w:rPr>
                <w:rFonts w:hint="default" w:ascii="Times New Roman" w:hAnsi="Times New Roman" w:eastAsia="宋体" w:cs="Times New Roman"/>
                <w:b/>
                <w:color w:val="auto"/>
                <w:sz w:val="21"/>
                <w:szCs w:val="21"/>
                <w:highlight w:val="none"/>
                <w:u w:val="none" w:color="auto"/>
              </w:rPr>
              <w:t>厂址周边</w:t>
            </w:r>
            <w:r>
              <w:rPr>
                <w:rFonts w:hint="default" w:ascii="Times New Roman" w:hAnsi="Times New Roman" w:cs="Times New Roman"/>
                <w:b/>
                <w:color w:val="auto"/>
                <w:sz w:val="21"/>
                <w:szCs w:val="21"/>
                <w:highlight w:val="none"/>
                <w:u w:val="none" w:color="auto"/>
              </w:rPr>
              <w:t>5km</w:t>
            </w:r>
            <w:r>
              <w:rPr>
                <w:rFonts w:hint="default" w:ascii="Times New Roman" w:hAnsi="Times New Roman" w:eastAsia="宋体" w:cs="Times New Roman"/>
                <w:b/>
                <w:color w:val="auto"/>
                <w:sz w:val="21"/>
                <w:szCs w:val="21"/>
                <w:highlight w:val="none"/>
                <w:u w:val="none" w:color="auto"/>
              </w:rPr>
              <w:t>范围内</w:t>
            </w:r>
            <w:r>
              <w:rPr>
                <w:rFonts w:hint="default" w:ascii="Times New Roman" w:hAnsi="Times New Roman" w:cs="Times New Roman"/>
                <w:b/>
                <w:color w:val="auto"/>
                <w:sz w:val="21"/>
                <w:szCs w:val="21"/>
                <w:highlight w:val="none"/>
                <w:u w:val="none" w:color="auto"/>
              </w:rPr>
              <w:t xml:space="preserve"> </w:t>
            </w:r>
          </w:p>
        </w:tc>
      </w:tr>
      <w:tr w14:paraId="0DE830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401" w:hRule="atLeast"/>
          <w:jc w:val="center"/>
        </w:trPr>
        <w:tc>
          <w:tcPr>
            <w:tcW w:w="578" w:type="dxa"/>
            <w:vAlign w:val="center"/>
          </w:tcPr>
          <w:p w14:paraId="25FFE14E">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环境空气</w:t>
            </w:r>
          </w:p>
        </w:tc>
        <w:tc>
          <w:tcPr>
            <w:tcW w:w="8522" w:type="dxa"/>
            <w:gridSpan w:val="9"/>
            <w:shd w:val="clear" w:color="auto" w:fill="auto"/>
            <w:vAlign w:val="center"/>
          </w:tcPr>
          <w:tbl>
            <w:tblPr>
              <w:tblStyle w:val="76"/>
              <w:tblW w:w="82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65"/>
              <w:gridCol w:w="1769"/>
              <w:gridCol w:w="1709"/>
              <w:gridCol w:w="1746"/>
              <w:gridCol w:w="1168"/>
            </w:tblGrid>
            <w:tr w14:paraId="4B44D0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865" w:type="dxa"/>
                  <w:vMerge w:val="restart"/>
                  <w:tcBorders>
                    <w:tl2br w:val="nil"/>
                    <w:tr2bl w:val="nil"/>
                  </w:tcBorders>
                  <w:noWrap w:val="0"/>
                  <w:vAlign w:val="center"/>
                </w:tcPr>
                <w:p w14:paraId="46FCA85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保护目标</w:t>
                  </w:r>
                </w:p>
              </w:tc>
              <w:tc>
                <w:tcPr>
                  <w:tcW w:w="1769" w:type="dxa"/>
                  <w:vMerge w:val="restart"/>
                  <w:tcBorders>
                    <w:tl2br w:val="nil"/>
                    <w:tr2bl w:val="nil"/>
                  </w:tcBorders>
                  <w:noWrap w:val="0"/>
                  <w:vAlign w:val="center"/>
                </w:tcPr>
                <w:p w14:paraId="46AADC0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与厂界距离</w:t>
                  </w:r>
                  <w:r>
                    <w:rPr>
                      <w:rFonts w:hint="default" w:ascii="Times New Roman" w:hAnsi="Times New Roman" w:eastAsia="宋体" w:cs="Times New Roman"/>
                      <w:color w:val="auto"/>
                      <w:sz w:val="21"/>
                      <w:szCs w:val="21"/>
                      <w:highlight w:val="none"/>
                      <w:u w:val="none" w:color="auto"/>
                      <w:lang w:val="en-US" w:eastAsia="zh-CN"/>
                    </w:rPr>
                    <w:t>m</w:t>
                  </w:r>
                </w:p>
              </w:tc>
              <w:tc>
                <w:tcPr>
                  <w:tcW w:w="3455" w:type="dxa"/>
                  <w:gridSpan w:val="2"/>
                  <w:tcBorders>
                    <w:tl2br w:val="nil"/>
                    <w:tr2bl w:val="nil"/>
                  </w:tcBorders>
                  <w:noWrap w:val="0"/>
                  <w:vAlign w:val="center"/>
                </w:tcPr>
                <w:p w14:paraId="707F18C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坐标（m）</w:t>
                  </w:r>
                </w:p>
              </w:tc>
              <w:tc>
                <w:tcPr>
                  <w:tcW w:w="1168" w:type="dxa"/>
                  <w:vMerge w:val="restart"/>
                  <w:tcBorders>
                    <w:tl2br w:val="nil"/>
                    <w:tr2bl w:val="nil"/>
                  </w:tcBorders>
                  <w:noWrap w:val="0"/>
                  <w:vAlign w:val="center"/>
                </w:tcPr>
                <w:p w14:paraId="4C50C4C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功能及规模</w:t>
                  </w:r>
                </w:p>
              </w:tc>
            </w:tr>
            <w:tr w14:paraId="67F2B8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1865" w:type="dxa"/>
                  <w:vMerge w:val="continue"/>
                  <w:tcBorders>
                    <w:tl2br w:val="nil"/>
                    <w:tr2bl w:val="nil"/>
                  </w:tcBorders>
                  <w:noWrap w:val="0"/>
                  <w:vAlign w:val="center"/>
                </w:tcPr>
                <w:p w14:paraId="76C5FA1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p>
              </w:tc>
              <w:tc>
                <w:tcPr>
                  <w:tcW w:w="1769" w:type="dxa"/>
                  <w:vMerge w:val="continue"/>
                  <w:tcBorders>
                    <w:tl2br w:val="nil"/>
                    <w:tr2bl w:val="nil"/>
                  </w:tcBorders>
                  <w:noWrap w:val="0"/>
                  <w:vAlign w:val="center"/>
                </w:tcPr>
                <w:p w14:paraId="329B00B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p>
              </w:tc>
              <w:tc>
                <w:tcPr>
                  <w:tcW w:w="1709" w:type="dxa"/>
                  <w:tcBorders>
                    <w:tl2br w:val="nil"/>
                    <w:tr2bl w:val="nil"/>
                  </w:tcBorders>
                  <w:noWrap w:val="0"/>
                  <w:vAlign w:val="center"/>
                </w:tcPr>
                <w:p w14:paraId="0B3FB3F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X</w:t>
                  </w:r>
                </w:p>
              </w:tc>
              <w:tc>
                <w:tcPr>
                  <w:tcW w:w="1746" w:type="dxa"/>
                  <w:tcBorders>
                    <w:tl2br w:val="nil"/>
                    <w:tr2bl w:val="nil"/>
                  </w:tcBorders>
                  <w:noWrap w:val="0"/>
                  <w:vAlign w:val="center"/>
                </w:tcPr>
                <w:p w14:paraId="0540275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Y</w:t>
                  </w:r>
                </w:p>
              </w:tc>
              <w:tc>
                <w:tcPr>
                  <w:tcW w:w="1168" w:type="dxa"/>
                  <w:vMerge w:val="continue"/>
                  <w:tcBorders>
                    <w:tl2br w:val="nil"/>
                    <w:tr2bl w:val="nil"/>
                  </w:tcBorders>
                  <w:noWrap w:val="0"/>
                  <w:vAlign w:val="center"/>
                </w:tcPr>
                <w:p w14:paraId="01CD3B5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p>
              </w:tc>
            </w:tr>
            <w:tr w14:paraId="30A8C4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21C4D2B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1#河坝镇人民政府</w:t>
                  </w:r>
                </w:p>
              </w:tc>
              <w:tc>
                <w:tcPr>
                  <w:tcW w:w="1769" w:type="dxa"/>
                  <w:tcBorders>
                    <w:tl2br w:val="nil"/>
                    <w:tr2bl w:val="nil"/>
                  </w:tcBorders>
                  <w:noWrap w:val="0"/>
                  <w:vAlign w:val="center"/>
                </w:tcPr>
                <w:p w14:paraId="42AFAC3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E</w:t>
                  </w:r>
                  <w:r>
                    <w:rPr>
                      <w:rFonts w:hint="default" w:ascii="Times New Roman" w:hAnsi="Times New Roman" w:eastAsia="宋体" w:cs="Times New Roman"/>
                      <w:color w:val="auto"/>
                      <w:sz w:val="21"/>
                      <w:szCs w:val="21"/>
                      <w:highlight w:val="none"/>
                      <w:u w:val="none" w:color="auto"/>
                    </w:rPr>
                    <w:t>N2</w:t>
                  </w:r>
                  <w:r>
                    <w:rPr>
                      <w:rFonts w:hint="default" w:ascii="Times New Roman" w:hAnsi="Times New Roman" w:cs="Times New Roman"/>
                      <w:color w:val="auto"/>
                      <w:sz w:val="21"/>
                      <w:szCs w:val="21"/>
                      <w:highlight w:val="none"/>
                      <w:u w:val="none" w:color="auto"/>
                      <w:lang w:val="en-US" w:eastAsia="zh-CN"/>
                    </w:rPr>
                    <w:t>352</w:t>
                  </w:r>
                </w:p>
              </w:tc>
              <w:tc>
                <w:tcPr>
                  <w:tcW w:w="1709" w:type="dxa"/>
                  <w:tcBorders>
                    <w:tl2br w:val="nil"/>
                    <w:tr2bl w:val="nil"/>
                  </w:tcBorders>
                  <w:noWrap w:val="0"/>
                  <w:vAlign w:val="center"/>
                </w:tcPr>
                <w:p w14:paraId="15C7F25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rPr>
                    <w:t>112°38′20.56940″</w:t>
                  </w:r>
                </w:p>
              </w:tc>
              <w:tc>
                <w:tcPr>
                  <w:tcW w:w="1746" w:type="dxa"/>
                  <w:tcBorders>
                    <w:tl2br w:val="nil"/>
                    <w:tr2bl w:val="nil"/>
                  </w:tcBorders>
                  <w:noWrap w:val="0"/>
                  <w:vAlign w:val="center"/>
                </w:tcPr>
                <w:p w14:paraId="392D678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rPr>
                    <w:t>29°11′17.45256″</w:t>
                  </w:r>
                </w:p>
              </w:tc>
              <w:tc>
                <w:tcPr>
                  <w:tcW w:w="1168" w:type="dxa"/>
                  <w:tcBorders>
                    <w:tl2br w:val="nil"/>
                    <w:tr2bl w:val="nil"/>
                  </w:tcBorders>
                  <w:noWrap w:val="0"/>
                  <w:vAlign w:val="center"/>
                </w:tcPr>
                <w:p w14:paraId="768AD4B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机关，</w:t>
                  </w: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100</w:t>
                  </w:r>
                  <w:r>
                    <w:rPr>
                      <w:rFonts w:hint="default" w:ascii="Times New Roman" w:hAnsi="Times New Roman" w:eastAsia="宋体" w:cs="Times New Roman"/>
                      <w:color w:val="auto"/>
                      <w:sz w:val="21"/>
                      <w:szCs w:val="21"/>
                      <w:highlight w:val="none"/>
                      <w:u w:val="none" w:color="auto"/>
                    </w:rPr>
                    <w:t>人</w:t>
                  </w:r>
                </w:p>
              </w:tc>
            </w:tr>
            <w:tr w14:paraId="4EA75D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205412D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2#大通湖区政府</w:t>
                  </w:r>
                </w:p>
              </w:tc>
              <w:tc>
                <w:tcPr>
                  <w:tcW w:w="1769" w:type="dxa"/>
                  <w:tcBorders>
                    <w:tl2br w:val="nil"/>
                    <w:tr2bl w:val="nil"/>
                  </w:tcBorders>
                  <w:noWrap w:val="0"/>
                  <w:vAlign w:val="center"/>
                </w:tcPr>
                <w:p w14:paraId="21F0D08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E</w:t>
                  </w:r>
                  <w:r>
                    <w:rPr>
                      <w:rFonts w:hint="default" w:ascii="Times New Roman" w:hAnsi="Times New Roman" w:eastAsia="宋体" w:cs="Times New Roman"/>
                      <w:color w:val="auto"/>
                      <w:sz w:val="21"/>
                      <w:szCs w:val="21"/>
                      <w:highlight w:val="none"/>
                      <w:u w:val="none" w:color="auto"/>
                    </w:rPr>
                    <w:t>N2</w:t>
                  </w:r>
                  <w:r>
                    <w:rPr>
                      <w:rFonts w:hint="default" w:ascii="Times New Roman" w:hAnsi="Times New Roman" w:cs="Times New Roman"/>
                      <w:color w:val="auto"/>
                      <w:sz w:val="21"/>
                      <w:szCs w:val="21"/>
                      <w:highlight w:val="none"/>
                      <w:u w:val="none" w:color="auto"/>
                      <w:lang w:val="en-US" w:eastAsia="zh-CN"/>
                    </w:rPr>
                    <w:t>071</w:t>
                  </w:r>
                </w:p>
              </w:tc>
              <w:tc>
                <w:tcPr>
                  <w:tcW w:w="1709" w:type="dxa"/>
                  <w:tcBorders>
                    <w:tl2br w:val="nil"/>
                    <w:tr2bl w:val="nil"/>
                  </w:tcBorders>
                  <w:noWrap w:val="0"/>
                  <w:vAlign w:val="center"/>
                </w:tcPr>
                <w:p w14:paraId="3C6FB71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112°38′0.48502″</w:t>
                  </w:r>
                </w:p>
              </w:tc>
              <w:tc>
                <w:tcPr>
                  <w:tcW w:w="1746" w:type="dxa"/>
                  <w:tcBorders>
                    <w:tl2br w:val="nil"/>
                    <w:tr2bl w:val="nil"/>
                  </w:tcBorders>
                  <w:noWrap w:val="0"/>
                  <w:vAlign w:val="center"/>
                </w:tcPr>
                <w:p w14:paraId="74E8298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29°11′38.30942″</w:t>
                  </w:r>
                </w:p>
              </w:tc>
              <w:tc>
                <w:tcPr>
                  <w:tcW w:w="1168" w:type="dxa"/>
                  <w:tcBorders>
                    <w:tl2br w:val="nil"/>
                    <w:tr2bl w:val="nil"/>
                  </w:tcBorders>
                  <w:noWrap w:val="0"/>
                  <w:vAlign w:val="center"/>
                </w:tcPr>
                <w:p w14:paraId="51CE65F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机关，约100人</w:t>
                  </w:r>
                </w:p>
              </w:tc>
            </w:tr>
            <w:tr w14:paraId="78D13A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66A8A8E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w:t>
                  </w:r>
                  <w:r>
                    <w:rPr>
                      <w:rFonts w:hint="default" w:ascii="Times New Roman" w:hAnsi="Times New Roman" w:eastAsia="宋体" w:cs="Times New Roman"/>
                      <w:color w:val="auto"/>
                      <w:sz w:val="21"/>
                      <w:szCs w:val="21"/>
                      <w:highlight w:val="none"/>
                      <w:u w:val="none" w:color="auto"/>
                    </w:rPr>
                    <w:t>#河坝镇中心小学</w:t>
                  </w:r>
                </w:p>
              </w:tc>
              <w:tc>
                <w:tcPr>
                  <w:tcW w:w="1769" w:type="dxa"/>
                  <w:tcBorders>
                    <w:tl2br w:val="nil"/>
                    <w:tr2bl w:val="nil"/>
                  </w:tcBorders>
                  <w:noWrap w:val="0"/>
                  <w:vAlign w:val="center"/>
                </w:tcPr>
                <w:p w14:paraId="2272CEE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E</w:t>
                  </w:r>
                  <w:r>
                    <w:rPr>
                      <w:rFonts w:hint="default" w:ascii="Times New Roman" w:hAnsi="Times New Roman" w:eastAsia="宋体" w:cs="Times New Roman"/>
                      <w:color w:val="auto"/>
                      <w:sz w:val="21"/>
                      <w:szCs w:val="21"/>
                      <w:highlight w:val="none"/>
                      <w:u w:val="none" w:color="auto"/>
                    </w:rPr>
                    <w:t>N</w:t>
                  </w:r>
                  <w:r>
                    <w:rPr>
                      <w:rFonts w:hint="default" w:ascii="Times New Roman" w:hAnsi="Times New Roman" w:eastAsia="宋体" w:cs="Times New Roman"/>
                      <w:color w:val="auto"/>
                      <w:sz w:val="21"/>
                      <w:szCs w:val="21"/>
                      <w:highlight w:val="none"/>
                      <w:u w:val="none" w:color="auto"/>
                      <w:lang w:val="en-US" w:eastAsia="zh-CN"/>
                    </w:rPr>
                    <w:t>1553</w:t>
                  </w:r>
                </w:p>
              </w:tc>
              <w:tc>
                <w:tcPr>
                  <w:tcW w:w="1709" w:type="dxa"/>
                  <w:tcBorders>
                    <w:tl2br w:val="nil"/>
                    <w:tr2bl w:val="nil"/>
                  </w:tcBorders>
                  <w:noWrap w:val="0"/>
                  <w:vAlign w:val="center"/>
                </w:tcPr>
                <w:p w14:paraId="2A71E18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112°37′50.71319″</w:t>
                  </w:r>
                </w:p>
              </w:tc>
              <w:tc>
                <w:tcPr>
                  <w:tcW w:w="1746" w:type="dxa"/>
                  <w:tcBorders>
                    <w:tl2br w:val="nil"/>
                    <w:tr2bl w:val="nil"/>
                  </w:tcBorders>
                  <w:noWrap w:val="0"/>
                  <w:vAlign w:val="center"/>
                </w:tcPr>
                <w:p w14:paraId="076EC20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29°11′15.17376″</w:t>
                  </w:r>
                </w:p>
              </w:tc>
              <w:tc>
                <w:tcPr>
                  <w:tcW w:w="1168" w:type="dxa"/>
                  <w:tcBorders>
                    <w:tl2br w:val="nil"/>
                    <w:tr2bl w:val="nil"/>
                  </w:tcBorders>
                  <w:noWrap w:val="0"/>
                  <w:vAlign w:val="center"/>
                </w:tcPr>
                <w:p w14:paraId="062DD51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学校，约1000人</w:t>
                  </w:r>
                </w:p>
              </w:tc>
            </w:tr>
            <w:tr w14:paraId="278460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68EA44C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4</w:t>
                  </w:r>
                  <w:r>
                    <w:rPr>
                      <w:rFonts w:hint="default" w:ascii="Times New Roman" w:hAnsi="Times New Roman" w:eastAsia="宋体" w:cs="Times New Roman"/>
                      <w:color w:val="auto"/>
                      <w:sz w:val="21"/>
                      <w:szCs w:val="21"/>
                      <w:highlight w:val="none"/>
                      <w:u w:val="none" w:color="auto"/>
                    </w:rPr>
                    <w:t>#大通湖区第一中学</w:t>
                  </w:r>
                </w:p>
              </w:tc>
              <w:tc>
                <w:tcPr>
                  <w:tcW w:w="1769" w:type="dxa"/>
                  <w:tcBorders>
                    <w:tl2br w:val="nil"/>
                    <w:tr2bl w:val="nil"/>
                  </w:tcBorders>
                  <w:noWrap w:val="0"/>
                  <w:vAlign w:val="center"/>
                </w:tcPr>
                <w:p w14:paraId="6D90B5A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ES1478</w:t>
                  </w:r>
                </w:p>
              </w:tc>
              <w:tc>
                <w:tcPr>
                  <w:tcW w:w="1709" w:type="dxa"/>
                  <w:tcBorders>
                    <w:tl2br w:val="nil"/>
                    <w:tr2bl w:val="nil"/>
                  </w:tcBorders>
                  <w:noWrap w:val="0"/>
                  <w:vAlign w:val="center"/>
                </w:tcPr>
                <w:p w14:paraId="17E1039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112°37′49.20686″</w:t>
                  </w:r>
                </w:p>
              </w:tc>
              <w:tc>
                <w:tcPr>
                  <w:tcW w:w="1746" w:type="dxa"/>
                  <w:tcBorders>
                    <w:tl2br w:val="nil"/>
                    <w:tr2bl w:val="nil"/>
                  </w:tcBorders>
                  <w:noWrap w:val="0"/>
                  <w:vAlign w:val="center"/>
                </w:tcPr>
                <w:p w14:paraId="01475CD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29°10′54.43277″</w:t>
                  </w:r>
                </w:p>
              </w:tc>
              <w:tc>
                <w:tcPr>
                  <w:tcW w:w="1168" w:type="dxa"/>
                  <w:tcBorders>
                    <w:tl2br w:val="nil"/>
                    <w:tr2bl w:val="nil"/>
                  </w:tcBorders>
                  <w:noWrap w:val="0"/>
                  <w:vAlign w:val="center"/>
                </w:tcPr>
                <w:p w14:paraId="71E5895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学校，约1500人</w:t>
                  </w:r>
                </w:p>
              </w:tc>
            </w:tr>
            <w:tr w14:paraId="7B326F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302FD01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5#惠民小区</w:t>
                  </w:r>
                </w:p>
              </w:tc>
              <w:tc>
                <w:tcPr>
                  <w:tcW w:w="1769" w:type="dxa"/>
                  <w:tcBorders>
                    <w:tl2br w:val="nil"/>
                    <w:tr2bl w:val="nil"/>
                  </w:tcBorders>
                  <w:noWrap w:val="0"/>
                  <w:vAlign w:val="center"/>
                </w:tcPr>
                <w:p w14:paraId="64FDA72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E</w:t>
                  </w:r>
                  <w:r>
                    <w:rPr>
                      <w:rFonts w:hint="default" w:ascii="Times New Roman" w:hAnsi="Times New Roman" w:eastAsia="宋体" w:cs="Times New Roman"/>
                      <w:color w:val="auto"/>
                      <w:sz w:val="21"/>
                      <w:szCs w:val="21"/>
                      <w:highlight w:val="none"/>
                      <w:u w:val="none" w:color="auto"/>
                    </w:rPr>
                    <w:t>N</w:t>
                  </w:r>
                  <w:r>
                    <w:rPr>
                      <w:rFonts w:hint="default" w:ascii="Times New Roman" w:hAnsi="Times New Roman" w:eastAsia="宋体" w:cs="Times New Roman"/>
                      <w:color w:val="auto"/>
                      <w:sz w:val="21"/>
                      <w:szCs w:val="21"/>
                      <w:highlight w:val="none"/>
                      <w:u w:val="none" w:color="auto"/>
                      <w:lang w:val="en-US" w:eastAsia="zh-CN"/>
                    </w:rPr>
                    <w:t>1452-1663</w:t>
                  </w:r>
                </w:p>
              </w:tc>
              <w:tc>
                <w:tcPr>
                  <w:tcW w:w="1709" w:type="dxa"/>
                  <w:tcBorders>
                    <w:tl2br w:val="nil"/>
                    <w:tr2bl w:val="nil"/>
                  </w:tcBorders>
                  <w:noWrap w:val="0"/>
                  <w:vAlign w:val="center"/>
                </w:tcPr>
                <w:p w14:paraId="3299FB2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112°37′45.30586″</w:t>
                  </w:r>
                </w:p>
              </w:tc>
              <w:tc>
                <w:tcPr>
                  <w:tcW w:w="1746" w:type="dxa"/>
                  <w:tcBorders>
                    <w:tl2br w:val="nil"/>
                    <w:tr2bl w:val="nil"/>
                  </w:tcBorders>
                  <w:noWrap w:val="0"/>
                  <w:vAlign w:val="center"/>
                </w:tcPr>
                <w:p w14:paraId="5A2D771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29°11′29.69631″</w:t>
                  </w:r>
                </w:p>
              </w:tc>
              <w:tc>
                <w:tcPr>
                  <w:tcW w:w="1168" w:type="dxa"/>
                  <w:tcBorders>
                    <w:tl2br w:val="nil"/>
                    <w:tr2bl w:val="nil"/>
                  </w:tcBorders>
                  <w:noWrap w:val="0"/>
                  <w:vAlign w:val="center"/>
                </w:tcPr>
                <w:p w14:paraId="6B9443E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居民区，约500户</w:t>
                  </w:r>
                </w:p>
              </w:tc>
            </w:tr>
            <w:tr w14:paraId="2F6741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44624A0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6#大通湖区居民</w:t>
                  </w:r>
                </w:p>
              </w:tc>
              <w:tc>
                <w:tcPr>
                  <w:tcW w:w="1769" w:type="dxa"/>
                  <w:tcBorders>
                    <w:tl2br w:val="nil"/>
                    <w:tr2bl w:val="nil"/>
                  </w:tcBorders>
                  <w:noWrap w:val="0"/>
                  <w:vAlign w:val="center"/>
                </w:tcPr>
                <w:p w14:paraId="0A20197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EN1050-2500</w:t>
                  </w:r>
                </w:p>
              </w:tc>
              <w:tc>
                <w:tcPr>
                  <w:tcW w:w="1709" w:type="dxa"/>
                  <w:tcBorders>
                    <w:tl2br w:val="nil"/>
                    <w:tr2bl w:val="nil"/>
                  </w:tcBorders>
                  <w:noWrap w:val="0"/>
                  <w:vAlign w:val="center"/>
                </w:tcPr>
                <w:p w14:paraId="2A5AB84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112°38′3.69079″</w:t>
                  </w:r>
                </w:p>
              </w:tc>
              <w:tc>
                <w:tcPr>
                  <w:tcW w:w="1746" w:type="dxa"/>
                  <w:tcBorders>
                    <w:tl2br w:val="nil"/>
                    <w:tr2bl w:val="nil"/>
                  </w:tcBorders>
                  <w:noWrap w:val="0"/>
                  <w:vAlign w:val="center"/>
                </w:tcPr>
                <w:p w14:paraId="6F30CA6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29°11′23.70962″</w:t>
                  </w:r>
                </w:p>
              </w:tc>
              <w:tc>
                <w:tcPr>
                  <w:tcW w:w="1168" w:type="dxa"/>
                  <w:tcBorders>
                    <w:tl2br w:val="nil"/>
                    <w:tr2bl w:val="nil"/>
                  </w:tcBorders>
                  <w:noWrap w:val="0"/>
                  <w:vAlign w:val="center"/>
                </w:tcPr>
                <w:p w14:paraId="2EA8E8C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3500户</w:t>
                  </w:r>
                </w:p>
              </w:tc>
            </w:tr>
            <w:tr w14:paraId="1C9BC9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2FFEF9C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7#</w:t>
                  </w:r>
                  <w:r>
                    <w:rPr>
                      <w:rFonts w:hint="default" w:ascii="Times New Roman" w:hAnsi="Times New Roman" w:eastAsia="宋体" w:cs="Times New Roman"/>
                      <w:color w:val="auto"/>
                      <w:sz w:val="21"/>
                      <w:szCs w:val="21"/>
                      <w:highlight w:val="none"/>
                      <w:u w:val="none" w:color="auto"/>
                      <w:lang w:eastAsia="zh-CN"/>
                    </w:rPr>
                    <w:t>居民散户</w:t>
                  </w:r>
                </w:p>
              </w:tc>
              <w:tc>
                <w:tcPr>
                  <w:tcW w:w="1769" w:type="dxa"/>
                  <w:tcBorders>
                    <w:tl2br w:val="nil"/>
                    <w:tr2bl w:val="nil"/>
                  </w:tcBorders>
                  <w:noWrap w:val="0"/>
                  <w:vAlign w:val="center"/>
                </w:tcPr>
                <w:p w14:paraId="66854BC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E663-1230</w:t>
                  </w:r>
                </w:p>
              </w:tc>
              <w:tc>
                <w:tcPr>
                  <w:tcW w:w="1709" w:type="dxa"/>
                  <w:tcBorders>
                    <w:tl2br w:val="nil"/>
                    <w:tr2bl w:val="nil"/>
                  </w:tcBorders>
                  <w:noWrap w:val="0"/>
                  <w:vAlign w:val="center"/>
                </w:tcPr>
                <w:p w14:paraId="1A8CCBF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112°37′25.99395″</w:t>
                  </w:r>
                </w:p>
              </w:tc>
              <w:tc>
                <w:tcPr>
                  <w:tcW w:w="1746" w:type="dxa"/>
                  <w:tcBorders>
                    <w:tl2br w:val="nil"/>
                    <w:tr2bl w:val="nil"/>
                  </w:tcBorders>
                  <w:noWrap w:val="0"/>
                  <w:vAlign w:val="center"/>
                </w:tcPr>
                <w:p w14:paraId="1AAF440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29°11′1.46230″</w:t>
                  </w:r>
                </w:p>
              </w:tc>
              <w:tc>
                <w:tcPr>
                  <w:tcW w:w="1168" w:type="dxa"/>
                  <w:tcBorders>
                    <w:tl2br w:val="nil"/>
                    <w:tr2bl w:val="nil"/>
                  </w:tcBorders>
                  <w:noWrap w:val="0"/>
                  <w:vAlign w:val="center"/>
                </w:tcPr>
                <w:p w14:paraId="13E3095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50户</w:t>
                  </w:r>
                </w:p>
              </w:tc>
            </w:tr>
            <w:tr w14:paraId="586854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344E25B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8#河万洲居民</w:t>
                  </w:r>
                </w:p>
              </w:tc>
              <w:tc>
                <w:tcPr>
                  <w:tcW w:w="1769" w:type="dxa"/>
                  <w:tcBorders>
                    <w:tl2br w:val="nil"/>
                    <w:tr2bl w:val="nil"/>
                  </w:tcBorders>
                  <w:noWrap w:val="0"/>
                  <w:vAlign w:val="center"/>
                </w:tcPr>
                <w:p w14:paraId="6C82F16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ES755-1780</w:t>
                  </w:r>
                </w:p>
              </w:tc>
              <w:tc>
                <w:tcPr>
                  <w:tcW w:w="1709" w:type="dxa"/>
                  <w:tcBorders>
                    <w:tl2br w:val="nil"/>
                    <w:tr2bl w:val="nil"/>
                  </w:tcBorders>
                  <w:noWrap w:val="0"/>
                  <w:vAlign w:val="center"/>
                </w:tcPr>
                <w:p w14:paraId="2D84C53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112°37′38.00596″</w:t>
                  </w:r>
                </w:p>
              </w:tc>
              <w:tc>
                <w:tcPr>
                  <w:tcW w:w="1746" w:type="dxa"/>
                  <w:tcBorders>
                    <w:tl2br w:val="nil"/>
                    <w:tr2bl w:val="nil"/>
                  </w:tcBorders>
                  <w:noWrap w:val="0"/>
                  <w:vAlign w:val="center"/>
                </w:tcPr>
                <w:p w14:paraId="1C753DA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29°10′33.22830″</w:t>
                  </w:r>
                </w:p>
              </w:tc>
              <w:tc>
                <w:tcPr>
                  <w:tcW w:w="1168" w:type="dxa"/>
                  <w:tcBorders>
                    <w:tl2br w:val="nil"/>
                    <w:tr2bl w:val="nil"/>
                  </w:tcBorders>
                  <w:noWrap w:val="0"/>
                  <w:vAlign w:val="center"/>
                </w:tcPr>
                <w:p w14:paraId="2D16502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70户</w:t>
                  </w:r>
                </w:p>
              </w:tc>
            </w:tr>
            <w:tr w14:paraId="736539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6FB2526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9#河众村居民</w:t>
                  </w:r>
                </w:p>
              </w:tc>
              <w:tc>
                <w:tcPr>
                  <w:tcW w:w="1769" w:type="dxa"/>
                  <w:tcBorders>
                    <w:tl2br w:val="nil"/>
                    <w:tr2bl w:val="nil"/>
                  </w:tcBorders>
                  <w:noWrap w:val="0"/>
                  <w:vAlign w:val="center"/>
                </w:tcPr>
                <w:p w14:paraId="71AD99B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ES1922-2500</w:t>
                  </w:r>
                </w:p>
              </w:tc>
              <w:tc>
                <w:tcPr>
                  <w:tcW w:w="1709" w:type="dxa"/>
                  <w:tcBorders>
                    <w:tl2br w:val="nil"/>
                    <w:tr2bl w:val="nil"/>
                  </w:tcBorders>
                  <w:noWrap w:val="0"/>
                  <w:vAlign w:val="center"/>
                </w:tcPr>
                <w:p w14:paraId="67E5245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112°38′21.57361″</w:t>
                  </w:r>
                </w:p>
              </w:tc>
              <w:tc>
                <w:tcPr>
                  <w:tcW w:w="1746" w:type="dxa"/>
                  <w:tcBorders>
                    <w:tl2br w:val="nil"/>
                    <w:tr2bl w:val="nil"/>
                  </w:tcBorders>
                  <w:noWrap w:val="0"/>
                  <w:vAlign w:val="center"/>
                </w:tcPr>
                <w:p w14:paraId="08D8BAC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29°10′31.68335″</w:t>
                  </w:r>
                </w:p>
              </w:tc>
              <w:tc>
                <w:tcPr>
                  <w:tcW w:w="1168" w:type="dxa"/>
                  <w:tcBorders>
                    <w:tl2br w:val="nil"/>
                    <w:tr2bl w:val="nil"/>
                  </w:tcBorders>
                  <w:noWrap w:val="0"/>
                  <w:vAlign w:val="center"/>
                </w:tcPr>
                <w:p w14:paraId="14FA92B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40户</w:t>
                  </w:r>
                </w:p>
              </w:tc>
            </w:tr>
            <w:tr w14:paraId="656F83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4CB60BA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10#三分场五分队居民</w:t>
                  </w:r>
                </w:p>
              </w:tc>
              <w:tc>
                <w:tcPr>
                  <w:tcW w:w="1769" w:type="dxa"/>
                  <w:tcBorders>
                    <w:tl2br w:val="nil"/>
                    <w:tr2bl w:val="nil"/>
                  </w:tcBorders>
                  <w:noWrap w:val="0"/>
                  <w:vAlign w:val="center"/>
                </w:tcPr>
                <w:p w14:paraId="2BADDF4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S1400-1900</w:t>
                  </w:r>
                </w:p>
              </w:tc>
              <w:tc>
                <w:tcPr>
                  <w:tcW w:w="1709" w:type="dxa"/>
                  <w:tcBorders>
                    <w:tl2br w:val="nil"/>
                    <w:tr2bl w:val="nil"/>
                  </w:tcBorders>
                  <w:noWrap w:val="0"/>
                  <w:vAlign w:val="center"/>
                </w:tcPr>
                <w:p w14:paraId="6061CF3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112°37′24.87386″</w:t>
                  </w:r>
                </w:p>
              </w:tc>
              <w:tc>
                <w:tcPr>
                  <w:tcW w:w="1746" w:type="dxa"/>
                  <w:tcBorders>
                    <w:tl2br w:val="nil"/>
                    <w:tr2bl w:val="nil"/>
                  </w:tcBorders>
                  <w:noWrap w:val="0"/>
                  <w:vAlign w:val="center"/>
                </w:tcPr>
                <w:p w14:paraId="368C967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29°10′10.16989″</w:t>
                  </w:r>
                </w:p>
              </w:tc>
              <w:tc>
                <w:tcPr>
                  <w:tcW w:w="1168" w:type="dxa"/>
                  <w:tcBorders>
                    <w:tl2br w:val="nil"/>
                    <w:tr2bl w:val="nil"/>
                  </w:tcBorders>
                  <w:noWrap w:val="0"/>
                  <w:vAlign w:val="center"/>
                </w:tcPr>
                <w:p w14:paraId="0243012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85户</w:t>
                  </w:r>
                </w:p>
              </w:tc>
            </w:tr>
            <w:tr w14:paraId="1680B3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43B3BD2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11#三分场一分队居民</w:t>
                  </w:r>
                </w:p>
              </w:tc>
              <w:tc>
                <w:tcPr>
                  <w:tcW w:w="1769" w:type="dxa"/>
                  <w:tcBorders>
                    <w:tl2br w:val="nil"/>
                    <w:tr2bl w:val="nil"/>
                  </w:tcBorders>
                  <w:noWrap w:val="0"/>
                  <w:vAlign w:val="center"/>
                </w:tcPr>
                <w:p w14:paraId="0707CDD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ES2230-3000</w:t>
                  </w:r>
                </w:p>
              </w:tc>
              <w:tc>
                <w:tcPr>
                  <w:tcW w:w="1709" w:type="dxa"/>
                  <w:tcBorders>
                    <w:tl2br w:val="nil"/>
                    <w:tr2bl w:val="nil"/>
                  </w:tcBorders>
                  <w:noWrap w:val="0"/>
                  <w:vAlign w:val="center"/>
                </w:tcPr>
                <w:p w14:paraId="1AAE22B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112°38′15.70280″</w:t>
                  </w:r>
                </w:p>
              </w:tc>
              <w:tc>
                <w:tcPr>
                  <w:tcW w:w="1746" w:type="dxa"/>
                  <w:tcBorders>
                    <w:tl2br w:val="nil"/>
                    <w:tr2bl w:val="nil"/>
                  </w:tcBorders>
                  <w:noWrap w:val="0"/>
                  <w:vAlign w:val="center"/>
                </w:tcPr>
                <w:p w14:paraId="27BCB2F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29°10′</w:t>
                  </w:r>
                  <w:r>
                    <w:rPr>
                      <w:rFonts w:hint="default" w:ascii="Times New Roman" w:hAnsi="Times New Roman" w:eastAsia="宋体" w:cs="Times New Roman"/>
                      <w:color w:val="auto"/>
                      <w:sz w:val="21"/>
                      <w:szCs w:val="21"/>
                      <w:highlight w:val="none"/>
                      <w:u w:val="none" w:color="auto"/>
                      <w:lang w:val="en-US" w:eastAsia="zh-CN"/>
                    </w:rPr>
                    <w:t>ES</w:t>
                  </w:r>
                  <w:r>
                    <w:rPr>
                      <w:rFonts w:hint="default" w:ascii="Times New Roman" w:hAnsi="Times New Roman" w:eastAsia="宋体" w:cs="Times New Roman"/>
                      <w:color w:val="auto"/>
                      <w:sz w:val="21"/>
                      <w:szCs w:val="21"/>
                      <w:highlight w:val="none"/>
                      <w:u w:val="none" w:color="auto"/>
                    </w:rPr>
                    <w:t>3.83559″</w:t>
                  </w:r>
                </w:p>
              </w:tc>
              <w:tc>
                <w:tcPr>
                  <w:tcW w:w="1168" w:type="dxa"/>
                  <w:tcBorders>
                    <w:tl2br w:val="nil"/>
                    <w:tr2bl w:val="nil"/>
                  </w:tcBorders>
                  <w:noWrap w:val="0"/>
                  <w:vAlign w:val="center"/>
                </w:tcPr>
                <w:p w14:paraId="3B24445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20户</w:t>
                  </w:r>
                </w:p>
              </w:tc>
            </w:tr>
            <w:tr w14:paraId="599275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27B0BE5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12#河心洲村居民</w:t>
                  </w:r>
                </w:p>
              </w:tc>
              <w:tc>
                <w:tcPr>
                  <w:tcW w:w="1769" w:type="dxa"/>
                  <w:tcBorders>
                    <w:tl2br w:val="nil"/>
                    <w:tr2bl w:val="nil"/>
                  </w:tcBorders>
                  <w:noWrap w:val="0"/>
                  <w:vAlign w:val="center"/>
                </w:tcPr>
                <w:p w14:paraId="29FEAA6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S1902-2500</w:t>
                  </w:r>
                </w:p>
              </w:tc>
              <w:tc>
                <w:tcPr>
                  <w:tcW w:w="1709" w:type="dxa"/>
                  <w:tcBorders>
                    <w:tl2br w:val="nil"/>
                    <w:tr2bl w:val="nil"/>
                  </w:tcBorders>
                  <w:noWrap w:val="0"/>
                  <w:vAlign w:val="center"/>
                </w:tcPr>
                <w:p w14:paraId="0E892AF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112°37′18.23057″</w:t>
                  </w:r>
                </w:p>
              </w:tc>
              <w:tc>
                <w:tcPr>
                  <w:tcW w:w="1746" w:type="dxa"/>
                  <w:tcBorders>
                    <w:tl2br w:val="nil"/>
                    <w:tr2bl w:val="nil"/>
                  </w:tcBorders>
                  <w:noWrap w:val="0"/>
                  <w:vAlign w:val="center"/>
                </w:tcPr>
                <w:p w14:paraId="680F4F9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29°9′39.96607″</w:t>
                  </w:r>
                </w:p>
              </w:tc>
              <w:tc>
                <w:tcPr>
                  <w:tcW w:w="1168" w:type="dxa"/>
                  <w:tcBorders>
                    <w:tl2br w:val="nil"/>
                    <w:tr2bl w:val="nil"/>
                  </w:tcBorders>
                  <w:noWrap w:val="0"/>
                  <w:vAlign w:val="center"/>
                </w:tcPr>
                <w:p w14:paraId="4ED0B00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120户</w:t>
                  </w:r>
                </w:p>
              </w:tc>
            </w:tr>
            <w:tr w14:paraId="1A28AB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21A8A7C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13#五分场一分队居民</w:t>
                  </w:r>
                </w:p>
              </w:tc>
              <w:tc>
                <w:tcPr>
                  <w:tcW w:w="1769" w:type="dxa"/>
                  <w:tcBorders>
                    <w:tl2br w:val="nil"/>
                    <w:tr2bl w:val="nil"/>
                  </w:tcBorders>
                  <w:noWrap w:val="0"/>
                  <w:vAlign w:val="center"/>
                </w:tcPr>
                <w:p w14:paraId="2D63163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EN2620-3300</w:t>
                  </w:r>
                </w:p>
              </w:tc>
              <w:tc>
                <w:tcPr>
                  <w:tcW w:w="1709" w:type="dxa"/>
                  <w:tcBorders>
                    <w:tl2br w:val="nil"/>
                    <w:tr2bl w:val="nil"/>
                  </w:tcBorders>
                  <w:noWrap w:val="0"/>
                  <w:vAlign w:val="center"/>
                </w:tcPr>
                <w:p w14:paraId="372389E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112°38′13.84885″</w:t>
                  </w:r>
                </w:p>
              </w:tc>
              <w:tc>
                <w:tcPr>
                  <w:tcW w:w="1746" w:type="dxa"/>
                  <w:tcBorders>
                    <w:tl2br w:val="nil"/>
                    <w:tr2bl w:val="nil"/>
                  </w:tcBorders>
                  <w:noWrap w:val="0"/>
                  <w:vAlign w:val="center"/>
                </w:tcPr>
                <w:p w14:paraId="5A5D720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29°12′10.44443″</w:t>
                  </w:r>
                </w:p>
              </w:tc>
              <w:tc>
                <w:tcPr>
                  <w:tcW w:w="1168" w:type="dxa"/>
                  <w:tcBorders>
                    <w:tl2br w:val="nil"/>
                    <w:tr2bl w:val="nil"/>
                  </w:tcBorders>
                  <w:noWrap w:val="0"/>
                  <w:vAlign w:val="center"/>
                </w:tcPr>
                <w:p w14:paraId="1CAC197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115户</w:t>
                  </w:r>
                </w:p>
              </w:tc>
            </w:tr>
            <w:tr w14:paraId="403813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2A781CD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14#五分场机耕队居民</w:t>
                  </w:r>
                </w:p>
              </w:tc>
              <w:tc>
                <w:tcPr>
                  <w:tcW w:w="1769" w:type="dxa"/>
                  <w:tcBorders>
                    <w:tl2br w:val="nil"/>
                    <w:tr2bl w:val="nil"/>
                  </w:tcBorders>
                  <w:noWrap w:val="0"/>
                  <w:vAlign w:val="center"/>
                </w:tcPr>
                <w:p w14:paraId="2F0C774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EN2034-3082</w:t>
                  </w:r>
                </w:p>
              </w:tc>
              <w:tc>
                <w:tcPr>
                  <w:tcW w:w="1709" w:type="dxa"/>
                  <w:tcBorders>
                    <w:tl2br w:val="nil"/>
                    <w:tr2bl w:val="nil"/>
                  </w:tcBorders>
                  <w:noWrap w:val="0"/>
                  <w:vAlign w:val="center"/>
                </w:tcPr>
                <w:p w14:paraId="1265EA8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112°37′47.58466″</w:t>
                  </w:r>
                </w:p>
              </w:tc>
              <w:tc>
                <w:tcPr>
                  <w:tcW w:w="1746" w:type="dxa"/>
                  <w:tcBorders>
                    <w:tl2br w:val="nil"/>
                    <w:tr2bl w:val="nil"/>
                  </w:tcBorders>
                  <w:noWrap w:val="0"/>
                  <w:vAlign w:val="center"/>
                </w:tcPr>
                <w:p w14:paraId="20FCFD3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29°12′10.13544″</w:t>
                  </w:r>
                </w:p>
              </w:tc>
              <w:tc>
                <w:tcPr>
                  <w:tcW w:w="1168" w:type="dxa"/>
                  <w:tcBorders>
                    <w:tl2br w:val="nil"/>
                    <w:tr2bl w:val="nil"/>
                  </w:tcBorders>
                  <w:noWrap w:val="0"/>
                  <w:vAlign w:val="center"/>
                </w:tcPr>
                <w:p w14:paraId="1E16E59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42户</w:t>
                  </w:r>
                </w:p>
              </w:tc>
            </w:tr>
            <w:tr w14:paraId="22F8ED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7FCF1F5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15#五分场二队居民</w:t>
                  </w:r>
                </w:p>
              </w:tc>
              <w:tc>
                <w:tcPr>
                  <w:tcW w:w="1769" w:type="dxa"/>
                  <w:tcBorders>
                    <w:tl2br w:val="nil"/>
                    <w:tr2bl w:val="nil"/>
                  </w:tcBorders>
                  <w:noWrap w:val="0"/>
                  <w:vAlign w:val="center"/>
                </w:tcPr>
                <w:p w14:paraId="680A19F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EN1395-2457</w:t>
                  </w:r>
                </w:p>
              </w:tc>
              <w:tc>
                <w:tcPr>
                  <w:tcW w:w="1709" w:type="dxa"/>
                  <w:tcBorders>
                    <w:tl2br w:val="nil"/>
                    <w:tr2bl w:val="nil"/>
                  </w:tcBorders>
                  <w:noWrap w:val="0"/>
                  <w:vAlign w:val="center"/>
                </w:tcPr>
                <w:p w14:paraId="4D49AFB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112°37′23.09717″</w:t>
                  </w:r>
                </w:p>
              </w:tc>
              <w:tc>
                <w:tcPr>
                  <w:tcW w:w="1746" w:type="dxa"/>
                  <w:tcBorders>
                    <w:tl2br w:val="nil"/>
                    <w:tr2bl w:val="nil"/>
                  </w:tcBorders>
                  <w:noWrap w:val="0"/>
                  <w:vAlign w:val="center"/>
                </w:tcPr>
                <w:p w14:paraId="04F353B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29°11′54.06794″</w:t>
                  </w:r>
                </w:p>
              </w:tc>
              <w:tc>
                <w:tcPr>
                  <w:tcW w:w="1168" w:type="dxa"/>
                  <w:tcBorders>
                    <w:tl2br w:val="nil"/>
                    <w:tr2bl w:val="nil"/>
                  </w:tcBorders>
                  <w:noWrap w:val="0"/>
                  <w:vAlign w:val="center"/>
                </w:tcPr>
                <w:p w14:paraId="3679E73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25户</w:t>
                  </w:r>
                </w:p>
              </w:tc>
            </w:tr>
            <w:tr w14:paraId="34CC37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2F8F5E6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16#</w:t>
                  </w:r>
                  <w:r>
                    <w:rPr>
                      <w:rFonts w:hint="default" w:ascii="Times New Roman" w:hAnsi="Times New Roman" w:eastAsia="宋体" w:cs="Times New Roman"/>
                      <w:color w:val="auto"/>
                      <w:sz w:val="21"/>
                      <w:szCs w:val="21"/>
                      <w:highlight w:val="none"/>
                      <w:u w:val="none" w:color="auto"/>
                    </w:rPr>
                    <w:t>三财苑社区居民</w:t>
                  </w:r>
                </w:p>
              </w:tc>
              <w:tc>
                <w:tcPr>
                  <w:tcW w:w="1769" w:type="dxa"/>
                  <w:tcBorders>
                    <w:tl2br w:val="nil"/>
                    <w:tr2bl w:val="nil"/>
                  </w:tcBorders>
                  <w:noWrap w:val="0"/>
                  <w:vAlign w:val="center"/>
                </w:tcPr>
                <w:p w14:paraId="006B674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N960-1300</w:t>
                  </w:r>
                </w:p>
              </w:tc>
              <w:tc>
                <w:tcPr>
                  <w:tcW w:w="1709" w:type="dxa"/>
                  <w:tcBorders>
                    <w:tl2br w:val="nil"/>
                    <w:tr2bl w:val="nil"/>
                  </w:tcBorders>
                  <w:noWrap w:val="0"/>
                  <w:vAlign w:val="center"/>
                </w:tcPr>
                <w:p w14:paraId="09B0226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112°37′1.15884″</w:t>
                  </w:r>
                </w:p>
              </w:tc>
              <w:tc>
                <w:tcPr>
                  <w:tcW w:w="1746" w:type="dxa"/>
                  <w:tcBorders>
                    <w:tl2br w:val="nil"/>
                    <w:tr2bl w:val="nil"/>
                  </w:tcBorders>
                  <w:noWrap w:val="0"/>
                  <w:vAlign w:val="center"/>
                </w:tcPr>
                <w:p w14:paraId="3FBD490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29°11′35.45126″</w:t>
                  </w:r>
                </w:p>
              </w:tc>
              <w:tc>
                <w:tcPr>
                  <w:tcW w:w="1168" w:type="dxa"/>
                  <w:tcBorders>
                    <w:tl2br w:val="nil"/>
                    <w:tr2bl w:val="nil"/>
                  </w:tcBorders>
                  <w:noWrap w:val="0"/>
                  <w:vAlign w:val="center"/>
                </w:tcPr>
                <w:p w14:paraId="61486DB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20户</w:t>
                  </w:r>
                </w:p>
              </w:tc>
            </w:tr>
            <w:tr w14:paraId="3F025B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4519BFA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17#五分场五队居民</w:t>
                  </w:r>
                </w:p>
              </w:tc>
              <w:tc>
                <w:tcPr>
                  <w:tcW w:w="1769" w:type="dxa"/>
                  <w:tcBorders>
                    <w:tl2br w:val="nil"/>
                    <w:tr2bl w:val="nil"/>
                  </w:tcBorders>
                  <w:noWrap w:val="0"/>
                  <w:vAlign w:val="center"/>
                </w:tcPr>
                <w:p w14:paraId="1D4FE5F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N349-925</w:t>
                  </w:r>
                </w:p>
              </w:tc>
              <w:tc>
                <w:tcPr>
                  <w:tcW w:w="1709" w:type="dxa"/>
                  <w:tcBorders>
                    <w:tl2br w:val="nil"/>
                    <w:tr2bl w:val="nil"/>
                  </w:tcBorders>
                  <w:noWrap w:val="0"/>
                  <w:vAlign w:val="center"/>
                </w:tcPr>
                <w:p w14:paraId="6B57E19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112°36′54.51555″</w:t>
                  </w:r>
                </w:p>
              </w:tc>
              <w:tc>
                <w:tcPr>
                  <w:tcW w:w="1746" w:type="dxa"/>
                  <w:tcBorders>
                    <w:tl2br w:val="nil"/>
                    <w:tr2bl w:val="nil"/>
                  </w:tcBorders>
                  <w:noWrap w:val="0"/>
                  <w:vAlign w:val="center"/>
                </w:tcPr>
                <w:p w14:paraId="5F0A5D7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29°11′23.16889″</w:t>
                  </w:r>
                </w:p>
              </w:tc>
              <w:tc>
                <w:tcPr>
                  <w:tcW w:w="1168" w:type="dxa"/>
                  <w:tcBorders>
                    <w:tl2br w:val="nil"/>
                    <w:tr2bl w:val="nil"/>
                  </w:tcBorders>
                  <w:noWrap w:val="0"/>
                  <w:vAlign w:val="center"/>
                </w:tcPr>
                <w:p w14:paraId="579D218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30户</w:t>
                  </w:r>
                </w:p>
              </w:tc>
            </w:tr>
            <w:tr w14:paraId="5D3A7F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5C71E9B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18#新胜村居民</w:t>
                  </w:r>
                </w:p>
              </w:tc>
              <w:tc>
                <w:tcPr>
                  <w:tcW w:w="1769" w:type="dxa"/>
                  <w:tcBorders>
                    <w:tl2br w:val="nil"/>
                    <w:tr2bl w:val="nil"/>
                  </w:tcBorders>
                  <w:noWrap w:val="0"/>
                  <w:vAlign w:val="center"/>
                </w:tcPr>
                <w:p w14:paraId="6E93C9D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N1160-2500</w:t>
                  </w:r>
                </w:p>
              </w:tc>
              <w:tc>
                <w:tcPr>
                  <w:tcW w:w="1709" w:type="dxa"/>
                  <w:tcBorders>
                    <w:tl2br w:val="nil"/>
                    <w:tr2bl w:val="nil"/>
                  </w:tcBorders>
                  <w:noWrap w:val="0"/>
                  <w:vAlign w:val="center"/>
                </w:tcPr>
                <w:p w14:paraId="64AE28A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112°36′52.97059″</w:t>
                  </w:r>
                </w:p>
              </w:tc>
              <w:tc>
                <w:tcPr>
                  <w:tcW w:w="1746" w:type="dxa"/>
                  <w:tcBorders>
                    <w:tl2br w:val="nil"/>
                    <w:tr2bl w:val="nil"/>
                  </w:tcBorders>
                  <w:noWrap w:val="0"/>
                  <w:vAlign w:val="center"/>
                </w:tcPr>
                <w:p w14:paraId="181276C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29°11′50.43730″</w:t>
                  </w:r>
                </w:p>
              </w:tc>
              <w:tc>
                <w:tcPr>
                  <w:tcW w:w="1168" w:type="dxa"/>
                  <w:tcBorders>
                    <w:tl2br w:val="nil"/>
                    <w:tr2bl w:val="nil"/>
                  </w:tcBorders>
                  <w:noWrap w:val="0"/>
                  <w:vAlign w:val="center"/>
                </w:tcPr>
                <w:p w14:paraId="0EDA1A9B">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60户</w:t>
                  </w:r>
                </w:p>
              </w:tc>
            </w:tr>
            <w:tr w14:paraId="465A07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1789EFE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19#</w:t>
                  </w:r>
                  <w:r>
                    <w:rPr>
                      <w:rFonts w:hint="default" w:ascii="Times New Roman" w:hAnsi="Times New Roman" w:eastAsia="宋体" w:cs="Times New Roman"/>
                      <w:color w:val="auto"/>
                      <w:sz w:val="21"/>
                      <w:szCs w:val="21"/>
                      <w:highlight w:val="none"/>
                      <w:u w:val="none" w:color="auto"/>
                    </w:rPr>
                    <w:t>东浃村</w:t>
                  </w:r>
                  <w:r>
                    <w:rPr>
                      <w:rFonts w:hint="default" w:ascii="Times New Roman" w:hAnsi="Times New Roman" w:eastAsia="宋体" w:cs="Times New Roman"/>
                      <w:color w:val="auto"/>
                      <w:sz w:val="21"/>
                      <w:szCs w:val="21"/>
                      <w:highlight w:val="none"/>
                      <w:u w:val="none" w:color="auto"/>
                      <w:lang w:val="en-US" w:eastAsia="zh-CN"/>
                    </w:rPr>
                    <w:t>居民</w:t>
                  </w:r>
                </w:p>
              </w:tc>
              <w:tc>
                <w:tcPr>
                  <w:tcW w:w="1769" w:type="dxa"/>
                  <w:tcBorders>
                    <w:tl2br w:val="nil"/>
                    <w:tr2bl w:val="nil"/>
                  </w:tcBorders>
                  <w:noWrap w:val="0"/>
                  <w:vAlign w:val="center"/>
                </w:tcPr>
                <w:p w14:paraId="07B6CB3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NW1770-2872</w:t>
                  </w:r>
                </w:p>
              </w:tc>
              <w:tc>
                <w:tcPr>
                  <w:tcW w:w="1709" w:type="dxa"/>
                  <w:tcBorders>
                    <w:tl2br w:val="nil"/>
                    <w:tr2bl w:val="nil"/>
                  </w:tcBorders>
                  <w:noWrap w:val="0"/>
                  <w:vAlign w:val="center"/>
                </w:tcPr>
                <w:p w14:paraId="5A12953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112°36′21.14457″</w:t>
                  </w:r>
                </w:p>
              </w:tc>
              <w:tc>
                <w:tcPr>
                  <w:tcW w:w="1746" w:type="dxa"/>
                  <w:tcBorders>
                    <w:tl2br w:val="nil"/>
                    <w:tr2bl w:val="nil"/>
                  </w:tcBorders>
                  <w:noWrap w:val="0"/>
                  <w:vAlign w:val="center"/>
                </w:tcPr>
                <w:p w14:paraId="621E8CC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29°12′19.01892″</w:t>
                  </w:r>
                </w:p>
              </w:tc>
              <w:tc>
                <w:tcPr>
                  <w:tcW w:w="1168" w:type="dxa"/>
                  <w:tcBorders>
                    <w:tl2br w:val="nil"/>
                    <w:tr2bl w:val="nil"/>
                  </w:tcBorders>
                  <w:noWrap w:val="0"/>
                  <w:vAlign w:val="center"/>
                </w:tcPr>
                <w:p w14:paraId="479CC4B7">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66户</w:t>
                  </w:r>
                </w:p>
              </w:tc>
            </w:tr>
            <w:tr w14:paraId="3D8A63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0A91F20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20#中洲子村居民</w:t>
                  </w:r>
                </w:p>
              </w:tc>
              <w:tc>
                <w:tcPr>
                  <w:tcW w:w="1769" w:type="dxa"/>
                  <w:tcBorders>
                    <w:tl2br w:val="nil"/>
                    <w:tr2bl w:val="nil"/>
                  </w:tcBorders>
                  <w:noWrap w:val="0"/>
                  <w:vAlign w:val="center"/>
                </w:tcPr>
                <w:p w14:paraId="6CF1C09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NW2700-3284</w:t>
                  </w:r>
                </w:p>
              </w:tc>
              <w:tc>
                <w:tcPr>
                  <w:tcW w:w="1709" w:type="dxa"/>
                  <w:tcBorders>
                    <w:tl2br w:val="nil"/>
                    <w:tr2bl w:val="nil"/>
                  </w:tcBorders>
                  <w:noWrap w:val="0"/>
                  <w:vAlign w:val="center"/>
                </w:tcPr>
                <w:p w14:paraId="7E051CF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112°35′49.47305″</w:t>
                  </w:r>
                </w:p>
              </w:tc>
              <w:tc>
                <w:tcPr>
                  <w:tcW w:w="1746" w:type="dxa"/>
                  <w:tcBorders>
                    <w:tl2br w:val="nil"/>
                    <w:tr2bl w:val="nil"/>
                  </w:tcBorders>
                  <w:noWrap w:val="0"/>
                  <w:vAlign w:val="center"/>
                </w:tcPr>
                <w:p w14:paraId="17BD9DA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29°12′22.57231″</w:t>
                  </w:r>
                </w:p>
              </w:tc>
              <w:tc>
                <w:tcPr>
                  <w:tcW w:w="1168" w:type="dxa"/>
                  <w:tcBorders>
                    <w:tl2br w:val="nil"/>
                    <w:tr2bl w:val="nil"/>
                  </w:tcBorders>
                  <w:noWrap w:val="0"/>
                  <w:vAlign w:val="center"/>
                </w:tcPr>
                <w:p w14:paraId="0569478E">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65户</w:t>
                  </w:r>
                </w:p>
              </w:tc>
            </w:tr>
            <w:tr w14:paraId="2F67F5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139363C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21#五分场四队居民</w:t>
                  </w:r>
                </w:p>
              </w:tc>
              <w:tc>
                <w:tcPr>
                  <w:tcW w:w="1769" w:type="dxa"/>
                  <w:tcBorders>
                    <w:tl2br w:val="nil"/>
                    <w:tr2bl w:val="nil"/>
                  </w:tcBorders>
                  <w:noWrap w:val="0"/>
                  <w:vAlign w:val="center"/>
                </w:tcPr>
                <w:p w14:paraId="10F15B3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NW783-1977</w:t>
                  </w:r>
                </w:p>
              </w:tc>
              <w:tc>
                <w:tcPr>
                  <w:tcW w:w="1709" w:type="dxa"/>
                  <w:tcBorders>
                    <w:tl2br w:val="nil"/>
                    <w:tr2bl w:val="nil"/>
                  </w:tcBorders>
                  <w:noWrap w:val="0"/>
                  <w:vAlign w:val="center"/>
                </w:tcPr>
                <w:p w14:paraId="2590DBB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112°36′23.46200″</w:t>
                  </w:r>
                </w:p>
              </w:tc>
              <w:tc>
                <w:tcPr>
                  <w:tcW w:w="1746" w:type="dxa"/>
                  <w:tcBorders>
                    <w:tl2br w:val="nil"/>
                    <w:tr2bl w:val="nil"/>
                  </w:tcBorders>
                  <w:noWrap w:val="0"/>
                  <w:vAlign w:val="center"/>
                </w:tcPr>
                <w:p w14:paraId="6804464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29°11′51.51877″</w:t>
                  </w:r>
                </w:p>
              </w:tc>
              <w:tc>
                <w:tcPr>
                  <w:tcW w:w="1168" w:type="dxa"/>
                  <w:tcBorders>
                    <w:tl2br w:val="nil"/>
                    <w:tr2bl w:val="nil"/>
                  </w:tcBorders>
                  <w:noWrap w:val="0"/>
                  <w:vAlign w:val="center"/>
                </w:tcPr>
                <w:p w14:paraId="5915EB95">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45户</w:t>
                  </w:r>
                </w:p>
              </w:tc>
            </w:tr>
            <w:tr w14:paraId="051206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27A0779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22#一分场六队居民</w:t>
                  </w:r>
                </w:p>
              </w:tc>
              <w:tc>
                <w:tcPr>
                  <w:tcW w:w="1769" w:type="dxa"/>
                  <w:tcBorders>
                    <w:tl2br w:val="nil"/>
                    <w:tr2bl w:val="nil"/>
                  </w:tcBorders>
                  <w:noWrap w:val="0"/>
                  <w:vAlign w:val="center"/>
                </w:tcPr>
                <w:p w14:paraId="528210F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WN1867-2528</w:t>
                  </w:r>
                </w:p>
              </w:tc>
              <w:tc>
                <w:tcPr>
                  <w:tcW w:w="1709" w:type="dxa"/>
                  <w:tcBorders>
                    <w:tl2br w:val="nil"/>
                    <w:tr2bl w:val="nil"/>
                  </w:tcBorders>
                  <w:noWrap w:val="0"/>
                  <w:vAlign w:val="center"/>
                </w:tcPr>
                <w:p w14:paraId="161DE83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112°35′45.76516″</w:t>
                  </w:r>
                </w:p>
              </w:tc>
              <w:tc>
                <w:tcPr>
                  <w:tcW w:w="1746" w:type="dxa"/>
                  <w:tcBorders>
                    <w:tl2br w:val="nil"/>
                    <w:tr2bl w:val="nil"/>
                  </w:tcBorders>
                  <w:noWrap w:val="0"/>
                  <w:vAlign w:val="center"/>
                </w:tcPr>
                <w:p w14:paraId="7CED73D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29°11′35.29677″</w:t>
                  </w:r>
                </w:p>
              </w:tc>
              <w:tc>
                <w:tcPr>
                  <w:tcW w:w="1168" w:type="dxa"/>
                  <w:tcBorders>
                    <w:tl2br w:val="nil"/>
                    <w:tr2bl w:val="nil"/>
                  </w:tcBorders>
                  <w:noWrap w:val="0"/>
                  <w:vAlign w:val="center"/>
                </w:tcPr>
                <w:p w14:paraId="783FAA76">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35户</w:t>
                  </w:r>
                </w:p>
              </w:tc>
            </w:tr>
            <w:tr w14:paraId="6393B7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1865" w:type="dxa"/>
                  <w:tcBorders>
                    <w:tl2br w:val="nil"/>
                    <w:tr2bl w:val="nil"/>
                  </w:tcBorders>
                  <w:noWrap w:val="0"/>
                  <w:vAlign w:val="center"/>
                </w:tcPr>
                <w:p w14:paraId="07E784C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23#五分场畜牧队居民</w:t>
                  </w:r>
                </w:p>
              </w:tc>
              <w:tc>
                <w:tcPr>
                  <w:tcW w:w="1769" w:type="dxa"/>
                  <w:tcBorders>
                    <w:tl2br w:val="nil"/>
                    <w:tr2bl w:val="nil"/>
                  </w:tcBorders>
                  <w:noWrap w:val="0"/>
                  <w:vAlign w:val="center"/>
                </w:tcPr>
                <w:p w14:paraId="708C89A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NW708-1425</w:t>
                  </w:r>
                </w:p>
              </w:tc>
              <w:tc>
                <w:tcPr>
                  <w:tcW w:w="1709" w:type="dxa"/>
                  <w:tcBorders>
                    <w:tl2br w:val="nil"/>
                    <w:tr2bl w:val="nil"/>
                  </w:tcBorders>
                  <w:noWrap w:val="0"/>
                  <w:vAlign w:val="center"/>
                </w:tcPr>
                <w:p w14:paraId="74755F4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112°36′25.62494″</w:t>
                  </w:r>
                </w:p>
              </w:tc>
              <w:tc>
                <w:tcPr>
                  <w:tcW w:w="1746" w:type="dxa"/>
                  <w:tcBorders>
                    <w:tl2br w:val="nil"/>
                    <w:tr2bl w:val="nil"/>
                  </w:tcBorders>
                  <w:noWrap w:val="0"/>
                  <w:vAlign w:val="center"/>
                </w:tcPr>
                <w:p w14:paraId="43AE817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29°11′22.93715″</w:t>
                  </w:r>
                </w:p>
              </w:tc>
              <w:tc>
                <w:tcPr>
                  <w:tcW w:w="1168" w:type="dxa"/>
                  <w:tcBorders>
                    <w:tl2br w:val="nil"/>
                    <w:tr2bl w:val="nil"/>
                  </w:tcBorders>
                  <w:noWrap w:val="0"/>
                  <w:vAlign w:val="center"/>
                </w:tcPr>
                <w:p w14:paraId="06924E6F">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20户</w:t>
                  </w:r>
                </w:p>
              </w:tc>
            </w:tr>
            <w:tr w14:paraId="63EA78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326B9EF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24#一分场九队居民</w:t>
                  </w:r>
                </w:p>
              </w:tc>
              <w:tc>
                <w:tcPr>
                  <w:tcW w:w="1769" w:type="dxa"/>
                  <w:tcBorders>
                    <w:tl2br w:val="nil"/>
                    <w:tr2bl w:val="nil"/>
                  </w:tcBorders>
                  <w:noWrap w:val="0"/>
                  <w:vAlign w:val="center"/>
                </w:tcPr>
                <w:p w14:paraId="402FE6A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WN816-2227</w:t>
                  </w:r>
                </w:p>
              </w:tc>
              <w:tc>
                <w:tcPr>
                  <w:tcW w:w="1709" w:type="dxa"/>
                  <w:tcBorders>
                    <w:tl2br w:val="nil"/>
                    <w:tr2bl w:val="nil"/>
                  </w:tcBorders>
                  <w:noWrap w:val="0"/>
                  <w:vAlign w:val="center"/>
                </w:tcPr>
                <w:p w14:paraId="0A4546C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112°36′9.82780″</w:t>
                  </w:r>
                </w:p>
              </w:tc>
              <w:tc>
                <w:tcPr>
                  <w:tcW w:w="1746" w:type="dxa"/>
                  <w:tcBorders>
                    <w:tl2br w:val="nil"/>
                    <w:tr2bl w:val="nil"/>
                  </w:tcBorders>
                  <w:noWrap w:val="0"/>
                  <w:vAlign w:val="center"/>
                </w:tcPr>
                <w:p w14:paraId="75CFB6D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29°11′14.53646″</w:t>
                  </w:r>
                </w:p>
              </w:tc>
              <w:tc>
                <w:tcPr>
                  <w:tcW w:w="1168" w:type="dxa"/>
                  <w:tcBorders>
                    <w:tl2br w:val="nil"/>
                    <w:tr2bl w:val="nil"/>
                  </w:tcBorders>
                  <w:noWrap w:val="0"/>
                  <w:vAlign w:val="center"/>
                </w:tcPr>
                <w:p w14:paraId="293EA892">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54户</w:t>
                  </w:r>
                </w:p>
              </w:tc>
            </w:tr>
            <w:tr w14:paraId="09A4E3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25E7286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25#一分场七队居民</w:t>
                  </w:r>
                </w:p>
              </w:tc>
              <w:tc>
                <w:tcPr>
                  <w:tcW w:w="1769" w:type="dxa"/>
                  <w:tcBorders>
                    <w:tl2br w:val="nil"/>
                    <w:tr2bl w:val="nil"/>
                  </w:tcBorders>
                  <w:noWrap w:val="0"/>
                  <w:vAlign w:val="center"/>
                </w:tcPr>
                <w:p w14:paraId="420E86C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W45-2500</w:t>
                  </w:r>
                </w:p>
              </w:tc>
              <w:tc>
                <w:tcPr>
                  <w:tcW w:w="1709" w:type="dxa"/>
                  <w:tcBorders>
                    <w:tl2br w:val="nil"/>
                    <w:tr2bl w:val="nil"/>
                  </w:tcBorders>
                  <w:noWrap w:val="0"/>
                  <w:vAlign w:val="center"/>
                </w:tcPr>
                <w:p w14:paraId="2CE5938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112°36′8.97808″</w:t>
                  </w:r>
                </w:p>
              </w:tc>
              <w:tc>
                <w:tcPr>
                  <w:tcW w:w="1746" w:type="dxa"/>
                  <w:tcBorders>
                    <w:tl2br w:val="nil"/>
                    <w:tr2bl w:val="nil"/>
                  </w:tcBorders>
                  <w:noWrap w:val="0"/>
                  <w:vAlign w:val="center"/>
                </w:tcPr>
                <w:p w14:paraId="689AE13F">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29°10′49.89447</w:t>
                  </w:r>
                </w:p>
              </w:tc>
              <w:tc>
                <w:tcPr>
                  <w:tcW w:w="1168" w:type="dxa"/>
                  <w:tcBorders>
                    <w:tl2br w:val="nil"/>
                    <w:tr2bl w:val="nil"/>
                  </w:tcBorders>
                  <w:noWrap w:val="0"/>
                  <w:vAlign w:val="center"/>
                </w:tcPr>
                <w:p w14:paraId="163D6D3F">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85户</w:t>
                  </w:r>
                </w:p>
              </w:tc>
            </w:tr>
            <w:tr w14:paraId="0B1A5E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0E54ADC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26#一分场八队居民</w:t>
                  </w:r>
                </w:p>
              </w:tc>
              <w:tc>
                <w:tcPr>
                  <w:tcW w:w="1769" w:type="dxa"/>
                  <w:tcBorders>
                    <w:tl2br w:val="nil"/>
                    <w:tr2bl w:val="nil"/>
                  </w:tcBorders>
                  <w:noWrap w:val="0"/>
                  <w:vAlign w:val="center"/>
                </w:tcPr>
                <w:p w14:paraId="1CD680F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WS140-1665</w:t>
                  </w:r>
                </w:p>
              </w:tc>
              <w:tc>
                <w:tcPr>
                  <w:tcW w:w="1709" w:type="dxa"/>
                  <w:tcBorders>
                    <w:tl2br w:val="nil"/>
                    <w:tr2bl w:val="nil"/>
                  </w:tcBorders>
                  <w:noWrap w:val="0"/>
                  <w:vAlign w:val="center"/>
                </w:tcPr>
                <w:p w14:paraId="2507886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112°36′46.82941″</w:t>
                  </w:r>
                </w:p>
              </w:tc>
              <w:tc>
                <w:tcPr>
                  <w:tcW w:w="1746" w:type="dxa"/>
                  <w:tcBorders>
                    <w:tl2br w:val="nil"/>
                    <w:tr2bl w:val="nil"/>
                  </w:tcBorders>
                  <w:noWrap w:val="0"/>
                  <w:vAlign w:val="center"/>
                </w:tcPr>
                <w:p w14:paraId="50E4F67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29°10′39.54329″</w:t>
                  </w:r>
                </w:p>
              </w:tc>
              <w:tc>
                <w:tcPr>
                  <w:tcW w:w="1168" w:type="dxa"/>
                  <w:tcBorders>
                    <w:tl2br w:val="nil"/>
                    <w:tr2bl w:val="nil"/>
                  </w:tcBorders>
                  <w:noWrap w:val="0"/>
                  <w:vAlign w:val="center"/>
                </w:tcPr>
                <w:p w14:paraId="4CECE5CB">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75户</w:t>
                  </w:r>
                </w:p>
              </w:tc>
            </w:tr>
            <w:tr w14:paraId="1D3BBF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5FC57A8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27#老河口村居民</w:t>
                  </w:r>
                </w:p>
              </w:tc>
              <w:tc>
                <w:tcPr>
                  <w:tcW w:w="1769" w:type="dxa"/>
                  <w:tcBorders>
                    <w:tl2br w:val="nil"/>
                    <w:tr2bl w:val="nil"/>
                  </w:tcBorders>
                  <w:noWrap w:val="0"/>
                  <w:vAlign w:val="center"/>
                </w:tcPr>
                <w:p w14:paraId="53F6A75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WS1810-2898</w:t>
                  </w:r>
                </w:p>
              </w:tc>
              <w:tc>
                <w:tcPr>
                  <w:tcW w:w="1709" w:type="dxa"/>
                  <w:tcBorders>
                    <w:tl2br w:val="nil"/>
                    <w:tr2bl w:val="nil"/>
                  </w:tcBorders>
                  <w:noWrap w:val="0"/>
                  <w:vAlign w:val="center"/>
                </w:tcPr>
                <w:p w14:paraId="0155DA4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112°35′35.76160″</w:t>
                  </w:r>
                </w:p>
              </w:tc>
              <w:tc>
                <w:tcPr>
                  <w:tcW w:w="1746" w:type="dxa"/>
                  <w:tcBorders>
                    <w:tl2br w:val="nil"/>
                    <w:tr2bl w:val="nil"/>
                  </w:tcBorders>
                  <w:noWrap w:val="0"/>
                  <w:vAlign w:val="center"/>
                </w:tcPr>
                <w:p w14:paraId="3604B10E">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w:t>
                  </w:r>
                  <w:r>
                    <w:rPr>
                      <w:rFonts w:hint="default" w:ascii="Times New Roman" w:hAnsi="Times New Roman" w:eastAsia="宋体" w:cs="Times New Roman"/>
                      <w:color w:val="auto"/>
                      <w:sz w:val="21"/>
                      <w:szCs w:val="21"/>
                      <w:highlight w:val="none"/>
                      <w:u w:val="none" w:color="auto"/>
                    </w:rPr>
                    <w:t>9°10′18.99543″</w:t>
                  </w:r>
                </w:p>
              </w:tc>
              <w:tc>
                <w:tcPr>
                  <w:tcW w:w="1168" w:type="dxa"/>
                  <w:tcBorders>
                    <w:tl2br w:val="nil"/>
                    <w:tr2bl w:val="nil"/>
                  </w:tcBorders>
                  <w:noWrap w:val="0"/>
                  <w:vAlign w:val="center"/>
                </w:tcPr>
                <w:p w14:paraId="39D9D4D3">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180户</w:t>
                  </w:r>
                </w:p>
              </w:tc>
            </w:tr>
            <w:tr w14:paraId="478FF9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1865" w:type="dxa"/>
                  <w:tcBorders>
                    <w:tl2br w:val="nil"/>
                    <w:tr2bl w:val="nil"/>
                  </w:tcBorders>
                  <w:noWrap w:val="0"/>
                  <w:vAlign w:val="center"/>
                </w:tcPr>
                <w:p w14:paraId="086D02E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28#二分场副业队居民</w:t>
                  </w:r>
                </w:p>
              </w:tc>
              <w:tc>
                <w:tcPr>
                  <w:tcW w:w="1769" w:type="dxa"/>
                  <w:tcBorders>
                    <w:tl2br w:val="nil"/>
                    <w:tr2bl w:val="nil"/>
                  </w:tcBorders>
                  <w:noWrap w:val="0"/>
                  <w:vAlign w:val="center"/>
                </w:tcPr>
                <w:p w14:paraId="717FC5E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WS2924-3439</w:t>
                  </w:r>
                </w:p>
              </w:tc>
              <w:tc>
                <w:tcPr>
                  <w:tcW w:w="1709" w:type="dxa"/>
                  <w:tcBorders>
                    <w:tl2br w:val="nil"/>
                    <w:tr2bl w:val="nil"/>
                  </w:tcBorders>
                  <w:noWrap w:val="0"/>
                  <w:vAlign w:val="center"/>
                </w:tcPr>
                <w:p w14:paraId="5D3032F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112°35′40.08747″</w:t>
                  </w:r>
                </w:p>
              </w:tc>
              <w:tc>
                <w:tcPr>
                  <w:tcW w:w="1746" w:type="dxa"/>
                  <w:tcBorders>
                    <w:tl2br w:val="nil"/>
                    <w:tr2bl w:val="nil"/>
                  </w:tcBorders>
                  <w:noWrap w:val="0"/>
                  <w:vAlign w:val="center"/>
                </w:tcPr>
                <w:p w14:paraId="2F0E0FA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29°9′34.80979″</w:t>
                  </w:r>
                </w:p>
              </w:tc>
              <w:tc>
                <w:tcPr>
                  <w:tcW w:w="1168" w:type="dxa"/>
                  <w:tcBorders>
                    <w:tl2br w:val="nil"/>
                    <w:tr2bl w:val="nil"/>
                  </w:tcBorders>
                  <w:noWrap w:val="0"/>
                  <w:vAlign w:val="center"/>
                </w:tcPr>
                <w:p w14:paraId="65D52456">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20户</w:t>
                  </w:r>
                </w:p>
              </w:tc>
            </w:tr>
            <w:tr w14:paraId="1B62F6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8" w:hRule="atLeast"/>
                <w:jc w:val="center"/>
              </w:trPr>
              <w:tc>
                <w:tcPr>
                  <w:tcW w:w="1865" w:type="dxa"/>
                  <w:tcBorders>
                    <w:tl2br w:val="nil"/>
                    <w:tr2bl w:val="nil"/>
                  </w:tcBorders>
                  <w:noWrap w:val="0"/>
                  <w:vAlign w:val="center"/>
                </w:tcPr>
                <w:p w14:paraId="7D191E2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29#二分场二队</w:t>
                  </w:r>
                </w:p>
              </w:tc>
              <w:tc>
                <w:tcPr>
                  <w:tcW w:w="1769" w:type="dxa"/>
                  <w:tcBorders>
                    <w:tl2br w:val="nil"/>
                    <w:tr2bl w:val="nil"/>
                  </w:tcBorders>
                  <w:noWrap w:val="0"/>
                  <w:vAlign w:val="center"/>
                </w:tcPr>
                <w:p w14:paraId="7BB180A9">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SW1823-2878</w:t>
                  </w:r>
                </w:p>
              </w:tc>
              <w:tc>
                <w:tcPr>
                  <w:tcW w:w="1709" w:type="dxa"/>
                  <w:tcBorders>
                    <w:tl2br w:val="nil"/>
                    <w:tr2bl w:val="nil"/>
                  </w:tcBorders>
                  <w:noWrap w:val="0"/>
                  <w:vAlign w:val="center"/>
                </w:tcPr>
                <w:p w14:paraId="7AF15FE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112°36′30.80983″</w:t>
                  </w:r>
                </w:p>
              </w:tc>
              <w:tc>
                <w:tcPr>
                  <w:tcW w:w="1746" w:type="dxa"/>
                  <w:tcBorders>
                    <w:tl2br w:val="nil"/>
                    <w:tr2bl w:val="nil"/>
                  </w:tcBorders>
                  <w:noWrap w:val="0"/>
                  <w:vAlign w:val="center"/>
                </w:tcPr>
                <w:p w14:paraId="6A96486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29°9′53.85488″</w:t>
                  </w:r>
                </w:p>
              </w:tc>
              <w:tc>
                <w:tcPr>
                  <w:tcW w:w="1168" w:type="dxa"/>
                  <w:tcBorders>
                    <w:tl2br w:val="nil"/>
                    <w:tr2bl w:val="nil"/>
                  </w:tcBorders>
                  <w:noWrap w:val="0"/>
                  <w:vAlign w:val="center"/>
                </w:tcPr>
                <w:p w14:paraId="20BC85FE">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居民区，约</w:t>
                  </w:r>
                  <w:r>
                    <w:rPr>
                      <w:rFonts w:hint="default" w:ascii="Times New Roman" w:hAnsi="Times New Roman" w:eastAsia="宋体" w:cs="Times New Roman"/>
                      <w:color w:val="auto"/>
                      <w:sz w:val="21"/>
                      <w:szCs w:val="21"/>
                      <w:highlight w:val="none"/>
                      <w:u w:val="none" w:color="auto"/>
                      <w:lang w:val="en-US" w:eastAsia="zh-CN"/>
                    </w:rPr>
                    <w:t>65户</w:t>
                  </w:r>
                </w:p>
              </w:tc>
            </w:tr>
          </w:tbl>
          <w:p w14:paraId="51BDA0E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r>
      <w:tr w14:paraId="63AA40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78" w:type="dxa"/>
            <w:vMerge w:val="restart"/>
            <w:vAlign w:val="center"/>
          </w:tcPr>
          <w:p w14:paraId="6E26F0C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地表水</w:t>
            </w:r>
          </w:p>
        </w:tc>
        <w:tc>
          <w:tcPr>
            <w:tcW w:w="8522" w:type="dxa"/>
            <w:gridSpan w:val="9"/>
            <w:shd w:val="clear" w:color="auto" w:fill="auto"/>
            <w:vAlign w:val="center"/>
          </w:tcPr>
          <w:p w14:paraId="19ED2D9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受纳水体</w:t>
            </w:r>
          </w:p>
        </w:tc>
      </w:tr>
      <w:tr w14:paraId="0C694B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78" w:type="dxa"/>
            <w:vMerge w:val="continue"/>
            <w:vAlign w:val="center"/>
          </w:tcPr>
          <w:p w14:paraId="14C8949C">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578" w:type="dxa"/>
            <w:shd w:val="clear" w:color="auto" w:fill="auto"/>
            <w:vAlign w:val="center"/>
          </w:tcPr>
          <w:p w14:paraId="5A0B10F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序号</w:t>
            </w:r>
          </w:p>
        </w:tc>
        <w:tc>
          <w:tcPr>
            <w:tcW w:w="2563" w:type="dxa"/>
            <w:gridSpan w:val="2"/>
            <w:shd w:val="clear" w:color="auto" w:fill="auto"/>
            <w:vAlign w:val="center"/>
          </w:tcPr>
          <w:p w14:paraId="134C7BE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受纳水体名称 </w:t>
            </w:r>
          </w:p>
        </w:tc>
        <w:tc>
          <w:tcPr>
            <w:tcW w:w="2422" w:type="dxa"/>
            <w:gridSpan w:val="3"/>
            <w:shd w:val="clear" w:color="auto" w:fill="auto"/>
            <w:vAlign w:val="center"/>
          </w:tcPr>
          <w:p w14:paraId="2508BE15">
            <w:pPr>
              <w:pStyle w:val="96"/>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z w:val="21"/>
                <w:szCs w:val="21"/>
                <w:highlight w:val="none"/>
                <w:u w:val="none" w:color="auto"/>
              </w:rPr>
              <w:t>排放点水域环境功能</w:t>
            </w:r>
          </w:p>
        </w:tc>
        <w:tc>
          <w:tcPr>
            <w:tcW w:w="2959" w:type="dxa"/>
            <w:gridSpan w:val="3"/>
            <w:shd w:val="clear" w:color="auto" w:fill="auto"/>
            <w:vAlign w:val="center"/>
          </w:tcPr>
          <w:p w14:paraId="7923C110">
            <w:pPr>
              <w:pStyle w:val="96"/>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sz w:val="21"/>
                <w:szCs w:val="21"/>
                <w:highlight w:val="none"/>
                <w:u w:val="none" w:color="auto"/>
              </w:rPr>
              <w:t>24h</w:t>
            </w:r>
            <w:r>
              <w:rPr>
                <w:rFonts w:hint="default" w:ascii="Times New Roman" w:hAnsi="Times New Roman" w:eastAsia="宋体" w:cs="Times New Roman"/>
                <w:color w:val="auto"/>
                <w:sz w:val="21"/>
                <w:szCs w:val="21"/>
                <w:highlight w:val="none"/>
                <w:u w:val="none" w:color="auto"/>
              </w:rPr>
              <w:t>内流经范围</w:t>
            </w:r>
            <w:r>
              <w:rPr>
                <w:rFonts w:hint="default" w:ascii="Times New Roman" w:hAnsi="Times New Roman" w:cs="Times New Roman"/>
                <w:color w:val="auto"/>
                <w:sz w:val="21"/>
                <w:szCs w:val="21"/>
                <w:highlight w:val="none"/>
                <w:u w:val="none" w:color="auto"/>
              </w:rPr>
              <w:t xml:space="preserve">/km </w:t>
            </w:r>
          </w:p>
        </w:tc>
      </w:tr>
      <w:tr w14:paraId="4E056E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78" w:type="dxa"/>
            <w:vMerge w:val="continue"/>
            <w:vAlign w:val="center"/>
          </w:tcPr>
          <w:p w14:paraId="10882B80">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578" w:type="dxa"/>
            <w:shd w:val="clear" w:color="auto" w:fill="auto"/>
            <w:vAlign w:val="center"/>
          </w:tcPr>
          <w:p w14:paraId="3912CEC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p>
        </w:tc>
        <w:tc>
          <w:tcPr>
            <w:tcW w:w="2563" w:type="dxa"/>
            <w:gridSpan w:val="2"/>
            <w:shd w:val="clear" w:color="auto" w:fill="auto"/>
            <w:vAlign w:val="center"/>
          </w:tcPr>
          <w:p w14:paraId="32D51A1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机排二十渠</w:t>
            </w:r>
          </w:p>
        </w:tc>
        <w:tc>
          <w:tcPr>
            <w:tcW w:w="2422" w:type="dxa"/>
            <w:gridSpan w:val="3"/>
            <w:shd w:val="clear" w:color="auto" w:fill="auto"/>
            <w:vAlign w:val="center"/>
          </w:tcPr>
          <w:p w14:paraId="3495661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b w:val="0"/>
                <w:bCs w:val="0"/>
                <w:color w:val="auto"/>
                <w:kern w:val="0"/>
                <w:sz w:val="21"/>
                <w:szCs w:val="21"/>
                <w:highlight w:val="none"/>
                <w:lang w:val="en-US" w:eastAsia="zh-CN" w:bidi="ar"/>
              </w:rPr>
              <w:t>Ⅲ</w:t>
            </w:r>
            <w:r>
              <w:rPr>
                <w:rFonts w:hint="default" w:ascii="Times New Roman" w:hAnsi="Times New Roman" w:cs="Times New Roman"/>
                <w:color w:val="auto"/>
                <w:highlight w:val="none"/>
                <w:u w:val="none" w:color="auto"/>
              </w:rPr>
              <w:t>类</w:t>
            </w:r>
          </w:p>
        </w:tc>
        <w:tc>
          <w:tcPr>
            <w:tcW w:w="2959" w:type="dxa"/>
            <w:gridSpan w:val="3"/>
            <w:shd w:val="clear" w:color="auto" w:fill="auto"/>
            <w:vAlign w:val="center"/>
          </w:tcPr>
          <w:p w14:paraId="3477091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r w14:paraId="647ECF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78" w:type="dxa"/>
            <w:vMerge w:val="continue"/>
            <w:vAlign w:val="center"/>
          </w:tcPr>
          <w:p w14:paraId="59C2335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578" w:type="dxa"/>
            <w:shd w:val="clear" w:color="auto" w:fill="auto"/>
            <w:vAlign w:val="center"/>
          </w:tcPr>
          <w:p w14:paraId="3FFDB4F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w:t>
            </w:r>
          </w:p>
        </w:tc>
        <w:tc>
          <w:tcPr>
            <w:tcW w:w="2563" w:type="dxa"/>
            <w:gridSpan w:val="2"/>
            <w:shd w:val="clear" w:color="auto" w:fill="auto"/>
            <w:vAlign w:val="center"/>
          </w:tcPr>
          <w:p w14:paraId="420A272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老三运河</w:t>
            </w:r>
          </w:p>
        </w:tc>
        <w:tc>
          <w:tcPr>
            <w:tcW w:w="2422" w:type="dxa"/>
            <w:gridSpan w:val="3"/>
            <w:shd w:val="clear" w:color="auto" w:fill="auto"/>
            <w:vAlign w:val="center"/>
          </w:tcPr>
          <w:p w14:paraId="70DDC44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b w:val="0"/>
                <w:bCs w:val="0"/>
                <w:color w:val="auto"/>
                <w:kern w:val="0"/>
                <w:sz w:val="21"/>
                <w:szCs w:val="21"/>
                <w:highlight w:val="none"/>
                <w:lang w:val="en-US" w:eastAsia="zh-CN" w:bidi="ar"/>
              </w:rPr>
              <w:t>Ⅲ</w:t>
            </w:r>
            <w:r>
              <w:rPr>
                <w:rFonts w:hint="default" w:ascii="Times New Roman" w:hAnsi="Times New Roman" w:cs="Times New Roman"/>
                <w:color w:val="auto"/>
                <w:highlight w:val="none"/>
                <w:u w:val="none" w:color="auto"/>
              </w:rPr>
              <w:t>类</w:t>
            </w:r>
          </w:p>
        </w:tc>
        <w:tc>
          <w:tcPr>
            <w:tcW w:w="2959" w:type="dxa"/>
            <w:gridSpan w:val="3"/>
            <w:shd w:val="clear" w:color="auto" w:fill="auto"/>
            <w:vAlign w:val="center"/>
          </w:tcPr>
          <w:p w14:paraId="32A06E3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r>
      <w:tr w14:paraId="10BA02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78" w:type="dxa"/>
            <w:vMerge w:val="continue"/>
            <w:vAlign w:val="center"/>
          </w:tcPr>
          <w:p w14:paraId="56C40C20">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7491" w:type="dxa"/>
            <w:gridSpan w:val="8"/>
            <w:shd w:val="clear" w:color="auto" w:fill="auto"/>
            <w:vAlign w:val="center"/>
          </w:tcPr>
          <w:p w14:paraId="0E9B555E">
            <w:pPr>
              <w:pStyle w:val="96"/>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z w:val="21"/>
                <w:szCs w:val="21"/>
                <w:highlight w:val="none"/>
                <w:u w:val="none" w:color="auto"/>
              </w:rPr>
              <w:t>地表水环境敏感程度</w:t>
            </w:r>
            <w:r>
              <w:rPr>
                <w:rFonts w:hint="default" w:ascii="Times New Roman" w:hAnsi="Times New Roman" w:cs="Times New Roman"/>
                <w:color w:val="auto"/>
                <w:sz w:val="21"/>
                <w:szCs w:val="21"/>
                <w:highlight w:val="none"/>
                <w:u w:val="none" w:color="auto"/>
              </w:rPr>
              <w:t>E</w:t>
            </w:r>
            <w:r>
              <w:rPr>
                <w:rFonts w:hint="default" w:ascii="Times New Roman" w:hAnsi="Times New Roman" w:eastAsia="宋体" w:cs="Times New Roman"/>
                <w:color w:val="auto"/>
                <w:sz w:val="21"/>
                <w:szCs w:val="21"/>
                <w:highlight w:val="none"/>
                <w:u w:val="none" w:color="auto"/>
              </w:rPr>
              <w:t>值</w:t>
            </w:r>
            <w:r>
              <w:rPr>
                <w:rFonts w:hint="default" w:ascii="Times New Roman" w:hAnsi="Times New Roman" w:cs="Times New Roman"/>
                <w:color w:val="auto"/>
                <w:sz w:val="21"/>
                <w:szCs w:val="21"/>
                <w:highlight w:val="none"/>
                <w:u w:val="none" w:color="auto"/>
              </w:rPr>
              <w:t xml:space="preserve"> </w:t>
            </w:r>
          </w:p>
        </w:tc>
        <w:tc>
          <w:tcPr>
            <w:tcW w:w="1031" w:type="dxa"/>
            <w:shd w:val="clear" w:color="auto" w:fill="auto"/>
            <w:vAlign w:val="center"/>
          </w:tcPr>
          <w:p w14:paraId="66B33F0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E3</w:t>
            </w:r>
          </w:p>
        </w:tc>
      </w:tr>
      <w:tr w14:paraId="5659ED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78" w:type="dxa"/>
            <w:vMerge w:val="restart"/>
            <w:vAlign w:val="center"/>
          </w:tcPr>
          <w:p w14:paraId="6198B992">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地下水</w:t>
            </w:r>
          </w:p>
        </w:tc>
        <w:tc>
          <w:tcPr>
            <w:tcW w:w="578" w:type="dxa"/>
            <w:shd w:val="clear" w:color="auto" w:fill="auto"/>
            <w:vAlign w:val="center"/>
          </w:tcPr>
          <w:p w14:paraId="0D5BF07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序号 </w:t>
            </w:r>
          </w:p>
        </w:tc>
        <w:tc>
          <w:tcPr>
            <w:tcW w:w="1708" w:type="dxa"/>
            <w:shd w:val="clear" w:color="auto" w:fill="auto"/>
            <w:vAlign w:val="center"/>
          </w:tcPr>
          <w:p w14:paraId="2DF6921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环境敏感区名称 </w:t>
            </w:r>
          </w:p>
        </w:tc>
        <w:tc>
          <w:tcPr>
            <w:tcW w:w="1404" w:type="dxa"/>
            <w:gridSpan w:val="2"/>
            <w:shd w:val="clear" w:color="auto" w:fill="auto"/>
            <w:vAlign w:val="center"/>
          </w:tcPr>
          <w:p w14:paraId="13AEDBF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环境敏感特征 </w:t>
            </w:r>
          </w:p>
        </w:tc>
        <w:tc>
          <w:tcPr>
            <w:tcW w:w="1134" w:type="dxa"/>
            <w:shd w:val="clear" w:color="auto" w:fill="auto"/>
            <w:vAlign w:val="center"/>
          </w:tcPr>
          <w:p w14:paraId="741E446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水质目标 </w:t>
            </w:r>
          </w:p>
        </w:tc>
        <w:tc>
          <w:tcPr>
            <w:tcW w:w="1843" w:type="dxa"/>
            <w:gridSpan w:val="2"/>
            <w:shd w:val="clear" w:color="auto" w:fill="auto"/>
            <w:vAlign w:val="center"/>
          </w:tcPr>
          <w:p w14:paraId="052E26D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包气带防污性能 </w:t>
            </w:r>
          </w:p>
        </w:tc>
        <w:tc>
          <w:tcPr>
            <w:tcW w:w="1855" w:type="dxa"/>
            <w:gridSpan w:val="2"/>
            <w:shd w:val="clear" w:color="auto" w:fill="auto"/>
            <w:vAlign w:val="center"/>
          </w:tcPr>
          <w:p w14:paraId="61EBE28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与下游厂界距离/m</w:t>
            </w:r>
          </w:p>
        </w:tc>
      </w:tr>
      <w:tr w14:paraId="70F637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78" w:type="dxa"/>
            <w:vMerge w:val="continue"/>
            <w:vAlign w:val="center"/>
          </w:tcPr>
          <w:p w14:paraId="40AFA0B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8522" w:type="dxa"/>
            <w:gridSpan w:val="9"/>
            <w:shd w:val="clear" w:color="auto" w:fill="auto"/>
            <w:vAlign w:val="center"/>
          </w:tcPr>
          <w:p w14:paraId="0111550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无</w:t>
            </w:r>
          </w:p>
        </w:tc>
      </w:tr>
      <w:tr w14:paraId="3D7FE2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78" w:type="dxa"/>
            <w:vMerge w:val="continue"/>
            <w:vAlign w:val="center"/>
          </w:tcPr>
          <w:p w14:paraId="00A99DD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7491" w:type="dxa"/>
            <w:gridSpan w:val="8"/>
            <w:shd w:val="clear" w:color="auto" w:fill="auto"/>
            <w:vAlign w:val="center"/>
          </w:tcPr>
          <w:p w14:paraId="4524B01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地下水环境敏感程度E值</w:t>
            </w:r>
          </w:p>
        </w:tc>
        <w:tc>
          <w:tcPr>
            <w:tcW w:w="1031" w:type="dxa"/>
            <w:shd w:val="clear" w:color="auto" w:fill="auto"/>
            <w:vAlign w:val="center"/>
          </w:tcPr>
          <w:p w14:paraId="5518F56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E3</w:t>
            </w:r>
          </w:p>
        </w:tc>
      </w:tr>
    </w:tbl>
    <w:p w14:paraId="73CB28AD">
      <w:pPr>
        <w:kinsoku w:val="0"/>
        <w:overflowPunct w:val="0"/>
        <w:spacing w:before="4" w:line="70" w:lineRule="exact"/>
        <w:ind w:firstLine="140"/>
        <w:jc w:val="left"/>
        <w:rPr>
          <w:rFonts w:hint="default" w:ascii="Times New Roman" w:hAnsi="Times New Roman" w:cs="Times New Roman"/>
          <w:color w:val="FF0000"/>
          <w:sz w:val="7"/>
          <w:szCs w:val="7"/>
          <w:highlight w:val="none"/>
          <w:u w:val="none" w:color="auto"/>
        </w:rPr>
      </w:pPr>
    </w:p>
    <w:p w14:paraId="57C08BD3">
      <w:pPr>
        <w:pStyle w:val="3"/>
        <w:numPr>
          <w:ilvl w:val="1"/>
          <w:numId w:val="0"/>
        </w:numPr>
        <w:ind w:leftChars="0"/>
        <w:rPr>
          <w:rFonts w:hint="default" w:ascii="Times New Roman" w:hAnsi="Times New Roman" w:cs="Times New Roman"/>
          <w:color w:val="auto"/>
          <w:highlight w:val="none"/>
          <w:u w:val="none" w:color="auto"/>
        </w:rPr>
      </w:pPr>
      <w:bookmarkStart w:id="138" w:name="_Toc12655"/>
      <w:r>
        <w:rPr>
          <w:rFonts w:hint="default" w:ascii="Times New Roman" w:hAnsi="Times New Roman" w:cs="Times New Roman"/>
          <w:color w:val="auto"/>
          <w:szCs w:val="30"/>
          <w:highlight w:val="none"/>
          <w:u w:val="none" w:color="auto"/>
          <w:lang w:val="en-US" w:eastAsia="zh-CN"/>
        </w:rPr>
        <w:t xml:space="preserve">6.2 </w:t>
      </w:r>
      <w:r>
        <w:rPr>
          <w:rFonts w:hint="default" w:ascii="Times New Roman" w:hAnsi="Times New Roman" w:cs="Times New Roman"/>
          <w:color w:val="auto"/>
          <w:szCs w:val="30"/>
          <w:highlight w:val="none"/>
          <w:u w:val="none" w:color="auto"/>
        </w:rPr>
        <w:t>环境风险潜势初判</w:t>
      </w:r>
      <w:bookmarkEnd w:id="138"/>
    </w:p>
    <w:p w14:paraId="58AF3353">
      <w:pPr>
        <w:pStyle w:val="4"/>
        <w:numPr>
          <w:ilvl w:val="2"/>
          <w:numId w:val="0"/>
        </w:numPr>
        <w:ind w:leftChars="0"/>
        <w:rPr>
          <w:rFonts w:hint="default" w:ascii="Times New Roman" w:hAnsi="Times New Roman" w:cs="Times New Roman"/>
          <w:color w:val="auto"/>
          <w:highlight w:val="none"/>
          <w:u w:val="none" w:color="auto"/>
        </w:rPr>
      </w:pPr>
      <w:bookmarkStart w:id="139" w:name="_Toc624"/>
      <w:r>
        <w:rPr>
          <w:rFonts w:hint="default" w:ascii="Times New Roman" w:hAnsi="Times New Roman" w:cs="Times New Roman"/>
          <w:color w:val="auto"/>
          <w:highlight w:val="none"/>
          <w:u w:val="none" w:color="auto"/>
          <w:lang w:val="en-US" w:eastAsia="zh-CN"/>
        </w:rPr>
        <w:t xml:space="preserve">6.2.1 </w:t>
      </w:r>
      <w:r>
        <w:rPr>
          <w:rFonts w:hint="default" w:ascii="Times New Roman" w:hAnsi="Times New Roman" w:cs="Times New Roman"/>
          <w:color w:val="auto"/>
          <w:highlight w:val="none"/>
          <w:u w:val="none" w:color="auto"/>
        </w:rPr>
        <w:t>危险物质及工艺系统危险性（P）的分级确定</w:t>
      </w:r>
      <w:bookmarkEnd w:id="139"/>
    </w:p>
    <w:p w14:paraId="40820257">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6.2.1.1 </w:t>
      </w:r>
      <w:r>
        <w:rPr>
          <w:rFonts w:hint="default" w:ascii="Times New Roman" w:hAnsi="Times New Roman" w:cs="Times New Roman"/>
          <w:color w:val="auto"/>
          <w:highlight w:val="none"/>
          <w:u w:val="none" w:color="auto"/>
        </w:rPr>
        <w:t>危险物质数量与临界量的比值（Q）</w:t>
      </w:r>
    </w:p>
    <w:p w14:paraId="768A3E5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计算项目涉及的每种危险物质在厂界内最大存在量与其临界量的比值Q，公式如下：</w:t>
      </w:r>
    </w:p>
    <w:p w14:paraId="6DCFA29F">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drawing>
          <wp:inline distT="0" distB="0" distL="0" distR="0">
            <wp:extent cx="1546860" cy="3606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clrChange>
                        <a:clrFrom>
                          <a:srgbClr val="FFFFFF"/>
                        </a:clrFrom>
                        <a:clrTo>
                          <a:srgbClr val="FFFFFF">
                            <a:alpha val="0"/>
                          </a:srgbClr>
                        </a:clrTo>
                      </a:clrChange>
                    </a:blip>
                    <a:stretch>
                      <a:fillRect/>
                    </a:stretch>
                  </pic:blipFill>
                  <pic:spPr>
                    <a:xfrm>
                      <a:off x="0" y="0"/>
                      <a:ext cx="1546994" cy="361145"/>
                    </a:xfrm>
                    <a:prstGeom prst="rect">
                      <a:avLst/>
                    </a:prstGeom>
                  </pic:spPr>
                </pic:pic>
              </a:graphicData>
            </a:graphic>
          </wp:inline>
        </w:drawing>
      </w:r>
    </w:p>
    <w:p w14:paraId="5A9D5B6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式中：q1，q2，……，qn—每种危险物质的最大存在总量，单位为吨（t）；</w:t>
      </w:r>
    </w:p>
    <w:p w14:paraId="5FCA3351">
      <w:pPr>
        <w:pStyle w:val="189"/>
        <w:ind w:firstLine="1200" w:firstLineChars="500"/>
        <w:rPr>
          <w:rFonts w:hint="default" w:ascii="Times New Roman" w:hAnsi="Times New Roman" w:cs="Times New Roman"/>
          <w:color w:val="auto"/>
          <w:highlight w:val="none"/>
          <w:u w:val="none" w:color="auto"/>
        </w:rPr>
      </w:pPr>
      <w:bookmarkStart w:id="140" w:name="_Toc512442025"/>
      <w:r>
        <w:rPr>
          <w:rFonts w:hint="default" w:ascii="Times New Roman" w:hAnsi="Times New Roman" w:cs="Times New Roman"/>
          <w:color w:val="auto"/>
          <w:highlight w:val="none"/>
          <w:u w:val="none" w:color="auto"/>
        </w:rPr>
        <w:t>Q1，Q2，……，QN—每种危险物质的临界量，单位为吨（t）；</w:t>
      </w:r>
      <w:bookmarkEnd w:id="140"/>
    </w:p>
    <w:p w14:paraId="0A8C0FAF">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当Q＜1时，该项目环境风险潜势为I。当Q≥1时，将Q值划分为：（1）1≤Q＜10；（2）10≤Q＜100；（3）Q≥100。</w:t>
      </w:r>
    </w:p>
    <w:p w14:paraId="7426672B">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危险物质数量与临界量的比值确定（Q）</w:t>
      </w:r>
    </w:p>
    <w:tbl>
      <w:tblPr>
        <w:tblStyle w:val="76"/>
        <w:tblW w:w="5203"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49"/>
        <w:gridCol w:w="1731"/>
        <w:gridCol w:w="2256"/>
        <w:gridCol w:w="1842"/>
        <w:gridCol w:w="1322"/>
        <w:gridCol w:w="1568"/>
      </w:tblGrid>
      <w:tr w14:paraId="5F73C1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747" w:type="dxa"/>
            <w:vAlign w:val="center"/>
          </w:tcPr>
          <w:p w14:paraId="6EA517A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序号</w:t>
            </w:r>
          </w:p>
        </w:tc>
        <w:tc>
          <w:tcPr>
            <w:tcW w:w="1726" w:type="dxa"/>
            <w:vAlign w:val="center"/>
          </w:tcPr>
          <w:p w14:paraId="4D57029A">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危险物质名称</w:t>
            </w:r>
          </w:p>
        </w:tc>
        <w:tc>
          <w:tcPr>
            <w:tcW w:w="2249" w:type="dxa"/>
            <w:vAlign w:val="center"/>
          </w:tcPr>
          <w:p w14:paraId="11005F1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CAS 号</w:t>
            </w:r>
          </w:p>
        </w:tc>
        <w:tc>
          <w:tcPr>
            <w:tcW w:w="1836" w:type="dxa"/>
            <w:vAlign w:val="center"/>
          </w:tcPr>
          <w:p w14:paraId="12D380AA">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最大存在总量</w:t>
            </w:r>
          </w:p>
        </w:tc>
        <w:tc>
          <w:tcPr>
            <w:tcW w:w="1318" w:type="dxa"/>
            <w:vAlign w:val="center"/>
          </w:tcPr>
          <w:p w14:paraId="515B35F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临界量/t</w:t>
            </w:r>
          </w:p>
        </w:tc>
        <w:tc>
          <w:tcPr>
            <w:tcW w:w="1563" w:type="dxa"/>
            <w:vAlign w:val="center"/>
          </w:tcPr>
          <w:p w14:paraId="44E6F13B">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Q 值</w:t>
            </w:r>
          </w:p>
        </w:tc>
      </w:tr>
      <w:tr w14:paraId="6FFD38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747" w:type="dxa"/>
            <w:vAlign w:val="center"/>
          </w:tcPr>
          <w:p w14:paraId="4D6277F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1</w:t>
            </w:r>
          </w:p>
        </w:tc>
        <w:tc>
          <w:tcPr>
            <w:tcW w:w="1726" w:type="dxa"/>
            <w:vAlign w:val="center"/>
          </w:tcPr>
          <w:p w14:paraId="078BCF6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次氯酸钠（折纯）</w:t>
            </w:r>
          </w:p>
        </w:tc>
        <w:tc>
          <w:tcPr>
            <w:tcW w:w="2249" w:type="dxa"/>
            <w:vAlign w:val="center"/>
          </w:tcPr>
          <w:p w14:paraId="378C32E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7681-52-9</w:t>
            </w:r>
          </w:p>
        </w:tc>
        <w:tc>
          <w:tcPr>
            <w:tcW w:w="1836" w:type="dxa"/>
            <w:vAlign w:val="center"/>
          </w:tcPr>
          <w:p w14:paraId="283D0B3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0.242t</w:t>
            </w:r>
          </w:p>
        </w:tc>
        <w:tc>
          <w:tcPr>
            <w:tcW w:w="1318" w:type="dxa"/>
            <w:vAlign w:val="center"/>
          </w:tcPr>
          <w:p w14:paraId="67B9B83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c>
          <w:tcPr>
            <w:tcW w:w="1563" w:type="dxa"/>
            <w:vAlign w:val="bottom"/>
          </w:tcPr>
          <w:p w14:paraId="5870670C">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0.0</w:t>
            </w:r>
            <w:r>
              <w:rPr>
                <w:rFonts w:hint="default" w:ascii="Times New Roman" w:hAnsi="Times New Roman" w:cs="Times New Roman"/>
                <w:color w:val="auto"/>
                <w:highlight w:val="none"/>
                <w:u w:val="none" w:color="auto"/>
                <w:lang w:val="en-US" w:eastAsia="zh-CN"/>
              </w:rPr>
              <w:t>22</w:t>
            </w:r>
          </w:p>
        </w:tc>
      </w:tr>
      <w:tr w14:paraId="5A6691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747" w:type="dxa"/>
            <w:vAlign w:val="center"/>
          </w:tcPr>
          <w:p w14:paraId="790D372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2</w:t>
            </w:r>
          </w:p>
        </w:tc>
        <w:tc>
          <w:tcPr>
            <w:tcW w:w="1726" w:type="dxa"/>
            <w:vAlign w:val="center"/>
          </w:tcPr>
          <w:p w14:paraId="591D933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硫酸</w:t>
            </w:r>
          </w:p>
        </w:tc>
        <w:tc>
          <w:tcPr>
            <w:tcW w:w="2249" w:type="dxa"/>
            <w:vAlign w:val="center"/>
          </w:tcPr>
          <w:p w14:paraId="5215EF7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7664-93-9</w:t>
            </w:r>
          </w:p>
        </w:tc>
        <w:tc>
          <w:tcPr>
            <w:tcW w:w="1836" w:type="dxa"/>
            <w:vAlign w:val="center"/>
          </w:tcPr>
          <w:p w14:paraId="4A18CE5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44.16kg</w:t>
            </w:r>
          </w:p>
        </w:tc>
        <w:tc>
          <w:tcPr>
            <w:tcW w:w="1318" w:type="dxa"/>
            <w:vAlign w:val="center"/>
          </w:tcPr>
          <w:p w14:paraId="0AADA36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10</w:t>
            </w:r>
          </w:p>
        </w:tc>
        <w:tc>
          <w:tcPr>
            <w:tcW w:w="1563" w:type="dxa"/>
            <w:vAlign w:val="bottom"/>
          </w:tcPr>
          <w:p w14:paraId="7ACED47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0.00</w:t>
            </w:r>
            <w:r>
              <w:rPr>
                <w:rFonts w:hint="default" w:ascii="Times New Roman" w:hAnsi="Times New Roman" w:cs="Times New Roman"/>
                <w:color w:val="auto"/>
                <w:highlight w:val="none"/>
                <w:u w:val="none" w:color="auto"/>
                <w:lang w:val="en-US" w:eastAsia="zh-CN"/>
              </w:rPr>
              <w:t>44</w:t>
            </w:r>
          </w:p>
        </w:tc>
      </w:tr>
      <w:tr w14:paraId="6D2911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747" w:type="dxa"/>
            <w:vAlign w:val="center"/>
          </w:tcPr>
          <w:p w14:paraId="0FFA3C6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3</w:t>
            </w:r>
          </w:p>
        </w:tc>
        <w:tc>
          <w:tcPr>
            <w:tcW w:w="1726" w:type="dxa"/>
            <w:vAlign w:val="center"/>
          </w:tcPr>
          <w:p w14:paraId="055B0C4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lang w:val="en-US" w:eastAsia="zh-CN"/>
              </w:rPr>
              <w:t>盐酸</w:t>
            </w:r>
          </w:p>
        </w:tc>
        <w:tc>
          <w:tcPr>
            <w:tcW w:w="2249" w:type="dxa"/>
            <w:vAlign w:val="center"/>
          </w:tcPr>
          <w:p w14:paraId="432D605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1310-73-2</w:t>
            </w:r>
          </w:p>
        </w:tc>
        <w:tc>
          <w:tcPr>
            <w:tcW w:w="1836" w:type="dxa"/>
            <w:vAlign w:val="center"/>
          </w:tcPr>
          <w:p w14:paraId="1643960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5.75kg</w:t>
            </w:r>
          </w:p>
        </w:tc>
        <w:tc>
          <w:tcPr>
            <w:tcW w:w="1318" w:type="dxa"/>
            <w:vAlign w:val="center"/>
          </w:tcPr>
          <w:p w14:paraId="24C3630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7.5</w:t>
            </w:r>
          </w:p>
        </w:tc>
        <w:tc>
          <w:tcPr>
            <w:tcW w:w="1563" w:type="dxa"/>
            <w:shd w:val="clear" w:color="auto" w:fill="auto"/>
            <w:vAlign w:val="bottom"/>
          </w:tcPr>
          <w:p w14:paraId="3FAFB1C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u w:val="none" w:color="auto"/>
                <w:lang w:val="en-US" w:eastAsia="zh-CN" w:bidi="ar-SA"/>
              </w:rPr>
            </w:pPr>
            <w:r>
              <w:rPr>
                <w:rFonts w:hint="default" w:ascii="Times New Roman" w:hAnsi="Times New Roman" w:cs="Times New Roman"/>
                <w:color w:val="auto"/>
                <w:highlight w:val="none"/>
                <w:u w:val="none" w:color="auto"/>
              </w:rPr>
              <w:t>0.00</w:t>
            </w:r>
            <w:r>
              <w:rPr>
                <w:rFonts w:hint="default" w:ascii="Times New Roman" w:hAnsi="Times New Roman" w:cs="Times New Roman"/>
                <w:color w:val="auto"/>
                <w:highlight w:val="none"/>
                <w:u w:val="none" w:color="auto"/>
                <w:lang w:val="en-US" w:eastAsia="zh-CN"/>
              </w:rPr>
              <w:t>08</w:t>
            </w:r>
          </w:p>
        </w:tc>
      </w:tr>
      <w:tr w14:paraId="1967B0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2" w:hRule="atLeast"/>
          <w:jc w:val="center"/>
        </w:trPr>
        <w:tc>
          <w:tcPr>
            <w:tcW w:w="747" w:type="dxa"/>
            <w:vAlign w:val="center"/>
          </w:tcPr>
          <w:p w14:paraId="2609920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w:t>
            </w:r>
          </w:p>
        </w:tc>
        <w:tc>
          <w:tcPr>
            <w:tcW w:w="1726" w:type="dxa"/>
            <w:vAlign w:val="center"/>
          </w:tcPr>
          <w:p w14:paraId="386F577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eastAsia="zh-CN"/>
              </w:rPr>
            </w:pPr>
            <w:r>
              <w:rPr>
                <w:rFonts w:hint="default" w:ascii="Times New Roman" w:hAnsi="Times New Roman" w:eastAsia="宋体" w:cs="Times New Roman"/>
                <w:color w:val="auto"/>
                <w:highlight w:val="none"/>
                <w:u w:val="none" w:color="auto"/>
                <w:lang w:val="en-US" w:eastAsia="zh-CN"/>
              </w:rPr>
              <w:t>硝酸</w:t>
            </w:r>
          </w:p>
        </w:tc>
        <w:tc>
          <w:tcPr>
            <w:tcW w:w="2249" w:type="dxa"/>
            <w:vAlign w:val="center"/>
          </w:tcPr>
          <w:p w14:paraId="4603D7B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7697-37-2</w:t>
            </w:r>
          </w:p>
        </w:tc>
        <w:tc>
          <w:tcPr>
            <w:tcW w:w="1836" w:type="dxa"/>
            <w:vAlign w:val="center"/>
          </w:tcPr>
          <w:p w14:paraId="531D88A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0.755kg</w:t>
            </w:r>
          </w:p>
        </w:tc>
        <w:tc>
          <w:tcPr>
            <w:tcW w:w="1318" w:type="dxa"/>
            <w:vAlign w:val="center"/>
          </w:tcPr>
          <w:p w14:paraId="24B543A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7.5</w:t>
            </w:r>
          </w:p>
        </w:tc>
        <w:tc>
          <w:tcPr>
            <w:tcW w:w="1563" w:type="dxa"/>
            <w:vAlign w:val="bottom"/>
          </w:tcPr>
          <w:p w14:paraId="23E9855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rPr>
              <w:t>0.00</w:t>
            </w:r>
            <w:r>
              <w:rPr>
                <w:rFonts w:hint="default" w:ascii="Times New Roman" w:hAnsi="Times New Roman" w:cs="Times New Roman"/>
                <w:color w:val="auto"/>
                <w:highlight w:val="none"/>
                <w:u w:val="none" w:color="auto"/>
                <w:lang w:val="en-US" w:eastAsia="zh-CN"/>
              </w:rPr>
              <w:t>01</w:t>
            </w:r>
          </w:p>
        </w:tc>
      </w:tr>
      <w:tr w14:paraId="79AD37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2" w:hRule="atLeast"/>
          <w:jc w:val="center"/>
        </w:trPr>
        <w:tc>
          <w:tcPr>
            <w:tcW w:w="747" w:type="dxa"/>
            <w:vAlign w:val="center"/>
          </w:tcPr>
          <w:p w14:paraId="36CE600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5</w:t>
            </w:r>
          </w:p>
        </w:tc>
        <w:tc>
          <w:tcPr>
            <w:tcW w:w="1726" w:type="dxa"/>
            <w:vAlign w:val="center"/>
          </w:tcPr>
          <w:p w14:paraId="4AC7D8C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eastAsia="zh-CN"/>
              </w:rPr>
            </w:pPr>
            <w:r>
              <w:rPr>
                <w:rFonts w:hint="default" w:ascii="Times New Roman" w:hAnsi="Times New Roman" w:eastAsia="宋体" w:cs="Times New Roman"/>
                <w:color w:val="auto"/>
                <w:highlight w:val="none"/>
                <w:u w:val="none" w:color="auto"/>
                <w:lang w:val="en-US" w:eastAsia="zh-CN"/>
              </w:rPr>
              <w:t>铬酸钾</w:t>
            </w:r>
          </w:p>
        </w:tc>
        <w:tc>
          <w:tcPr>
            <w:tcW w:w="2249" w:type="dxa"/>
            <w:vAlign w:val="center"/>
          </w:tcPr>
          <w:p w14:paraId="30C60BB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7789-00-6</w:t>
            </w:r>
          </w:p>
        </w:tc>
        <w:tc>
          <w:tcPr>
            <w:tcW w:w="1836" w:type="dxa"/>
            <w:vAlign w:val="center"/>
          </w:tcPr>
          <w:p w14:paraId="67E5E12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0.5kg</w:t>
            </w:r>
          </w:p>
        </w:tc>
        <w:tc>
          <w:tcPr>
            <w:tcW w:w="1318" w:type="dxa"/>
            <w:vAlign w:val="center"/>
          </w:tcPr>
          <w:p w14:paraId="5890ADE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0.25</w:t>
            </w:r>
          </w:p>
        </w:tc>
        <w:tc>
          <w:tcPr>
            <w:tcW w:w="1563" w:type="dxa"/>
            <w:vAlign w:val="bottom"/>
          </w:tcPr>
          <w:p w14:paraId="0451BDF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0.02</w:t>
            </w:r>
          </w:p>
        </w:tc>
      </w:tr>
      <w:tr w14:paraId="20F5C5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2" w:hRule="atLeast"/>
          <w:jc w:val="center"/>
        </w:trPr>
        <w:tc>
          <w:tcPr>
            <w:tcW w:w="747" w:type="dxa"/>
            <w:vAlign w:val="center"/>
          </w:tcPr>
          <w:p w14:paraId="2FACE53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6</w:t>
            </w:r>
          </w:p>
        </w:tc>
        <w:tc>
          <w:tcPr>
            <w:tcW w:w="1726" w:type="dxa"/>
            <w:vAlign w:val="center"/>
          </w:tcPr>
          <w:p w14:paraId="10F3744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eastAsia="zh-CN"/>
              </w:rPr>
            </w:pPr>
            <w:r>
              <w:rPr>
                <w:rFonts w:hint="default" w:ascii="Times New Roman" w:hAnsi="Times New Roman" w:eastAsia="宋体" w:cs="Times New Roman"/>
                <w:color w:val="auto"/>
                <w:highlight w:val="none"/>
                <w:u w:val="none" w:color="auto"/>
                <w:lang w:val="en-US" w:eastAsia="zh-CN"/>
              </w:rPr>
              <w:t>氨水</w:t>
            </w:r>
          </w:p>
        </w:tc>
        <w:tc>
          <w:tcPr>
            <w:tcW w:w="2249" w:type="dxa"/>
            <w:vAlign w:val="center"/>
          </w:tcPr>
          <w:p w14:paraId="61E00E7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1336-21-6</w:t>
            </w:r>
          </w:p>
        </w:tc>
        <w:tc>
          <w:tcPr>
            <w:tcW w:w="1836" w:type="dxa"/>
            <w:vAlign w:val="center"/>
          </w:tcPr>
          <w:p w14:paraId="3DF7B16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0.49kg</w:t>
            </w:r>
          </w:p>
        </w:tc>
        <w:tc>
          <w:tcPr>
            <w:tcW w:w="1318" w:type="dxa"/>
            <w:vAlign w:val="center"/>
          </w:tcPr>
          <w:p w14:paraId="3DF7247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10</w:t>
            </w:r>
          </w:p>
        </w:tc>
        <w:tc>
          <w:tcPr>
            <w:tcW w:w="1563" w:type="dxa"/>
            <w:vAlign w:val="bottom"/>
          </w:tcPr>
          <w:p w14:paraId="73E84A7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rPr>
              <w:t>0.00</w:t>
            </w:r>
            <w:r>
              <w:rPr>
                <w:rFonts w:hint="default" w:ascii="Times New Roman" w:hAnsi="Times New Roman" w:cs="Times New Roman"/>
                <w:color w:val="auto"/>
                <w:highlight w:val="none"/>
                <w:u w:val="none" w:color="auto"/>
                <w:lang w:val="en-US" w:eastAsia="zh-CN"/>
              </w:rPr>
              <w:t>005</w:t>
            </w:r>
          </w:p>
        </w:tc>
      </w:tr>
      <w:tr w14:paraId="6F5CDE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2" w:hRule="atLeast"/>
          <w:jc w:val="center"/>
        </w:trPr>
        <w:tc>
          <w:tcPr>
            <w:tcW w:w="747" w:type="dxa"/>
            <w:vAlign w:val="center"/>
          </w:tcPr>
          <w:p w14:paraId="77DC229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7</w:t>
            </w:r>
          </w:p>
        </w:tc>
        <w:tc>
          <w:tcPr>
            <w:tcW w:w="1726" w:type="dxa"/>
            <w:vAlign w:val="center"/>
          </w:tcPr>
          <w:p w14:paraId="3EE8B3A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eastAsia="zh-CN"/>
              </w:rPr>
            </w:pPr>
            <w:r>
              <w:rPr>
                <w:rFonts w:hint="default" w:ascii="Times New Roman" w:hAnsi="Times New Roman" w:eastAsia="宋体" w:cs="Times New Roman"/>
                <w:color w:val="auto"/>
                <w:highlight w:val="none"/>
                <w:u w:val="none" w:color="auto"/>
                <w:lang w:val="en-US" w:eastAsia="zh-CN"/>
              </w:rPr>
              <w:t>乙酸</w:t>
            </w:r>
          </w:p>
        </w:tc>
        <w:tc>
          <w:tcPr>
            <w:tcW w:w="2249" w:type="dxa"/>
            <w:vAlign w:val="center"/>
          </w:tcPr>
          <w:p w14:paraId="4CD80F1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64-19-7</w:t>
            </w:r>
          </w:p>
        </w:tc>
        <w:tc>
          <w:tcPr>
            <w:tcW w:w="1836" w:type="dxa"/>
            <w:vAlign w:val="center"/>
          </w:tcPr>
          <w:p w14:paraId="571A96D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0.525kg</w:t>
            </w:r>
          </w:p>
        </w:tc>
        <w:tc>
          <w:tcPr>
            <w:tcW w:w="1318" w:type="dxa"/>
            <w:vAlign w:val="center"/>
          </w:tcPr>
          <w:p w14:paraId="48CE3D3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10</w:t>
            </w:r>
          </w:p>
        </w:tc>
        <w:tc>
          <w:tcPr>
            <w:tcW w:w="1563" w:type="dxa"/>
            <w:vAlign w:val="bottom"/>
          </w:tcPr>
          <w:p w14:paraId="32893BD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rPr>
              <w:t>0.00</w:t>
            </w:r>
            <w:r>
              <w:rPr>
                <w:rFonts w:hint="default" w:ascii="Times New Roman" w:hAnsi="Times New Roman" w:cs="Times New Roman"/>
                <w:color w:val="auto"/>
                <w:highlight w:val="none"/>
                <w:u w:val="none" w:color="auto"/>
                <w:lang w:val="en-US" w:eastAsia="zh-CN"/>
              </w:rPr>
              <w:t>005</w:t>
            </w:r>
          </w:p>
        </w:tc>
      </w:tr>
      <w:tr w14:paraId="0E201D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2" w:hRule="atLeast"/>
          <w:jc w:val="center"/>
        </w:trPr>
        <w:tc>
          <w:tcPr>
            <w:tcW w:w="747" w:type="dxa"/>
            <w:vAlign w:val="center"/>
          </w:tcPr>
          <w:p w14:paraId="1F72808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8</w:t>
            </w:r>
          </w:p>
        </w:tc>
        <w:tc>
          <w:tcPr>
            <w:tcW w:w="1726" w:type="dxa"/>
            <w:vAlign w:val="center"/>
          </w:tcPr>
          <w:p w14:paraId="36322E9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废矿物油</w:t>
            </w:r>
          </w:p>
        </w:tc>
        <w:tc>
          <w:tcPr>
            <w:tcW w:w="2249" w:type="dxa"/>
            <w:vAlign w:val="center"/>
          </w:tcPr>
          <w:p w14:paraId="65DBCC9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836" w:type="dxa"/>
            <w:vAlign w:val="center"/>
          </w:tcPr>
          <w:p w14:paraId="6D9EED7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0.1t</w:t>
            </w:r>
          </w:p>
        </w:tc>
        <w:tc>
          <w:tcPr>
            <w:tcW w:w="1318" w:type="dxa"/>
            <w:vAlign w:val="center"/>
          </w:tcPr>
          <w:p w14:paraId="120B935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2500</w:t>
            </w:r>
          </w:p>
        </w:tc>
        <w:tc>
          <w:tcPr>
            <w:tcW w:w="1563" w:type="dxa"/>
            <w:vAlign w:val="bottom"/>
          </w:tcPr>
          <w:p w14:paraId="6C18149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rPr>
              <w:t>0.00</w:t>
            </w:r>
            <w:r>
              <w:rPr>
                <w:rFonts w:hint="default" w:ascii="Times New Roman" w:hAnsi="Times New Roman" w:cs="Times New Roman"/>
                <w:color w:val="auto"/>
                <w:highlight w:val="none"/>
                <w:u w:val="none" w:color="auto"/>
                <w:lang w:val="en-US" w:eastAsia="zh-CN"/>
              </w:rPr>
              <w:t>04</w:t>
            </w:r>
          </w:p>
        </w:tc>
      </w:tr>
      <w:tr w14:paraId="1B3DE3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2" w:hRule="atLeast"/>
          <w:jc w:val="center"/>
        </w:trPr>
        <w:tc>
          <w:tcPr>
            <w:tcW w:w="747" w:type="dxa"/>
            <w:vAlign w:val="center"/>
          </w:tcPr>
          <w:p w14:paraId="4146037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9</w:t>
            </w:r>
          </w:p>
        </w:tc>
        <w:tc>
          <w:tcPr>
            <w:tcW w:w="1726" w:type="dxa"/>
            <w:vAlign w:val="center"/>
          </w:tcPr>
          <w:p w14:paraId="35EAE89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在线监测废液</w:t>
            </w:r>
          </w:p>
        </w:tc>
        <w:tc>
          <w:tcPr>
            <w:tcW w:w="2249" w:type="dxa"/>
            <w:vAlign w:val="center"/>
          </w:tcPr>
          <w:p w14:paraId="588BA87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836" w:type="dxa"/>
            <w:vAlign w:val="center"/>
          </w:tcPr>
          <w:p w14:paraId="1C71382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2.4t</w:t>
            </w:r>
          </w:p>
        </w:tc>
        <w:tc>
          <w:tcPr>
            <w:tcW w:w="1318" w:type="dxa"/>
            <w:vAlign w:val="center"/>
          </w:tcPr>
          <w:p w14:paraId="07F4B65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100</w:t>
            </w:r>
          </w:p>
        </w:tc>
        <w:tc>
          <w:tcPr>
            <w:tcW w:w="1563" w:type="dxa"/>
            <w:vAlign w:val="bottom"/>
          </w:tcPr>
          <w:p w14:paraId="5B4093C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0.024</w:t>
            </w:r>
          </w:p>
        </w:tc>
      </w:tr>
      <w:tr w14:paraId="399227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2" w:hRule="atLeast"/>
          <w:jc w:val="center"/>
        </w:trPr>
        <w:tc>
          <w:tcPr>
            <w:tcW w:w="747" w:type="dxa"/>
            <w:vAlign w:val="center"/>
          </w:tcPr>
          <w:p w14:paraId="7E1F9D0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10</w:t>
            </w:r>
          </w:p>
        </w:tc>
        <w:tc>
          <w:tcPr>
            <w:tcW w:w="1726" w:type="dxa"/>
            <w:vAlign w:val="center"/>
          </w:tcPr>
          <w:p w14:paraId="11F4CDA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化验室废液</w:t>
            </w:r>
          </w:p>
        </w:tc>
        <w:tc>
          <w:tcPr>
            <w:tcW w:w="2249" w:type="dxa"/>
            <w:vAlign w:val="center"/>
          </w:tcPr>
          <w:p w14:paraId="7DA22D8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p>
        </w:tc>
        <w:tc>
          <w:tcPr>
            <w:tcW w:w="1836" w:type="dxa"/>
            <w:vAlign w:val="center"/>
          </w:tcPr>
          <w:p w14:paraId="33CA5ACA">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0.3t</w:t>
            </w:r>
          </w:p>
        </w:tc>
        <w:tc>
          <w:tcPr>
            <w:tcW w:w="1318" w:type="dxa"/>
            <w:vAlign w:val="center"/>
          </w:tcPr>
          <w:p w14:paraId="0C3A304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100</w:t>
            </w:r>
          </w:p>
        </w:tc>
        <w:tc>
          <w:tcPr>
            <w:tcW w:w="1563" w:type="dxa"/>
            <w:vAlign w:val="bottom"/>
          </w:tcPr>
          <w:p w14:paraId="773DDFF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0.003</w:t>
            </w:r>
          </w:p>
        </w:tc>
      </w:tr>
      <w:tr w14:paraId="36A3BE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7876" w:type="dxa"/>
            <w:gridSpan w:val="5"/>
            <w:vAlign w:val="center"/>
          </w:tcPr>
          <w:p w14:paraId="300BD0B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 Q 值</w:t>
            </w:r>
          </w:p>
        </w:tc>
        <w:tc>
          <w:tcPr>
            <w:tcW w:w="1563" w:type="dxa"/>
            <w:vAlign w:val="center"/>
          </w:tcPr>
          <w:p w14:paraId="2D270F3E">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0.</w:t>
            </w:r>
            <w:r>
              <w:rPr>
                <w:rFonts w:hint="default" w:ascii="Times New Roman" w:hAnsi="Times New Roman" w:cs="Times New Roman"/>
                <w:color w:val="auto"/>
                <w:highlight w:val="none"/>
                <w:u w:val="none" w:color="auto"/>
                <w:lang w:val="en-US" w:eastAsia="zh-CN"/>
              </w:rPr>
              <w:t>1388</w:t>
            </w:r>
          </w:p>
        </w:tc>
      </w:tr>
    </w:tbl>
    <w:p w14:paraId="08045BA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根据《危险化学品重大危险源辩识》（GB18218-2009）及《建设项目环境风险评价技术导则》（HJ169-2018），项目涉及环境风险物质</w:t>
      </w:r>
      <w:r>
        <w:rPr>
          <w:rFonts w:hint="default" w:ascii="Times New Roman" w:hAnsi="Times New Roman" w:cs="Times New Roman"/>
          <w:color w:val="auto"/>
          <w:highlight w:val="none"/>
          <w:u w:val="none" w:color="auto"/>
          <w:lang w:val="en-US" w:eastAsia="zh-CN"/>
        </w:rPr>
        <w:t>如上表所列</w:t>
      </w:r>
      <w:r>
        <w:rPr>
          <w:rFonts w:hint="default" w:ascii="Times New Roman" w:hAnsi="Times New Roman" w:cs="Times New Roman"/>
          <w:color w:val="auto"/>
          <w:highlight w:val="none"/>
          <w:u w:val="none" w:color="auto"/>
        </w:rPr>
        <w:t>。由上表可知，本项目Q值=0.</w:t>
      </w:r>
      <w:r>
        <w:rPr>
          <w:rFonts w:hint="default" w:ascii="Times New Roman" w:hAnsi="Times New Roman" w:cs="Times New Roman"/>
          <w:color w:val="auto"/>
          <w:highlight w:val="none"/>
          <w:u w:val="none" w:color="auto"/>
          <w:lang w:val="en-US" w:eastAsia="zh-CN"/>
        </w:rPr>
        <w:t>1388</w:t>
      </w:r>
      <w:r>
        <w:rPr>
          <w:rFonts w:hint="default" w:ascii="Times New Roman" w:hAnsi="Times New Roman" w:cs="Times New Roman"/>
          <w:color w:val="auto"/>
          <w:highlight w:val="none"/>
          <w:u w:val="none" w:color="auto"/>
        </w:rPr>
        <w:t>，属于Q＜1范围，项目环境风险潜势为I。</w:t>
      </w:r>
    </w:p>
    <w:p w14:paraId="05C6BC11">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6.2.1.2 </w:t>
      </w:r>
      <w:r>
        <w:rPr>
          <w:rFonts w:hint="default" w:ascii="Times New Roman" w:hAnsi="Times New Roman" w:cs="Times New Roman"/>
          <w:color w:val="auto"/>
          <w:highlight w:val="none"/>
          <w:u w:val="none" w:color="auto"/>
        </w:rPr>
        <w:t>行业及生产工艺特点（M）</w:t>
      </w:r>
    </w:p>
    <w:p w14:paraId="665B6DA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分析项目所属行业及生产工艺特点，按照下表评估生产工艺情况。将M划分为（1）M＞20；（2）10＜M≤20；（3）5＜M≤10；（4）M=5，分别以M1、M2、M3、M4表示。由下表可知，项目M值=5，属于M4类。</w:t>
      </w:r>
    </w:p>
    <w:p w14:paraId="3E294FAC">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行业及生产工艺</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42"/>
        <w:gridCol w:w="6237"/>
        <w:gridCol w:w="1142"/>
        <w:gridCol w:w="665"/>
      </w:tblGrid>
      <w:tr w14:paraId="6FA781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42" w:type="dxa"/>
            <w:vAlign w:val="center"/>
          </w:tcPr>
          <w:p w14:paraId="0C456B92">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行业</w:t>
            </w:r>
          </w:p>
        </w:tc>
        <w:tc>
          <w:tcPr>
            <w:tcW w:w="6237" w:type="dxa"/>
            <w:vAlign w:val="center"/>
          </w:tcPr>
          <w:p w14:paraId="769C3D86">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评估依据</w:t>
            </w:r>
          </w:p>
        </w:tc>
        <w:tc>
          <w:tcPr>
            <w:tcW w:w="1142" w:type="dxa"/>
            <w:vAlign w:val="center"/>
          </w:tcPr>
          <w:p w14:paraId="2ABE4FC2">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分值</w:t>
            </w:r>
          </w:p>
        </w:tc>
        <w:tc>
          <w:tcPr>
            <w:tcW w:w="665" w:type="dxa"/>
            <w:vAlign w:val="center"/>
          </w:tcPr>
          <w:p w14:paraId="290FCE89">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分数</w:t>
            </w:r>
          </w:p>
        </w:tc>
      </w:tr>
      <w:tr w14:paraId="248FFC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42" w:type="dxa"/>
            <w:vMerge w:val="restart"/>
            <w:vAlign w:val="center"/>
          </w:tcPr>
          <w:p w14:paraId="6271BEB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石化、化工、医药、轻工、化纤、有色冶炼等</w:t>
            </w:r>
          </w:p>
        </w:tc>
        <w:tc>
          <w:tcPr>
            <w:tcW w:w="6237" w:type="dxa"/>
            <w:vAlign w:val="center"/>
          </w:tcPr>
          <w:p w14:paraId="39B6FED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142" w:type="dxa"/>
            <w:vAlign w:val="center"/>
          </w:tcPr>
          <w:p w14:paraId="178D6D0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10/套</w:t>
            </w:r>
          </w:p>
        </w:tc>
        <w:tc>
          <w:tcPr>
            <w:tcW w:w="665" w:type="dxa"/>
            <w:vAlign w:val="center"/>
          </w:tcPr>
          <w:p w14:paraId="24B79C2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w:t>
            </w:r>
          </w:p>
        </w:tc>
      </w:tr>
      <w:tr w14:paraId="302756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42" w:type="dxa"/>
            <w:vMerge w:val="continue"/>
            <w:vAlign w:val="center"/>
          </w:tcPr>
          <w:p w14:paraId="26BA065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6237" w:type="dxa"/>
            <w:vAlign w:val="center"/>
          </w:tcPr>
          <w:p w14:paraId="2CDD64B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无机酸制酸工艺、焦化工艺</w:t>
            </w:r>
          </w:p>
        </w:tc>
        <w:tc>
          <w:tcPr>
            <w:tcW w:w="1142" w:type="dxa"/>
            <w:vAlign w:val="center"/>
          </w:tcPr>
          <w:p w14:paraId="761AE4F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5/套</w:t>
            </w:r>
          </w:p>
        </w:tc>
        <w:tc>
          <w:tcPr>
            <w:tcW w:w="665" w:type="dxa"/>
            <w:vAlign w:val="center"/>
          </w:tcPr>
          <w:p w14:paraId="614DED5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w:t>
            </w:r>
          </w:p>
        </w:tc>
      </w:tr>
      <w:tr w14:paraId="5DD061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42" w:type="dxa"/>
            <w:vMerge w:val="continue"/>
            <w:vAlign w:val="center"/>
          </w:tcPr>
          <w:p w14:paraId="79759F2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6237" w:type="dxa"/>
            <w:vAlign w:val="center"/>
          </w:tcPr>
          <w:p w14:paraId="08BEB51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其他高温或高压、且涉及危险物质工艺过程</w:t>
            </w:r>
            <w:r>
              <w:rPr>
                <w:rFonts w:hint="default" w:ascii="Times New Roman" w:hAnsi="Times New Roman" w:cs="Times New Roman"/>
                <w:color w:val="auto"/>
                <w:highlight w:val="none"/>
                <w:u w:val="none" w:color="auto"/>
                <w:vertAlign w:val="superscript"/>
              </w:rPr>
              <w:t>a</w:t>
            </w:r>
            <w:r>
              <w:rPr>
                <w:rFonts w:hint="default" w:ascii="Times New Roman" w:hAnsi="Times New Roman" w:cs="Times New Roman"/>
                <w:color w:val="auto"/>
                <w:highlight w:val="none"/>
                <w:u w:val="none" w:color="auto"/>
              </w:rPr>
              <w:t>、危险物质储存罐区</w:t>
            </w:r>
          </w:p>
        </w:tc>
        <w:tc>
          <w:tcPr>
            <w:tcW w:w="1142" w:type="dxa"/>
            <w:vAlign w:val="center"/>
          </w:tcPr>
          <w:p w14:paraId="5A4ED00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5/套（罐区）</w:t>
            </w:r>
          </w:p>
        </w:tc>
        <w:tc>
          <w:tcPr>
            <w:tcW w:w="665" w:type="dxa"/>
            <w:vAlign w:val="center"/>
          </w:tcPr>
          <w:p w14:paraId="51072C3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w:t>
            </w:r>
          </w:p>
        </w:tc>
      </w:tr>
      <w:tr w14:paraId="165984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42" w:type="dxa"/>
            <w:vAlign w:val="center"/>
          </w:tcPr>
          <w:p w14:paraId="7EC5A12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管道、港口/码头等</w:t>
            </w:r>
          </w:p>
        </w:tc>
        <w:tc>
          <w:tcPr>
            <w:tcW w:w="6237" w:type="dxa"/>
            <w:vAlign w:val="center"/>
          </w:tcPr>
          <w:p w14:paraId="6EB34C7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涉及危险物质管道运输项目、港口/码头等</w:t>
            </w:r>
          </w:p>
        </w:tc>
        <w:tc>
          <w:tcPr>
            <w:tcW w:w="1142" w:type="dxa"/>
            <w:vAlign w:val="center"/>
          </w:tcPr>
          <w:p w14:paraId="09945107">
            <w:pPr>
              <w:pStyle w:val="4"/>
              <w:numPr>
                <w:ilvl w:val="2"/>
                <w:numId w:val="0"/>
              </w:numPr>
              <w:suppressLineNumbers w:val="0"/>
              <w:spacing w:before="0" w:beforeAutospacing="0" w:after="0" w:afterAutospacing="0"/>
              <w:ind w:left="0" w:leftChars="0" w:right="0"/>
              <w:jc w:val="center"/>
              <w:rPr>
                <w:rFonts w:hint="default" w:ascii="Times New Roman" w:hAnsi="Times New Roman" w:eastAsia="宋体" w:cs="Times New Roman"/>
                <w:color w:val="auto"/>
                <w:highlight w:val="none"/>
                <w:u w:val="none" w:color="auto"/>
                <w:lang w:val="en-US" w:eastAsia="zh-CN"/>
              </w:rPr>
            </w:pPr>
            <w:bookmarkStart w:id="141" w:name="_Toc18752"/>
            <w:r>
              <w:rPr>
                <w:rFonts w:hint="default" w:ascii="Times New Roman" w:hAnsi="Times New Roman" w:eastAsia="宋体" w:cs="Times New Roman"/>
                <w:b w:val="0"/>
                <w:bCs w:val="0"/>
                <w:color w:val="auto"/>
                <w:sz w:val="21"/>
                <w:szCs w:val="21"/>
                <w:highlight w:val="none"/>
                <w:u w:val="none" w:color="auto"/>
                <w:lang w:val="en-US" w:eastAsia="zh-CN" w:bidi="ar-SA"/>
              </w:rPr>
              <w:t>10</w:t>
            </w:r>
            <w:bookmarkEnd w:id="141"/>
          </w:p>
        </w:tc>
        <w:tc>
          <w:tcPr>
            <w:tcW w:w="665" w:type="dxa"/>
            <w:vAlign w:val="center"/>
          </w:tcPr>
          <w:p w14:paraId="6AD7C7B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w:t>
            </w:r>
          </w:p>
        </w:tc>
      </w:tr>
      <w:tr w14:paraId="5A8F9D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42" w:type="dxa"/>
            <w:vAlign w:val="center"/>
          </w:tcPr>
          <w:p w14:paraId="4607AA5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石油天然气</w:t>
            </w:r>
          </w:p>
        </w:tc>
        <w:tc>
          <w:tcPr>
            <w:tcW w:w="6237" w:type="dxa"/>
            <w:vAlign w:val="center"/>
          </w:tcPr>
          <w:p w14:paraId="0D19A9B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石油、天然气、页岩气开采（含净化），气库（不含加气站的气库），油库（不含加气站的油库）、油气管线</w:t>
            </w:r>
            <w:r>
              <w:rPr>
                <w:rFonts w:hint="default" w:ascii="Times New Roman" w:hAnsi="Times New Roman" w:cs="Times New Roman"/>
                <w:color w:val="auto"/>
                <w:highlight w:val="none"/>
                <w:u w:val="none" w:color="auto"/>
                <w:vertAlign w:val="superscript"/>
              </w:rPr>
              <w:t>b</w:t>
            </w:r>
            <w:r>
              <w:rPr>
                <w:rFonts w:hint="default" w:ascii="Times New Roman" w:hAnsi="Times New Roman" w:cs="Times New Roman"/>
                <w:color w:val="auto"/>
                <w:highlight w:val="none"/>
                <w:u w:val="none" w:color="auto"/>
              </w:rPr>
              <w:t>（不含城镇燃气管线）</w:t>
            </w:r>
          </w:p>
        </w:tc>
        <w:tc>
          <w:tcPr>
            <w:tcW w:w="1142" w:type="dxa"/>
            <w:vAlign w:val="center"/>
          </w:tcPr>
          <w:p w14:paraId="21F05BF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w:t>
            </w:r>
          </w:p>
        </w:tc>
        <w:tc>
          <w:tcPr>
            <w:tcW w:w="665" w:type="dxa"/>
            <w:vAlign w:val="center"/>
          </w:tcPr>
          <w:p w14:paraId="6EA414E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0</w:t>
            </w:r>
          </w:p>
        </w:tc>
      </w:tr>
      <w:tr w14:paraId="14EC68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42" w:type="dxa"/>
            <w:vAlign w:val="center"/>
          </w:tcPr>
          <w:p w14:paraId="15100A1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其他</w:t>
            </w:r>
          </w:p>
        </w:tc>
        <w:tc>
          <w:tcPr>
            <w:tcW w:w="6237" w:type="dxa"/>
            <w:vAlign w:val="center"/>
          </w:tcPr>
          <w:p w14:paraId="5EDB942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涉及危险物质使用、贮存的项目</w:t>
            </w:r>
          </w:p>
        </w:tc>
        <w:tc>
          <w:tcPr>
            <w:tcW w:w="1142" w:type="dxa"/>
            <w:vAlign w:val="center"/>
          </w:tcPr>
          <w:p w14:paraId="0762207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c>
          <w:tcPr>
            <w:tcW w:w="665" w:type="dxa"/>
            <w:vAlign w:val="center"/>
          </w:tcPr>
          <w:p w14:paraId="6CC514B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r>
      <w:tr w14:paraId="4C17DC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621" w:type="dxa"/>
            <w:gridSpan w:val="3"/>
            <w:vAlign w:val="center"/>
          </w:tcPr>
          <w:p w14:paraId="23C54C6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总计</w:t>
            </w:r>
          </w:p>
        </w:tc>
        <w:tc>
          <w:tcPr>
            <w:tcW w:w="665" w:type="dxa"/>
            <w:vAlign w:val="center"/>
          </w:tcPr>
          <w:p w14:paraId="44176FB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r>
      <w:tr w14:paraId="783993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286" w:type="dxa"/>
            <w:gridSpan w:val="4"/>
            <w:vAlign w:val="center"/>
          </w:tcPr>
          <w:p w14:paraId="6F7E750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注：a高温指工艺温度≥300℃，高压指压力容器的设计压力（p）≥10.0MPa；B长输管道运输项目应按战场、管线分段进行评价。</w:t>
            </w:r>
          </w:p>
        </w:tc>
      </w:tr>
    </w:tbl>
    <w:p w14:paraId="5ACE59A5">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6.2.1.3 </w:t>
      </w:r>
      <w:r>
        <w:rPr>
          <w:rFonts w:hint="default" w:ascii="Times New Roman" w:hAnsi="Times New Roman" w:cs="Times New Roman"/>
          <w:color w:val="auto"/>
          <w:highlight w:val="none"/>
          <w:u w:val="none" w:color="auto"/>
        </w:rPr>
        <w:t>危险物质及工艺系统危险性（P）</w:t>
      </w:r>
    </w:p>
    <w:p w14:paraId="4A2176A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根据危险物质数量与临界量比值（Q）和行业及生产工艺（M），按照下表确定危险物质及工艺系统危险性等级（P），分别以P1、P2、P3、P4表示。</w:t>
      </w:r>
    </w:p>
    <w:p w14:paraId="3D042311">
      <w:pPr>
        <w:pStyle w:val="189"/>
        <w:rPr>
          <w:rFonts w:hint="default" w:ascii="Times New Roman" w:hAnsi="Times New Roman" w:cs="Times New Roman"/>
          <w:color w:val="auto"/>
          <w:highlight w:val="none"/>
          <w:u w:val="none" w:color="auto"/>
        </w:rPr>
      </w:pPr>
    </w:p>
    <w:p w14:paraId="1B2B1783">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危险物质及工艺系统危险性（P）等级判断</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955"/>
        <w:gridCol w:w="1540"/>
        <w:gridCol w:w="1415"/>
        <w:gridCol w:w="1278"/>
        <w:gridCol w:w="1098"/>
      </w:tblGrid>
      <w:tr w14:paraId="4D5325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130" w:type="pct"/>
            <w:vMerge w:val="restart"/>
            <w:vAlign w:val="center"/>
          </w:tcPr>
          <w:p w14:paraId="636729DA">
            <w:pPr>
              <w:pStyle w:val="192"/>
              <w:keepNext w:val="0"/>
              <w:keepLines w:val="0"/>
              <w:suppressLineNumbers w:val="0"/>
              <w:spacing w:before="0" w:beforeAutospacing="0" w:after="0" w:afterAutospacing="0"/>
              <w:ind w:left="0" w:right="0"/>
              <w:rPr>
                <w:rFonts w:hint="default" w:ascii="Times New Roman" w:hAnsi="Times New Roman" w:cs="Times New Roman"/>
                <w:b/>
                <w:snapToGrid w:val="0"/>
                <w:color w:val="auto"/>
                <w:position w:val="-24"/>
                <w:highlight w:val="none"/>
                <w:u w:val="none" w:color="auto"/>
              </w:rPr>
            </w:pPr>
            <w:r>
              <w:rPr>
                <w:rFonts w:hint="default" w:ascii="Times New Roman" w:hAnsi="Times New Roman" w:cs="Times New Roman"/>
                <w:b/>
                <w:color w:val="auto"/>
                <w:highlight w:val="none"/>
                <w:u w:val="none" w:color="auto"/>
              </w:rPr>
              <w:t>危险物质数量与临界量比值（Q）</w:t>
            </w:r>
          </w:p>
        </w:tc>
        <w:tc>
          <w:tcPr>
            <w:tcW w:w="2870" w:type="pct"/>
            <w:gridSpan w:val="4"/>
            <w:vAlign w:val="center"/>
          </w:tcPr>
          <w:p w14:paraId="178D8229">
            <w:pPr>
              <w:pStyle w:val="192"/>
              <w:keepNext w:val="0"/>
              <w:keepLines w:val="0"/>
              <w:suppressLineNumbers w:val="0"/>
              <w:spacing w:before="0" w:beforeAutospacing="0" w:after="0" w:afterAutospacing="0"/>
              <w:ind w:left="0" w:right="0"/>
              <w:rPr>
                <w:rFonts w:hint="default" w:ascii="Times New Roman" w:hAnsi="Times New Roman" w:cs="Times New Roman"/>
                <w:b/>
                <w:snapToGrid w:val="0"/>
                <w:color w:val="auto"/>
                <w:position w:val="-24"/>
                <w:highlight w:val="none"/>
                <w:u w:val="none" w:color="auto"/>
              </w:rPr>
            </w:pPr>
            <w:r>
              <w:rPr>
                <w:rFonts w:hint="default" w:ascii="Times New Roman" w:hAnsi="Times New Roman" w:cs="Times New Roman"/>
                <w:b/>
                <w:color w:val="auto"/>
                <w:highlight w:val="none"/>
                <w:u w:val="none" w:color="auto"/>
              </w:rPr>
              <w:t>行业及生产工艺（M）</w:t>
            </w:r>
          </w:p>
        </w:tc>
      </w:tr>
      <w:tr w14:paraId="2AE77E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130" w:type="pct"/>
            <w:vMerge w:val="continue"/>
            <w:vAlign w:val="center"/>
          </w:tcPr>
          <w:p w14:paraId="04151D26">
            <w:pPr>
              <w:pStyle w:val="192"/>
              <w:keepNext w:val="0"/>
              <w:keepLines w:val="0"/>
              <w:suppressLineNumbers w:val="0"/>
              <w:spacing w:before="0" w:beforeAutospacing="0" w:after="0" w:afterAutospacing="0"/>
              <w:ind w:left="0" w:right="0"/>
              <w:rPr>
                <w:rFonts w:hint="default" w:ascii="Times New Roman" w:hAnsi="Times New Roman" w:cs="Times New Roman"/>
                <w:b/>
                <w:snapToGrid w:val="0"/>
                <w:color w:val="auto"/>
                <w:position w:val="-24"/>
                <w:highlight w:val="none"/>
                <w:u w:val="none" w:color="auto"/>
              </w:rPr>
            </w:pPr>
          </w:p>
        </w:tc>
        <w:tc>
          <w:tcPr>
            <w:tcW w:w="829" w:type="pct"/>
            <w:vAlign w:val="center"/>
          </w:tcPr>
          <w:p w14:paraId="2CC7500C">
            <w:pPr>
              <w:pStyle w:val="192"/>
              <w:keepNext w:val="0"/>
              <w:keepLines w:val="0"/>
              <w:suppressLineNumbers w:val="0"/>
              <w:spacing w:before="0" w:beforeAutospacing="0" w:after="0" w:afterAutospacing="0"/>
              <w:ind w:left="0" w:right="0"/>
              <w:rPr>
                <w:rFonts w:hint="default" w:ascii="Times New Roman" w:hAnsi="Times New Roman" w:cs="Times New Roman"/>
                <w:b/>
                <w:snapToGrid w:val="0"/>
                <w:color w:val="auto"/>
                <w:position w:val="-24"/>
                <w:highlight w:val="none"/>
                <w:u w:val="none" w:color="auto"/>
              </w:rPr>
            </w:pPr>
            <w:r>
              <w:rPr>
                <w:rFonts w:hint="default" w:ascii="Times New Roman" w:hAnsi="Times New Roman" w:cs="Times New Roman"/>
                <w:b/>
                <w:snapToGrid w:val="0"/>
                <w:color w:val="auto"/>
                <w:position w:val="-24"/>
                <w:highlight w:val="none"/>
                <w:u w:val="none" w:color="auto"/>
              </w:rPr>
              <w:t>M1</w:t>
            </w:r>
          </w:p>
        </w:tc>
        <w:tc>
          <w:tcPr>
            <w:tcW w:w="762" w:type="pct"/>
            <w:vAlign w:val="center"/>
          </w:tcPr>
          <w:p w14:paraId="41B5E600">
            <w:pPr>
              <w:pStyle w:val="192"/>
              <w:keepNext w:val="0"/>
              <w:keepLines w:val="0"/>
              <w:suppressLineNumbers w:val="0"/>
              <w:spacing w:before="0" w:beforeAutospacing="0" w:after="0" w:afterAutospacing="0"/>
              <w:ind w:left="0" w:right="0"/>
              <w:rPr>
                <w:rFonts w:hint="default" w:ascii="Times New Roman" w:hAnsi="Times New Roman" w:cs="Times New Roman"/>
                <w:b/>
                <w:snapToGrid w:val="0"/>
                <w:color w:val="auto"/>
                <w:position w:val="-24"/>
                <w:highlight w:val="none"/>
                <w:u w:val="none" w:color="auto"/>
              </w:rPr>
            </w:pPr>
            <w:r>
              <w:rPr>
                <w:rFonts w:hint="default" w:ascii="Times New Roman" w:hAnsi="Times New Roman" w:cs="Times New Roman"/>
                <w:b/>
                <w:snapToGrid w:val="0"/>
                <w:color w:val="auto"/>
                <w:position w:val="-24"/>
                <w:highlight w:val="none"/>
                <w:u w:val="none" w:color="auto"/>
              </w:rPr>
              <w:t>M2</w:t>
            </w:r>
          </w:p>
        </w:tc>
        <w:tc>
          <w:tcPr>
            <w:tcW w:w="688" w:type="pct"/>
            <w:vAlign w:val="center"/>
          </w:tcPr>
          <w:p w14:paraId="104FC178">
            <w:pPr>
              <w:pStyle w:val="192"/>
              <w:keepNext w:val="0"/>
              <w:keepLines w:val="0"/>
              <w:suppressLineNumbers w:val="0"/>
              <w:spacing w:before="0" w:beforeAutospacing="0" w:after="0" w:afterAutospacing="0"/>
              <w:ind w:left="0" w:right="0"/>
              <w:rPr>
                <w:rFonts w:hint="default" w:ascii="Times New Roman" w:hAnsi="Times New Roman" w:cs="Times New Roman"/>
                <w:b/>
                <w:snapToGrid w:val="0"/>
                <w:color w:val="auto"/>
                <w:position w:val="-24"/>
                <w:highlight w:val="none"/>
                <w:u w:val="none" w:color="auto"/>
              </w:rPr>
            </w:pPr>
            <w:r>
              <w:rPr>
                <w:rFonts w:hint="default" w:ascii="Times New Roman" w:hAnsi="Times New Roman" w:cs="Times New Roman"/>
                <w:b/>
                <w:snapToGrid w:val="0"/>
                <w:color w:val="auto"/>
                <w:position w:val="-24"/>
                <w:highlight w:val="none"/>
                <w:u w:val="none" w:color="auto"/>
              </w:rPr>
              <w:t>M3</w:t>
            </w:r>
          </w:p>
        </w:tc>
        <w:tc>
          <w:tcPr>
            <w:tcW w:w="591" w:type="pct"/>
            <w:vAlign w:val="center"/>
          </w:tcPr>
          <w:p w14:paraId="31F91671">
            <w:pPr>
              <w:pStyle w:val="192"/>
              <w:keepNext w:val="0"/>
              <w:keepLines w:val="0"/>
              <w:suppressLineNumbers w:val="0"/>
              <w:spacing w:before="0" w:beforeAutospacing="0" w:after="0" w:afterAutospacing="0"/>
              <w:ind w:left="0" w:right="0"/>
              <w:rPr>
                <w:rFonts w:hint="default" w:ascii="Times New Roman" w:hAnsi="Times New Roman" w:cs="Times New Roman"/>
                <w:b/>
                <w:snapToGrid w:val="0"/>
                <w:color w:val="auto"/>
                <w:position w:val="-24"/>
                <w:highlight w:val="none"/>
                <w:u w:val="none" w:color="auto"/>
              </w:rPr>
            </w:pPr>
            <w:r>
              <w:rPr>
                <w:rFonts w:hint="default" w:ascii="Times New Roman" w:hAnsi="Times New Roman" w:cs="Times New Roman"/>
                <w:b/>
                <w:snapToGrid w:val="0"/>
                <w:color w:val="auto"/>
                <w:position w:val="-24"/>
                <w:highlight w:val="none"/>
                <w:u w:val="none" w:color="auto"/>
              </w:rPr>
              <w:t>M4</w:t>
            </w:r>
          </w:p>
        </w:tc>
      </w:tr>
      <w:tr w14:paraId="4EB430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130" w:type="pct"/>
            <w:vAlign w:val="center"/>
          </w:tcPr>
          <w:p w14:paraId="08315CD1">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Q≥100</w:t>
            </w:r>
          </w:p>
        </w:tc>
        <w:tc>
          <w:tcPr>
            <w:tcW w:w="829" w:type="pct"/>
            <w:vAlign w:val="center"/>
          </w:tcPr>
          <w:p w14:paraId="1F65951C">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P1</w:t>
            </w:r>
          </w:p>
        </w:tc>
        <w:tc>
          <w:tcPr>
            <w:tcW w:w="762" w:type="pct"/>
            <w:vAlign w:val="center"/>
          </w:tcPr>
          <w:p w14:paraId="49F61D33">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P1</w:t>
            </w:r>
          </w:p>
        </w:tc>
        <w:tc>
          <w:tcPr>
            <w:tcW w:w="688" w:type="pct"/>
            <w:vAlign w:val="center"/>
          </w:tcPr>
          <w:p w14:paraId="03F7FDE9">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P2</w:t>
            </w:r>
          </w:p>
        </w:tc>
        <w:tc>
          <w:tcPr>
            <w:tcW w:w="591" w:type="pct"/>
            <w:vAlign w:val="center"/>
          </w:tcPr>
          <w:p w14:paraId="6391798C">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P3</w:t>
            </w:r>
          </w:p>
        </w:tc>
      </w:tr>
      <w:tr w14:paraId="6D62AB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130" w:type="pct"/>
            <w:vAlign w:val="center"/>
          </w:tcPr>
          <w:p w14:paraId="2C2A1A22">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10≤Q＜100</w:t>
            </w:r>
          </w:p>
        </w:tc>
        <w:tc>
          <w:tcPr>
            <w:tcW w:w="829" w:type="pct"/>
            <w:vAlign w:val="center"/>
          </w:tcPr>
          <w:p w14:paraId="26FC1A68">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P1</w:t>
            </w:r>
          </w:p>
        </w:tc>
        <w:tc>
          <w:tcPr>
            <w:tcW w:w="762" w:type="pct"/>
            <w:vAlign w:val="center"/>
          </w:tcPr>
          <w:p w14:paraId="19FF491B">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P2</w:t>
            </w:r>
          </w:p>
        </w:tc>
        <w:tc>
          <w:tcPr>
            <w:tcW w:w="688" w:type="pct"/>
            <w:vAlign w:val="center"/>
          </w:tcPr>
          <w:p w14:paraId="2933C7D9">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P3</w:t>
            </w:r>
          </w:p>
        </w:tc>
        <w:tc>
          <w:tcPr>
            <w:tcW w:w="591" w:type="pct"/>
            <w:vAlign w:val="center"/>
          </w:tcPr>
          <w:p w14:paraId="3959FC28">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P4</w:t>
            </w:r>
          </w:p>
        </w:tc>
      </w:tr>
      <w:tr w14:paraId="4D7528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130" w:type="pct"/>
            <w:vAlign w:val="center"/>
          </w:tcPr>
          <w:p w14:paraId="67B0220B">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1≤Q＜10</w:t>
            </w:r>
          </w:p>
        </w:tc>
        <w:tc>
          <w:tcPr>
            <w:tcW w:w="829" w:type="pct"/>
            <w:vAlign w:val="center"/>
          </w:tcPr>
          <w:p w14:paraId="44F4FC89">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P1</w:t>
            </w:r>
          </w:p>
        </w:tc>
        <w:tc>
          <w:tcPr>
            <w:tcW w:w="762" w:type="pct"/>
            <w:vAlign w:val="center"/>
          </w:tcPr>
          <w:p w14:paraId="6A89C551">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P3</w:t>
            </w:r>
          </w:p>
        </w:tc>
        <w:tc>
          <w:tcPr>
            <w:tcW w:w="688" w:type="pct"/>
            <w:vAlign w:val="center"/>
          </w:tcPr>
          <w:p w14:paraId="0ED0C8D5">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P4</w:t>
            </w:r>
          </w:p>
        </w:tc>
        <w:tc>
          <w:tcPr>
            <w:tcW w:w="591" w:type="pct"/>
            <w:vAlign w:val="center"/>
          </w:tcPr>
          <w:p w14:paraId="114D7EA1">
            <w:pPr>
              <w:pStyle w:val="192"/>
              <w:keepNext w:val="0"/>
              <w:keepLines w:val="0"/>
              <w:suppressLineNumbers w:val="0"/>
              <w:spacing w:before="0" w:beforeAutospacing="0" w:after="0" w:afterAutospacing="0"/>
              <w:ind w:left="0" w:right="0"/>
              <w:rPr>
                <w:rFonts w:hint="default" w:ascii="Times New Roman" w:hAnsi="Times New Roman" w:cs="Times New Roman"/>
                <w:snapToGrid w:val="0"/>
                <w:color w:val="auto"/>
                <w:position w:val="-24"/>
                <w:highlight w:val="none"/>
                <w:u w:val="none" w:color="auto"/>
              </w:rPr>
            </w:pPr>
            <w:r>
              <w:rPr>
                <w:rFonts w:hint="default" w:ascii="Times New Roman" w:hAnsi="Times New Roman" w:cs="Times New Roman"/>
                <w:color w:val="auto"/>
                <w:highlight w:val="none"/>
                <w:u w:val="none" w:color="auto"/>
              </w:rPr>
              <w:t>P4</w:t>
            </w:r>
          </w:p>
        </w:tc>
      </w:tr>
    </w:tbl>
    <w:p w14:paraId="6A6D114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本项目Q值=0.</w:t>
      </w:r>
      <w:r>
        <w:rPr>
          <w:rFonts w:hint="default" w:ascii="Times New Roman" w:hAnsi="Times New Roman" w:cs="Times New Roman"/>
          <w:color w:val="auto"/>
          <w:highlight w:val="none"/>
          <w:u w:val="none" w:color="auto"/>
          <w:lang w:val="en-US" w:eastAsia="zh-CN"/>
        </w:rPr>
        <w:t>1388</w:t>
      </w:r>
      <w:r>
        <w:rPr>
          <w:rFonts w:hint="default" w:ascii="Times New Roman" w:hAnsi="Times New Roman" w:cs="Times New Roman"/>
          <w:color w:val="auto"/>
          <w:highlight w:val="none"/>
          <w:u w:val="none" w:color="auto"/>
        </w:rPr>
        <w:t>，属于Q＜1范围；M值=5，属于M4类，由上表可知，Q＜1范围不在上表中，本项目危险物质及工艺系统危险性低于</w:t>
      </w:r>
      <w:r>
        <w:rPr>
          <w:rFonts w:hint="default" w:ascii="Times New Roman" w:hAnsi="Times New Roman" w:cs="Times New Roman"/>
          <w:b/>
          <w:color w:val="auto"/>
          <w:highlight w:val="none"/>
          <w:u w:val="none" w:color="auto"/>
        </w:rPr>
        <w:t>P4</w:t>
      </w:r>
      <w:r>
        <w:rPr>
          <w:rFonts w:hint="default" w:ascii="Times New Roman" w:hAnsi="Times New Roman" w:cs="Times New Roman"/>
          <w:color w:val="auto"/>
          <w:highlight w:val="none"/>
          <w:u w:val="none" w:color="auto"/>
        </w:rPr>
        <w:t>。</w:t>
      </w:r>
    </w:p>
    <w:p w14:paraId="7E2F98D0">
      <w:pPr>
        <w:pStyle w:val="4"/>
        <w:numPr>
          <w:ilvl w:val="2"/>
          <w:numId w:val="0"/>
        </w:numPr>
        <w:ind w:leftChars="0"/>
        <w:rPr>
          <w:rFonts w:hint="default" w:ascii="Times New Roman" w:hAnsi="Times New Roman" w:cs="Times New Roman"/>
          <w:color w:val="auto"/>
          <w:highlight w:val="none"/>
          <w:u w:val="none" w:color="auto"/>
        </w:rPr>
      </w:pPr>
      <w:bookmarkStart w:id="142" w:name="_Toc1761"/>
      <w:r>
        <w:rPr>
          <w:rFonts w:hint="default" w:ascii="Times New Roman" w:hAnsi="Times New Roman" w:cs="Times New Roman"/>
          <w:color w:val="auto"/>
          <w:highlight w:val="none"/>
          <w:u w:val="none" w:color="auto"/>
          <w:lang w:val="en-US" w:eastAsia="zh-CN"/>
        </w:rPr>
        <w:t xml:space="preserve">6.2.2 </w:t>
      </w:r>
      <w:r>
        <w:rPr>
          <w:rFonts w:hint="default" w:ascii="Times New Roman" w:hAnsi="Times New Roman" w:cs="Times New Roman"/>
          <w:color w:val="auto"/>
          <w:highlight w:val="none"/>
          <w:u w:val="none" w:color="auto"/>
        </w:rPr>
        <w:t>环境敏感程度（E）的分级确定</w:t>
      </w:r>
      <w:bookmarkEnd w:id="142"/>
    </w:p>
    <w:p w14:paraId="37EABC30">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6.2.2.1 </w:t>
      </w:r>
      <w:r>
        <w:rPr>
          <w:rFonts w:hint="default" w:ascii="Times New Roman" w:hAnsi="Times New Roman" w:cs="Times New Roman"/>
          <w:color w:val="auto"/>
          <w:highlight w:val="none"/>
          <w:u w:val="none" w:color="auto"/>
        </w:rPr>
        <w:t>大气环境敏感程度分级</w:t>
      </w:r>
    </w:p>
    <w:p w14:paraId="1C621EF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依据环境敏感目标环境敏感性及人口密度划分环境风险受体的敏感性，分级原则见下表。项目周边5km范围内居住区、医疗卫生、文化教育、科研、行政办公等机构人口总数大于5万人；周边500m范围内人口总数小于500人，故项目大气环境敏感程度为</w:t>
      </w:r>
      <w:r>
        <w:rPr>
          <w:rFonts w:hint="default" w:ascii="Times New Roman" w:hAnsi="Times New Roman" w:cs="Times New Roman"/>
          <w:b/>
          <w:color w:val="auto"/>
          <w:highlight w:val="none"/>
          <w:u w:val="none" w:color="auto"/>
        </w:rPr>
        <w:t>E</w:t>
      </w:r>
      <w:r>
        <w:rPr>
          <w:rFonts w:hint="default" w:ascii="Times New Roman" w:hAnsi="Times New Roman" w:cs="Times New Roman"/>
          <w:b/>
          <w:color w:val="auto"/>
          <w:highlight w:val="none"/>
          <w:u w:val="none" w:color="auto"/>
          <w:lang w:val="en-US" w:eastAsia="zh-CN"/>
        </w:rPr>
        <w:t>2</w:t>
      </w:r>
      <w:r>
        <w:rPr>
          <w:rFonts w:hint="default" w:ascii="Times New Roman" w:hAnsi="Times New Roman" w:cs="Times New Roman"/>
          <w:color w:val="auto"/>
          <w:highlight w:val="none"/>
          <w:u w:val="none" w:color="auto"/>
        </w:rPr>
        <w:t>。</w:t>
      </w:r>
    </w:p>
    <w:p w14:paraId="194BABE9">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大气环境敏感程度分级</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78"/>
        <w:gridCol w:w="7834"/>
        <w:gridCol w:w="774"/>
      </w:tblGrid>
      <w:tr w14:paraId="5F161F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78" w:type="dxa"/>
            <w:vAlign w:val="center"/>
          </w:tcPr>
          <w:p w14:paraId="4C5E883B">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分级</w:t>
            </w:r>
          </w:p>
        </w:tc>
        <w:tc>
          <w:tcPr>
            <w:tcW w:w="7834" w:type="dxa"/>
            <w:vAlign w:val="center"/>
          </w:tcPr>
          <w:p w14:paraId="4BF9BD28">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大气环境敏感性</w:t>
            </w:r>
          </w:p>
        </w:tc>
        <w:tc>
          <w:tcPr>
            <w:tcW w:w="774" w:type="dxa"/>
            <w:vAlign w:val="center"/>
          </w:tcPr>
          <w:p w14:paraId="0AD5CD6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类型</w:t>
            </w:r>
          </w:p>
        </w:tc>
      </w:tr>
      <w:tr w14:paraId="74BC32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78" w:type="dxa"/>
            <w:vAlign w:val="center"/>
          </w:tcPr>
          <w:p w14:paraId="0FD447E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E1</w:t>
            </w:r>
          </w:p>
        </w:tc>
        <w:tc>
          <w:tcPr>
            <w:tcW w:w="7834" w:type="dxa"/>
            <w:vAlign w:val="center"/>
          </w:tcPr>
          <w:p w14:paraId="4D31A56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c>
          <w:tcPr>
            <w:tcW w:w="774" w:type="dxa"/>
            <w:vAlign w:val="center"/>
          </w:tcPr>
          <w:p w14:paraId="779F3F3E">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E</w:t>
            </w:r>
            <w:r>
              <w:rPr>
                <w:rFonts w:hint="default" w:ascii="Times New Roman" w:hAnsi="Times New Roman" w:cs="Times New Roman"/>
                <w:color w:val="auto"/>
                <w:highlight w:val="none"/>
                <w:u w:val="none" w:color="auto"/>
                <w:lang w:val="en-US" w:eastAsia="zh-CN"/>
              </w:rPr>
              <w:t>2</w:t>
            </w:r>
          </w:p>
        </w:tc>
      </w:tr>
      <w:tr w14:paraId="46C1EF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78" w:type="dxa"/>
            <w:vAlign w:val="center"/>
          </w:tcPr>
          <w:p w14:paraId="706540F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E2</w:t>
            </w:r>
          </w:p>
        </w:tc>
        <w:tc>
          <w:tcPr>
            <w:tcW w:w="7834" w:type="dxa"/>
            <w:vAlign w:val="center"/>
          </w:tcPr>
          <w:p w14:paraId="2B5AC56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c>
          <w:tcPr>
            <w:tcW w:w="774" w:type="dxa"/>
            <w:vAlign w:val="center"/>
          </w:tcPr>
          <w:p w14:paraId="032EB37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E1</w:t>
            </w:r>
          </w:p>
        </w:tc>
      </w:tr>
      <w:tr w14:paraId="4D2580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78" w:type="dxa"/>
            <w:vAlign w:val="center"/>
          </w:tcPr>
          <w:p w14:paraId="63A7141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E3</w:t>
            </w:r>
          </w:p>
        </w:tc>
        <w:tc>
          <w:tcPr>
            <w:tcW w:w="7834" w:type="dxa"/>
            <w:vAlign w:val="center"/>
          </w:tcPr>
          <w:p w14:paraId="68CFED3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周边5km范围内居住区、医疗卫生、文化教育、科研、行政办公等机构人口总数小于1万人；或周边500m范围内人口总数小于500人；油气、化学品输送管线管段周边200m范围内，每千米管段人口数小于100人</w:t>
            </w:r>
          </w:p>
        </w:tc>
        <w:tc>
          <w:tcPr>
            <w:tcW w:w="774" w:type="dxa"/>
            <w:vAlign w:val="center"/>
          </w:tcPr>
          <w:p w14:paraId="5FB340A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bl>
    <w:p w14:paraId="4F7F8699">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6.2.2.2 </w:t>
      </w:r>
      <w:r>
        <w:rPr>
          <w:rFonts w:hint="default" w:ascii="Times New Roman" w:hAnsi="Times New Roman" w:cs="Times New Roman"/>
          <w:color w:val="auto"/>
          <w:highlight w:val="none"/>
          <w:u w:val="none" w:color="auto"/>
        </w:rPr>
        <w:t>地表水环境敏感程度分级</w:t>
      </w:r>
    </w:p>
    <w:p w14:paraId="58D4B463">
      <w:pPr>
        <w:pStyle w:val="398"/>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（1）地表水功能敏感程度（F）分级 </w:t>
      </w:r>
    </w:p>
    <w:p w14:paraId="3C248BF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根据HJ169-2018，地表水功能敏感程度可分为三种类型。本项目处理达标后的尾水</w:t>
      </w:r>
      <w:r>
        <w:rPr>
          <w:rFonts w:hint="default" w:ascii="Times New Roman" w:hAnsi="Times New Roman" w:cs="Times New Roman"/>
          <w:color w:val="auto"/>
          <w:highlight w:val="none"/>
          <w:u w:val="none" w:color="auto"/>
          <w:lang w:val="en-US" w:eastAsia="zh-CN"/>
        </w:rPr>
        <w:t>直排进入机排二十渠，而后流经老三运河，机排二十渠执行</w:t>
      </w:r>
      <w:r>
        <w:rPr>
          <w:rFonts w:hint="default" w:ascii="Times New Roman" w:hAnsi="Times New Roman" w:cs="Times New Roman"/>
          <w:color w:val="auto"/>
          <w:highlight w:val="none"/>
          <w:u w:val="none" w:color="auto"/>
        </w:rPr>
        <w:t>《农田灌溉水质标准》（GB5084-2021）表1和表2水田作物标准。因此，地表水功能敏感性分级为</w:t>
      </w:r>
      <w:r>
        <w:rPr>
          <w:rFonts w:hint="default" w:ascii="Times New Roman" w:hAnsi="Times New Roman" w:cs="Times New Roman"/>
          <w:b/>
          <w:color w:val="auto"/>
          <w:highlight w:val="none"/>
          <w:u w:val="none" w:color="auto"/>
        </w:rPr>
        <w:t>F3</w:t>
      </w:r>
      <w:r>
        <w:rPr>
          <w:rFonts w:hint="default" w:ascii="Times New Roman" w:hAnsi="Times New Roman" w:cs="Times New Roman"/>
          <w:color w:val="auto"/>
          <w:highlight w:val="none"/>
          <w:u w:val="none" w:color="auto"/>
        </w:rPr>
        <w:t>。</w:t>
      </w:r>
    </w:p>
    <w:p w14:paraId="621AF68E">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5</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地表水功能敏感性分区</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48"/>
        <w:gridCol w:w="8038"/>
      </w:tblGrid>
      <w:tr w14:paraId="0C6C56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42" w:type="dxa"/>
            <w:vAlign w:val="center"/>
          </w:tcPr>
          <w:p w14:paraId="07C5D67D">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分级</w:t>
            </w:r>
          </w:p>
        </w:tc>
        <w:tc>
          <w:tcPr>
            <w:tcW w:w="8000" w:type="dxa"/>
            <w:vAlign w:val="center"/>
          </w:tcPr>
          <w:p w14:paraId="6577726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lang w:val="en-US" w:eastAsia="zh-CN"/>
              </w:rPr>
              <w:t>地表水</w:t>
            </w:r>
            <w:r>
              <w:rPr>
                <w:rFonts w:hint="default" w:ascii="Times New Roman" w:hAnsi="Times New Roman" w:cs="Times New Roman"/>
                <w:b/>
                <w:color w:val="auto"/>
                <w:highlight w:val="none"/>
                <w:u w:val="none" w:color="auto"/>
              </w:rPr>
              <w:t>环境敏感性</w:t>
            </w:r>
          </w:p>
        </w:tc>
      </w:tr>
      <w:tr w14:paraId="32F5DF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42" w:type="dxa"/>
            <w:vAlign w:val="center"/>
          </w:tcPr>
          <w:p w14:paraId="26E8367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敏感F1</w:t>
            </w:r>
          </w:p>
        </w:tc>
        <w:tc>
          <w:tcPr>
            <w:tcW w:w="8000" w:type="dxa"/>
            <w:vAlign w:val="center"/>
          </w:tcPr>
          <w:p w14:paraId="0185FD8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排放点进入地表水水域环境功能为II类及以上，或海水水质分类第一类；</w:t>
            </w:r>
          </w:p>
          <w:p w14:paraId="20752C3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或以发生事故时，危险物质泄露到水体的排放点算起，排放进入受纳河流最大流速时，24h流经范围内涉跨国界的</w:t>
            </w:r>
          </w:p>
        </w:tc>
      </w:tr>
      <w:tr w14:paraId="01BFF1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42" w:type="dxa"/>
            <w:vAlign w:val="center"/>
          </w:tcPr>
          <w:p w14:paraId="214AB53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较敏感F2</w:t>
            </w:r>
          </w:p>
        </w:tc>
        <w:tc>
          <w:tcPr>
            <w:tcW w:w="8000" w:type="dxa"/>
            <w:vAlign w:val="center"/>
          </w:tcPr>
          <w:p w14:paraId="494A013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排放点进入地表水水域环境功能为III类，或海水水质分类第二类；</w:t>
            </w:r>
          </w:p>
          <w:p w14:paraId="1B2D446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或以发生事故时，危险物质泄露到水体的排放点算起，排放进入受纳河流最大流速时，24h流经范围内涉跨省界的</w:t>
            </w:r>
          </w:p>
        </w:tc>
      </w:tr>
      <w:tr w14:paraId="5AE7AE8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42" w:type="dxa"/>
            <w:vAlign w:val="center"/>
          </w:tcPr>
          <w:p w14:paraId="6D1F766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低敏感F3</w:t>
            </w:r>
          </w:p>
        </w:tc>
        <w:tc>
          <w:tcPr>
            <w:tcW w:w="8000" w:type="dxa"/>
            <w:vAlign w:val="center"/>
          </w:tcPr>
          <w:p w14:paraId="61A50F6D">
            <w:pPr>
              <w:pStyle w:val="192"/>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上述地区之外的其他地区</w:t>
            </w:r>
          </w:p>
        </w:tc>
      </w:tr>
    </w:tbl>
    <w:p w14:paraId="5104A77E">
      <w:pPr>
        <w:pStyle w:val="398"/>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（2）环境敏感目标（S）分级 </w:t>
      </w:r>
    </w:p>
    <w:p w14:paraId="0C83292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根据HJ169-2018，地表水环境敏感目标可分为三种类型，具体见下表。项目地表水功能敏感目标分级为S3。</w:t>
      </w:r>
    </w:p>
    <w:p w14:paraId="79D317E2">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6</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环境敏感目标分级</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78"/>
        <w:gridCol w:w="8608"/>
      </w:tblGrid>
      <w:tr w14:paraId="1C5EC6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75" w:type="dxa"/>
            <w:vAlign w:val="center"/>
          </w:tcPr>
          <w:p w14:paraId="7D95446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分级</w:t>
            </w:r>
          </w:p>
        </w:tc>
        <w:tc>
          <w:tcPr>
            <w:tcW w:w="8567" w:type="dxa"/>
            <w:vAlign w:val="center"/>
          </w:tcPr>
          <w:p w14:paraId="61F401C0">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环境敏感目标</w:t>
            </w:r>
          </w:p>
        </w:tc>
      </w:tr>
      <w:tr w14:paraId="0B81BE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75" w:type="dxa"/>
            <w:vAlign w:val="center"/>
          </w:tcPr>
          <w:p w14:paraId="6D21E9D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S1</w:t>
            </w:r>
          </w:p>
        </w:tc>
        <w:tc>
          <w:tcPr>
            <w:tcW w:w="8567" w:type="dxa"/>
            <w:vAlign w:val="center"/>
          </w:tcPr>
          <w:p w14:paraId="01921F9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发生事故时，危险物质泄漏到内陆水体的排放点下游（顺水流向）10 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 </w:t>
            </w:r>
          </w:p>
        </w:tc>
      </w:tr>
      <w:tr w14:paraId="0E0522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75" w:type="dxa"/>
            <w:vAlign w:val="center"/>
          </w:tcPr>
          <w:p w14:paraId="2824484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S2</w:t>
            </w:r>
          </w:p>
        </w:tc>
        <w:tc>
          <w:tcPr>
            <w:tcW w:w="8567" w:type="dxa"/>
            <w:vAlign w:val="center"/>
          </w:tcPr>
          <w:p w14:paraId="16BEEEB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发生事故时，危险物质泄漏到内陆水体的排放点下游（顺水流向）10 km范围内、近岸海域一个潮周期水质点可能达到的最大水平距离的两倍范围内，有如下一类或多类环境风险受体的：水产养殖区；天然渔场；森林公园；地质公园；海滨风景游览区；具有重要经济价值的海洋生物生存区域 </w:t>
            </w:r>
          </w:p>
        </w:tc>
      </w:tr>
      <w:tr w14:paraId="76D68B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75" w:type="dxa"/>
            <w:vAlign w:val="center"/>
          </w:tcPr>
          <w:p w14:paraId="3FD8D6F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S3</w:t>
            </w:r>
          </w:p>
        </w:tc>
        <w:tc>
          <w:tcPr>
            <w:tcW w:w="8567" w:type="dxa"/>
            <w:vAlign w:val="center"/>
          </w:tcPr>
          <w:p w14:paraId="57BE8EB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排放点下游（顺水流向）10 km范围、近岸海域一个潮周期水质点可能达到的最大水平距离的两倍范围内无上述类型1和类型2包括的敏感保护目标 </w:t>
            </w:r>
          </w:p>
        </w:tc>
      </w:tr>
    </w:tbl>
    <w:p w14:paraId="6404D2A9">
      <w:pPr>
        <w:pStyle w:val="398"/>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（3）地表水环境敏感程度（E）分级 </w:t>
      </w:r>
    </w:p>
    <w:p w14:paraId="3AA3D4C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表水环境敏感程度共分为三种类型，E1为环境高度敏感区，E2为环境中度敏感区，E3为环境低度敏感区，分级原则见下表。由上述分级情况，本项目地表水功能敏感性分级为低敏感F3，敏感目标分级为S3，则地表水环境敏感程度为E3。</w:t>
      </w:r>
    </w:p>
    <w:p w14:paraId="1F3FBA02">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7</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地表水环境敏感程度分级</w:t>
      </w:r>
    </w:p>
    <w:tbl>
      <w:tblPr>
        <w:tblStyle w:val="76"/>
        <w:tblW w:w="4963"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704"/>
        <w:gridCol w:w="2503"/>
        <w:gridCol w:w="2503"/>
        <w:gridCol w:w="2506"/>
      </w:tblGrid>
      <w:tr w14:paraId="66CA0B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6" w:hRule="atLeast"/>
          <w:jc w:val="center"/>
        </w:trPr>
        <w:tc>
          <w:tcPr>
            <w:tcW w:w="1704" w:type="dxa"/>
            <w:vMerge w:val="restart"/>
            <w:vAlign w:val="center"/>
          </w:tcPr>
          <w:p w14:paraId="1D6D67A6">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环境敏感目标</w:t>
            </w:r>
          </w:p>
        </w:tc>
        <w:tc>
          <w:tcPr>
            <w:tcW w:w="7515" w:type="dxa"/>
            <w:gridSpan w:val="3"/>
            <w:vAlign w:val="center"/>
          </w:tcPr>
          <w:p w14:paraId="69ED67EC">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 xml:space="preserve">地表水功能敏感性 </w:t>
            </w:r>
          </w:p>
        </w:tc>
      </w:tr>
      <w:tr w14:paraId="50A9B8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704" w:type="dxa"/>
            <w:vMerge w:val="continue"/>
            <w:vAlign w:val="center"/>
          </w:tcPr>
          <w:p w14:paraId="2B6930F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2504" w:type="dxa"/>
            <w:vAlign w:val="center"/>
          </w:tcPr>
          <w:p w14:paraId="23763EB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F1</w:t>
            </w:r>
          </w:p>
        </w:tc>
        <w:tc>
          <w:tcPr>
            <w:tcW w:w="2504" w:type="dxa"/>
          </w:tcPr>
          <w:p w14:paraId="30CE9254">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F2</w:t>
            </w:r>
          </w:p>
        </w:tc>
        <w:tc>
          <w:tcPr>
            <w:tcW w:w="2507" w:type="dxa"/>
          </w:tcPr>
          <w:p w14:paraId="2A8EA098">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F3</w:t>
            </w:r>
          </w:p>
        </w:tc>
      </w:tr>
      <w:tr w14:paraId="30E085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704" w:type="dxa"/>
            <w:vAlign w:val="center"/>
          </w:tcPr>
          <w:p w14:paraId="00D3ECA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S1</w:t>
            </w:r>
          </w:p>
        </w:tc>
        <w:tc>
          <w:tcPr>
            <w:tcW w:w="2504" w:type="dxa"/>
            <w:vAlign w:val="center"/>
          </w:tcPr>
          <w:p w14:paraId="4092B78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E1</w:t>
            </w:r>
          </w:p>
        </w:tc>
        <w:tc>
          <w:tcPr>
            <w:tcW w:w="2504" w:type="dxa"/>
          </w:tcPr>
          <w:p w14:paraId="5DE0CE3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E1</w:t>
            </w:r>
          </w:p>
        </w:tc>
        <w:tc>
          <w:tcPr>
            <w:tcW w:w="2507" w:type="dxa"/>
          </w:tcPr>
          <w:p w14:paraId="09BA625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E2</w:t>
            </w:r>
          </w:p>
        </w:tc>
      </w:tr>
      <w:tr w14:paraId="62AB97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704" w:type="dxa"/>
            <w:vAlign w:val="center"/>
          </w:tcPr>
          <w:p w14:paraId="6D72807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S2</w:t>
            </w:r>
          </w:p>
        </w:tc>
        <w:tc>
          <w:tcPr>
            <w:tcW w:w="2504" w:type="dxa"/>
            <w:vAlign w:val="center"/>
          </w:tcPr>
          <w:p w14:paraId="521D3BA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E1</w:t>
            </w:r>
          </w:p>
        </w:tc>
        <w:tc>
          <w:tcPr>
            <w:tcW w:w="2504" w:type="dxa"/>
          </w:tcPr>
          <w:p w14:paraId="317C004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E2</w:t>
            </w:r>
          </w:p>
        </w:tc>
        <w:tc>
          <w:tcPr>
            <w:tcW w:w="2507" w:type="dxa"/>
          </w:tcPr>
          <w:p w14:paraId="0BD6C88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E3</w:t>
            </w:r>
          </w:p>
        </w:tc>
      </w:tr>
      <w:tr w14:paraId="71B7B7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4" w:hRule="atLeast"/>
          <w:jc w:val="center"/>
        </w:trPr>
        <w:tc>
          <w:tcPr>
            <w:tcW w:w="1704" w:type="dxa"/>
            <w:vAlign w:val="center"/>
          </w:tcPr>
          <w:p w14:paraId="5058395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S3</w:t>
            </w:r>
          </w:p>
        </w:tc>
        <w:tc>
          <w:tcPr>
            <w:tcW w:w="2504" w:type="dxa"/>
            <w:vAlign w:val="center"/>
          </w:tcPr>
          <w:p w14:paraId="6B2F33B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E1</w:t>
            </w:r>
          </w:p>
        </w:tc>
        <w:tc>
          <w:tcPr>
            <w:tcW w:w="2504" w:type="dxa"/>
          </w:tcPr>
          <w:p w14:paraId="567D327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E2</w:t>
            </w:r>
          </w:p>
        </w:tc>
        <w:tc>
          <w:tcPr>
            <w:tcW w:w="2507" w:type="dxa"/>
          </w:tcPr>
          <w:p w14:paraId="0926F0F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E3</w:t>
            </w:r>
          </w:p>
        </w:tc>
      </w:tr>
    </w:tbl>
    <w:p w14:paraId="7D65A52A">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6.2.2.3 </w:t>
      </w:r>
      <w:r>
        <w:rPr>
          <w:rFonts w:hint="default" w:ascii="Times New Roman" w:hAnsi="Times New Roman" w:cs="Times New Roman"/>
          <w:color w:val="auto"/>
          <w:highlight w:val="none"/>
          <w:u w:val="none" w:color="auto"/>
        </w:rPr>
        <w:t>地下水环境敏感程度分级</w:t>
      </w:r>
    </w:p>
    <w:p w14:paraId="4D8497A6">
      <w:pPr>
        <w:pStyle w:val="398"/>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（1）包气带防污性能（D）分级 </w:t>
      </w:r>
    </w:p>
    <w:p w14:paraId="749FC31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根据HJ169-2018，地下水包气带防污性能可分为三种类型，具体见下表。 </w:t>
      </w:r>
    </w:p>
    <w:p w14:paraId="1F361776">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8</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地下水包气带防污性能分区</w:t>
      </w:r>
    </w:p>
    <w:tbl>
      <w:tblPr>
        <w:tblStyle w:val="76"/>
        <w:tblW w:w="505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8119"/>
      </w:tblGrid>
      <w:tr w14:paraId="2CFDAE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1260" w:type="dxa"/>
            <w:vAlign w:val="center"/>
          </w:tcPr>
          <w:p w14:paraId="19847B29">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 xml:space="preserve">分级 </w:t>
            </w:r>
          </w:p>
        </w:tc>
        <w:tc>
          <w:tcPr>
            <w:tcW w:w="8119" w:type="dxa"/>
            <w:vAlign w:val="center"/>
          </w:tcPr>
          <w:p w14:paraId="10463CB8">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 xml:space="preserve">包气带岩土的渗透性能 </w:t>
            </w:r>
          </w:p>
        </w:tc>
      </w:tr>
      <w:tr w14:paraId="6D5360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1260" w:type="dxa"/>
            <w:vAlign w:val="center"/>
          </w:tcPr>
          <w:p w14:paraId="3489C33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D3</w:t>
            </w:r>
          </w:p>
        </w:tc>
        <w:tc>
          <w:tcPr>
            <w:tcW w:w="8119" w:type="dxa"/>
            <w:vAlign w:val="center"/>
          </w:tcPr>
          <w:p w14:paraId="2A11B33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岩（土）层单层厚度Mb&gt;=1.0m，渗透系数K&lt;=10</w:t>
            </w:r>
            <w:r>
              <w:rPr>
                <w:rFonts w:hint="default" w:ascii="Times New Roman" w:hAnsi="Times New Roman" w:cs="Times New Roman"/>
                <w:color w:val="auto"/>
                <w:sz w:val="14"/>
                <w:szCs w:val="14"/>
                <w:highlight w:val="none"/>
                <w:u w:val="none" w:color="auto"/>
                <w:vertAlign w:val="superscript"/>
              </w:rPr>
              <w:t>-6</w:t>
            </w:r>
            <w:r>
              <w:rPr>
                <w:rFonts w:hint="default" w:ascii="Times New Roman" w:hAnsi="Times New Roman" w:cs="Times New Roman"/>
                <w:color w:val="auto"/>
                <w:highlight w:val="none"/>
                <w:u w:val="none" w:color="auto"/>
              </w:rPr>
              <w:t xml:space="preserve">cm/s，且连续分布，稳定。 </w:t>
            </w:r>
          </w:p>
        </w:tc>
      </w:tr>
      <w:tr w14:paraId="44F54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1260" w:type="dxa"/>
            <w:vAlign w:val="center"/>
          </w:tcPr>
          <w:p w14:paraId="53D7EB3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D2 </w:t>
            </w:r>
          </w:p>
        </w:tc>
        <w:tc>
          <w:tcPr>
            <w:tcW w:w="8119" w:type="dxa"/>
            <w:vAlign w:val="center"/>
          </w:tcPr>
          <w:p w14:paraId="50D4834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岩（土）层单层厚度0.5m=&lt;Mb&lt;1.0m，渗透系数K&lt;=10</w:t>
            </w:r>
            <w:r>
              <w:rPr>
                <w:rFonts w:hint="default" w:ascii="Times New Roman" w:hAnsi="Times New Roman" w:cs="Times New Roman"/>
                <w:color w:val="auto"/>
                <w:sz w:val="14"/>
                <w:szCs w:val="14"/>
                <w:highlight w:val="none"/>
                <w:u w:val="none" w:color="auto"/>
                <w:vertAlign w:val="superscript"/>
              </w:rPr>
              <w:t>-6</w:t>
            </w:r>
            <w:r>
              <w:rPr>
                <w:rFonts w:hint="default" w:ascii="Times New Roman" w:hAnsi="Times New Roman" w:cs="Times New Roman"/>
                <w:color w:val="auto"/>
                <w:highlight w:val="none"/>
                <w:u w:val="none" w:color="auto"/>
              </w:rPr>
              <w:t xml:space="preserve">cm/s，且连续分布，稳定。 </w:t>
            </w:r>
          </w:p>
          <w:p w14:paraId="6AD3AAF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岩（土）层单层厚度Mb&gt;=1.0m，渗透系数10</w:t>
            </w:r>
            <w:r>
              <w:rPr>
                <w:rFonts w:hint="default" w:ascii="Times New Roman" w:hAnsi="Times New Roman" w:cs="Times New Roman"/>
                <w:color w:val="auto"/>
                <w:sz w:val="14"/>
                <w:szCs w:val="14"/>
                <w:highlight w:val="none"/>
                <w:u w:val="none" w:color="auto"/>
              </w:rPr>
              <w:t>-6</w:t>
            </w:r>
            <w:r>
              <w:rPr>
                <w:rFonts w:hint="default" w:ascii="Times New Roman" w:hAnsi="Times New Roman" w:cs="Times New Roman"/>
                <w:color w:val="auto"/>
                <w:highlight w:val="none"/>
                <w:u w:val="none" w:color="auto"/>
              </w:rPr>
              <w:t>cm/s &lt;K&lt;=10</w:t>
            </w:r>
            <w:r>
              <w:rPr>
                <w:rFonts w:hint="default" w:ascii="Times New Roman" w:hAnsi="Times New Roman" w:cs="Times New Roman"/>
                <w:color w:val="auto"/>
                <w:sz w:val="14"/>
                <w:szCs w:val="14"/>
                <w:highlight w:val="none"/>
                <w:u w:val="none" w:color="auto"/>
                <w:vertAlign w:val="superscript"/>
              </w:rPr>
              <w:t>-4</w:t>
            </w:r>
            <w:r>
              <w:rPr>
                <w:rFonts w:hint="default" w:ascii="Times New Roman" w:hAnsi="Times New Roman" w:cs="Times New Roman"/>
                <w:color w:val="auto"/>
                <w:highlight w:val="none"/>
                <w:u w:val="none" w:color="auto"/>
              </w:rPr>
              <w:t xml:space="preserve">cm/s，且连续分布，稳定。 </w:t>
            </w:r>
          </w:p>
        </w:tc>
      </w:tr>
      <w:tr w14:paraId="1A6EF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260" w:type="dxa"/>
            <w:vAlign w:val="center"/>
          </w:tcPr>
          <w:p w14:paraId="6E178A3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D1</w:t>
            </w:r>
          </w:p>
        </w:tc>
        <w:tc>
          <w:tcPr>
            <w:tcW w:w="8119" w:type="dxa"/>
            <w:vAlign w:val="center"/>
          </w:tcPr>
          <w:p w14:paraId="4EF4672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岩（土）层不满足上述“D2”和“D3”条件。 </w:t>
            </w:r>
          </w:p>
        </w:tc>
      </w:tr>
    </w:tbl>
    <w:p w14:paraId="59C7B4F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建设项目所在地包气带防污性能分级为D2。</w:t>
      </w:r>
    </w:p>
    <w:p w14:paraId="51C1F926">
      <w:pPr>
        <w:pStyle w:val="398"/>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（2）地下水功能敏感性（G）分区 </w:t>
      </w:r>
    </w:p>
    <w:p w14:paraId="45DA941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根据HJ169-2018，地下水功能敏感性可分为三种类型。本项目下游无地下水饮用水源保护区及特殊地下水资源，敏感度为G3。 </w:t>
      </w:r>
    </w:p>
    <w:p w14:paraId="50C06EBB">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9</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地下水功能敏感性分区</w:t>
      </w:r>
    </w:p>
    <w:tbl>
      <w:tblPr>
        <w:tblStyle w:val="7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91"/>
        <w:gridCol w:w="7895"/>
      </w:tblGrid>
      <w:tr w14:paraId="0AFDCD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384" w:type="dxa"/>
            <w:vAlign w:val="center"/>
          </w:tcPr>
          <w:p w14:paraId="068CD636">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 xml:space="preserve">敏感性 </w:t>
            </w:r>
          </w:p>
        </w:tc>
        <w:tc>
          <w:tcPr>
            <w:tcW w:w="7858" w:type="dxa"/>
            <w:vAlign w:val="center"/>
          </w:tcPr>
          <w:p w14:paraId="6B03D08D">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 xml:space="preserve">地下水环境敏感特征 </w:t>
            </w:r>
          </w:p>
        </w:tc>
      </w:tr>
      <w:tr w14:paraId="19CA0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84" w:type="dxa"/>
            <w:vAlign w:val="center"/>
          </w:tcPr>
          <w:p w14:paraId="62B1E3E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敏感G1 </w:t>
            </w:r>
          </w:p>
        </w:tc>
        <w:tc>
          <w:tcPr>
            <w:tcW w:w="7858" w:type="dxa"/>
            <w:vAlign w:val="center"/>
          </w:tcPr>
          <w:p w14:paraId="4ADFB76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集中式饮用水源（包括已建成的在用、备用、应急水源，在建和规划的饮用水水源）准保护区；除集中式饮用水水源以外的国家或地方政府设定的与地下水有关的其他保护区，如热水、矿泉水、温泉水等特殊地下水资源保护区 </w:t>
            </w:r>
          </w:p>
        </w:tc>
      </w:tr>
      <w:tr w14:paraId="5161B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84" w:type="dxa"/>
            <w:vAlign w:val="center"/>
          </w:tcPr>
          <w:p w14:paraId="3B9CFB8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较敏感G2 </w:t>
            </w:r>
          </w:p>
        </w:tc>
        <w:tc>
          <w:tcPr>
            <w:tcW w:w="7858" w:type="dxa"/>
            <w:vAlign w:val="center"/>
          </w:tcPr>
          <w:p w14:paraId="1C45F11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集中式饮用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 </w:t>
            </w:r>
          </w:p>
        </w:tc>
      </w:tr>
      <w:tr w14:paraId="41B262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84" w:type="dxa"/>
            <w:vAlign w:val="center"/>
          </w:tcPr>
          <w:p w14:paraId="215C0BB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不敏感G3 </w:t>
            </w:r>
          </w:p>
        </w:tc>
        <w:tc>
          <w:tcPr>
            <w:tcW w:w="7858" w:type="dxa"/>
            <w:vAlign w:val="center"/>
          </w:tcPr>
          <w:p w14:paraId="5B27407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上述地区之外的其他地区 </w:t>
            </w:r>
          </w:p>
        </w:tc>
      </w:tr>
      <w:tr w14:paraId="225D7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42" w:type="dxa"/>
            <w:gridSpan w:val="2"/>
            <w:vAlign w:val="center"/>
          </w:tcPr>
          <w:p w14:paraId="18CC075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a“环境敏感区”是指《建设项目环境影响评价分类管理名录》中所界定的设计地下水的环境敏感区 </w:t>
            </w:r>
          </w:p>
        </w:tc>
      </w:tr>
    </w:tbl>
    <w:p w14:paraId="2E15F7C3">
      <w:pPr>
        <w:pStyle w:val="398"/>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（3）地下水环境敏感程度（E）分级 </w:t>
      </w:r>
    </w:p>
    <w:p w14:paraId="41ACADC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下水环境敏感程度共分为三种类型，E1为环境高度敏感区，E2为环境中度敏感区，E3为环境低度敏感区，由上述分级情况，本项目地下水包气带防污性能定级为D2，地下水功能敏感性分级为低敏感G3，则地下水环境敏感程度为E3。</w:t>
      </w:r>
    </w:p>
    <w:p w14:paraId="17E82560">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10</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地下水环境敏感程度分级</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717"/>
        <w:gridCol w:w="2523"/>
        <w:gridCol w:w="2523"/>
        <w:gridCol w:w="2523"/>
      </w:tblGrid>
      <w:tr w14:paraId="696A44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09" w:type="dxa"/>
            <w:vMerge w:val="restart"/>
            <w:vAlign w:val="center"/>
          </w:tcPr>
          <w:p w14:paraId="52CBA8D6">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 xml:space="preserve">环境敏感目标 </w:t>
            </w:r>
          </w:p>
        </w:tc>
        <w:tc>
          <w:tcPr>
            <w:tcW w:w="7533" w:type="dxa"/>
            <w:gridSpan w:val="3"/>
            <w:vAlign w:val="center"/>
          </w:tcPr>
          <w:p w14:paraId="155F47BE">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 xml:space="preserve">地下水功能敏感性 </w:t>
            </w:r>
          </w:p>
        </w:tc>
      </w:tr>
      <w:tr w14:paraId="394F7B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09" w:type="dxa"/>
            <w:vMerge w:val="continue"/>
            <w:vAlign w:val="center"/>
          </w:tcPr>
          <w:p w14:paraId="41756E24">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p>
        </w:tc>
        <w:tc>
          <w:tcPr>
            <w:tcW w:w="2511" w:type="dxa"/>
            <w:vAlign w:val="center"/>
          </w:tcPr>
          <w:p w14:paraId="19D6501F">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G1</w:t>
            </w:r>
          </w:p>
        </w:tc>
        <w:tc>
          <w:tcPr>
            <w:tcW w:w="2511" w:type="dxa"/>
          </w:tcPr>
          <w:p w14:paraId="4BAA15E6">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G2</w:t>
            </w:r>
          </w:p>
        </w:tc>
        <w:tc>
          <w:tcPr>
            <w:tcW w:w="2511" w:type="dxa"/>
          </w:tcPr>
          <w:p w14:paraId="0437B669">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G3</w:t>
            </w:r>
          </w:p>
        </w:tc>
      </w:tr>
      <w:tr w14:paraId="255D03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09" w:type="dxa"/>
            <w:vAlign w:val="center"/>
          </w:tcPr>
          <w:p w14:paraId="544F5F03">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D1</w:t>
            </w:r>
          </w:p>
        </w:tc>
        <w:tc>
          <w:tcPr>
            <w:tcW w:w="2511" w:type="dxa"/>
            <w:vAlign w:val="center"/>
          </w:tcPr>
          <w:p w14:paraId="6AE2C3C2">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E1</w:t>
            </w:r>
          </w:p>
        </w:tc>
        <w:tc>
          <w:tcPr>
            <w:tcW w:w="2511" w:type="dxa"/>
          </w:tcPr>
          <w:p w14:paraId="3F0F9265">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E1</w:t>
            </w:r>
          </w:p>
        </w:tc>
        <w:tc>
          <w:tcPr>
            <w:tcW w:w="2511" w:type="dxa"/>
          </w:tcPr>
          <w:p w14:paraId="36C63ABD">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E2</w:t>
            </w:r>
          </w:p>
        </w:tc>
      </w:tr>
      <w:tr w14:paraId="5B283C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09" w:type="dxa"/>
            <w:vAlign w:val="center"/>
          </w:tcPr>
          <w:p w14:paraId="1487522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D2</w:t>
            </w:r>
          </w:p>
        </w:tc>
        <w:tc>
          <w:tcPr>
            <w:tcW w:w="2511" w:type="dxa"/>
            <w:vAlign w:val="center"/>
          </w:tcPr>
          <w:p w14:paraId="78BC09A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E1</w:t>
            </w:r>
          </w:p>
        </w:tc>
        <w:tc>
          <w:tcPr>
            <w:tcW w:w="2511" w:type="dxa"/>
          </w:tcPr>
          <w:p w14:paraId="36CB035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E2</w:t>
            </w:r>
          </w:p>
        </w:tc>
        <w:tc>
          <w:tcPr>
            <w:tcW w:w="2511" w:type="dxa"/>
          </w:tcPr>
          <w:p w14:paraId="1A44E6F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E3</w:t>
            </w:r>
          </w:p>
        </w:tc>
      </w:tr>
      <w:tr w14:paraId="6ED0A6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09" w:type="dxa"/>
            <w:vAlign w:val="center"/>
          </w:tcPr>
          <w:p w14:paraId="09D6905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D3</w:t>
            </w:r>
          </w:p>
        </w:tc>
        <w:tc>
          <w:tcPr>
            <w:tcW w:w="2511" w:type="dxa"/>
            <w:vAlign w:val="center"/>
          </w:tcPr>
          <w:p w14:paraId="23FC4B0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E2</w:t>
            </w:r>
          </w:p>
        </w:tc>
        <w:tc>
          <w:tcPr>
            <w:tcW w:w="2511" w:type="dxa"/>
          </w:tcPr>
          <w:p w14:paraId="5739C8F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E3</w:t>
            </w:r>
          </w:p>
        </w:tc>
        <w:tc>
          <w:tcPr>
            <w:tcW w:w="2511" w:type="dxa"/>
          </w:tcPr>
          <w:p w14:paraId="6CE44BE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E3</w:t>
            </w:r>
          </w:p>
        </w:tc>
      </w:tr>
    </w:tbl>
    <w:p w14:paraId="687259F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综上，本项目各环境要素环境敏感程度汇总如下： </w:t>
      </w:r>
    </w:p>
    <w:p w14:paraId="286E9830">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11</w:t>
      </w:r>
      <w:r>
        <w:rPr>
          <w:rFonts w:hint="default" w:ascii="Times New Roman" w:hAnsi="Times New Roman" w:cs="Times New Roman"/>
          <w:color w:val="auto"/>
          <w:highlight w:val="none"/>
          <w:u w:val="none" w:color="auto"/>
        </w:rPr>
        <w:t xml:space="preserve">  本项目各环境要素敏感程度汇总</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717"/>
        <w:gridCol w:w="2523"/>
        <w:gridCol w:w="2523"/>
        <w:gridCol w:w="2523"/>
      </w:tblGrid>
      <w:tr w14:paraId="3A19D6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09" w:type="dxa"/>
            <w:vAlign w:val="center"/>
          </w:tcPr>
          <w:p w14:paraId="06435582">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环境要素</w:t>
            </w:r>
          </w:p>
        </w:tc>
        <w:tc>
          <w:tcPr>
            <w:tcW w:w="2511" w:type="dxa"/>
            <w:vAlign w:val="center"/>
          </w:tcPr>
          <w:p w14:paraId="3D21EE49">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大气</w:t>
            </w:r>
          </w:p>
        </w:tc>
        <w:tc>
          <w:tcPr>
            <w:tcW w:w="2511" w:type="dxa"/>
          </w:tcPr>
          <w:p w14:paraId="3D3E1522">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地表水</w:t>
            </w:r>
          </w:p>
        </w:tc>
        <w:tc>
          <w:tcPr>
            <w:tcW w:w="2511" w:type="dxa"/>
          </w:tcPr>
          <w:p w14:paraId="0E9D3922">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地下水</w:t>
            </w:r>
          </w:p>
        </w:tc>
      </w:tr>
      <w:tr w14:paraId="111991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09" w:type="dxa"/>
            <w:vAlign w:val="center"/>
          </w:tcPr>
          <w:p w14:paraId="753765B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敏感程度</w:t>
            </w:r>
          </w:p>
        </w:tc>
        <w:tc>
          <w:tcPr>
            <w:tcW w:w="2511" w:type="dxa"/>
            <w:vAlign w:val="center"/>
          </w:tcPr>
          <w:p w14:paraId="52C60AB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E</w:t>
            </w:r>
            <w:r>
              <w:rPr>
                <w:rFonts w:hint="default" w:ascii="Times New Roman" w:hAnsi="Times New Roman" w:cs="Times New Roman"/>
                <w:color w:val="auto"/>
                <w:highlight w:val="none"/>
                <w:u w:val="none" w:color="auto"/>
                <w:lang w:val="en-US" w:eastAsia="zh-CN"/>
              </w:rPr>
              <w:t>2</w:t>
            </w:r>
          </w:p>
        </w:tc>
        <w:tc>
          <w:tcPr>
            <w:tcW w:w="2511" w:type="dxa"/>
          </w:tcPr>
          <w:p w14:paraId="19A0744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E3</w:t>
            </w:r>
          </w:p>
        </w:tc>
        <w:tc>
          <w:tcPr>
            <w:tcW w:w="2511" w:type="dxa"/>
          </w:tcPr>
          <w:p w14:paraId="4F1D282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E3</w:t>
            </w:r>
          </w:p>
        </w:tc>
      </w:tr>
    </w:tbl>
    <w:p w14:paraId="20308CF9">
      <w:pPr>
        <w:pStyle w:val="4"/>
        <w:numPr>
          <w:ilvl w:val="2"/>
          <w:numId w:val="0"/>
        </w:numPr>
        <w:ind w:leftChars="0"/>
        <w:outlineLvl w:val="2"/>
        <w:rPr>
          <w:rFonts w:hint="default" w:ascii="Times New Roman" w:hAnsi="Times New Roman" w:cs="Times New Roman"/>
          <w:color w:val="auto"/>
          <w:highlight w:val="none"/>
          <w:u w:val="none" w:color="auto"/>
        </w:rPr>
      </w:pPr>
      <w:bookmarkStart w:id="143" w:name="_Toc27838"/>
      <w:r>
        <w:rPr>
          <w:rFonts w:hint="default" w:ascii="Times New Roman" w:hAnsi="Times New Roman" w:cs="Times New Roman"/>
          <w:color w:val="auto"/>
          <w:highlight w:val="none"/>
          <w:u w:val="none" w:color="auto"/>
          <w:lang w:val="en-US" w:eastAsia="zh-CN"/>
        </w:rPr>
        <w:t xml:space="preserve">6.2.3 </w:t>
      </w:r>
      <w:r>
        <w:rPr>
          <w:rFonts w:hint="default" w:ascii="Times New Roman" w:hAnsi="Times New Roman" w:cs="Times New Roman"/>
          <w:color w:val="auto"/>
          <w:highlight w:val="none"/>
          <w:u w:val="none" w:color="auto"/>
        </w:rPr>
        <w:t>环境风险潜势判断</w:t>
      </w:r>
      <w:bookmarkEnd w:id="143"/>
    </w:p>
    <w:p w14:paraId="263BCA2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建设项目环境风险潜势划分为</w:t>
      </w:r>
      <w:r>
        <w:rPr>
          <w:rFonts w:hint="default" w:ascii="Times New Roman" w:hAnsi="Times New Roman" w:eastAsia="宋体" w:cs="Times New Roman"/>
          <w:color w:val="auto"/>
          <w:highlight w:val="none"/>
          <w:u w:val="none" w:color="auto"/>
        </w:rPr>
        <w:t>Ⅰ</w:t>
      </w:r>
      <w:r>
        <w:rPr>
          <w:rFonts w:hint="default" w:ascii="Times New Roman" w:hAnsi="Times New Roman" w:cs="Times New Roman"/>
          <w:color w:val="auto"/>
          <w:highlight w:val="none"/>
          <w:u w:val="none" w:color="auto"/>
        </w:rPr>
        <w:t>、</w:t>
      </w:r>
      <w:r>
        <w:rPr>
          <w:rFonts w:hint="default" w:ascii="Times New Roman" w:hAnsi="Times New Roman" w:eastAsia="宋体" w:cs="Times New Roman"/>
          <w:color w:val="auto"/>
          <w:highlight w:val="none"/>
          <w:u w:val="none" w:color="auto"/>
        </w:rPr>
        <w:t>Ⅱ</w:t>
      </w:r>
      <w:r>
        <w:rPr>
          <w:rFonts w:hint="default" w:ascii="Times New Roman" w:hAnsi="Times New Roman" w:cs="Times New Roman"/>
          <w:color w:val="auto"/>
          <w:highlight w:val="none"/>
          <w:u w:val="none" w:color="auto"/>
        </w:rPr>
        <w:t>、</w:t>
      </w:r>
      <w:r>
        <w:rPr>
          <w:rFonts w:hint="default" w:ascii="Times New Roman" w:hAnsi="Times New Roman" w:eastAsia="宋体" w:cs="Times New Roman"/>
          <w:color w:val="auto"/>
          <w:highlight w:val="none"/>
          <w:u w:val="none" w:color="auto"/>
        </w:rPr>
        <w:t>Ⅲ</w:t>
      </w:r>
      <w:r>
        <w:rPr>
          <w:rFonts w:hint="default" w:ascii="Times New Roman" w:hAnsi="Times New Roman" w:cs="Times New Roman"/>
          <w:color w:val="auto"/>
          <w:highlight w:val="none"/>
          <w:u w:val="none" w:color="auto"/>
        </w:rPr>
        <w:t>、</w:t>
      </w:r>
      <w:r>
        <w:rPr>
          <w:rFonts w:hint="default" w:ascii="Times New Roman" w:hAnsi="Times New Roman" w:eastAsia="宋体" w:cs="Times New Roman"/>
          <w:color w:val="auto"/>
          <w:highlight w:val="none"/>
          <w:u w:val="none" w:color="auto"/>
          <w:lang w:eastAsia="zh-CN"/>
        </w:rPr>
        <w:t>Ⅲ</w:t>
      </w:r>
      <w:r>
        <w:rPr>
          <w:rFonts w:hint="default" w:ascii="Times New Roman" w:hAnsi="Times New Roman" w:cs="Times New Roman"/>
          <w:color w:val="auto"/>
          <w:highlight w:val="none"/>
          <w:u w:val="none" w:color="auto"/>
        </w:rPr>
        <w:t>、</w:t>
      </w:r>
      <w:r>
        <w:rPr>
          <w:rFonts w:hint="default" w:ascii="Times New Roman" w:hAnsi="Times New Roman" w:eastAsia="宋体" w:cs="Times New Roman"/>
          <w:color w:val="auto"/>
          <w:highlight w:val="none"/>
          <w:u w:val="none" w:color="auto"/>
          <w:lang w:eastAsia="zh-CN"/>
        </w:rPr>
        <w:t>Ⅲ</w:t>
      </w:r>
      <w:r>
        <w:rPr>
          <w:rFonts w:hint="default" w:ascii="Times New Roman" w:hAnsi="Times New Roman" w:cs="Times New Roman"/>
          <w:color w:val="auto"/>
          <w:highlight w:val="none"/>
          <w:u w:val="none" w:color="auto"/>
        </w:rPr>
        <w:t>+级。根据建设项目涉及的物质和工艺系统的危险性及其所在地的环境敏感程度，结合事故情形下环境影响途径，对建设项目潜在环境危害程度进行概化分析，按下表确定环境风险潜势，建设项目环境风险潜势综合等级取各要素等级的相对高值。根据《建设项目环境风险评价技术导则》（HJ169-2018），本项目Q值=0.</w:t>
      </w:r>
      <w:r>
        <w:rPr>
          <w:rFonts w:hint="default" w:ascii="Times New Roman" w:hAnsi="Times New Roman" w:cs="Times New Roman"/>
          <w:color w:val="auto"/>
          <w:highlight w:val="none"/>
          <w:u w:val="none" w:color="auto"/>
          <w:lang w:val="en-US" w:eastAsia="zh-CN"/>
        </w:rPr>
        <w:t>1388</w:t>
      </w:r>
      <w:r>
        <w:rPr>
          <w:rFonts w:hint="default" w:ascii="Times New Roman" w:hAnsi="Times New Roman" w:cs="Times New Roman"/>
          <w:color w:val="auto"/>
          <w:highlight w:val="none"/>
          <w:u w:val="none" w:color="auto"/>
        </w:rPr>
        <w:t>，属于Q＜1范围，项目环境风险潜势为I。</w:t>
      </w:r>
    </w:p>
    <w:p w14:paraId="45E818FC">
      <w:pPr>
        <w:pStyle w:val="194"/>
        <w:spacing w:line="240" w:lineRule="auto"/>
        <w:rPr>
          <w:rFonts w:hint="default" w:ascii="Times New Roman" w:hAnsi="Times New Roman" w:cs="Times New Roman"/>
          <w:color w:val="auto"/>
          <w:szCs w:val="21"/>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szCs w:val="21"/>
          <w:highlight w:val="none"/>
          <w:u w:val="none" w:color="auto"/>
        </w:rPr>
        <w:t xml:space="preserve">  建设项目环境风险潜势划分</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362"/>
        <w:gridCol w:w="1731"/>
        <w:gridCol w:w="1731"/>
        <w:gridCol w:w="1731"/>
        <w:gridCol w:w="1731"/>
      </w:tblGrid>
      <w:tr w14:paraId="4D485F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Merge w:val="restart"/>
            <w:vAlign w:val="center"/>
          </w:tcPr>
          <w:p w14:paraId="2B69C685">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环境敏感程度（E）</w:t>
            </w:r>
          </w:p>
        </w:tc>
        <w:tc>
          <w:tcPr>
            <w:tcW w:w="0" w:type="auto"/>
            <w:gridSpan w:val="4"/>
            <w:vAlign w:val="center"/>
          </w:tcPr>
          <w:p w14:paraId="24F7D37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危险物质及工艺系统危险性（P）</w:t>
            </w:r>
          </w:p>
        </w:tc>
      </w:tr>
      <w:tr w14:paraId="34428D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0" w:type="auto"/>
            <w:vMerge w:val="continue"/>
            <w:vAlign w:val="center"/>
          </w:tcPr>
          <w:p w14:paraId="637C4C7E">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p>
        </w:tc>
        <w:tc>
          <w:tcPr>
            <w:tcW w:w="0" w:type="auto"/>
            <w:vAlign w:val="center"/>
          </w:tcPr>
          <w:p w14:paraId="1D56A610">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极高危害（P1）</w:t>
            </w:r>
          </w:p>
        </w:tc>
        <w:tc>
          <w:tcPr>
            <w:tcW w:w="0" w:type="auto"/>
            <w:vAlign w:val="center"/>
          </w:tcPr>
          <w:p w14:paraId="3C9A1850">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高度危害（P2）</w:t>
            </w:r>
          </w:p>
        </w:tc>
        <w:tc>
          <w:tcPr>
            <w:tcW w:w="0" w:type="auto"/>
            <w:vAlign w:val="center"/>
          </w:tcPr>
          <w:p w14:paraId="3F148069">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中毒危害（P3）</w:t>
            </w:r>
          </w:p>
        </w:tc>
        <w:tc>
          <w:tcPr>
            <w:tcW w:w="0" w:type="auto"/>
            <w:vAlign w:val="center"/>
          </w:tcPr>
          <w:p w14:paraId="247751B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轻度危害（P4）</w:t>
            </w:r>
          </w:p>
        </w:tc>
      </w:tr>
      <w:tr w14:paraId="0BDA74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Align w:val="center"/>
          </w:tcPr>
          <w:p w14:paraId="21D298F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环境高度敏感区（E1）</w:t>
            </w:r>
          </w:p>
        </w:tc>
        <w:tc>
          <w:tcPr>
            <w:tcW w:w="0" w:type="auto"/>
            <w:vAlign w:val="center"/>
          </w:tcPr>
          <w:p w14:paraId="56BD966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eastAsia="zh-CN"/>
              </w:rPr>
              <w:t>Ⅲ</w:t>
            </w:r>
            <w:r>
              <w:rPr>
                <w:rFonts w:hint="default" w:ascii="Times New Roman" w:hAnsi="Times New Roman" w:cs="Times New Roman"/>
                <w:color w:val="auto"/>
                <w:highlight w:val="none"/>
                <w:u w:val="none" w:color="auto"/>
              </w:rPr>
              <w:t>+</w:t>
            </w:r>
          </w:p>
        </w:tc>
        <w:tc>
          <w:tcPr>
            <w:tcW w:w="0" w:type="auto"/>
            <w:vAlign w:val="center"/>
          </w:tcPr>
          <w:p w14:paraId="3E77F66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Ⅲ</w:t>
            </w:r>
          </w:p>
        </w:tc>
        <w:tc>
          <w:tcPr>
            <w:tcW w:w="0" w:type="auto"/>
            <w:vAlign w:val="center"/>
          </w:tcPr>
          <w:p w14:paraId="340D74E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Ⅲ</w:t>
            </w:r>
          </w:p>
        </w:tc>
        <w:tc>
          <w:tcPr>
            <w:tcW w:w="0" w:type="auto"/>
            <w:vAlign w:val="center"/>
          </w:tcPr>
          <w:p w14:paraId="5C51A4F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Ⅲ</w:t>
            </w:r>
          </w:p>
        </w:tc>
      </w:tr>
      <w:tr w14:paraId="2F4DA7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Align w:val="center"/>
          </w:tcPr>
          <w:p w14:paraId="272FDC9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环境中度敏感区（E2）</w:t>
            </w:r>
          </w:p>
        </w:tc>
        <w:tc>
          <w:tcPr>
            <w:tcW w:w="0" w:type="auto"/>
            <w:vAlign w:val="center"/>
          </w:tcPr>
          <w:p w14:paraId="0D3625D2">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Ⅲ</w:t>
            </w:r>
          </w:p>
        </w:tc>
        <w:tc>
          <w:tcPr>
            <w:tcW w:w="0" w:type="auto"/>
            <w:vAlign w:val="center"/>
          </w:tcPr>
          <w:p w14:paraId="705AD6A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Ⅲ</w:t>
            </w:r>
          </w:p>
        </w:tc>
        <w:tc>
          <w:tcPr>
            <w:tcW w:w="0" w:type="auto"/>
            <w:vAlign w:val="center"/>
          </w:tcPr>
          <w:p w14:paraId="424BE5B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Ⅲ</w:t>
            </w:r>
          </w:p>
        </w:tc>
        <w:tc>
          <w:tcPr>
            <w:tcW w:w="0" w:type="auto"/>
            <w:vAlign w:val="center"/>
          </w:tcPr>
          <w:p w14:paraId="034949E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Ⅱ</w:t>
            </w:r>
          </w:p>
        </w:tc>
      </w:tr>
      <w:tr w14:paraId="13C70E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Align w:val="center"/>
          </w:tcPr>
          <w:p w14:paraId="584230B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环境低度敏感区（E3）</w:t>
            </w:r>
          </w:p>
        </w:tc>
        <w:tc>
          <w:tcPr>
            <w:tcW w:w="0" w:type="auto"/>
            <w:vAlign w:val="center"/>
          </w:tcPr>
          <w:p w14:paraId="457B469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Ⅲ</w:t>
            </w:r>
          </w:p>
        </w:tc>
        <w:tc>
          <w:tcPr>
            <w:tcW w:w="0" w:type="auto"/>
            <w:vAlign w:val="center"/>
          </w:tcPr>
          <w:p w14:paraId="7E45D0C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Ⅲ</w:t>
            </w:r>
          </w:p>
        </w:tc>
        <w:tc>
          <w:tcPr>
            <w:tcW w:w="0" w:type="auto"/>
            <w:vAlign w:val="center"/>
          </w:tcPr>
          <w:p w14:paraId="494B2C3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Ⅱ</w:t>
            </w:r>
          </w:p>
        </w:tc>
        <w:tc>
          <w:tcPr>
            <w:tcW w:w="0" w:type="auto"/>
            <w:vAlign w:val="center"/>
          </w:tcPr>
          <w:p w14:paraId="677813F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Ⅰ</w:t>
            </w:r>
          </w:p>
        </w:tc>
      </w:tr>
      <w:tr w14:paraId="5B0AD0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gridSpan w:val="5"/>
            <w:vAlign w:val="center"/>
          </w:tcPr>
          <w:p w14:paraId="1309032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注：</w:t>
            </w:r>
            <w:r>
              <w:rPr>
                <w:rFonts w:hint="default" w:ascii="Times New Roman" w:hAnsi="Times New Roman" w:cs="Times New Roman"/>
                <w:color w:val="auto"/>
                <w:highlight w:val="none"/>
                <w:u w:val="none" w:color="auto"/>
                <w:lang w:eastAsia="zh-CN"/>
              </w:rPr>
              <w:t>Ⅲ</w:t>
            </w:r>
            <w:r>
              <w:rPr>
                <w:rFonts w:hint="default" w:ascii="Times New Roman" w:hAnsi="Times New Roman" w:cs="Times New Roman"/>
                <w:color w:val="auto"/>
                <w:highlight w:val="none"/>
                <w:u w:val="none" w:color="auto"/>
              </w:rPr>
              <w:t>+为极高环境风险</w:t>
            </w:r>
          </w:p>
        </w:tc>
      </w:tr>
    </w:tbl>
    <w:p w14:paraId="51180F78">
      <w:pPr>
        <w:pStyle w:val="4"/>
        <w:numPr>
          <w:ilvl w:val="2"/>
          <w:numId w:val="0"/>
        </w:numPr>
        <w:ind w:leftChars="0"/>
        <w:rPr>
          <w:rFonts w:hint="default" w:ascii="Times New Roman" w:hAnsi="Times New Roman" w:cs="Times New Roman"/>
          <w:color w:val="auto"/>
          <w:highlight w:val="none"/>
          <w:u w:val="none" w:color="auto"/>
        </w:rPr>
      </w:pPr>
      <w:bookmarkStart w:id="144" w:name="_Toc8220"/>
      <w:r>
        <w:rPr>
          <w:rFonts w:hint="default" w:ascii="Times New Roman" w:hAnsi="Times New Roman" w:cs="Times New Roman"/>
          <w:color w:val="auto"/>
          <w:highlight w:val="none"/>
          <w:u w:val="none" w:color="auto"/>
          <w:lang w:val="en-US" w:eastAsia="zh-CN"/>
        </w:rPr>
        <w:t xml:space="preserve">6.2.4 </w:t>
      </w:r>
      <w:r>
        <w:rPr>
          <w:rFonts w:hint="default" w:ascii="Times New Roman" w:hAnsi="Times New Roman" w:cs="Times New Roman"/>
          <w:color w:val="auto"/>
          <w:highlight w:val="none"/>
          <w:u w:val="none" w:color="auto"/>
        </w:rPr>
        <w:t>评价等级</w:t>
      </w:r>
      <w:bookmarkEnd w:id="144"/>
    </w:p>
    <w:p w14:paraId="07CFD402">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根据《建设项目环境风险评价技术导则》（HJ/T169-2018），环境风险评价工作等级根据建设项目涉及的物质及工艺系统危险性和所在地的环境敏感性确定环境风险潜势；本项目Q值=0.</w:t>
      </w:r>
      <w:r>
        <w:rPr>
          <w:rFonts w:hint="default" w:ascii="Times New Roman" w:hAnsi="Times New Roman" w:cs="Times New Roman"/>
          <w:color w:val="auto"/>
          <w:highlight w:val="none"/>
          <w:u w:val="none" w:color="auto"/>
          <w:lang w:val="en-US" w:eastAsia="zh-CN"/>
        </w:rPr>
        <w:t>1388</w:t>
      </w:r>
      <w:r>
        <w:rPr>
          <w:rFonts w:hint="default" w:ascii="Times New Roman" w:hAnsi="Times New Roman" w:cs="Times New Roman"/>
          <w:color w:val="auto"/>
          <w:highlight w:val="none"/>
          <w:u w:val="none" w:color="auto"/>
        </w:rPr>
        <w:t>，属于Q＜1范围，项目环境风险潜势为I。根据风险潜势判定环境风险评价工作等级，由下表可知，本项目环境风险评价等级为简单分析。</w:t>
      </w:r>
    </w:p>
    <w:p w14:paraId="46BAAB49">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环境风险评价等级</w:t>
      </w:r>
    </w:p>
    <w:tbl>
      <w:tblPr>
        <w:tblStyle w:val="76"/>
        <w:tblW w:w="503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625"/>
        <w:gridCol w:w="1169"/>
        <w:gridCol w:w="2230"/>
        <w:gridCol w:w="1566"/>
        <w:gridCol w:w="1568"/>
      </w:tblGrid>
      <w:tr w14:paraId="02C82B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09" w:type="dxa"/>
            <w:vAlign w:val="center"/>
          </w:tcPr>
          <w:p w14:paraId="25DE9E53">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环境风险潜势</w:t>
            </w:r>
          </w:p>
        </w:tc>
        <w:tc>
          <w:tcPr>
            <w:tcW w:w="1161" w:type="dxa"/>
            <w:vAlign w:val="center"/>
          </w:tcPr>
          <w:p w14:paraId="7B0030A9">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lang w:eastAsia="zh-CN"/>
              </w:rPr>
              <w:t>Ⅲ</w:t>
            </w:r>
            <w:r>
              <w:rPr>
                <w:rFonts w:hint="default" w:ascii="Times New Roman" w:hAnsi="Times New Roman" w:cs="Times New Roman"/>
                <w:b/>
                <w:color w:val="auto"/>
                <w:highlight w:val="none"/>
                <w:u w:val="none" w:color="auto"/>
              </w:rPr>
              <w:t>、</w:t>
            </w:r>
            <w:r>
              <w:rPr>
                <w:rFonts w:hint="default" w:ascii="Times New Roman" w:hAnsi="Times New Roman" w:cs="Times New Roman"/>
                <w:b/>
                <w:color w:val="auto"/>
                <w:highlight w:val="none"/>
                <w:u w:val="none" w:color="auto"/>
                <w:lang w:eastAsia="zh-CN"/>
              </w:rPr>
              <w:t>Ⅲ</w:t>
            </w:r>
            <w:r>
              <w:rPr>
                <w:rFonts w:hint="default" w:ascii="Times New Roman" w:hAnsi="Times New Roman" w:cs="Times New Roman"/>
                <w:b/>
                <w:color w:val="auto"/>
                <w:highlight w:val="none"/>
                <w:u w:val="none" w:color="auto"/>
              </w:rPr>
              <w:t>+</w:t>
            </w:r>
          </w:p>
        </w:tc>
        <w:tc>
          <w:tcPr>
            <w:tcW w:w="2216" w:type="dxa"/>
            <w:vAlign w:val="center"/>
          </w:tcPr>
          <w:p w14:paraId="4E5BC019">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Ⅲ</w:t>
            </w:r>
          </w:p>
        </w:tc>
        <w:tc>
          <w:tcPr>
            <w:tcW w:w="1556" w:type="dxa"/>
            <w:vAlign w:val="center"/>
          </w:tcPr>
          <w:p w14:paraId="23ABA307">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Ⅱ</w:t>
            </w:r>
          </w:p>
        </w:tc>
        <w:tc>
          <w:tcPr>
            <w:tcW w:w="1558" w:type="dxa"/>
          </w:tcPr>
          <w:p w14:paraId="0259C4E8">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I</w:t>
            </w:r>
          </w:p>
        </w:tc>
      </w:tr>
      <w:tr w14:paraId="58D2E9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09" w:type="dxa"/>
            <w:vAlign w:val="center"/>
          </w:tcPr>
          <w:p w14:paraId="14BD5FF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评价工作等级</w:t>
            </w:r>
          </w:p>
        </w:tc>
        <w:tc>
          <w:tcPr>
            <w:tcW w:w="1161" w:type="dxa"/>
            <w:vAlign w:val="center"/>
          </w:tcPr>
          <w:p w14:paraId="1444DCE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w:t>
            </w:r>
          </w:p>
        </w:tc>
        <w:tc>
          <w:tcPr>
            <w:tcW w:w="2216" w:type="dxa"/>
            <w:vAlign w:val="center"/>
          </w:tcPr>
          <w:p w14:paraId="6676DB1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w:t>
            </w:r>
          </w:p>
        </w:tc>
        <w:tc>
          <w:tcPr>
            <w:tcW w:w="1556" w:type="dxa"/>
            <w:vAlign w:val="center"/>
          </w:tcPr>
          <w:p w14:paraId="03D6D39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三</w:t>
            </w:r>
          </w:p>
        </w:tc>
        <w:tc>
          <w:tcPr>
            <w:tcW w:w="1558" w:type="dxa"/>
          </w:tcPr>
          <w:p w14:paraId="469273C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简单分析a</w:t>
            </w:r>
          </w:p>
        </w:tc>
      </w:tr>
      <w:tr w14:paraId="1D9909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100" w:type="dxa"/>
            <w:gridSpan w:val="5"/>
            <w:vAlign w:val="center"/>
          </w:tcPr>
          <w:p w14:paraId="337ADF53">
            <w:pPr>
              <w:pStyle w:val="192"/>
              <w:keepNext w:val="0"/>
              <w:keepLines w:val="0"/>
              <w:suppressLineNumbers w:val="0"/>
              <w:spacing w:before="0" w:beforeAutospacing="0" w:after="0" w:afterAutospacing="0"/>
              <w:ind w:left="0" w:right="0"/>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a  是相对于详细评价工作内容而言，在描述危险物质、环境影响途径、环境危害后果、风险防范措施等方面给出定性的说明。</w:t>
            </w:r>
          </w:p>
        </w:tc>
      </w:tr>
    </w:tbl>
    <w:p w14:paraId="259F9B99">
      <w:pPr>
        <w:pStyle w:val="3"/>
        <w:numPr>
          <w:ilvl w:val="1"/>
          <w:numId w:val="0"/>
        </w:numPr>
        <w:ind w:leftChars="0"/>
        <w:rPr>
          <w:rFonts w:hint="default" w:ascii="Times New Roman" w:hAnsi="Times New Roman" w:cs="Times New Roman"/>
          <w:color w:val="auto"/>
          <w:highlight w:val="none"/>
          <w:u w:val="none" w:color="auto"/>
        </w:rPr>
      </w:pPr>
      <w:bookmarkStart w:id="145" w:name="_Toc3375"/>
      <w:r>
        <w:rPr>
          <w:rFonts w:hint="default" w:ascii="Times New Roman" w:hAnsi="Times New Roman" w:cs="Times New Roman"/>
          <w:color w:val="auto"/>
          <w:highlight w:val="none"/>
          <w:u w:val="none" w:color="auto"/>
          <w:lang w:val="en-US" w:eastAsia="zh-CN"/>
        </w:rPr>
        <w:t xml:space="preserve">6.3 </w:t>
      </w:r>
      <w:r>
        <w:rPr>
          <w:rFonts w:hint="default" w:ascii="Times New Roman" w:hAnsi="Times New Roman" w:cs="Times New Roman"/>
          <w:color w:val="auto"/>
          <w:highlight w:val="none"/>
          <w:u w:val="none" w:color="auto"/>
        </w:rPr>
        <w:t>风险识别</w:t>
      </w:r>
      <w:bookmarkEnd w:id="145"/>
    </w:p>
    <w:p w14:paraId="63D4F3A4">
      <w:pPr>
        <w:pStyle w:val="4"/>
        <w:numPr>
          <w:ilvl w:val="2"/>
          <w:numId w:val="0"/>
        </w:numPr>
        <w:ind w:leftChars="0"/>
        <w:rPr>
          <w:rFonts w:hint="default" w:ascii="Times New Roman" w:hAnsi="Times New Roman" w:cs="Times New Roman"/>
          <w:color w:val="auto"/>
          <w:highlight w:val="none"/>
          <w:u w:val="none" w:color="auto"/>
        </w:rPr>
      </w:pPr>
      <w:bookmarkStart w:id="146" w:name="_Toc6949"/>
      <w:r>
        <w:rPr>
          <w:rFonts w:hint="default" w:ascii="Times New Roman" w:hAnsi="Times New Roman" w:cs="Times New Roman"/>
          <w:color w:val="auto"/>
          <w:highlight w:val="none"/>
          <w:u w:val="none" w:color="auto"/>
          <w:lang w:val="en-US" w:eastAsia="zh-CN"/>
        </w:rPr>
        <w:t xml:space="preserve">6.3.1 </w:t>
      </w:r>
      <w:r>
        <w:rPr>
          <w:rFonts w:hint="default" w:ascii="Times New Roman" w:hAnsi="Times New Roman" w:cs="Times New Roman"/>
          <w:color w:val="auto"/>
          <w:highlight w:val="none"/>
          <w:u w:val="none" w:color="auto"/>
        </w:rPr>
        <w:t>物质危险性识别</w:t>
      </w:r>
      <w:bookmarkEnd w:id="146"/>
      <w:r>
        <w:rPr>
          <w:rFonts w:hint="default" w:ascii="Times New Roman" w:hAnsi="Times New Roman" w:cs="Times New Roman"/>
          <w:color w:val="auto"/>
          <w:highlight w:val="none"/>
          <w:u w:val="none" w:color="auto"/>
        </w:rPr>
        <w:t xml:space="preserve"> </w:t>
      </w:r>
    </w:p>
    <w:p w14:paraId="3257750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物质风险一般有主要原材料及辅助材料、燃料、中间产品、最终产品以及生产过程排放的“三废”污染物等。根据《建设项目环境风险评价技术导则》（HJ169-2018）“附录B重点关注的危险物质及临界量”，以及本项目</w:t>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 xml:space="preserve">.1.1风险源调查，本项目主要原辅材料危险性识别结果见下表。 </w:t>
      </w:r>
    </w:p>
    <w:p w14:paraId="400A823C">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.3</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lang w:val="en-US" w:eastAsia="zh-CN"/>
        </w:rPr>
        <w:t>4</w:t>
      </w:r>
      <w:r>
        <w:rPr>
          <w:rFonts w:hint="default" w:ascii="Times New Roman" w:hAnsi="Times New Roman" w:cs="Times New Roman"/>
          <w:color w:val="auto"/>
          <w:highlight w:val="none"/>
          <w:u w:val="none" w:color="auto"/>
        </w:rPr>
        <w:t xml:space="preserve">  本项目涉及原辅材料、燃料物质危险性</w:t>
      </w:r>
    </w:p>
    <w:tbl>
      <w:tblPr>
        <w:tblStyle w:val="76"/>
        <w:tblW w:w="4941"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001"/>
        <w:gridCol w:w="1312"/>
        <w:gridCol w:w="1346"/>
        <w:gridCol w:w="1543"/>
        <w:gridCol w:w="2147"/>
        <w:gridCol w:w="1642"/>
      </w:tblGrid>
      <w:tr w14:paraId="63458D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96" w:hRule="atLeast"/>
          <w:jc w:val="center"/>
        </w:trPr>
        <w:tc>
          <w:tcPr>
            <w:tcW w:w="998" w:type="dxa"/>
            <w:vAlign w:val="center"/>
          </w:tcPr>
          <w:p w14:paraId="303FB599">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危险单元</w:t>
            </w:r>
          </w:p>
        </w:tc>
        <w:tc>
          <w:tcPr>
            <w:tcW w:w="1308" w:type="dxa"/>
            <w:vAlign w:val="center"/>
          </w:tcPr>
          <w:p w14:paraId="77B0B754">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风险源</w:t>
            </w:r>
          </w:p>
        </w:tc>
        <w:tc>
          <w:tcPr>
            <w:tcW w:w="1342" w:type="dxa"/>
            <w:vAlign w:val="center"/>
          </w:tcPr>
          <w:p w14:paraId="5A3BBEE9">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主要危险物质</w:t>
            </w:r>
          </w:p>
        </w:tc>
        <w:tc>
          <w:tcPr>
            <w:tcW w:w="1538" w:type="dxa"/>
            <w:vAlign w:val="center"/>
          </w:tcPr>
          <w:p w14:paraId="7C9920EC">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环境风险类型</w:t>
            </w:r>
          </w:p>
        </w:tc>
        <w:tc>
          <w:tcPr>
            <w:tcW w:w="2140" w:type="dxa"/>
            <w:vAlign w:val="center"/>
          </w:tcPr>
          <w:p w14:paraId="218F31E6">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环境影响途经</w:t>
            </w:r>
          </w:p>
        </w:tc>
        <w:tc>
          <w:tcPr>
            <w:tcW w:w="1637" w:type="dxa"/>
            <w:vAlign w:val="center"/>
          </w:tcPr>
          <w:p w14:paraId="297F66BB">
            <w:pPr>
              <w:pStyle w:val="192"/>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可能受影响的环境敏感目标</w:t>
            </w:r>
          </w:p>
        </w:tc>
      </w:tr>
      <w:tr w14:paraId="04156C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8" w:hRule="atLeast"/>
          <w:jc w:val="center"/>
        </w:trPr>
        <w:tc>
          <w:tcPr>
            <w:tcW w:w="998" w:type="dxa"/>
            <w:vMerge w:val="restart"/>
            <w:vAlign w:val="center"/>
          </w:tcPr>
          <w:p w14:paraId="5A3CCA5B">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污水处理单元</w:t>
            </w:r>
          </w:p>
        </w:tc>
        <w:tc>
          <w:tcPr>
            <w:tcW w:w="1308" w:type="dxa"/>
            <w:vAlign w:val="center"/>
          </w:tcPr>
          <w:p w14:paraId="4C987E0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氨气</w:t>
            </w:r>
          </w:p>
        </w:tc>
        <w:tc>
          <w:tcPr>
            <w:tcW w:w="1342" w:type="dxa"/>
            <w:vAlign w:val="center"/>
          </w:tcPr>
          <w:p w14:paraId="74B161C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NH</w:t>
            </w:r>
            <w:r>
              <w:rPr>
                <w:rFonts w:hint="default" w:ascii="Times New Roman" w:hAnsi="Times New Roman" w:eastAsia="宋体" w:cs="Times New Roman"/>
                <w:color w:val="auto"/>
                <w:highlight w:val="none"/>
                <w:u w:val="none" w:color="auto"/>
                <w:vertAlign w:val="subscript"/>
              </w:rPr>
              <w:t>3</w:t>
            </w:r>
          </w:p>
        </w:tc>
        <w:tc>
          <w:tcPr>
            <w:tcW w:w="1538" w:type="dxa"/>
            <w:vAlign w:val="center"/>
          </w:tcPr>
          <w:p w14:paraId="02895200">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事故排放</w:t>
            </w:r>
          </w:p>
        </w:tc>
        <w:tc>
          <w:tcPr>
            <w:tcW w:w="2140" w:type="dxa"/>
            <w:vAlign w:val="center"/>
          </w:tcPr>
          <w:p w14:paraId="46CB0A9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 xml:space="preserve">大气 </w:t>
            </w:r>
          </w:p>
        </w:tc>
        <w:tc>
          <w:tcPr>
            <w:tcW w:w="1637" w:type="dxa"/>
            <w:vMerge w:val="restart"/>
            <w:vAlign w:val="center"/>
          </w:tcPr>
          <w:p w14:paraId="637D9A63">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周边居民</w:t>
            </w:r>
          </w:p>
        </w:tc>
      </w:tr>
      <w:tr w14:paraId="06F5E5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8" w:hRule="atLeast"/>
          <w:jc w:val="center"/>
        </w:trPr>
        <w:tc>
          <w:tcPr>
            <w:tcW w:w="998" w:type="dxa"/>
            <w:vMerge w:val="continue"/>
            <w:vAlign w:val="center"/>
          </w:tcPr>
          <w:p w14:paraId="655C349B">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p>
        </w:tc>
        <w:tc>
          <w:tcPr>
            <w:tcW w:w="1308" w:type="dxa"/>
            <w:vAlign w:val="center"/>
          </w:tcPr>
          <w:p w14:paraId="2D0F866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硫化氢</w:t>
            </w:r>
          </w:p>
        </w:tc>
        <w:tc>
          <w:tcPr>
            <w:tcW w:w="1342" w:type="dxa"/>
            <w:vAlign w:val="center"/>
          </w:tcPr>
          <w:p w14:paraId="77C1F71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H</w:t>
            </w:r>
            <w:r>
              <w:rPr>
                <w:rFonts w:hint="default" w:ascii="Times New Roman" w:hAnsi="Times New Roman" w:eastAsia="宋体" w:cs="Times New Roman"/>
                <w:color w:val="auto"/>
                <w:highlight w:val="none"/>
                <w:u w:val="none" w:color="auto"/>
                <w:vertAlign w:val="subscript"/>
              </w:rPr>
              <w:t>2</w:t>
            </w:r>
            <w:r>
              <w:rPr>
                <w:rFonts w:hint="default" w:ascii="Times New Roman" w:hAnsi="Times New Roman" w:eastAsia="宋体" w:cs="Times New Roman"/>
                <w:color w:val="auto"/>
                <w:highlight w:val="none"/>
                <w:u w:val="none" w:color="auto"/>
              </w:rPr>
              <w:t>S</w:t>
            </w:r>
          </w:p>
        </w:tc>
        <w:tc>
          <w:tcPr>
            <w:tcW w:w="1538" w:type="dxa"/>
            <w:vAlign w:val="center"/>
          </w:tcPr>
          <w:p w14:paraId="6F83758C">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事故排放</w:t>
            </w:r>
          </w:p>
        </w:tc>
        <w:tc>
          <w:tcPr>
            <w:tcW w:w="2140" w:type="dxa"/>
            <w:vAlign w:val="center"/>
          </w:tcPr>
          <w:p w14:paraId="24EF42D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 xml:space="preserve">大气 </w:t>
            </w:r>
          </w:p>
        </w:tc>
        <w:tc>
          <w:tcPr>
            <w:tcW w:w="1637" w:type="dxa"/>
            <w:vMerge w:val="continue"/>
            <w:vAlign w:val="center"/>
          </w:tcPr>
          <w:p w14:paraId="6B5E33C2">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p>
        </w:tc>
      </w:tr>
      <w:tr w14:paraId="33B9AF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8" w:hRule="atLeast"/>
          <w:jc w:val="center"/>
        </w:trPr>
        <w:tc>
          <w:tcPr>
            <w:tcW w:w="998" w:type="dxa"/>
            <w:vAlign w:val="center"/>
          </w:tcPr>
          <w:p w14:paraId="226C943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lang w:val="en-US" w:eastAsia="zh-CN"/>
              </w:rPr>
              <w:t>加氯间</w:t>
            </w:r>
          </w:p>
        </w:tc>
        <w:tc>
          <w:tcPr>
            <w:tcW w:w="1308" w:type="dxa"/>
            <w:vAlign w:val="center"/>
          </w:tcPr>
          <w:p w14:paraId="5C9C6B9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次氯酸钠</w:t>
            </w:r>
          </w:p>
        </w:tc>
        <w:tc>
          <w:tcPr>
            <w:tcW w:w="1342" w:type="dxa"/>
            <w:vAlign w:val="center"/>
          </w:tcPr>
          <w:p w14:paraId="0946729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NaClO</w:t>
            </w:r>
          </w:p>
        </w:tc>
        <w:tc>
          <w:tcPr>
            <w:tcW w:w="1538" w:type="dxa"/>
            <w:vAlign w:val="center"/>
          </w:tcPr>
          <w:p w14:paraId="5B6CC021">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泄露</w:t>
            </w:r>
          </w:p>
        </w:tc>
        <w:tc>
          <w:tcPr>
            <w:tcW w:w="2140" w:type="dxa"/>
            <w:vAlign w:val="center"/>
          </w:tcPr>
          <w:p w14:paraId="6311E93E">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地表水、土壤</w:t>
            </w:r>
          </w:p>
        </w:tc>
        <w:tc>
          <w:tcPr>
            <w:tcW w:w="1637" w:type="dxa"/>
            <w:vMerge w:val="continue"/>
            <w:vAlign w:val="center"/>
          </w:tcPr>
          <w:p w14:paraId="46458EE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p>
        </w:tc>
      </w:tr>
      <w:tr w14:paraId="7A9ED4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7" w:hRule="atLeast"/>
          <w:jc w:val="center"/>
        </w:trPr>
        <w:tc>
          <w:tcPr>
            <w:tcW w:w="998" w:type="dxa"/>
            <w:vMerge w:val="restart"/>
            <w:vAlign w:val="center"/>
          </w:tcPr>
          <w:p w14:paraId="1626ADFE">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bookmarkStart w:id="147" w:name="_Toc32379"/>
            <w:r>
              <w:rPr>
                <w:rFonts w:hint="default" w:ascii="Times New Roman" w:hAnsi="Times New Roman" w:eastAsia="宋体" w:cs="Times New Roman"/>
                <w:color w:val="auto"/>
                <w:highlight w:val="none"/>
                <w:u w:val="none" w:color="auto"/>
                <w:lang w:val="en-US" w:eastAsia="zh-CN"/>
              </w:rPr>
              <w:t>危废暂存间</w:t>
            </w:r>
          </w:p>
        </w:tc>
        <w:tc>
          <w:tcPr>
            <w:tcW w:w="1308" w:type="dxa"/>
            <w:vAlign w:val="center"/>
          </w:tcPr>
          <w:p w14:paraId="569ED399">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废矿物油</w:t>
            </w:r>
          </w:p>
        </w:tc>
        <w:tc>
          <w:tcPr>
            <w:tcW w:w="1342" w:type="dxa"/>
            <w:vAlign w:val="center"/>
          </w:tcPr>
          <w:p w14:paraId="03AB93C7">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废矿物油</w:t>
            </w:r>
          </w:p>
        </w:tc>
        <w:tc>
          <w:tcPr>
            <w:tcW w:w="1538" w:type="dxa"/>
            <w:vAlign w:val="center"/>
          </w:tcPr>
          <w:p w14:paraId="1A9385D3">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泄露</w:t>
            </w:r>
          </w:p>
        </w:tc>
        <w:tc>
          <w:tcPr>
            <w:tcW w:w="2140" w:type="dxa"/>
            <w:vAlign w:val="center"/>
          </w:tcPr>
          <w:p w14:paraId="1EFDE5D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地表水、土壤</w:t>
            </w:r>
          </w:p>
        </w:tc>
        <w:tc>
          <w:tcPr>
            <w:tcW w:w="1637" w:type="dxa"/>
            <w:vMerge w:val="continue"/>
            <w:vAlign w:val="center"/>
          </w:tcPr>
          <w:p w14:paraId="5FCC42AC">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p>
        </w:tc>
      </w:tr>
      <w:tr w14:paraId="597F1E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7" w:hRule="atLeast"/>
          <w:jc w:val="center"/>
        </w:trPr>
        <w:tc>
          <w:tcPr>
            <w:tcW w:w="998" w:type="dxa"/>
            <w:vMerge w:val="continue"/>
            <w:vAlign w:val="center"/>
          </w:tcPr>
          <w:p w14:paraId="594D4363">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p>
        </w:tc>
        <w:tc>
          <w:tcPr>
            <w:tcW w:w="1308" w:type="dxa"/>
            <w:vAlign w:val="center"/>
          </w:tcPr>
          <w:p w14:paraId="729F853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在线监测废液</w:t>
            </w:r>
          </w:p>
        </w:tc>
        <w:tc>
          <w:tcPr>
            <w:tcW w:w="1342" w:type="dxa"/>
            <w:vAlign w:val="center"/>
          </w:tcPr>
          <w:p w14:paraId="2CAC592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在线监测废液</w:t>
            </w:r>
          </w:p>
        </w:tc>
        <w:tc>
          <w:tcPr>
            <w:tcW w:w="1538" w:type="dxa"/>
            <w:vAlign w:val="center"/>
          </w:tcPr>
          <w:p w14:paraId="0A41B3F4">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泄露</w:t>
            </w:r>
          </w:p>
        </w:tc>
        <w:tc>
          <w:tcPr>
            <w:tcW w:w="2140" w:type="dxa"/>
            <w:vAlign w:val="center"/>
          </w:tcPr>
          <w:p w14:paraId="3A44A006">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地表水、土壤</w:t>
            </w:r>
          </w:p>
        </w:tc>
        <w:tc>
          <w:tcPr>
            <w:tcW w:w="1637" w:type="dxa"/>
            <w:vMerge w:val="continue"/>
            <w:vAlign w:val="center"/>
          </w:tcPr>
          <w:p w14:paraId="420B831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p>
        </w:tc>
      </w:tr>
      <w:tr w14:paraId="788FC7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7" w:hRule="atLeast"/>
          <w:jc w:val="center"/>
        </w:trPr>
        <w:tc>
          <w:tcPr>
            <w:tcW w:w="998" w:type="dxa"/>
            <w:vMerge w:val="continue"/>
            <w:vAlign w:val="center"/>
          </w:tcPr>
          <w:p w14:paraId="4ADA1806">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p>
        </w:tc>
        <w:tc>
          <w:tcPr>
            <w:tcW w:w="1308" w:type="dxa"/>
            <w:vAlign w:val="center"/>
          </w:tcPr>
          <w:p w14:paraId="1A0921D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化验室废液</w:t>
            </w:r>
          </w:p>
        </w:tc>
        <w:tc>
          <w:tcPr>
            <w:tcW w:w="1342" w:type="dxa"/>
            <w:vAlign w:val="center"/>
          </w:tcPr>
          <w:p w14:paraId="52644A4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化验室废液</w:t>
            </w:r>
          </w:p>
        </w:tc>
        <w:tc>
          <w:tcPr>
            <w:tcW w:w="1538" w:type="dxa"/>
            <w:vAlign w:val="center"/>
          </w:tcPr>
          <w:p w14:paraId="239DE24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泄露</w:t>
            </w:r>
          </w:p>
        </w:tc>
        <w:tc>
          <w:tcPr>
            <w:tcW w:w="2140" w:type="dxa"/>
            <w:vAlign w:val="center"/>
          </w:tcPr>
          <w:p w14:paraId="1C0C889B">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地表水、土壤</w:t>
            </w:r>
          </w:p>
        </w:tc>
        <w:tc>
          <w:tcPr>
            <w:tcW w:w="1637" w:type="dxa"/>
            <w:vMerge w:val="continue"/>
            <w:vAlign w:val="center"/>
          </w:tcPr>
          <w:p w14:paraId="20BAD9F2">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p>
        </w:tc>
      </w:tr>
    </w:tbl>
    <w:p w14:paraId="56261471">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6.3.2 </w:t>
      </w:r>
      <w:r>
        <w:rPr>
          <w:rFonts w:hint="default" w:ascii="Times New Roman" w:hAnsi="Times New Roman" w:cs="Times New Roman"/>
          <w:color w:val="auto"/>
          <w:highlight w:val="none"/>
          <w:u w:val="none" w:color="auto"/>
        </w:rPr>
        <w:t>生产过程危险性识别</w:t>
      </w:r>
      <w:bookmarkEnd w:id="147"/>
      <w:r>
        <w:rPr>
          <w:rFonts w:hint="default" w:ascii="Times New Roman" w:hAnsi="Times New Roman" w:cs="Times New Roman"/>
          <w:color w:val="auto"/>
          <w:highlight w:val="none"/>
          <w:u w:val="none" w:color="auto"/>
        </w:rPr>
        <w:t xml:space="preserve"> </w:t>
      </w:r>
    </w:p>
    <w:p w14:paraId="14CDB22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（1）识别内容</w:t>
      </w:r>
    </w:p>
    <w:p w14:paraId="7D877CE8">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生产系统危险性识别包括生产装置、储运装置、公用工程和辅助生产设施，以及环境保护设施等。 </w:t>
      </w:r>
    </w:p>
    <w:p w14:paraId="3BBC0D58">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rPr>
        <w:t>贮存过程风险识别</w:t>
      </w:r>
    </w:p>
    <w:p w14:paraId="2EA2A98A">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本项目次氯酸钠采用储罐进行贮存、废矿物油采用封闭桶贮存。一般情况下，贮存区是安全的，但若管理不善，可能由于罐体（桶体）或管道、阀门破损或受外因诱导</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如热源、火源、雷击等</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时，会引发物质泄漏事故。</w:t>
      </w:r>
    </w:p>
    <w:p w14:paraId="614E4AF2">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工艺过程风险识别</w:t>
      </w:r>
    </w:p>
    <w:p w14:paraId="4EC68BC6">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通过对项目所选用的污水处理工艺及整个污水处理系统中所建设施的分析，风险污染事故的类型主要反映在污水处理厂非正常运转状况可能发生的污水及恶臭物质排放引起的环境问题。风险污染事故主要发生在以下环节：</w:t>
      </w:r>
    </w:p>
    <w:p w14:paraId="66D5526B">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①废水事故排放</w:t>
      </w:r>
    </w:p>
    <w:p w14:paraId="69FBB062">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服务范围内企业废水</w:t>
      </w:r>
      <w:r>
        <w:rPr>
          <w:rFonts w:hint="default" w:ascii="Times New Roman" w:hAnsi="Times New Roman" w:cs="Times New Roman"/>
          <w:color w:val="auto"/>
          <w:highlight w:val="none"/>
          <w:u w:val="none" w:color="auto"/>
          <w:lang w:val="en-US" w:eastAsia="zh-CN"/>
        </w:rPr>
        <w:t>预</w:t>
      </w:r>
      <w:r>
        <w:rPr>
          <w:rFonts w:hint="default" w:ascii="Times New Roman" w:hAnsi="Times New Roman" w:cs="Times New Roman"/>
          <w:color w:val="auto"/>
          <w:highlight w:val="none"/>
          <w:u w:val="none" w:color="auto"/>
        </w:rPr>
        <w:t>处理设施故障，尾水排放口来不及及时关闭，导致COD等超标废水进入厂区，对污水处理厂正常运行以及间接对</w:t>
      </w:r>
      <w:r>
        <w:rPr>
          <w:rFonts w:hint="default" w:ascii="Times New Roman" w:hAnsi="Times New Roman" w:cs="Times New Roman"/>
          <w:color w:val="auto"/>
          <w:highlight w:val="none"/>
          <w:u w:val="none" w:color="auto"/>
          <w:lang w:val="en-US" w:eastAsia="zh-CN"/>
        </w:rPr>
        <w:t>机排二十渠</w:t>
      </w:r>
      <w:r>
        <w:rPr>
          <w:rFonts w:hint="default" w:ascii="Times New Roman" w:hAnsi="Times New Roman" w:cs="Times New Roman"/>
          <w:color w:val="auto"/>
          <w:highlight w:val="none"/>
          <w:u w:val="none" w:color="auto"/>
        </w:rPr>
        <w:t>水环境造成污染影响。超</w:t>
      </w:r>
      <w:r>
        <w:rPr>
          <w:rFonts w:hint="default" w:ascii="Times New Roman" w:hAnsi="Times New Roman" w:cs="Times New Roman"/>
          <w:color w:val="auto"/>
          <w:highlight w:val="none"/>
          <w:u w:val="none" w:color="auto"/>
          <w:lang w:val="en-US" w:eastAsia="zh-CN"/>
        </w:rPr>
        <w:t>高</w:t>
      </w:r>
      <w:r>
        <w:rPr>
          <w:rFonts w:hint="default" w:ascii="Times New Roman" w:hAnsi="Times New Roman" w:cs="Times New Roman"/>
          <w:color w:val="auto"/>
          <w:highlight w:val="none"/>
          <w:u w:val="none" w:color="auto"/>
        </w:rPr>
        <w:t>浓度的污水可能使</w:t>
      </w:r>
      <w:r>
        <w:rPr>
          <w:rFonts w:hint="default" w:ascii="Times New Roman" w:hAnsi="Times New Roman" w:cs="Times New Roman"/>
          <w:color w:val="auto"/>
          <w:highlight w:val="none"/>
          <w:u w:val="none" w:color="auto"/>
          <w:lang w:val="en-US" w:eastAsia="zh-CN"/>
        </w:rPr>
        <w:t>生化阶段</w:t>
      </w:r>
      <w:r>
        <w:rPr>
          <w:rFonts w:hint="default" w:ascii="Times New Roman" w:hAnsi="Times New Roman" w:cs="Times New Roman"/>
          <w:color w:val="auto"/>
          <w:highlight w:val="none"/>
          <w:u w:val="none" w:color="auto"/>
        </w:rPr>
        <w:t>活性污泥大量死亡，或者电力及机械故障，导致活性污泥会因缺氧窒息死亡，均会导致污水生化处理工艺过程遭到破坏，影响污水处理效率，导致废水超标排放。</w:t>
      </w:r>
    </w:p>
    <w:p w14:paraId="4642931B">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②恶臭废气事故排放</w:t>
      </w:r>
    </w:p>
    <w:p w14:paraId="540A7717">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对恶臭污染物集中收集后采用生物除臭设施除臭。恶臭处理系统若维护不善或设备年久失修的情况下，易发生故障，导致恶臭气体无法得到净化处理，致使恶臭废气未经处理直接排放，影响厂区及周围环境空气质量。</w:t>
      </w:r>
    </w:p>
    <w:p w14:paraId="663E2851">
      <w:pPr>
        <w:pStyle w:val="4"/>
        <w:numPr>
          <w:ilvl w:val="2"/>
          <w:numId w:val="0"/>
        </w:numPr>
        <w:ind w:leftChars="0"/>
        <w:rPr>
          <w:rFonts w:hint="default" w:ascii="Times New Roman" w:hAnsi="Times New Roman" w:cs="Times New Roman"/>
          <w:color w:val="auto"/>
          <w:highlight w:val="none"/>
          <w:u w:val="none" w:color="auto"/>
        </w:rPr>
      </w:pPr>
      <w:bookmarkStart w:id="148" w:name="_Toc18059"/>
      <w:r>
        <w:rPr>
          <w:rFonts w:hint="default" w:ascii="Times New Roman" w:hAnsi="Times New Roman" w:cs="Times New Roman"/>
          <w:color w:val="auto"/>
          <w:highlight w:val="none"/>
          <w:u w:val="none" w:color="auto"/>
          <w:lang w:val="en-US" w:eastAsia="zh-CN"/>
        </w:rPr>
        <w:t xml:space="preserve">6.3.3 </w:t>
      </w:r>
      <w:r>
        <w:rPr>
          <w:rFonts w:hint="default" w:ascii="Times New Roman" w:hAnsi="Times New Roman" w:cs="Times New Roman"/>
          <w:color w:val="auto"/>
          <w:highlight w:val="none"/>
          <w:u w:val="none" w:color="auto"/>
        </w:rPr>
        <w:t>环境风险类型及危害分析</w:t>
      </w:r>
      <w:bookmarkEnd w:id="148"/>
    </w:p>
    <w:p w14:paraId="633402DA">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6.3.3.1</w:t>
      </w:r>
      <w:r>
        <w:rPr>
          <w:rFonts w:hint="default" w:ascii="Times New Roman" w:hAnsi="Times New Roman" w:cs="Times New Roman"/>
          <w:color w:val="auto"/>
          <w:highlight w:val="none"/>
          <w:u w:val="none" w:color="auto"/>
        </w:rPr>
        <w:t>风险类型</w:t>
      </w:r>
    </w:p>
    <w:p w14:paraId="720B4FB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根据本工程的物质危险性、生产设施风险识别结果，一旦本工程发生重大灾害事故，其事故对环境影响的途经主要表现为可能危害区域水环境质量，其环境污染形式主要有以下几个方面： </w:t>
      </w:r>
    </w:p>
    <w:p w14:paraId="6BE409C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（1）管道破裂、管道接头、阀门破损等导致污水泄漏，污染区域环境。</w:t>
      </w:r>
    </w:p>
    <w:p w14:paraId="760C789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（2）危险物质泄露造成的环境影响。</w:t>
      </w:r>
    </w:p>
    <w:p w14:paraId="4271C23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污水处理设备及构筑物发生故障，污水处理效率降低导致尾水超标。该环境风险发生频率较高。进管污水水质超过污水厂处理负荷，高浓度废水未经处理通过事故应急管直接排放，从而对区域水环境造成污染。该环境风险发生频率较低。</w:t>
      </w:r>
    </w:p>
    <w:p w14:paraId="6FC29151">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6.3.3.2 </w:t>
      </w:r>
      <w:r>
        <w:rPr>
          <w:rFonts w:hint="default" w:ascii="Times New Roman" w:hAnsi="Times New Roman" w:cs="Times New Roman"/>
          <w:color w:val="auto"/>
          <w:highlight w:val="none"/>
          <w:u w:val="none" w:color="auto"/>
        </w:rPr>
        <w:t>管网爆裂事故排水环境风险影响分析</w:t>
      </w:r>
    </w:p>
    <w:p w14:paraId="65AE305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假定厂区内发生排水管爆裂事故，未处理的废水将会在管沟中流出，随着水量的增多，将会进入土壤，从而影响地下水环境。一旦发生爆管事故，首先应关闭进水和出水，通知排污企业停止生产、尽快抢修，尽早恢复正常运行。 </w:t>
      </w:r>
    </w:p>
    <w:p w14:paraId="3822293D">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假定排水管爆裂事故发生在污水厂总排放管道，应立即停止排水，未经处理的污水进入废水事故池，待管道抢修完毕再通过污水泵将废水转入污水处理单元。</w:t>
      </w:r>
      <w:r>
        <w:rPr>
          <w:rFonts w:hint="default" w:ascii="Times New Roman" w:hAnsi="Times New Roman" w:cs="Times New Roman"/>
          <w:color w:val="FF0000"/>
          <w:highlight w:val="none"/>
          <w:u w:val="none" w:color="auto"/>
        </w:rPr>
        <w:t xml:space="preserve"> </w:t>
      </w:r>
    </w:p>
    <w:p w14:paraId="5937CD35">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6.3.3.3 </w:t>
      </w:r>
      <w:r>
        <w:rPr>
          <w:rFonts w:hint="default" w:ascii="Times New Roman" w:hAnsi="Times New Roman" w:cs="Times New Roman"/>
          <w:color w:val="auto"/>
          <w:highlight w:val="none"/>
          <w:u w:val="none" w:color="auto"/>
        </w:rPr>
        <w:t>污水事故性排放环境风险影响分析</w:t>
      </w:r>
    </w:p>
    <w:p w14:paraId="0F93CC62">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本项目运行过程中突发事故会导致处理效率下降或污水处理厂无法工作，使大量污水无法处理，对企业后续排水产生影响。根据污水厂生产工艺分析，废水处理过程中存在的环境危险和危害主要有以下几种： </w:t>
      </w:r>
    </w:p>
    <w:p w14:paraId="5CF95EC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（1）由于人员操作不当，污水处理系统运行不正常，可能降低活性污泥浓度，使得生化效率下降，出现事故性排放导致的尾水超标。 </w:t>
      </w:r>
    </w:p>
    <w:p w14:paraId="023F849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污水处理设备及构筑物发生故障，污水处理效率降低导致的尾水超标。污水处理厂由于停电、设备损坏、污水处理设施运行不正常、停车检修等造成大量污水未经处理直接排入</w:t>
      </w:r>
      <w:r>
        <w:rPr>
          <w:rFonts w:hint="default" w:ascii="Times New Roman" w:hAnsi="Times New Roman" w:cs="Times New Roman"/>
          <w:color w:val="auto"/>
          <w:highlight w:val="none"/>
          <w:u w:val="none" w:color="auto"/>
          <w:lang w:val="en-US" w:eastAsia="zh-CN"/>
        </w:rPr>
        <w:t>机排二十渠</w:t>
      </w:r>
      <w:r>
        <w:rPr>
          <w:rFonts w:hint="default" w:ascii="Times New Roman" w:hAnsi="Times New Roman" w:cs="Times New Roman"/>
          <w:color w:val="auto"/>
          <w:highlight w:val="none"/>
          <w:u w:val="none" w:color="auto"/>
        </w:rPr>
        <w:t xml:space="preserve">，造成进水水质超标。 </w:t>
      </w:r>
    </w:p>
    <w:p w14:paraId="6221FE9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 由于企业排水的不均匀性，导致进厂污水水量超过设计能力，污水停留时间减少，污染负荷去除率较低；另外，进厂污水水质负荷变化，有毒物质浓度升高，也会导致污水处理厂去除率下降，尾水超标排放。</w:t>
      </w:r>
    </w:p>
    <w:p w14:paraId="27CEDC57">
      <w:pPr>
        <w:pStyle w:val="3"/>
        <w:numPr>
          <w:ilvl w:val="1"/>
          <w:numId w:val="0"/>
        </w:numPr>
        <w:ind w:leftChars="0"/>
        <w:rPr>
          <w:rFonts w:hint="default" w:ascii="Times New Roman" w:hAnsi="Times New Roman" w:cs="Times New Roman"/>
          <w:color w:val="000000" w:themeColor="text1"/>
          <w:highlight w:val="none"/>
          <w:u w:val="wave" w:color="auto"/>
          <w14:textFill>
            <w14:solidFill>
              <w14:schemeClr w14:val="tx1"/>
            </w14:solidFill>
          </w14:textFill>
        </w:rPr>
      </w:pPr>
      <w:bookmarkStart w:id="149" w:name="_Toc16083"/>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6.4 </w:t>
      </w:r>
      <w:r>
        <w:rPr>
          <w:rFonts w:hint="default" w:ascii="Times New Roman" w:hAnsi="Times New Roman" w:cs="Times New Roman"/>
          <w:color w:val="000000" w:themeColor="text1"/>
          <w:highlight w:val="none"/>
          <w:u w:val="wave" w:color="auto"/>
          <w14:textFill>
            <w14:solidFill>
              <w14:schemeClr w14:val="tx1"/>
            </w14:solidFill>
          </w14:textFill>
        </w:rPr>
        <w:t>风险防范措施</w:t>
      </w:r>
      <w:bookmarkEnd w:id="149"/>
    </w:p>
    <w:p w14:paraId="4E494632">
      <w:pPr>
        <w:pStyle w:val="4"/>
        <w:numPr>
          <w:ilvl w:val="2"/>
          <w:numId w:val="0"/>
        </w:numPr>
        <w:ind w:leftChars="0"/>
        <w:rPr>
          <w:rFonts w:hint="default" w:ascii="Times New Roman" w:hAnsi="Times New Roman" w:cs="Times New Roman"/>
          <w:color w:val="000000" w:themeColor="text1"/>
          <w:highlight w:val="none"/>
          <w:u w:val="wave" w:color="auto"/>
          <w14:textFill>
            <w14:solidFill>
              <w14:schemeClr w14:val="tx1"/>
            </w14:solidFill>
          </w14:textFill>
        </w:rPr>
      </w:pPr>
      <w:bookmarkStart w:id="150" w:name="_Toc27243"/>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6.4.1 </w:t>
      </w:r>
      <w:r>
        <w:rPr>
          <w:rFonts w:hint="default" w:ascii="Times New Roman" w:hAnsi="Times New Roman" w:cs="Times New Roman"/>
          <w:color w:val="000000" w:themeColor="text1"/>
          <w:highlight w:val="none"/>
          <w:u w:val="wave" w:color="auto"/>
          <w14:textFill>
            <w14:solidFill>
              <w14:schemeClr w14:val="tx1"/>
            </w14:solidFill>
          </w14:textFill>
        </w:rPr>
        <w:t>非正常污水排放的防护措施</w:t>
      </w:r>
      <w:bookmarkEnd w:id="150"/>
    </w:p>
    <w:p w14:paraId="00752308">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综上分析可知，一旦污水厂发生事故，污水达不到出水标准，将造成大量超标废水外排，污染地表水环境。建设单位应采取以下事故防范措施。 </w:t>
      </w:r>
    </w:p>
    <w:p w14:paraId="1EA0D21C">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1）加强设备、设施的维护与管理，关键设备应有备用机，保证电源双回路供电；一旦出现不可抗拒的外部原因，如双回路停电，突发性自然灾害等情况导致污水未能及时处理时，应将来水自动切换进入废水事故池，并通知排污企业部分或全部停止向管道排污，以确保水体功能安全。 </w:t>
      </w:r>
    </w:p>
    <w:p w14:paraId="29BC849B">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（2）建立可靠的运行监控系统，包括计量、采样、监测、报警等设施，发现异常情况，及时调整运行参数，以控制和避免事故的发生。 </w:t>
      </w:r>
    </w:p>
    <w:p w14:paraId="135EF977">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3）为防止废水水质波动过大，造成冲击负荷，以及pH、有毒物质和水温等因素，造成污水处理设施处理率下降，应严格执行废水进管标准，要求纳管企业生产废水预处理后进管，禁止超标排放进管，确保污水处理设施的正常运行。 </w:t>
      </w:r>
    </w:p>
    <w:p w14:paraId="29613965">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4）应考虑2组设备并联运行，关键设备要有备用机（如风机、泵等），设备等检修安排在工业生产淡季（一般在12月-3月），一组运转，另一组检修，交替进行。同时要加强设施的维护和管理，提高设备的完好率，关键设备要配备足够的备件，一旦事故发生能够及时处理。 </w:t>
      </w:r>
    </w:p>
    <w:p w14:paraId="2EA1ACB5">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（5）要建立完善的档案制度，记录进厂水质水量变化引起污水处理设施的处理效果和尾水水质变化状况，尤其要记录事故的工况，以便总结经验，杜绝事故的再次发生。</w:t>
      </w:r>
    </w:p>
    <w:p w14:paraId="2A5A862C">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6）特大暴雨或洪水危害，而造成的非正常排放。由于水量突增造成污水处理厂处理负荷加大，水质处理达不到要求，废水直接排放，对地下水、地面水环境均造成一定的影响。一旦出现不可抗拒的外部原因，采取应急预案，并向当地环保局申报，关闭污水厂，停止外排尾水。在事故发生及处理期间，应在排放口附近水域悬挂标志示警，提醒各有关方面采取防范措施。</w:t>
      </w:r>
    </w:p>
    <w:p w14:paraId="5124E4E5">
      <w:pPr>
        <w:pStyle w:val="4"/>
        <w:numPr>
          <w:ilvl w:val="2"/>
          <w:numId w:val="0"/>
        </w:numPr>
        <w:ind w:leftChars="0"/>
        <w:rPr>
          <w:rFonts w:hint="default" w:ascii="Times New Roman" w:hAnsi="Times New Roman" w:cs="Times New Roman"/>
          <w:color w:val="000000" w:themeColor="text1"/>
          <w:highlight w:val="none"/>
          <w:u w:val="wave" w:color="auto"/>
          <w14:textFill>
            <w14:solidFill>
              <w14:schemeClr w14:val="tx1"/>
            </w14:solidFill>
          </w14:textFill>
        </w:rPr>
      </w:pPr>
      <w:bookmarkStart w:id="151" w:name="_Toc23283"/>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6.4.2 </w:t>
      </w:r>
      <w:r>
        <w:rPr>
          <w:rFonts w:hint="default" w:ascii="Times New Roman" w:hAnsi="Times New Roman" w:cs="Times New Roman"/>
          <w:color w:val="000000" w:themeColor="text1"/>
          <w:highlight w:val="none"/>
          <w:u w:val="wave" w:color="auto"/>
          <w14:textFill>
            <w14:solidFill>
              <w14:schemeClr w14:val="tx1"/>
            </w14:solidFill>
          </w14:textFill>
        </w:rPr>
        <w:t>管网泄漏防范措施</w:t>
      </w:r>
      <w:bookmarkEnd w:id="151"/>
    </w:p>
    <w:p w14:paraId="79EA94E3">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（1）加强日常排查和检修，安排专人分段进行检修和维护管道，一旦发现问题及时解决，有效减小泄漏风险产生。定期检查排水管道的质量安全，确保管道的正常运行。 </w:t>
      </w:r>
    </w:p>
    <w:p w14:paraId="7C02A707">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（2）定期对专业技术人员和操作工人进行培训，使其具有良好的环境意识，熟悉管网操作规程，了解所使用设备的技术性能和保养、操作方法，熟悉掌握设备的维修。 </w:t>
      </w:r>
    </w:p>
    <w:p w14:paraId="0CFC185C">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（3）当管网泄露事故发生后，应启动应急预案，上报领导。同时暂停水泵运行，派人员紧急维修污水管，尽快恢复管网的运行。 </w:t>
      </w:r>
    </w:p>
    <w:p w14:paraId="2A53A6ED">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（4）严格按照规范要求对污水处理水池、污水管线等重点防渗区域采取有效的防雨、防渗漏、防溢流措施，并加强对各种原料及固体废弃物的管理，降低管网污水泄漏对土壤及地下水环境质量造成的不利影响。</w:t>
      </w:r>
    </w:p>
    <w:p w14:paraId="4B371D3C">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（5）在管网设计时应考虑做好控制污水措施（设置污水应急控制阀门），在不利的条件下，减轻和保护污水处理厂的处理设施。</w:t>
      </w:r>
    </w:p>
    <w:p w14:paraId="31547A1C">
      <w:pPr>
        <w:pStyle w:val="4"/>
        <w:numPr>
          <w:ilvl w:val="2"/>
          <w:numId w:val="0"/>
        </w:numPr>
        <w:ind w:leftChars="0"/>
        <w:rPr>
          <w:rFonts w:hint="default" w:ascii="Times New Roman" w:hAnsi="Times New Roman" w:cs="Times New Roman"/>
          <w:color w:val="000000" w:themeColor="text1"/>
          <w:highlight w:val="none"/>
          <w:u w:val="wave" w:color="auto"/>
          <w14:textFill>
            <w14:solidFill>
              <w14:schemeClr w14:val="tx1"/>
            </w14:solidFill>
          </w14:textFill>
        </w:rPr>
      </w:pPr>
      <w:bookmarkStart w:id="152" w:name="_Toc23941"/>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6.4.3 </w:t>
      </w:r>
      <w:r>
        <w:rPr>
          <w:rFonts w:hint="default" w:ascii="Times New Roman" w:hAnsi="Times New Roman" w:cs="Times New Roman"/>
          <w:color w:val="000000" w:themeColor="text1"/>
          <w:highlight w:val="none"/>
          <w:u w:val="wave" w:color="auto"/>
          <w14:textFill>
            <w14:solidFill>
              <w14:schemeClr w14:val="tx1"/>
            </w14:solidFill>
          </w14:textFill>
        </w:rPr>
        <w:t>污水处理厂风险防范措施</w:t>
      </w:r>
      <w:bookmarkEnd w:id="152"/>
    </w:p>
    <w:p w14:paraId="259DE2C7">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针对人为因素导致污水处理厂事故排放，制定污水处理厂事故排污的防治措施与对策。主要要求如下：</w:t>
      </w:r>
    </w:p>
    <w:p w14:paraId="2365338F">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（1）严格进水水质管理</w:t>
      </w:r>
    </w:p>
    <w:p w14:paraId="41487B83">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当其排放的废水水质或水量超过本项目设计的处理能力时，将会直接影响本项目的正常运行。为尽可能降低这种风险，本污水处理厂汇水区内工业企业</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达不到进水水质标准的应自建预处理设施</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保证</w:t>
      </w:r>
      <w:r>
        <w:rPr>
          <w:rFonts w:hint="default" w:ascii="Times New Roman" w:hAnsi="Times New Roman" w:cs="Times New Roman"/>
          <w:color w:val="000000" w:themeColor="text1"/>
          <w:highlight w:val="none"/>
          <w:u w:val="wave" w:color="auto"/>
          <w14:textFill>
            <w14:solidFill>
              <w14:schemeClr w14:val="tx1"/>
            </w14:solidFill>
          </w14:textFill>
        </w:rPr>
        <w:t>出水标准应达到项目进水水质标准，满足本工程污水处理厂进水水质要求。加强对进水水质水量的监测与分析，发现超标，及时查明原因，采取应急封堵措施。</w:t>
      </w:r>
    </w:p>
    <w:p w14:paraId="430EBF13">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（2）严格规范化操作</w:t>
      </w:r>
    </w:p>
    <w:p w14:paraId="43C23717">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污水处理厂不能达标排放的机率较小，只要加强管理完全可以防止。为此，污水处理厂要制定污水处理厂装置操作管理规程、岗位责任制、奖惩条例等规章制度，对污水处理厂实现规范化、制度化管理，操作人员必须持证上岗，严格执行操作管理规定，最大限度控制由于操作失误因素造成的废水事故性排放发生机率。</w:t>
      </w:r>
    </w:p>
    <w:p w14:paraId="3E84EE75">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（3）建立必要的预备系统或设备 </w:t>
      </w:r>
    </w:p>
    <w:p w14:paraId="3B028DEC">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A.污水处理厂内应设超越管线，以便在事故发生时，使污水能超越一部分或全部构筑物，进入下一级构筑物。</w:t>
      </w:r>
    </w:p>
    <w:p w14:paraId="00A72FC0">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B.污水处理厂主要动力设备，如水泵、污泥泵等应设1-2 台备用设备，以备设备出现事故时，及时更换。</w:t>
      </w:r>
    </w:p>
    <w:p w14:paraId="0B07C803">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C.污水处理厂应采用双电源供电，以便尽可能减少停电事故的发生。</w:t>
      </w:r>
    </w:p>
    <w:p w14:paraId="066E3C8A">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D.为了使污水能在处理构筑物之间通畅流动，必须确定各处理构筑物的高程，特别是两个以上并联运行的构筑物，应考虑到某一构筑物发生故障时，其余构筑物须负担全部流量的情况。因此高程的确定必须留有充分的余地，以防止水头不够而发生涌水现象，影响构筑物正常运行。</w:t>
      </w:r>
    </w:p>
    <w:p w14:paraId="5FECD5EE">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E.污水处理厂在设计时，厂内应设雨水管，及时将雨水排入雨水处理系统，以免发生积水事故及污染环境。</w:t>
      </w:r>
    </w:p>
    <w:p w14:paraId="4FA85B2D">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 （4）制定事故及时处理计划</w:t>
      </w:r>
    </w:p>
    <w:p w14:paraId="2A4DB615">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制定事故处理应急计划，建立事故处理机构，落实各部分、各岗位、各操作管理人员的责任，一旦发生事故，及时采取处理措施并通知环保、市政、水利管理部门在最短时间内排除故障。</w:t>
      </w:r>
    </w:p>
    <w:p w14:paraId="6E3B5A71">
      <w:pPr>
        <w:pStyle w:val="4"/>
        <w:numPr>
          <w:ilvl w:val="2"/>
          <w:numId w:val="0"/>
        </w:numPr>
        <w:ind w:leftChars="0"/>
        <w:rPr>
          <w:rFonts w:hint="default" w:ascii="Times New Roman" w:hAnsi="Times New Roman" w:cs="Times New Roman"/>
          <w:color w:val="000000" w:themeColor="text1"/>
          <w:highlight w:val="none"/>
          <w:u w:val="wave" w:color="auto"/>
          <w14:textFill>
            <w14:solidFill>
              <w14:schemeClr w14:val="tx1"/>
            </w14:solidFill>
          </w14:textFill>
        </w:rPr>
      </w:pPr>
      <w:bookmarkStart w:id="153" w:name="_Toc3009"/>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6.4.4 </w:t>
      </w:r>
      <w:r>
        <w:rPr>
          <w:rFonts w:hint="default" w:ascii="Times New Roman" w:hAnsi="Times New Roman" w:cs="Times New Roman"/>
          <w:color w:val="000000" w:themeColor="text1"/>
          <w:highlight w:val="none"/>
          <w:u w:val="wave" w:color="auto"/>
          <w14:textFill>
            <w14:solidFill>
              <w14:schemeClr w14:val="tx1"/>
            </w14:solidFill>
          </w14:textFill>
        </w:rPr>
        <w:t>系统维修风险防范措施</w:t>
      </w:r>
      <w:bookmarkEnd w:id="153"/>
    </w:p>
    <w:p w14:paraId="3B8B2ECC">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本工程在设计中对经常需要维修、自然通风条件差的构筑物、泵房、脱水机房等设置通风装置，尽可能降低这种风险。污水处理厂要对工人进行安全教育，建立一套合乎操作规程的管理制度。本报告建议采取如下措施：</w:t>
      </w:r>
    </w:p>
    <w:p w14:paraId="682BE56D">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（1）需要检修的工段由专人在工作场地负责，并备有必要的急救措施。</w:t>
      </w:r>
    </w:p>
    <w:p w14:paraId="11E6BEB7">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2）在管道和集水井等设备或构筑物中，因平日所贮污水内含各种污染物，经微生物作用等因素产生有毒气体，如硫化氢，由于通风不畅，常年积累，浓度较高，可能对维修人员产生中毒影响。因此，采取通风措施，让有害气体彻底消散使作业空间充满新鲜空气，倘若无法做到充分通风，则应该避免进入危险空间，确需进入时则必须佩带有效的防护设备。防护设备有防毒面具、送风面罩等，检测设备有气体检测仪器、检测试纸。检修戴防毒面具下井，并与地面保持通讯联系，一感不适立即返回地面。</w:t>
      </w:r>
    </w:p>
    <w:p w14:paraId="24114EA4">
      <w:pPr>
        <w:pStyle w:val="3"/>
        <w:numPr>
          <w:ilvl w:val="1"/>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bookmarkStart w:id="154" w:name="_Toc22066"/>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6.5 </w:t>
      </w:r>
      <w:r>
        <w:rPr>
          <w:rFonts w:hint="default" w:ascii="Times New Roman" w:hAnsi="Times New Roman" w:cs="Times New Roman"/>
          <w:color w:val="000000" w:themeColor="text1"/>
          <w:highlight w:val="none"/>
          <w:u w:val="none" w:color="auto"/>
          <w14:textFill>
            <w14:solidFill>
              <w14:schemeClr w14:val="tx1"/>
            </w14:solidFill>
          </w14:textFill>
        </w:rPr>
        <w:t>应急预案</w:t>
      </w:r>
      <w:bookmarkEnd w:id="154"/>
    </w:p>
    <w:p w14:paraId="58B31A0E">
      <w:pPr>
        <w:pStyle w:val="4"/>
        <w:numPr>
          <w:ilvl w:val="2"/>
          <w:numId w:val="0"/>
        </w:numPr>
        <w:ind w:leftChars="0"/>
        <w:rPr>
          <w:rFonts w:hint="default" w:ascii="Times New Roman" w:hAnsi="Times New Roman" w:cs="Times New Roman"/>
          <w:color w:val="auto"/>
          <w:highlight w:val="none"/>
          <w:u w:val="none" w:color="auto"/>
        </w:rPr>
      </w:pPr>
      <w:bookmarkStart w:id="155" w:name="_Toc17629"/>
      <w:r>
        <w:rPr>
          <w:rFonts w:hint="default" w:ascii="Times New Roman" w:hAnsi="Times New Roman" w:cs="Times New Roman"/>
          <w:color w:val="auto"/>
          <w:highlight w:val="none"/>
          <w:u w:val="none" w:color="auto"/>
          <w:lang w:val="en-US" w:eastAsia="zh-CN"/>
        </w:rPr>
        <w:t xml:space="preserve">6.5.1 </w:t>
      </w:r>
      <w:r>
        <w:rPr>
          <w:rFonts w:hint="default" w:ascii="Times New Roman" w:hAnsi="Times New Roman" w:cs="Times New Roman"/>
          <w:color w:val="auto"/>
          <w:highlight w:val="none"/>
          <w:u w:val="none" w:color="auto"/>
        </w:rPr>
        <w:t>风险事故应急预案的基本要求</w:t>
      </w:r>
      <w:bookmarkEnd w:id="155"/>
    </w:p>
    <w:p w14:paraId="18C1E44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风险事故应急预案的基本要求包括：科学性、实用性和权威性。风险事故的应急救援工作是一项科学性很强的工作，必须开展科学分析和论证，制定严密、统一、完整的应急预案；应急预案应符合项目的客观情况，具有实用、简单、易掌握等特征，便于实施；对事故处置过程中职责、权限、任务、工作标准、奖励与处罚等做出明确规定，使之成为企业的一项制度，确保其权威性。</w:t>
      </w:r>
    </w:p>
    <w:p w14:paraId="779ADBD7">
      <w:pPr>
        <w:pStyle w:val="4"/>
        <w:numPr>
          <w:ilvl w:val="2"/>
          <w:numId w:val="0"/>
        </w:numPr>
        <w:ind w:leftChars="0"/>
        <w:rPr>
          <w:rFonts w:hint="default" w:ascii="Times New Roman" w:hAnsi="Times New Roman" w:cs="Times New Roman"/>
          <w:color w:val="auto"/>
          <w:highlight w:val="none"/>
          <w:u w:val="none" w:color="auto"/>
        </w:rPr>
      </w:pPr>
      <w:bookmarkStart w:id="156" w:name="_Toc26613"/>
      <w:r>
        <w:rPr>
          <w:rFonts w:hint="default" w:ascii="Times New Roman" w:hAnsi="Times New Roman" w:cs="Times New Roman"/>
          <w:color w:val="auto"/>
          <w:highlight w:val="none"/>
          <w:u w:val="none" w:color="auto"/>
          <w:lang w:val="en-US" w:eastAsia="zh-CN"/>
        </w:rPr>
        <w:t xml:space="preserve">6.5.2 </w:t>
      </w:r>
      <w:r>
        <w:rPr>
          <w:rFonts w:hint="default" w:ascii="Times New Roman" w:hAnsi="Times New Roman" w:cs="Times New Roman"/>
          <w:color w:val="auto"/>
          <w:highlight w:val="none"/>
          <w:u w:val="none" w:color="auto"/>
        </w:rPr>
        <w:t>环境风险应急组织机构设置及职责</w:t>
      </w:r>
      <w:bookmarkEnd w:id="156"/>
    </w:p>
    <w:p w14:paraId="7523769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针对可能存在的环境风险，拟建项目应当设立事故状态下的应急救援领导小组。应急救援领导小组是公司为预防和处置各类突发事故的常设机构，其主要职责有：</w:t>
      </w:r>
    </w:p>
    <w:p w14:paraId="224555A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（1）编制和修改事故应急救援预案。</w:t>
      </w:r>
    </w:p>
    <w:p w14:paraId="036AC78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（2）组建应急救援队伍并组织实施训练和演习。</w:t>
      </w:r>
    </w:p>
    <w:p w14:paraId="25A3816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（3）检查各项安全工作的实施情况。</w:t>
      </w:r>
    </w:p>
    <w:p w14:paraId="6D77895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（4）检查督促做好重大事故的预防措施和应急救援的各项准备工作。</w:t>
      </w:r>
    </w:p>
    <w:p w14:paraId="6F51CB6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（5）在应急救援行动中发布和解除各项命令。</w:t>
      </w:r>
    </w:p>
    <w:p w14:paraId="46AE236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（6）负责向上级和政府有关部门报告以及向友邻单位、周边居民通报事故情况。</w:t>
      </w:r>
    </w:p>
    <w:p w14:paraId="404DBEA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（7）负责组织调查事故发生的原因、妥善处理事故并总结经验教训。</w:t>
      </w:r>
    </w:p>
    <w:p w14:paraId="15205DB8">
      <w:pPr>
        <w:pStyle w:val="4"/>
        <w:numPr>
          <w:ilvl w:val="2"/>
          <w:numId w:val="0"/>
        </w:numPr>
        <w:ind w:leftChars="0"/>
        <w:rPr>
          <w:rFonts w:hint="default" w:ascii="Times New Roman" w:hAnsi="Times New Roman" w:cs="Times New Roman"/>
          <w:color w:val="auto"/>
          <w:highlight w:val="none"/>
          <w:u w:val="none" w:color="auto"/>
        </w:rPr>
      </w:pPr>
      <w:bookmarkStart w:id="157" w:name="_Toc26147"/>
      <w:r>
        <w:rPr>
          <w:rFonts w:hint="default" w:ascii="Times New Roman" w:hAnsi="Times New Roman" w:cs="Times New Roman"/>
          <w:color w:val="auto"/>
          <w:highlight w:val="none"/>
          <w:u w:val="none" w:color="auto"/>
          <w:lang w:val="en-US" w:eastAsia="zh-CN"/>
        </w:rPr>
        <w:t xml:space="preserve">6.5.3 </w:t>
      </w:r>
      <w:r>
        <w:rPr>
          <w:rFonts w:hint="default" w:ascii="Times New Roman" w:hAnsi="Times New Roman" w:cs="Times New Roman"/>
          <w:color w:val="auto"/>
          <w:highlight w:val="none"/>
          <w:u w:val="none" w:color="auto"/>
        </w:rPr>
        <w:t>风险事故处理措施</w:t>
      </w:r>
      <w:bookmarkEnd w:id="157"/>
    </w:p>
    <w:p w14:paraId="5467905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为了有效地处理风险事故，应有切实可行的处置措施。项目风险事故应急措施包括设备器材、事故现场指挥、救护、通讯等系统的建立、现场应急措施方案、事故危害监测队伍、现场撤离和善后措施方案等。</w:t>
      </w:r>
    </w:p>
    <w:p w14:paraId="7D00FA9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（1）设立报警、通讯系统以及事故处置领导体系。</w:t>
      </w:r>
    </w:p>
    <w:p w14:paraId="05DD8DB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（2）制定有效处理事故的应急行动方案，并得到有关部门的认可，能与有关部门有效配合。</w:t>
      </w:r>
    </w:p>
    <w:p w14:paraId="1D1C3F6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（3）明确职责，并落实到单位和有关人员。</w:t>
      </w:r>
    </w:p>
    <w:p w14:paraId="28A0EB0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（4）制定控制和减少事故影响范围、程度以及补救行动的实施计划。</w:t>
      </w:r>
    </w:p>
    <w:p w14:paraId="592E3272">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（5）对事故现场管理以及事故处置全过程的监督，应由富有事故处置经验的人员或有关部门工作人员承担。</w:t>
      </w:r>
    </w:p>
    <w:p w14:paraId="4AD6591B">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（6）为提高事故处置队伍的协同救援水平和实战能力，检验救援体系的应急综合运作状态，提高其实战水平，应进行应急救援演练。</w:t>
      </w:r>
    </w:p>
    <w:p w14:paraId="7BE7CE1A">
      <w:pPr>
        <w:pStyle w:val="4"/>
        <w:numPr>
          <w:ilvl w:val="2"/>
          <w:numId w:val="0"/>
        </w:numPr>
        <w:ind w:leftChars="0"/>
        <w:rPr>
          <w:rFonts w:hint="default" w:ascii="Times New Roman" w:hAnsi="Times New Roman" w:cs="Times New Roman"/>
          <w:color w:val="auto"/>
          <w:highlight w:val="none"/>
          <w:u w:val="none" w:color="auto"/>
        </w:rPr>
      </w:pPr>
      <w:bookmarkStart w:id="158" w:name="_Toc5354"/>
      <w:r>
        <w:rPr>
          <w:rFonts w:hint="default" w:ascii="Times New Roman" w:hAnsi="Times New Roman" w:cs="Times New Roman"/>
          <w:color w:val="auto"/>
          <w:highlight w:val="none"/>
          <w:u w:val="none" w:color="auto"/>
          <w:lang w:val="en-US" w:eastAsia="zh-CN"/>
        </w:rPr>
        <w:t xml:space="preserve">6.5.4 </w:t>
      </w:r>
      <w:r>
        <w:rPr>
          <w:rFonts w:hint="default" w:ascii="Times New Roman" w:hAnsi="Times New Roman" w:cs="Times New Roman"/>
          <w:color w:val="auto"/>
          <w:highlight w:val="none"/>
          <w:u w:val="none" w:color="auto"/>
        </w:rPr>
        <w:t>风险事故应急计划</w:t>
      </w:r>
      <w:bookmarkEnd w:id="158"/>
    </w:p>
    <w:p w14:paraId="4A2097C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（1）机构与指责 </w:t>
      </w:r>
    </w:p>
    <w:p w14:paraId="440AD94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a.成立安全领导小组和应急指挥部门：明确其负责人和组成人员，规定其指责，包括制定并实施应急计划，组建应急队伍和组织应急行动，发布和解除应急信号，通报事故情况，必要时请求支援，组织抢修抢建，分析事故原因并作出处理；</w:t>
      </w:r>
    </w:p>
    <w:p w14:paraId="3F0749B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b.组织应急专业队：包括消防、清污、救护等，并明确其职责。</w:t>
      </w:r>
    </w:p>
    <w:p w14:paraId="797306F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（2）应急报告程序和通讯联络系统</w:t>
      </w:r>
    </w:p>
    <w:p w14:paraId="0AFB6C6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应急报告程序，包括企业内部的报告程序和要点，外部的报告程序和要点。列出企业安全领导小组、应急指挥部、应急专业队负责人名单及联络方式和政府主管机关、职责部门、友好单位以及社区负责人名单及联络方式。</w:t>
      </w:r>
    </w:p>
    <w:p w14:paraId="7162C8BA">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.5</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环境事故应急预案</w:t>
      </w:r>
    </w:p>
    <w:tbl>
      <w:tblPr>
        <w:tblStyle w:val="76"/>
        <w:tblW w:w="852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86"/>
        <w:gridCol w:w="2854"/>
        <w:gridCol w:w="4988"/>
      </w:tblGrid>
      <w:tr w14:paraId="68E01C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686" w:type="dxa"/>
            <w:tcBorders>
              <w:tl2br w:val="nil"/>
              <w:tr2bl w:val="nil"/>
            </w:tcBorders>
          </w:tcPr>
          <w:p w14:paraId="738B6142">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序号</w:t>
            </w:r>
          </w:p>
        </w:tc>
        <w:tc>
          <w:tcPr>
            <w:tcW w:w="2854" w:type="dxa"/>
            <w:tcBorders>
              <w:tl2br w:val="nil"/>
              <w:tr2bl w:val="nil"/>
            </w:tcBorders>
          </w:tcPr>
          <w:p w14:paraId="6758C3EF">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项</w:t>
            </w:r>
            <w:r>
              <w:rPr>
                <w:rFonts w:hint="default" w:ascii="Times New Roman" w:hAnsi="Times New Roman" w:cs="Times New Roman"/>
                <w:b/>
                <w:bCs/>
                <w:color w:val="auto"/>
                <w:highlight w:val="none"/>
                <w:u w:val="none" w:color="auto"/>
              </w:rPr>
              <w:tab/>
            </w:r>
            <w:r>
              <w:rPr>
                <w:rFonts w:hint="default" w:ascii="Times New Roman" w:hAnsi="Times New Roman" w:cs="Times New Roman"/>
                <w:b/>
                <w:bCs/>
                <w:color w:val="auto"/>
                <w:highlight w:val="none"/>
                <w:u w:val="none" w:color="auto"/>
              </w:rPr>
              <w:t>目</w:t>
            </w:r>
          </w:p>
        </w:tc>
        <w:tc>
          <w:tcPr>
            <w:tcW w:w="4988" w:type="dxa"/>
            <w:tcBorders>
              <w:tl2br w:val="nil"/>
              <w:tr2bl w:val="nil"/>
            </w:tcBorders>
          </w:tcPr>
          <w:p w14:paraId="5399AC05">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内</w:t>
            </w:r>
            <w:r>
              <w:rPr>
                <w:rFonts w:hint="default" w:ascii="Times New Roman" w:hAnsi="Times New Roman" w:cs="Times New Roman"/>
                <w:b/>
                <w:bCs/>
                <w:color w:val="auto"/>
                <w:highlight w:val="none"/>
                <w:u w:val="none" w:color="auto"/>
              </w:rPr>
              <w:tab/>
            </w:r>
            <w:r>
              <w:rPr>
                <w:rFonts w:hint="default" w:ascii="Times New Roman" w:hAnsi="Times New Roman" w:cs="Times New Roman"/>
                <w:b/>
                <w:bCs/>
                <w:color w:val="auto"/>
                <w:highlight w:val="none"/>
                <w:u w:val="none" w:color="auto"/>
              </w:rPr>
              <w:t>容</w:t>
            </w:r>
            <w:r>
              <w:rPr>
                <w:rFonts w:hint="default" w:ascii="Times New Roman" w:hAnsi="Times New Roman" w:cs="Times New Roman"/>
                <w:b/>
                <w:bCs/>
                <w:color w:val="auto"/>
                <w:highlight w:val="none"/>
                <w:u w:val="none" w:color="auto"/>
              </w:rPr>
              <w:tab/>
            </w:r>
            <w:r>
              <w:rPr>
                <w:rFonts w:hint="default" w:ascii="Times New Roman" w:hAnsi="Times New Roman" w:cs="Times New Roman"/>
                <w:b/>
                <w:bCs/>
                <w:color w:val="auto"/>
                <w:highlight w:val="none"/>
                <w:u w:val="none" w:color="auto"/>
              </w:rPr>
              <w:t>及</w:t>
            </w:r>
            <w:r>
              <w:rPr>
                <w:rFonts w:hint="default" w:ascii="Times New Roman" w:hAnsi="Times New Roman" w:cs="Times New Roman"/>
                <w:b/>
                <w:bCs/>
                <w:color w:val="auto"/>
                <w:highlight w:val="none"/>
                <w:u w:val="none" w:color="auto"/>
              </w:rPr>
              <w:tab/>
            </w:r>
            <w:r>
              <w:rPr>
                <w:rFonts w:hint="default" w:ascii="Times New Roman" w:hAnsi="Times New Roman" w:cs="Times New Roman"/>
                <w:b/>
                <w:bCs/>
                <w:color w:val="auto"/>
                <w:highlight w:val="none"/>
                <w:u w:val="none" w:color="auto"/>
              </w:rPr>
              <w:t>要</w:t>
            </w:r>
            <w:r>
              <w:rPr>
                <w:rFonts w:hint="default" w:ascii="Times New Roman" w:hAnsi="Times New Roman" w:cs="Times New Roman"/>
                <w:b/>
                <w:bCs/>
                <w:color w:val="auto"/>
                <w:highlight w:val="none"/>
                <w:u w:val="none" w:color="auto"/>
              </w:rPr>
              <w:tab/>
            </w:r>
            <w:r>
              <w:rPr>
                <w:rFonts w:hint="default" w:ascii="Times New Roman" w:hAnsi="Times New Roman" w:cs="Times New Roman"/>
                <w:b/>
                <w:bCs/>
                <w:color w:val="auto"/>
                <w:highlight w:val="none"/>
                <w:u w:val="none" w:color="auto"/>
              </w:rPr>
              <w:t>求</w:t>
            </w:r>
          </w:p>
        </w:tc>
      </w:tr>
      <w:tr w14:paraId="0B31EE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686" w:type="dxa"/>
            <w:tcBorders>
              <w:tl2br w:val="nil"/>
              <w:tr2bl w:val="nil"/>
            </w:tcBorders>
          </w:tcPr>
          <w:p w14:paraId="3943AE9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p>
        </w:tc>
        <w:tc>
          <w:tcPr>
            <w:tcW w:w="2854" w:type="dxa"/>
            <w:tcBorders>
              <w:tl2br w:val="nil"/>
              <w:tr2bl w:val="nil"/>
            </w:tcBorders>
          </w:tcPr>
          <w:p w14:paraId="3682EF9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应急计划区</w:t>
            </w:r>
          </w:p>
        </w:tc>
        <w:tc>
          <w:tcPr>
            <w:tcW w:w="4988" w:type="dxa"/>
            <w:tcBorders>
              <w:tl2br w:val="nil"/>
              <w:tr2bl w:val="nil"/>
            </w:tcBorders>
          </w:tcPr>
          <w:p w14:paraId="42ACFFF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危险目标：污水处理站环境保护目标</w:t>
            </w:r>
          </w:p>
        </w:tc>
      </w:tr>
      <w:tr w14:paraId="1FDDC7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686" w:type="dxa"/>
            <w:tcBorders>
              <w:tl2br w:val="nil"/>
              <w:tr2bl w:val="nil"/>
            </w:tcBorders>
          </w:tcPr>
          <w:p w14:paraId="5DA9C27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w:t>
            </w:r>
          </w:p>
        </w:tc>
        <w:tc>
          <w:tcPr>
            <w:tcW w:w="2854" w:type="dxa"/>
            <w:tcBorders>
              <w:tl2br w:val="nil"/>
              <w:tr2bl w:val="nil"/>
            </w:tcBorders>
          </w:tcPr>
          <w:p w14:paraId="5B42BF3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应急组织机构、人员</w:t>
            </w:r>
          </w:p>
        </w:tc>
        <w:tc>
          <w:tcPr>
            <w:tcW w:w="4988" w:type="dxa"/>
            <w:tcBorders>
              <w:tl2br w:val="nil"/>
              <w:tr2bl w:val="nil"/>
            </w:tcBorders>
          </w:tcPr>
          <w:p w14:paraId="4A2853A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企业、地区应急组织机构、人员</w:t>
            </w:r>
          </w:p>
        </w:tc>
      </w:tr>
      <w:tr w14:paraId="528C29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686" w:type="dxa"/>
            <w:tcBorders>
              <w:tl2br w:val="nil"/>
              <w:tr2bl w:val="nil"/>
            </w:tcBorders>
          </w:tcPr>
          <w:p w14:paraId="6DE2C28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w:t>
            </w:r>
          </w:p>
        </w:tc>
        <w:tc>
          <w:tcPr>
            <w:tcW w:w="2854" w:type="dxa"/>
            <w:tcBorders>
              <w:tl2br w:val="nil"/>
              <w:tr2bl w:val="nil"/>
            </w:tcBorders>
          </w:tcPr>
          <w:p w14:paraId="02B8AEF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预案分级响应条件</w:t>
            </w:r>
          </w:p>
        </w:tc>
        <w:tc>
          <w:tcPr>
            <w:tcW w:w="4988" w:type="dxa"/>
            <w:tcBorders>
              <w:tl2br w:val="nil"/>
              <w:tr2bl w:val="nil"/>
            </w:tcBorders>
          </w:tcPr>
          <w:p w14:paraId="796681D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规定预案的级别及分级响应程序</w:t>
            </w:r>
          </w:p>
        </w:tc>
      </w:tr>
      <w:tr w14:paraId="1E68EE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686" w:type="dxa"/>
            <w:tcBorders>
              <w:tl2br w:val="nil"/>
              <w:tr2bl w:val="nil"/>
            </w:tcBorders>
          </w:tcPr>
          <w:p w14:paraId="3711B8B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w:t>
            </w:r>
          </w:p>
        </w:tc>
        <w:tc>
          <w:tcPr>
            <w:tcW w:w="2854" w:type="dxa"/>
            <w:tcBorders>
              <w:tl2br w:val="nil"/>
              <w:tr2bl w:val="nil"/>
            </w:tcBorders>
          </w:tcPr>
          <w:p w14:paraId="32006E2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应急救援保障</w:t>
            </w:r>
          </w:p>
        </w:tc>
        <w:tc>
          <w:tcPr>
            <w:tcW w:w="4988" w:type="dxa"/>
            <w:tcBorders>
              <w:tl2br w:val="nil"/>
              <w:tr2bl w:val="nil"/>
            </w:tcBorders>
          </w:tcPr>
          <w:p w14:paraId="3D714AB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应急设施，设备与器材等</w:t>
            </w:r>
          </w:p>
        </w:tc>
      </w:tr>
      <w:tr w14:paraId="1D1C1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686" w:type="dxa"/>
            <w:tcBorders>
              <w:tl2br w:val="nil"/>
              <w:tr2bl w:val="nil"/>
            </w:tcBorders>
          </w:tcPr>
          <w:p w14:paraId="6BF8C4E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p w14:paraId="436B61E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w:t>
            </w:r>
          </w:p>
        </w:tc>
        <w:tc>
          <w:tcPr>
            <w:tcW w:w="2854" w:type="dxa"/>
            <w:tcBorders>
              <w:tl2br w:val="nil"/>
              <w:tr2bl w:val="nil"/>
            </w:tcBorders>
          </w:tcPr>
          <w:p w14:paraId="151F5F6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报警、通讯联络方式</w:t>
            </w:r>
          </w:p>
        </w:tc>
        <w:tc>
          <w:tcPr>
            <w:tcW w:w="4988" w:type="dxa"/>
            <w:tcBorders>
              <w:tl2br w:val="nil"/>
              <w:tr2bl w:val="nil"/>
            </w:tcBorders>
          </w:tcPr>
          <w:p w14:paraId="2BC96B3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规定应急状态下的报警通讯方式、通知方式和交通保</w:t>
            </w:r>
          </w:p>
          <w:p w14:paraId="4DDE8F0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障、管制</w:t>
            </w:r>
          </w:p>
        </w:tc>
      </w:tr>
      <w:tr w14:paraId="17F937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686" w:type="dxa"/>
            <w:tcBorders>
              <w:tl2br w:val="nil"/>
              <w:tr2bl w:val="nil"/>
            </w:tcBorders>
          </w:tcPr>
          <w:p w14:paraId="5D60E7E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p w14:paraId="6317629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w:t>
            </w:r>
          </w:p>
        </w:tc>
        <w:tc>
          <w:tcPr>
            <w:tcW w:w="2854" w:type="dxa"/>
            <w:tcBorders>
              <w:tl2br w:val="nil"/>
              <w:tr2bl w:val="nil"/>
            </w:tcBorders>
          </w:tcPr>
          <w:p w14:paraId="6D46CE5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应急环境监测、抢险、救援及</w:t>
            </w:r>
          </w:p>
          <w:p w14:paraId="1335D0D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控制措施</w:t>
            </w:r>
          </w:p>
        </w:tc>
        <w:tc>
          <w:tcPr>
            <w:tcW w:w="4988" w:type="dxa"/>
            <w:tcBorders>
              <w:tl2br w:val="nil"/>
              <w:tr2bl w:val="nil"/>
            </w:tcBorders>
          </w:tcPr>
          <w:p w14:paraId="74EC69B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由专业队伍负责对事故现场进行侦察监测，对事故性</w:t>
            </w:r>
          </w:p>
          <w:p w14:paraId="56D21ED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质、参数与后果进行评估，为指挥部门提供决策依据</w:t>
            </w:r>
          </w:p>
        </w:tc>
      </w:tr>
      <w:tr w14:paraId="6FA62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686" w:type="dxa"/>
            <w:tcBorders>
              <w:tl2br w:val="nil"/>
              <w:tr2bl w:val="nil"/>
            </w:tcBorders>
          </w:tcPr>
          <w:p w14:paraId="013AC6E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p w14:paraId="09933E5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w:t>
            </w:r>
          </w:p>
        </w:tc>
        <w:tc>
          <w:tcPr>
            <w:tcW w:w="2854" w:type="dxa"/>
            <w:tcBorders>
              <w:tl2br w:val="nil"/>
              <w:tr2bl w:val="nil"/>
            </w:tcBorders>
          </w:tcPr>
          <w:p w14:paraId="3E79DC6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应急检测、防护措施、清除泄</w:t>
            </w:r>
          </w:p>
          <w:p w14:paraId="59A36C9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漏措施和器材</w:t>
            </w:r>
          </w:p>
        </w:tc>
        <w:tc>
          <w:tcPr>
            <w:tcW w:w="4988" w:type="dxa"/>
            <w:tcBorders>
              <w:tl2br w:val="nil"/>
              <w:tr2bl w:val="nil"/>
            </w:tcBorders>
          </w:tcPr>
          <w:p w14:paraId="1805E87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事故现场、邻近区域、控制区域，控制和清除污染措</w:t>
            </w:r>
          </w:p>
          <w:p w14:paraId="10F57A5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施及相应设备</w:t>
            </w:r>
          </w:p>
        </w:tc>
      </w:tr>
      <w:tr w14:paraId="41200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686" w:type="dxa"/>
            <w:tcBorders>
              <w:tl2br w:val="nil"/>
              <w:tr2bl w:val="nil"/>
            </w:tcBorders>
          </w:tcPr>
          <w:p w14:paraId="745FBD0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p w14:paraId="05B1950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8</w:t>
            </w:r>
          </w:p>
        </w:tc>
        <w:tc>
          <w:tcPr>
            <w:tcW w:w="2854" w:type="dxa"/>
            <w:tcBorders>
              <w:tl2br w:val="nil"/>
              <w:tr2bl w:val="nil"/>
            </w:tcBorders>
          </w:tcPr>
          <w:p w14:paraId="0388E57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人员紧急撤离、疏散，应急剂 量控制、撤离组织计划</w:t>
            </w:r>
          </w:p>
        </w:tc>
        <w:tc>
          <w:tcPr>
            <w:tcW w:w="4988" w:type="dxa"/>
            <w:tcBorders>
              <w:tl2br w:val="nil"/>
              <w:tr2bl w:val="nil"/>
            </w:tcBorders>
          </w:tcPr>
          <w:p w14:paraId="3749F62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事故现场、邻近区、受事故影响的区域人员及公众对</w:t>
            </w:r>
          </w:p>
          <w:p w14:paraId="07F3CE9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毒物应急剂量控制规定，撤离组织计划及救护，医疗 救护与公众健康</w:t>
            </w:r>
          </w:p>
        </w:tc>
      </w:tr>
      <w:tr w14:paraId="514F38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686" w:type="dxa"/>
            <w:tcBorders>
              <w:tl2br w:val="nil"/>
              <w:tr2bl w:val="nil"/>
            </w:tcBorders>
          </w:tcPr>
          <w:p w14:paraId="14FC472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9</w:t>
            </w:r>
          </w:p>
        </w:tc>
        <w:tc>
          <w:tcPr>
            <w:tcW w:w="2854" w:type="dxa"/>
            <w:tcBorders>
              <w:tl2br w:val="nil"/>
              <w:tr2bl w:val="nil"/>
            </w:tcBorders>
          </w:tcPr>
          <w:p w14:paraId="6163CDA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事故应急救援关闭程序与恢</w:t>
            </w:r>
          </w:p>
          <w:p w14:paraId="7E3EFD4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复措施</w:t>
            </w:r>
          </w:p>
        </w:tc>
        <w:tc>
          <w:tcPr>
            <w:tcW w:w="4988" w:type="dxa"/>
            <w:tcBorders>
              <w:tl2br w:val="nil"/>
              <w:tr2bl w:val="nil"/>
            </w:tcBorders>
          </w:tcPr>
          <w:p w14:paraId="69287EA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规定应急状态终止程序、事故现场善后处理，恢复措施、</w:t>
            </w:r>
          </w:p>
          <w:p w14:paraId="72AD731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邻近区域解除事故警戒及善后恢复措施</w:t>
            </w:r>
          </w:p>
        </w:tc>
      </w:tr>
      <w:tr w14:paraId="5D14DB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686" w:type="dxa"/>
            <w:tcBorders>
              <w:tl2br w:val="nil"/>
              <w:tr2bl w:val="nil"/>
            </w:tcBorders>
          </w:tcPr>
          <w:p w14:paraId="5E37561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10</w:t>
            </w:r>
          </w:p>
        </w:tc>
        <w:tc>
          <w:tcPr>
            <w:tcW w:w="2854" w:type="dxa"/>
            <w:tcBorders>
              <w:tl2br w:val="nil"/>
              <w:tr2bl w:val="nil"/>
            </w:tcBorders>
          </w:tcPr>
          <w:p w14:paraId="6471A28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应急培训计划</w:t>
            </w:r>
          </w:p>
        </w:tc>
        <w:tc>
          <w:tcPr>
            <w:tcW w:w="4988" w:type="dxa"/>
            <w:tcBorders>
              <w:tl2br w:val="nil"/>
              <w:tr2bl w:val="nil"/>
            </w:tcBorders>
          </w:tcPr>
          <w:p w14:paraId="48A285C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应急计划制定后，平时安排人员培训与演练</w:t>
            </w:r>
          </w:p>
        </w:tc>
      </w:tr>
      <w:tr w14:paraId="17335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686" w:type="dxa"/>
            <w:tcBorders>
              <w:tl2br w:val="nil"/>
              <w:tr2bl w:val="nil"/>
            </w:tcBorders>
          </w:tcPr>
          <w:p w14:paraId="58ED4E1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11</w:t>
            </w:r>
          </w:p>
        </w:tc>
        <w:tc>
          <w:tcPr>
            <w:tcW w:w="2854" w:type="dxa"/>
            <w:tcBorders>
              <w:tl2br w:val="nil"/>
              <w:tr2bl w:val="nil"/>
            </w:tcBorders>
          </w:tcPr>
          <w:p w14:paraId="2BEC240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公众教育和信息</w:t>
            </w:r>
          </w:p>
        </w:tc>
        <w:tc>
          <w:tcPr>
            <w:tcW w:w="4988" w:type="dxa"/>
            <w:tcBorders>
              <w:tl2br w:val="nil"/>
              <w:tr2bl w:val="nil"/>
            </w:tcBorders>
          </w:tcPr>
          <w:p w14:paraId="01FE37D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对邻近地区开展公众教育、培训和发布有关信息</w:t>
            </w:r>
          </w:p>
        </w:tc>
      </w:tr>
    </w:tbl>
    <w:p w14:paraId="73916A6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（3）应急程序</w:t>
      </w:r>
    </w:p>
    <w:p w14:paraId="6E9AD14B">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①</w:t>
      </w:r>
      <w:r>
        <w:rPr>
          <w:rFonts w:hint="default" w:ascii="Times New Roman" w:hAnsi="Times New Roman" w:cs="Times New Roman"/>
          <w:color w:val="auto"/>
          <w:highlight w:val="none"/>
          <w:u w:val="none" w:color="auto"/>
        </w:rPr>
        <w:t xml:space="preserve"> 确定应急等级</w:t>
      </w:r>
    </w:p>
    <w:p w14:paraId="5830A3D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根据污染事故危害程度和区域，区分一般、重大、特大事故，决定应急行动等级、规模、方法和器材。</w:t>
      </w:r>
    </w:p>
    <w:p w14:paraId="78FFE88D">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②</w:t>
      </w:r>
      <w:r>
        <w:rPr>
          <w:rFonts w:hint="default" w:ascii="Times New Roman" w:hAnsi="Times New Roman" w:cs="Times New Roman"/>
          <w:color w:val="auto"/>
          <w:highlight w:val="none"/>
          <w:u w:val="none" w:color="auto"/>
        </w:rPr>
        <w:t xml:space="preserve"> 重点保护敏感区域</w:t>
      </w:r>
    </w:p>
    <w:p w14:paraId="2434ADD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敏感区域，如学校、医院等。</w:t>
      </w:r>
    </w:p>
    <w:p w14:paraId="05642D5C">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③</w:t>
      </w:r>
      <w:r>
        <w:rPr>
          <w:rFonts w:hint="default" w:ascii="Times New Roman" w:hAnsi="Times New Roman" w:cs="Times New Roman"/>
          <w:color w:val="auto"/>
          <w:highlight w:val="none"/>
          <w:u w:val="none" w:color="auto"/>
        </w:rPr>
        <w:t xml:space="preserve"> 应急程序</w:t>
      </w:r>
    </w:p>
    <w:p w14:paraId="509B39CF">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应急程序包括报警、接报、发出应急救援命令、应急救援行动、现场处置、结束应急行动。</w:t>
      </w:r>
    </w:p>
    <w:p w14:paraId="7D5FF36E">
      <w:pPr>
        <w:pStyle w:val="189"/>
        <w:numPr>
          <w:ilvl w:val="0"/>
          <w:numId w:val="19"/>
        </w:numP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报警</w:t>
      </w:r>
    </w:p>
    <w:p w14:paraId="560F3A8F">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事故发生后立即打报警电话，报警内容包括：事故详细地点、现场伤亡人员数量、事故原因、性质、危害程度、事故的现状、采取的措施、其他相关情况。</w:t>
      </w:r>
    </w:p>
    <w:p w14:paraId="69130943">
      <w:pPr>
        <w:pStyle w:val="189"/>
        <w:numPr>
          <w:ilvl w:val="0"/>
          <w:numId w:val="19"/>
        </w:numP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接报</w:t>
      </w:r>
    </w:p>
    <w:p w14:paraId="3D95B6E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接报人一般由值班人员担任，其任务是：接到报警电话后，问清报告人姓名和联系电话；事故发生时间、地点、事故原因、事故性质、危害程度、范围等；做好记录；通知救援队伍；向上级报告。</w:t>
      </w:r>
    </w:p>
    <w:p w14:paraId="04CD72B1">
      <w:pPr>
        <w:pStyle w:val="189"/>
        <w:numPr>
          <w:ilvl w:val="0"/>
          <w:numId w:val="19"/>
        </w:numP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发出应急救援命令</w:t>
      </w:r>
    </w:p>
    <w:p w14:paraId="747F7DBD">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auto"/>
          <w:highlight w:val="none"/>
          <w:u w:val="none" w:color="auto"/>
        </w:rPr>
        <w:t>当事故规模较小（无人员伤亡、事故情况简单、现场救援力量充分）、接警人员熟悉救援部署的情况下，救援命令可由接警值班人员直接发出。当事故规模较大，具有同时通知各救援分队的通讯手段时，也可由接警值班人员直接发出救援命令。当事故情况复杂难以判断，应报告指挥中心，由指挥中心分别通知。无论何种情况，接报人员在发出</w:t>
      </w:r>
      <w:r>
        <w:rPr>
          <w:rFonts w:hint="default" w:ascii="Times New Roman" w:hAnsi="Times New Roman" w:cs="Times New Roman"/>
          <w:color w:val="000000" w:themeColor="text1"/>
          <w:highlight w:val="none"/>
          <w:u w:val="none" w:color="auto"/>
          <w14:textFill>
            <w14:solidFill>
              <w14:schemeClr w14:val="tx1"/>
            </w14:solidFill>
          </w14:textFill>
        </w:rPr>
        <w:t>救援通知后，必须报告指挥中心（指挥部）。</w:t>
      </w:r>
    </w:p>
    <w:p w14:paraId="3E171097">
      <w:pPr>
        <w:pStyle w:val="189"/>
        <w:numPr>
          <w:ilvl w:val="0"/>
          <w:numId w:val="19"/>
        </w:numP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应急救援行动 </w:t>
      </w:r>
    </w:p>
    <w:p w14:paraId="2E513D3C">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接到应急救援命令后，确定选择相应专业应急预案，制定并组织实施。监督抢险、抢救人员穿戴好防护用品。应急疏散人员，进入相应岗位。建立疏散和营救遇险者可以进入的安全区域。事故处理（危险排除、工程抢险、灭火等）。现场救护，现场处置等。</w:t>
      </w:r>
    </w:p>
    <w:p w14:paraId="7391D1B5">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具体程序见图 </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6.5-1</w:t>
      </w:r>
      <w:r>
        <w:rPr>
          <w:rFonts w:hint="default" w:ascii="Times New Roman" w:hAnsi="Times New Roman" w:cs="Times New Roman"/>
          <w:color w:val="000000" w:themeColor="text1"/>
          <w:highlight w:val="none"/>
          <w:u w:val="none" w:color="auto"/>
          <w14:textFill>
            <w14:solidFill>
              <w14:schemeClr w14:val="tx1"/>
            </w14:solidFill>
          </w14:textFill>
        </w:rPr>
        <w:t>。</w:t>
      </w:r>
    </w:p>
    <w:p w14:paraId="6AE08BDD">
      <w:pPr>
        <w:pStyle w:val="189"/>
        <w:ind w:left="0" w:leftChars="0" w:firstLine="0" w:firstLineChars="0"/>
        <w:rPr>
          <w:rFonts w:hint="default" w:ascii="Times New Roman" w:hAnsi="Times New Roman" w:cs="Times New Roman"/>
          <w:color w:val="FF0000"/>
          <w:highlight w:val="none"/>
          <w:u w:val="none" w:color="auto"/>
        </w:rPr>
      </w:pPr>
      <w:r>
        <w:rPr>
          <w:rFonts w:hint="default" w:ascii="Times New Roman" w:hAnsi="Times New Roman" w:cs="Times New Roman"/>
          <w:color w:val="FF0000"/>
          <w:highlight w:val="none"/>
          <w:u w:val="none" w:color="auto"/>
        </w:rPr>
        <mc:AlternateContent>
          <mc:Choice Requires="wpg">
            <w:drawing>
              <wp:anchor distT="0" distB="0" distL="114300" distR="114300" simplePos="0" relativeHeight="251661312" behindDoc="1" locked="0" layoutInCell="0" allowOverlap="1">
                <wp:simplePos x="0" y="0"/>
                <wp:positionH relativeFrom="page">
                  <wp:posOffset>1497965</wp:posOffset>
                </wp:positionH>
                <wp:positionV relativeFrom="paragraph">
                  <wp:posOffset>60960</wp:posOffset>
                </wp:positionV>
                <wp:extent cx="4887595" cy="2032000"/>
                <wp:effectExtent l="4445" t="0" r="3810" b="6350"/>
                <wp:wrapNone/>
                <wp:docPr id="54" name="组合 54"/>
                <wp:cNvGraphicFramePr/>
                <a:graphic xmlns:a="http://schemas.openxmlformats.org/drawingml/2006/main">
                  <a:graphicData uri="http://schemas.microsoft.com/office/word/2010/wordprocessingGroup">
                    <wpg:wgp>
                      <wpg:cNvGrpSpPr/>
                      <wpg:grpSpPr>
                        <a:xfrm>
                          <a:off x="0" y="0"/>
                          <a:ext cx="4887749" cy="2032284"/>
                          <a:chOff x="1991" y="1048"/>
                          <a:chExt cx="7682" cy="3185"/>
                        </a:xfrm>
                      </wpg:grpSpPr>
                      <wps:wsp>
                        <wps:cNvPr id="29" name="矩形 29"/>
                        <wps:cNvSpPr/>
                        <wps:spPr>
                          <a:xfrm>
                            <a:off x="1991" y="3748"/>
                            <a:ext cx="1922" cy="403"/>
                          </a:xfrm>
                          <a:prstGeom prst="rect">
                            <a:avLst/>
                          </a:prstGeom>
                          <a:noFill/>
                          <a:ln w="9525" cap="flat" cmpd="sng">
                            <a:solidFill>
                              <a:srgbClr val="000000"/>
                            </a:solidFill>
                            <a:prstDash val="solid"/>
                            <a:miter/>
                            <a:headEnd type="none" w="med" len="med"/>
                            <a:tailEnd type="none" w="med" len="med"/>
                          </a:ln>
                        </wps:spPr>
                        <wps:bodyPr upright="1"/>
                      </wps:wsp>
                      <wps:wsp>
                        <wps:cNvPr id="30" name="矩形 30"/>
                        <wps:cNvSpPr/>
                        <wps:spPr>
                          <a:xfrm>
                            <a:off x="1999" y="3829"/>
                            <a:ext cx="1960" cy="404"/>
                          </a:xfrm>
                          <a:prstGeom prst="rect">
                            <a:avLst/>
                          </a:prstGeom>
                          <a:noFill/>
                          <a:ln>
                            <a:noFill/>
                          </a:ln>
                        </wps:spPr>
                        <wps:txbx>
                          <w:txbxContent>
                            <w:p w14:paraId="51EEE4B8">
                              <w:pPr>
                                <w:widowControl/>
                                <w:autoSpaceDE/>
                                <w:autoSpaceDN/>
                                <w:adjustRightInd/>
                                <w:spacing w:line="240" w:lineRule="atLeast"/>
                                <w:ind w:firstLine="0" w:firstLineChars="0"/>
                                <w:jc w:val="center"/>
                                <w:rPr>
                                  <w:rFonts w:eastAsia="Times New Roman"/>
                                </w:rPr>
                              </w:pPr>
                              <w:r>
                                <w:rPr>
                                  <w:rFonts w:hint="eastAsia"/>
                                </w:rPr>
                                <w:t>安全监督管理局</w:t>
                              </w:r>
                            </w:p>
                            <w:p w14:paraId="129F08C9">
                              <w:pPr>
                                <w:ind w:firstLine="480"/>
                                <w:rPr>
                                  <w:rFonts w:eastAsia="Times New Roman"/>
                                </w:rPr>
                              </w:pPr>
                            </w:p>
                          </w:txbxContent>
                        </wps:txbx>
                        <wps:bodyPr lIns="0" tIns="0" rIns="0" bIns="0" upright="1"/>
                      </wps:wsp>
                      <wps:wsp>
                        <wps:cNvPr id="31" name="任意多边形 31"/>
                        <wps:cNvSpPr/>
                        <wps:spPr>
                          <a:xfrm>
                            <a:off x="2879" y="3479"/>
                            <a:ext cx="6063" cy="20"/>
                          </a:xfrm>
                          <a:custGeom>
                            <a:avLst/>
                            <a:gdLst/>
                            <a:ahLst/>
                            <a:cxnLst/>
                            <a:rect l="0" t="0" r="0" b="0"/>
                            <a:pathLst>
                              <a:path w="6063" h="20">
                                <a:moveTo>
                                  <a:pt x="0" y="0"/>
                                </a:moveTo>
                                <a:lnTo>
                                  <a:pt x="6063" y="0"/>
                                </a:lnTo>
                              </a:path>
                            </a:pathLst>
                          </a:custGeom>
                          <a:noFill/>
                          <a:ln w="9525" cap="flat" cmpd="sng">
                            <a:solidFill>
                              <a:srgbClr val="000000"/>
                            </a:solidFill>
                            <a:prstDash val="solid"/>
                            <a:headEnd type="none" w="med" len="med"/>
                            <a:tailEnd type="none" w="med" len="med"/>
                          </a:ln>
                        </wps:spPr>
                        <wps:bodyPr upright="1"/>
                      </wps:wsp>
                      <wps:wsp>
                        <wps:cNvPr id="32" name="任意多边形 32"/>
                        <wps:cNvSpPr/>
                        <wps:spPr>
                          <a:xfrm>
                            <a:off x="2879" y="3479"/>
                            <a:ext cx="20" cy="269"/>
                          </a:xfrm>
                          <a:custGeom>
                            <a:avLst/>
                            <a:gdLst/>
                            <a:ahLst/>
                            <a:cxnLst/>
                            <a:rect l="0" t="0" r="0" b="0"/>
                            <a:pathLst>
                              <a:path w="20" h="269">
                                <a:moveTo>
                                  <a:pt x="0" y="0"/>
                                </a:moveTo>
                                <a:lnTo>
                                  <a:pt x="0" y="268"/>
                                </a:lnTo>
                              </a:path>
                            </a:pathLst>
                          </a:custGeom>
                          <a:noFill/>
                          <a:ln w="9525" cap="flat" cmpd="sng">
                            <a:solidFill>
                              <a:srgbClr val="000000"/>
                            </a:solidFill>
                            <a:prstDash val="solid"/>
                            <a:headEnd type="none" w="med" len="med"/>
                            <a:tailEnd type="none" w="med" len="med"/>
                          </a:ln>
                        </wps:spPr>
                        <wps:bodyPr upright="1"/>
                      </wps:wsp>
                      <wps:wsp>
                        <wps:cNvPr id="33" name="矩形 33"/>
                        <wps:cNvSpPr/>
                        <wps:spPr>
                          <a:xfrm>
                            <a:off x="4111" y="3742"/>
                            <a:ext cx="1201" cy="405"/>
                          </a:xfrm>
                          <a:prstGeom prst="rect">
                            <a:avLst/>
                          </a:prstGeom>
                          <a:noFill/>
                          <a:ln w="9525" cap="flat" cmpd="sng">
                            <a:solidFill>
                              <a:srgbClr val="000000"/>
                            </a:solidFill>
                            <a:prstDash val="solid"/>
                            <a:miter/>
                            <a:headEnd type="none" w="med" len="med"/>
                            <a:tailEnd type="none" w="med" len="med"/>
                          </a:ln>
                        </wps:spPr>
                        <wps:bodyPr upright="1"/>
                      </wps:wsp>
                      <wps:wsp>
                        <wps:cNvPr id="34" name="矩形 34"/>
                        <wps:cNvSpPr/>
                        <wps:spPr>
                          <a:xfrm>
                            <a:off x="4118" y="3821"/>
                            <a:ext cx="1225" cy="389"/>
                          </a:xfrm>
                          <a:prstGeom prst="rect">
                            <a:avLst/>
                          </a:prstGeom>
                          <a:noFill/>
                          <a:ln>
                            <a:noFill/>
                          </a:ln>
                        </wps:spPr>
                        <wps:txbx>
                          <w:txbxContent>
                            <w:p w14:paraId="15293A95">
                              <w:pPr>
                                <w:widowControl/>
                                <w:autoSpaceDE/>
                                <w:autoSpaceDN/>
                                <w:adjustRightInd/>
                                <w:spacing w:line="240" w:lineRule="atLeast"/>
                                <w:ind w:firstLine="0" w:firstLineChars="0"/>
                                <w:jc w:val="center"/>
                                <w:rPr>
                                  <w:rFonts w:eastAsia="Times New Roman"/>
                                </w:rPr>
                              </w:pPr>
                              <w:r>
                                <w:rPr>
                                  <w:rFonts w:hint="eastAsia"/>
                                </w:rPr>
                                <w:t>消防队</w:t>
                              </w:r>
                            </w:p>
                            <w:p w14:paraId="6028CFB5">
                              <w:pPr>
                                <w:ind w:firstLine="480"/>
                                <w:rPr>
                                  <w:rFonts w:eastAsia="Times New Roman"/>
                                </w:rPr>
                              </w:pPr>
                            </w:p>
                          </w:txbxContent>
                        </wps:txbx>
                        <wps:bodyPr lIns="0" tIns="0" rIns="0" bIns="0" upright="1"/>
                      </wps:wsp>
                      <wps:wsp>
                        <wps:cNvPr id="35" name="任意多边形 35"/>
                        <wps:cNvSpPr/>
                        <wps:spPr>
                          <a:xfrm>
                            <a:off x="4715" y="3479"/>
                            <a:ext cx="20" cy="269"/>
                          </a:xfrm>
                          <a:custGeom>
                            <a:avLst/>
                            <a:gdLst/>
                            <a:ahLst/>
                            <a:cxnLst/>
                            <a:rect l="0" t="0" r="0" b="0"/>
                            <a:pathLst>
                              <a:path w="20" h="269">
                                <a:moveTo>
                                  <a:pt x="0" y="0"/>
                                </a:moveTo>
                                <a:lnTo>
                                  <a:pt x="0" y="268"/>
                                </a:lnTo>
                              </a:path>
                            </a:pathLst>
                          </a:custGeom>
                          <a:noFill/>
                          <a:ln w="9525" cap="flat" cmpd="sng">
                            <a:solidFill>
                              <a:srgbClr val="000000"/>
                            </a:solidFill>
                            <a:prstDash val="solid"/>
                            <a:headEnd type="none" w="med" len="med"/>
                            <a:tailEnd type="none" w="med" len="med"/>
                          </a:ln>
                        </wps:spPr>
                        <wps:bodyPr upright="1"/>
                      </wps:wsp>
                      <wps:wsp>
                        <wps:cNvPr id="36" name="矩形 36"/>
                        <wps:cNvSpPr/>
                        <wps:spPr>
                          <a:xfrm>
                            <a:off x="5541" y="3745"/>
                            <a:ext cx="1201" cy="405"/>
                          </a:xfrm>
                          <a:prstGeom prst="rect">
                            <a:avLst/>
                          </a:prstGeom>
                          <a:noFill/>
                          <a:ln w="9525" cap="flat" cmpd="sng">
                            <a:solidFill>
                              <a:srgbClr val="000000"/>
                            </a:solidFill>
                            <a:prstDash val="solid"/>
                            <a:miter/>
                            <a:headEnd type="none" w="med" len="med"/>
                            <a:tailEnd type="none" w="med" len="med"/>
                          </a:ln>
                        </wps:spPr>
                        <wps:bodyPr upright="1"/>
                      </wps:wsp>
                      <wps:wsp>
                        <wps:cNvPr id="37" name="矩形 37"/>
                        <wps:cNvSpPr/>
                        <wps:spPr>
                          <a:xfrm>
                            <a:off x="5564" y="3825"/>
                            <a:ext cx="1225" cy="390"/>
                          </a:xfrm>
                          <a:prstGeom prst="rect">
                            <a:avLst/>
                          </a:prstGeom>
                          <a:noFill/>
                          <a:ln>
                            <a:noFill/>
                          </a:ln>
                        </wps:spPr>
                        <wps:txbx>
                          <w:txbxContent>
                            <w:p w14:paraId="74D4ED2B">
                              <w:pPr>
                                <w:widowControl/>
                                <w:autoSpaceDE/>
                                <w:autoSpaceDN/>
                                <w:adjustRightInd/>
                                <w:spacing w:line="240" w:lineRule="atLeast"/>
                                <w:ind w:firstLine="0" w:firstLineChars="0"/>
                                <w:jc w:val="center"/>
                                <w:rPr>
                                  <w:rFonts w:eastAsia="Times New Roman"/>
                                </w:rPr>
                              </w:pPr>
                              <w:r>
                                <w:rPr>
                                  <w:rFonts w:hint="eastAsia"/>
                                </w:rPr>
                                <w:t>医疗</w:t>
                              </w:r>
                              <w:r>
                                <w:rPr>
                                  <w:rFonts w:hint="eastAsia" w:ascii="Times New Roman" w:hAnsi="Times New Roman" w:eastAsia="宋体" w:cs="Times New Roman"/>
                                </w:rPr>
                                <w:t>部门</w:t>
                              </w:r>
                            </w:p>
                          </w:txbxContent>
                        </wps:txbx>
                        <wps:bodyPr lIns="0" tIns="0" rIns="0" bIns="0" upright="1"/>
                      </wps:wsp>
                      <wps:wsp>
                        <wps:cNvPr id="38" name="任意多边形 38"/>
                        <wps:cNvSpPr/>
                        <wps:spPr>
                          <a:xfrm>
                            <a:off x="6132" y="3479"/>
                            <a:ext cx="20" cy="269"/>
                          </a:xfrm>
                          <a:custGeom>
                            <a:avLst/>
                            <a:gdLst/>
                            <a:ahLst/>
                            <a:cxnLst/>
                            <a:rect l="0" t="0" r="0" b="0"/>
                            <a:pathLst>
                              <a:path w="20" h="269">
                                <a:moveTo>
                                  <a:pt x="0" y="0"/>
                                </a:moveTo>
                                <a:lnTo>
                                  <a:pt x="0" y="268"/>
                                </a:lnTo>
                              </a:path>
                            </a:pathLst>
                          </a:custGeom>
                          <a:noFill/>
                          <a:ln w="9525" cap="flat" cmpd="sng">
                            <a:solidFill>
                              <a:srgbClr val="000000"/>
                            </a:solidFill>
                            <a:prstDash val="solid"/>
                            <a:headEnd type="none" w="med" len="med"/>
                            <a:tailEnd type="none" w="med" len="med"/>
                          </a:ln>
                        </wps:spPr>
                        <wps:bodyPr upright="1"/>
                      </wps:wsp>
                      <wps:wsp>
                        <wps:cNvPr id="39" name="矩形 39"/>
                        <wps:cNvSpPr/>
                        <wps:spPr>
                          <a:xfrm>
                            <a:off x="6952" y="3735"/>
                            <a:ext cx="1201" cy="405"/>
                          </a:xfrm>
                          <a:prstGeom prst="rect">
                            <a:avLst/>
                          </a:prstGeom>
                          <a:noFill/>
                          <a:ln w="9525" cap="flat" cmpd="sng">
                            <a:solidFill>
                              <a:srgbClr val="000000"/>
                            </a:solidFill>
                            <a:prstDash val="solid"/>
                            <a:miter/>
                            <a:headEnd type="none" w="med" len="med"/>
                            <a:tailEnd type="none" w="med" len="med"/>
                          </a:ln>
                        </wps:spPr>
                        <wps:bodyPr upright="1"/>
                      </wps:wsp>
                      <wps:wsp>
                        <wps:cNvPr id="40" name="矩形 40"/>
                        <wps:cNvSpPr/>
                        <wps:spPr>
                          <a:xfrm>
                            <a:off x="6960" y="3814"/>
                            <a:ext cx="1284" cy="359"/>
                          </a:xfrm>
                          <a:prstGeom prst="rect">
                            <a:avLst/>
                          </a:prstGeom>
                          <a:noFill/>
                          <a:ln>
                            <a:noFill/>
                          </a:ln>
                        </wps:spPr>
                        <wps:txbx>
                          <w:txbxContent>
                            <w:p w14:paraId="09E97C21">
                              <w:pPr>
                                <w:widowControl/>
                                <w:autoSpaceDE/>
                                <w:autoSpaceDN/>
                                <w:adjustRightInd/>
                                <w:spacing w:line="240" w:lineRule="atLeast"/>
                                <w:ind w:firstLine="0" w:firstLineChars="0"/>
                                <w:jc w:val="center"/>
                                <w:rPr>
                                  <w:rFonts w:eastAsia="Times New Roman"/>
                                </w:rPr>
                              </w:pPr>
                              <w:r>
                                <w:rPr>
                                  <w:rFonts w:hint="eastAsia"/>
                                </w:rPr>
                                <w:t>环保部门</w:t>
                              </w:r>
                            </w:p>
                            <w:p w14:paraId="678E082E">
                              <w:pPr>
                                <w:ind w:firstLine="480"/>
                                <w:rPr>
                                  <w:rFonts w:eastAsia="Times New Roman"/>
                                </w:rPr>
                              </w:pPr>
                            </w:p>
                          </w:txbxContent>
                        </wps:txbx>
                        <wps:bodyPr lIns="0" tIns="0" rIns="0" bIns="0" upright="1"/>
                      </wps:wsp>
                      <wps:wsp>
                        <wps:cNvPr id="41" name="任意多边形 41"/>
                        <wps:cNvSpPr/>
                        <wps:spPr>
                          <a:xfrm>
                            <a:off x="7549" y="3479"/>
                            <a:ext cx="20" cy="269"/>
                          </a:xfrm>
                          <a:custGeom>
                            <a:avLst/>
                            <a:gdLst/>
                            <a:ahLst/>
                            <a:cxnLst/>
                            <a:rect l="0" t="0" r="0" b="0"/>
                            <a:pathLst>
                              <a:path w="20" h="269">
                                <a:moveTo>
                                  <a:pt x="0" y="0"/>
                                </a:moveTo>
                                <a:lnTo>
                                  <a:pt x="0" y="268"/>
                                </a:lnTo>
                              </a:path>
                            </a:pathLst>
                          </a:custGeom>
                          <a:noFill/>
                          <a:ln w="9525" cap="flat" cmpd="sng">
                            <a:solidFill>
                              <a:srgbClr val="000000"/>
                            </a:solidFill>
                            <a:prstDash val="solid"/>
                            <a:headEnd type="none" w="med" len="med"/>
                            <a:tailEnd type="none" w="med" len="med"/>
                          </a:ln>
                        </wps:spPr>
                        <wps:bodyPr upright="1"/>
                      </wps:wsp>
                      <wps:wsp>
                        <wps:cNvPr id="42" name="矩形 42"/>
                        <wps:cNvSpPr/>
                        <wps:spPr>
                          <a:xfrm>
                            <a:off x="8350" y="3735"/>
                            <a:ext cx="1201" cy="405"/>
                          </a:xfrm>
                          <a:prstGeom prst="rect">
                            <a:avLst/>
                          </a:prstGeom>
                          <a:noFill/>
                          <a:ln w="9525" cap="flat" cmpd="sng">
                            <a:solidFill>
                              <a:srgbClr val="000000"/>
                            </a:solidFill>
                            <a:prstDash val="solid"/>
                            <a:miter/>
                            <a:headEnd type="none" w="med" len="med"/>
                            <a:tailEnd type="none" w="med" len="med"/>
                          </a:ln>
                        </wps:spPr>
                        <wps:bodyPr upright="1"/>
                      </wps:wsp>
                      <wps:wsp>
                        <wps:cNvPr id="43" name="矩形 43"/>
                        <wps:cNvSpPr/>
                        <wps:spPr>
                          <a:xfrm>
                            <a:off x="8359" y="3814"/>
                            <a:ext cx="1314" cy="374"/>
                          </a:xfrm>
                          <a:prstGeom prst="rect">
                            <a:avLst/>
                          </a:prstGeom>
                          <a:noFill/>
                          <a:ln>
                            <a:noFill/>
                          </a:ln>
                        </wps:spPr>
                        <wps:txbx>
                          <w:txbxContent>
                            <w:p w14:paraId="671836E1">
                              <w:pPr>
                                <w:widowControl/>
                                <w:autoSpaceDE/>
                                <w:autoSpaceDN/>
                                <w:adjustRightInd/>
                                <w:spacing w:line="240" w:lineRule="atLeast"/>
                                <w:ind w:firstLine="0" w:firstLineChars="0"/>
                                <w:jc w:val="center"/>
                                <w:rPr>
                                  <w:rFonts w:eastAsia="Times New Roman"/>
                                </w:rPr>
                              </w:pPr>
                              <w:r>
                                <w:rPr>
                                  <w:rFonts w:hint="eastAsia"/>
                                </w:rPr>
                                <w:t>其他部门</w:t>
                              </w:r>
                              <w:r>
                                <w:rPr>
                                  <w:rFonts w:eastAsia="Times New Roman"/>
                                </w:rPr>
                                <w:drawing>
                                  <wp:inline distT="0" distB="0" distL="114300" distR="114300">
                                    <wp:extent cx="749935" cy="155575"/>
                                    <wp:effectExtent l="0" t="0" r="0" b="0"/>
                                    <wp:docPr id="9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7"/>
                                            <pic:cNvPicPr>
                                              <a:picLocks noChangeAspect="1"/>
                                            </pic:cNvPicPr>
                                          </pic:nvPicPr>
                                          <pic:blipFill>
                                            <a:blip r:embed="rId42"/>
                                            <a:stretch>
                                              <a:fillRect/>
                                            </a:stretch>
                                          </pic:blipFill>
                                          <pic:spPr>
                                            <a:xfrm>
                                              <a:off x="0" y="0"/>
                                              <a:ext cx="749935" cy="155575"/>
                                            </a:xfrm>
                                            <a:prstGeom prst="rect">
                                              <a:avLst/>
                                            </a:prstGeom>
                                            <a:noFill/>
                                            <a:ln>
                                              <a:noFill/>
                                            </a:ln>
                                          </pic:spPr>
                                        </pic:pic>
                                      </a:graphicData>
                                    </a:graphic>
                                  </wp:inline>
                                </w:drawing>
                              </w:r>
                            </w:p>
                            <w:p w14:paraId="1B07645D">
                              <w:pPr>
                                <w:ind w:firstLine="480"/>
                                <w:jc w:val="center"/>
                                <w:rPr>
                                  <w:rFonts w:eastAsia="Times New Roman"/>
                                </w:rPr>
                              </w:pPr>
                            </w:p>
                          </w:txbxContent>
                        </wps:txbx>
                        <wps:bodyPr lIns="0" tIns="0" rIns="0" bIns="0" upright="1"/>
                      </wps:wsp>
                      <wps:wsp>
                        <wps:cNvPr id="44" name="任意多边形 44"/>
                        <wps:cNvSpPr/>
                        <wps:spPr>
                          <a:xfrm>
                            <a:off x="8954" y="3466"/>
                            <a:ext cx="20" cy="269"/>
                          </a:xfrm>
                          <a:custGeom>
                            <a:avLst/>
                            <a:gdLst/>
                            <a:ahLst/>
                            <a:cxnLst/>
                            <a:rect l="0" t="0" r="0" b="0"/>
                            <a:pathLst>
                              <a:path w="20" h="269">
                                <a:moveTo>
                                  <a:pt x="0" y="0"/>
                                </a:moveTo>
                                <a:lnTo>
                                  <a:pt x="0" y="268"/>
                                </a:lnTo>
                              </a:path>
                            </a:pathLst>
                          </a:custGeom>
                          <a:noFill/>
                          <a:ln w="9525" cap="flat" cmpd="sng">
                            <a:solidFill>
                              <a:srgbClr val="000000"/>
                            </a:solidFill>
                            <a:prstDash val="solid"/>
                            <a:headEnd type="none" w="med" len="med"/>
                            <a:tailEnd type="none" w="med" len="med"/>
                          </a:ln>
                        </wps:spPr>
                        <wps:bodyPr upright="1"/>
                      </wps:wsp>
                      <wps:wsp>
                        <wps:cNvPr id="45" name="矩形 45"/>
                        <wps:cNvSpPr/>
                        <wps:spPr>
                          <a:xfrm>
                            <a:off x="5134" y="1058"/>
                            <a:ext cx="1418" cy="402"/>
                          </a:xfrm>
                          <a:prstGeom prst="rect">
                            <a:avLst/>
                          </a:prstGeom>
                          <a:noFill/>
                          <a:ln w="9525" cap="flat" cmpd="sng">
                            <a:solidFill>
                              <a:srgbClr val="000000"/>
                            </a:solidFill>
                            <a:prstDash val="solid"/>
                            <a:miter/>
                            <a:headEnd type="none" w="med" len="med"/>
                            <a:tailEnd type="none" w="med" len="med"/>
                          </a:ln>
                        </wps:spPr>
                        <wps:bodyPr upright="1"/>
                      </wps:wsp>
                      <wps:wsp>
                        <wps:cNvPr id="46" name="矩形 46"/>
                        <wps:cNvSpPr/>
                        <wps:spPr>
                          <a:xfrm>
                            <a:off x="5066" y="1048"/>
                            <a:ext cx="1534" cy="434"/>
                          </a:xfrm>
                          <a:prstGeom prst="rect">
                            <a:avLst/>
                          </a:prstGeom>
                          <a:noFill/>
                          <a:ln>
                            <a:noFill/>
                          </a:ln>
                        </wps:spPr>
                        <wps:txbx>
                          <w:txbxContent>
                            <w:p w14:paraId="6FA444D8">
                              <w:pPr>
                                <w:pStyle w:val="189"/>
                                <w:ind w:firstLine="0" w:firstLineChars="0"/>
                                <w:jc w:val="center"/>
                              </w:pPr>
                              <w:r>
                                <w:rPr>
                                  <w:rFonts w:hint="eastAsia"/>
                                </w:rPr>
                                <w:t>事故报警</w:t>
                              </w:r>
                            </w:p>
                            <w:p w14:paraId="2406024E">
                              <w:pPr>
                                <w:ind w:firstLine="480"/>
                                <w:rPr>
                                  <w:rFonts w:eastAsia="Times New Roman"/>
                                </w:rPr>
                              </w:pPr>
                            </w:p>
                          </w:txbxContent>
                        </wps:txbx>
                        <wps:bodyPr lIns="0" tIns="0" rIns="0" bIns="0" upright="1"/>
                      </wps:wsp>
                      <wps:wsp>
                        <wps:cNvPr id="47" name="矩形 47"/>
                        <wps:cNvSpPr/>
                        <wps:spPr>
                          <a:xfrm>
                            <a:off x="4358" y="1865"/>
                            <a:ext cx="2809" cy="402"/>
                          </a:xfrm>
                          <a:prstGeom prst="rect">
                            <a:avLst/>
                          </a:prstGeom>
                          <a:noFill/>
                          <a:ln w="9525" cap="flat" cmpd="sng">
                            <a:solidFill>
                              <a:srgbClr val="000000"/>
                            </a:solidFill>
                            <a:prstDash val="solid"/>
                            <a:miter/>
                            <a:headEnd type="none" w="med" len="med"/>
                            <a:tailEnd type="none" w="med" len="med"/>
                          </a:ln>
                        </wps:spPr>
                        <wps:bodyPr upright="1"/>
                      </wps:wsp>
                      <wps:wsp>
                        <wps:cNvPr id="48" name="矩形 48"/>
                        <wps:cNvSpPr/>
                        <wps:spPr>
                          <a:xfrm>
                            <a:off x="4336" y="1840"/>
                            <a:ext cx="2874" cy="449"/>
                          </a:xfrm>
                          <a:prstGeom prst="rect">
                            <a:avLst/>
                          </a:prstGeom>
                          <a:noFill/>
                          <a:ln>
                            <a:noFill/>
                          </a:ln>
                        </wps:spPr>
                        <wps:txbx>
                          <w:txbxContent>
                            <w:p w14:paraId="3F6C8346">
                              <w:pPr>
                                <w:pStyle w:val="189"/>
                              </w:pPr>
                              <w:r>
                                <w:rPr>
                                  <w:rFonts w:hint="eastAsia"/>
                                </w:rPr>
                                <w:t>应急中心值班人员</w:t>
                              </w:r>
                            </w:p>
                            <w:p w14:paraId="4B711430">
                              <w:pPr>
                                <w:widowControl/>
                                <w:autoSpaceDE/>
                                <w:autoSpaceDN/>
                                <w:adjustRightInd/>
                                <w:spacing w:line="240" w:lineRule="atLeast"/>
                                <w:ind w:firstLine="480"/>
                                <w:rPr>
                                  <w:rFonts w:eastAsia="Times New Roman"/>
                                </w:rPr>
                              </w:pPr>
                            </w:p>
                            <w:p w14:paraId="33963DF1">
                              <w:pPr>
                                <w:ind w:firstLine="480"/>
                                <w:rPr>
                                  <w:rFonts w:eastAsia="Times New Roman"/>
                                </w:rPr>
                              </w:pPr>
                            </w:p>
                          </w:txbxContent>
                        </wps:txbx>
                        <wps:bodyPr lIns="0" tIns="0" rIns="0" bIns="0" upright="1"/>
                      </wps:wsp>
                      <wps:wsp>
                        <wps:cNvPr id="49" name="任意多边形 49"/>
                        <wps:cNvSpPr/>
                        <wps:spPr>
                          <a:xfrm>
                            <a:off x="5774" y="1461"/>
                            <a:ext cx="20" cy="404"/>
                          </a:xfrm>
                          <a:custGeom>
                            <a:avLst/>
                            <a:gdLst/>
                            <a:ahLst/>
                            <a:cxnLst/>
                            <a:rect l="0" t="0" r="0" b="0"/>
                            <a:pathLst>
                              <a:path w="20" h="404">
                                <a:moveTo>
                                  <a:pt x="0" y="0"/>
                                </a:moveTo>
                                <a:lnTo>
                                  <a:pt x="0" y="403"/>
                                </a:lnTo>
                              </a:path>
                            </a:pathLst>
                          </a:custGeom>
                          <a:noFill/>
                          <a:ln w="9525" cap="flat" cmpd="sng">
                            <a:solidFill>
                              <a:srgbClr val="000000"/>
                            </a:solidFill>
                            <a:prstDash val="solid"/>
                            <a:headEnd type="none" w="med" len="med"/>
                            <a:tailEnd type="none" w="med" len="med"/>
                          </a:ln>
                        </wps:spPr>
                        <wps:bodyPr upright="1"/>
                      </wps:wsp>
                      <wps:wsp>
                        <wps:cNvPr id="50" name="矩形 50"/>
                        <wps:cNvSpPr/>
                        <wps:spPr>
                          <a:xfrm>
                            <a:off x="4358" y="2672"/>
                            <a:ext cx="2809" cy="402"/>
                          </a:xfrm>
                          <a:prstGeom prst="rect">
                            <a:avLst/>
                          </a:prstGeom>
                          <a:noFill/>
                          <a:ln w="9525" cap="flat" cmpd="sng">
                            <a:solidFill>
                              <a:srgbClr val="000000"/>
                            </a:solidFill>
                            <a:prstDash val="solid"/>
                            <a:miter/>
                            <a:headEnd type="none" w="med" len="med"/>
                            <a:tailEnd type="none" w="med" len="med"/>
                          </a:ln>
                        </wps:spPr>
                        <wps:bodyPr upright="1"/>
                      </wps:wsp>
                      <wps:wsp>
                        <wps:cNvPr id="51" name="矩形 51"/>
                        <wps:cNvSpPr/>
                        <wps:spPr>
                          <a:xfrm>
                            <a:off x="4306" y="2646"/>
                            <a:ext cx="3190" cy="538"/>
                          </a:xfrm>
                          <a:prstGeom prst="rect">
                            <a:avLst/>
                          </a:prstGeom>
                          <a:noFill/>
                          <a:ln>
                            <a:noFill/>
                          </a:ln>
                        </wps:spPr>
                        <wps:txbx>
                          <w:txbxContent>
                            <w:p w14:paraId="41F5D687">
                              <w:pPr>
                                <w:ind w:firstLine="480"/>
                                <w:rPr>
                                  <w:rFonts w:eastAsia="Times New Roman"/>
                                </w:rPr>
                              </w:pPr>
                              <w:r>
                                <w:rPr>
                                  <w:rFonts w:hint="eastAsia"/>
                                </w:rPr>
                                <w:t>应急事故领导小组</w:t>
                              </w:r>
                            </w:p>
                          </w:txbxContent>
                        </wps:txbx>
                        <wps:bodyPr lIns="0" tIns="0" rIns="0" bIns="0" upright="1"/>
                      </wps:wsp>
                      <wps:wsp>
                        <wps:cNvPr id="52" name="任意多边形 52"/>
                        <wps:cNvSpPr/>
                        <wps:spPr>
                          <a:xfrm>
                            <a:off x="5788" y="2268"/>
                            <a:ext cx="20" cy="404"/>
                          </a:xfrm>
                          <a:custGeom>
                            <a:avLst/>
                            <a:gdLst/>
                            <a:ahLst/>
                            <a:cxnLst/>
                            <a:rect l="0" t="0" r="0" b="0"/>
                            <a:pathLst>
                              <a:path w="20" h="404">
                                <a:moveTo>
                                  <a:pt x="0" y="0"/>
                                </a:moveTo>
                                <a:lnTo>
                                  <a:pt x="0" y="404"/>
                                </a:lnTo>
                              </a:path>
                            </a:pathLst>
                          </a:custGeom>
                          <a:noFill/>
                          <a:ln w="9525" cap="flat" cmpd="sng">
                            <a:solidFill>
                              <a:srgbClr val="000000"/>
                            </a:solidFill>
                            <a:prstDash val="solid"/>
                            <a:headEnd type="none" w="med" len="med"/>
                            <a:tailEnd type="none" w="med" len="med"/>
                          </a:ln>
                        </wps:spPr>
                        <wps:bodyPr upright="1"/>
                      </wps:wsp>
                      <wps:wsp>
                        <wps:cNvPr id="53" name="任意多边形 53"/>
                        <wps:cNvSpPr/>
                        <wps:spPr>
                          <a:xfrm>
                            <a:off x="5774" y="3075"/>
                            <a:ext cx="20" cy="404"/>
                          </a:xfrm>
                          <a:custGeom>
                            <a:avLst/>
                            <a:gdLst/>
                            <a:ahLst/>
                            <a:cxnLst/>
                            <a:rect l="0" t="0" r="0" b="0"/>
                            <a:pathLst>
                              <a:path w="20" h="404">
                                <a:moveTo>
                                  <a:pt x="0" y="0"/>
                                </a:moveTo>
                                <a:lnTo>
                                  <a:pt x="0" y="404"/>
                                </a:lnTo>
                              </a:path>
                            </a:pathLst>
                          </a:cu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7.95pt;margin-top:4.8pt;height:160pt;width:384.85pt;mso-position-horizontal-relative:page;z-index:-251655168;mso-width-relative:page;mso-height-relative:page;" coordorigin="1991,1048" coordsize="7682,3185" o:allowincell="f" o:gfxdata="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DtGW2e2QAAAAoBAAAPAAAAAAAAAAEAIAAAACIAAABkcnMv&#10;ZG93bnJldi54bWxQSwECFAAUAAAACACHTuJAw2PxcD0GAABrOQAADgAAAAAAAAABACAAAAAoAQAA&#10;ZHJzL2Uyb0RvYy54bWxQSwUGAAAAAAYABgBZAQAA1wkAAAAA&#10;">
                <o:lock v:ext="edit" aspectratio="f"/>
                <v:rect id="_x0000_s1026" o:spid="_x0000_s1026" o:spt="1" style="position:absolute;left:1991;top:3748;height:403;width:1922;" filled="f" stroked="t" coordsize="21600,21600" o:gfxdata="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El/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_x0000_s1026" o:spid="_x0000_s1026" o:spt="1" style="position:absolute;left:1999;top:3829;height:404;width:1960;"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51EEE4B8">
                        <w:pPr>
                          <w:widowControl/>
                          <w:autoSpaceDE/>
                          <w:autoSpaceDN/>
                          <w:adjustRightInd/>
                          <w:spacing w:line="240" w:lineRule="atLeast"/>
                          <w:ind w:firstLine="0" w:firstLineChars="0"/>
                          <w:jc w:val="center"/>
                          <w:rPr>
                            <w:rFonts w:eastAsia="Times New Roman"/>
                          </w:rPr>
                        </w:pPr>
                        <w:r>
                          <w:rPr>
                            <w:rFonts w:hint="eastAsia"/>
                          </w:rPr>
                          <w:t>安全监督管理局</w:t>
                        </w:r>
                      </w:p>
                      <w:p w14:paraId="129F08C9">
                        <w:pPr>
                          <w:ind w:firstLine="480"/>
                          <w:rPr>
                            <w:rFonts w:eastAsia="Times New Roman"/>
                          </w:rPr>
                        </w:pPr>
                      </w:p>
                    </w:txbxContent>
                  </v:textbox>
                </v:rect>
                <v:shape id="_x0000_s1026" o:spid="_x0000_s1026" o:spt="100" style="position:absolute;left:2879;top:3479;height:20;width:6063;" filled="f" stroked="t" coordsize="6063,20" o:gfxdata="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rhnb4A&#10;AADbAAAADwAAAAAAAAABACAAAAAiAAAAZHJzL2Rvd25yZXYueG1sUEsBAhQAFAAAAAgAh07iQDMv&#10;BZ47AAAAOQAAABAAAAAAAAAAAQAgAAAADQEAAGRycy9zaGFwZXhtbC54bWxQSwUGAAAAAAYABgBb&#10;AQAAtwMAAAAA&#10;" path="m0,0l6063,0e">
                  <v:fill on="f" focussize="0,0"/>
                  <v:stroke color="#000000" joinstyle="round"/>
                  <v:imagedata o:title=""/>
                  <o:lock v:ext="edit" aspectratio="f"/>
                </v:shape>
                <v:shape id="_x0000_s1026" o:spid="_x0000_s1026" o:spt="100" style="position:absolute;left:2879;top:3479;height:269;width:20;" filled="f" stroked="t" coordsize="20,269" o:gfxdata="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YdRp&#10;wAAAANsAAAAPAAAAAAAAAAEAIAAAACIAAABkcnMvZG93bnJldi54bWxQSwECFAAUAAAACACHTuJA&#10;My8FnjsAAAA5AAAAEAAAAAAAAAABACAAAAAPAQAAZHJzL3NoYXBleG1sLnhtbFBLBQYAAAAABgAG&#10;AFsBAAC5AwAAAAA=&#10;" path="m0,0l0,268e">
                  <v:fill on="f" focussize="0,0"/>
                  <v:stroke color="#000000" joinstyle="round"/>
                  <v:imagedata o:title=""/>
                  <o:lock v:ext="edit" aspectratio="f"/>
                </v:shape>
                <v:rect id="_x0000_s1026" o:spid="_x0000_s1026" o:spt="1" style="position:absolute;left:4111;top:3742;height:405;width:1201;" filled="f" stroked="t" coordsize="21600,21600" o:gfxdata="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noSLsAAADb&#10;AAAADwAAAAAAAAABACAAAAAiAAAAZHJzL2Rvd25yZXYueG1sUEsBAhQAFAAAAAgAh07iQDMvBZ47&#10;AAAAOQAAABAAAAAAAAAAAQAgAAAACgEAAGRycy9zaGFwZXhtbC54bWxQSwUGAAAAAAYABgBbAQAA&#10;tAMAAAAA&#10;">
                  <v:fill on="f" focussize="0,0"/>
                  <v:stroke color="#000000" joinstyle="miter"/>
                  <v:imagedata o:title=""/>
                  <o:lock v:ext="edit" aspectratio="f"/>
                </v:rect>
                <v:rect id="_x0000_s1026" o:spid="_x0000_s1026" o:spt="1" style="position:absolute;left:4118;top:3821;height:389;width:1225;" filled="f" stroked="f" coordsize="21600,21600" o:gfxdata="UEsDBAoAAAAAAIdO4kAAAAAAAAAAAAAAAAAEAAAAZHJzL1BLAwQUAAAACACHTuJAGUH7bL4AAADb&#10;AAAADwAAAGRycy9kb3ducmV2LnhtbEWPT4vCMBTE74LfITzBm6bqIr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H7b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5293A95">
                        <w:pPr>
                          <w:widowControl/>
                          <w:autoSpaceDE/>
                          <w:autoSpaceDN/>
                          <w:adjustRightInd/>
                          <w:spacing w:line="240" w:lineRule="atLeast"/>
                          <w:ind w:firstLine="0" w:firstLineChars="0"/>
                          <w:jc w:val="center"/>
                          <w:rPr>
                            <w:rFonts w:eastAsia="Times New Roman"/>
                          </w:rPr>
                        </w:pPr>
                        <w:r>
                          <w:rPr>
                            <w:rFonts w:hint="eastAsia"/>
                          </w:rPr>
                          <w:t>消防队</w:t>
                        </w:r>
                      </w:p>
                      <w:p w14:paraId="6028CFB5">
                        <w:pPr>
                          <w:ind w:firstLine="480"/>
                          <w:rPr>
                            <w:rFonts w:eastAsia="Times New Roman"/>
                          </w:rPr>
                        </w:pPr>
                      </w:p>
                    </w:txbxContent>
                  </v:textbox>
                </v:rect>
                <v:shape id="_x0000_s1026" o:spid="_x0000_s1026" o:spt="100" style="position:absolute;left:4715;top:3479;height:269;width:20;" filled="f" stroked="t" coordsize="20,269" o:gfxdata="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hM&#10;HcEAAADbAAAADwAAAAAAAAABACAAAAAiAAAAZHJzL2Rvd25yZXYueG1sUEsBAhQAFAAAAAgAh07i&#10;QDMvBZ47AAAAOQAAABAAAAAAAAAAAQAgAAAAEAEAAGRycy9zaGFwZXhtbC54bWxQSwUGAAAAAAYA&#10;BgBbAQAAugMAAAAA&#10;" path="m0,0l0,268e">
                  <v:fill on="f" focussize="0,0"/>
                  <v:stroke color="#000000" joinstyle="round"/>
                  <v:imagedata o:title=""/>
                  <o:lock v:ext="edit" aspectratio="f"/>
                </v:shape>
                <v:rect id="_x0000_s1026" o:spid="_x0000_s1026" o:spt="1" style="position:absolute;left:5541;top:3745;height:405;width:1201;" filled="f" stroked="t" coordsize="21600,21600" o:gfxdata="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vQ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_x0000_s1026" o:spid="_x0000_s1026" o:spt="1" style="position:absolute;left:5564;top:3825;height:390;width:1225;" filled="f" stroked="f" coordsize="21600,21600" o:gfxdata="UEsDBAoAAAAAAIdO4kAAAAAAAAAAAAAAAAAEAAAAZHJzL1BLAwQUAAAACACHTuJA6ZNlG74AAADb&#10;AAAADwAAAGRycy9kb3ducmV2LnhtbEWPT4vCMBTE74LfITzBm6Yq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Nl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D4ED2B">
                        <w:pPr>
                          <w:widowControl/>
                          <w:autoSpaceDE/>
                          <w:autoSpaceDN/>
                          <w:adjustRightInd/>
                          <w:spacing w:line="240" w:lineRule="atLeast"/>
                          <w:ind w:firstLine="0" w:firstLineChars="0"/>
                          <w:jc w:val="center"/>
                          <w:rPr>
                            <w:rFonts w:eastAsia="Times New Roman"/>
                          </w:rPr>
                        </w:pPr>
                        <w:r>
                          <w:rPr>
                            <w:rFonts w:hint="eastAsia"/>
                          </w:rPr>
                          <w:t>医疗</w:t>
                        </w:r>
                        <w:r>
                          <w:rPr>
                            <w:rFonts w:hint="eastAsia" w:ascii="Times New Roman" w:hAnsi="Times New Roman" w:eastAsia="宋体" w:cs="Times New Roman"/>
                          </w:rPr>
                          <w:t>部门</w:t>
                        </w:r>
                      </w:p>
                    </w:txbxContent>
                  </v:textbox>
                </v:rect>
                <v:shape id="_x0000_s1026" o:spid="_x0000_s1026" o:spt="100" style="position:absolute;left:6132;top:3479;height:269;width:20;" filled="f" stroked="t" coordsize="20,269" o:gfxdata="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ieODvQAA&#10;ANsAAAAPAAAAAAAAAAEAIAAAACIAAABkcnMvZG93bnJldi54bWxQSwECFAAUAAAACACHTuJAMy8F&#10;njsAAAA5AAAAEAAAAAAAAAABACAAAAAMAQAAZHJzL3NoYXBleG1sLnhtbFBLBQYAAAAABgAGAFsB&#10;AAC2AwAAAAA=&#10;" path="m0,0l0,268e">
                  <v:fill on="f" focussize="0,0"/>
                  <v:stroke color="#000000" joinstyle="round"/>
                  <v:imagedata o:title=""/>
                  <o:lock v:ext="edit" aspectratio="f"/>
                </v:shape>
                <v:rect id="_x0000_s1026" o:spid="_x0000_s1026" o:spt="1" style="position:absolute;left:6952;top:3735;height:405;width:1201;" filled="f" stroked="t" coordsize="21600,21600" o:gfxdata="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d+i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_x0000_s1026" o:spid="_x0000_s1026" o:spt="1" style="position:absolute;left:6960;top:3814;height:359;width:1284;" filled="f" stroked="f" coordsize="21600,21600" o:gfxdata="UEsDBAoAAAAAAIdO4kAAAAAAAAAAAAAAAAAEAAAAZHJzL1BLAwQUAAAACACHTuJAPnyOEroAAADb&#10;AAAADwAAAGRycy9kb3ducmV2LnhtbEVPTYvCMBC9C/sfwix401QR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4S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09E97C21">
                        <w:pPr>
                          <w:widowControl/>
                          <w:autoSpaceDE/>
                          <w:autoSpaceDN/>
                          <w:adjustRightInd/>
                          <w:spacing w:line="240" w:lineRule="atLeast"/>
                          <w:ind w:firstLine="0" w:firstLineChars="0"/>
                          <w:jc w:val="center"/>
                          <w:rPr>
                            <w:rFonts w:eastAsia="Times New Roman"/>
                          </w:rPr>
                        </w:pPr>
                        <w:r>
                          <w:rPr>
                            <w:rFonts w:hint="eastAsia"/>
                          </w:rPr>
                          <w:t>环保部门</w:t>
                        </w:r>
                      </w:p>
                      <w:p w14:paraId="678E082E">
                        <w:pPr>
                          <w:ind w:firstLine="480"/>
                          <w:rPr>
                            <w:rFonts w:eastAsia="Times New Roman"/>
                          </w:rPr>
                        </w:pPr>
                      </w:p>
                    </w:txbxContent>
                  </v:textbox>
                </v:rect>
                <v:shape id="_x0000_s1026" o:spid="_x0000_s1026" o:spt="100" style="position:absolute;left:7549;top:3479;height:269;width:20;" filled="f" stroked="t" coordsize="20,269" o:gfxdata="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U5&#10;Y8EAAADbAAAADwAAAAAAAAABACAAAAAiAAAAZHJzL2Rvd25yZXYueG1sUEsBAhQAFAAAAAgAh07i&#10;QDMvBZ47AAAAOQAAABAAAAAAAAAAAQAgAAAAEAEAAGRycy9zaGFwZXhtbC54bWxQSwUGAAAAAAYA&#10;BgBbAQAAugMAAAAA&#10;" path="m0,0l0,268e">
                  <v:fill on="f" focussize="0,0"/>
                  <v:stroke color="#000000" joinstyle="round"/>
                  <v:imagedata o:title=""/>
                  <o:lock v:ext="edit" aspectratio="f"/>
                </v:shape>
                <v:rect id="_x0000_s1026" o:spid="_x0000_s1026" o:spt="1" style="position:absolute;left:8350;top:3735;height:405;width:1201;" filled="f" stroked="t" coordsize="21600,21600" o:gfxdata="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z6u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_x0000_s1026" o:spid="_x0000_s1026" o:spt="1" style="position:absolute;left:8359;top:3814;height:374;width:1314;" filled="f" stroked="f" coordsize="21600,21600" o:gfxdata="UEsDBAoAAAAAAIdO4kAAAAAAAAAAAAAAAAAEAAAAZHJzL1BLAwQUAAAACACHTuJAzq4QZb4AAADb&#10;AAAADwAAAGRycy9kb3ducmV2LnhtbEWPT4vCMBTE74LfITzBm6bqIr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4QZ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71836E1">
                        <w:pPr>
                          <w:widowControl/>
                          <w:autoSpaceDE/>
                          <w:autoSpaceDN/>
                          <w:adjustRightInd/>
                          <w:spacing w:line="240" w:lineRule="atLeast"/>
                          <w:ind w:firstLine="0" w:firstLineChars="0"/>
                          <w:jc w:val="center"/>
                          <w:rPr>
                            <w:rFonts w:eastAsia="Times New Roman"/>
                          </w:rPr>
                        </w:pPr>
                        <w:r>
                          <w:rPr>
                            <w:rFonts w:hint="eastAsia"/>
                          </w:rPr>
                          <w:t>其他部门</w:t>
                        </w:r>
                        <w:r>
                          <w:rPr>
                            <w:rFonts w:eastAsia="Times New Roman"/>
                          </w:rPr>
                          <w:drawing>
                            <wp:inline distT="0" distB="0" distL="114300" distR="114300">
                              <wp:extent cx="749935" cy="155575"/>
                              <wp:effectExtent l="0" t="0" r="0" b="0"/>
                              <wp:docPr id="9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7"/>
                                      <pic:cNvPicPr>
                                        <a:picLocks noChangeAspect="1"/>
                                      </pic:cNvPicPr>
                                    </pic:nvPicPr>
                                    <pic:blipFill>
                                      <a:blip r:embed="rId42"/>
                                      <a:stretch>
                                        <a:fillRect/>
                                      </a:stretch>
                                    </pic:blipFill>
                                    <pic:spPr>
                                      <a:xfrm>
                                        <a:off x="0" y="0"/>
                                        <a:ext cx="749935" cy="155575"/>
                                      </a:xfrm>
                                      <a:prstGeom prst="rect">
                                        <a:avLst/>
                                      </a:prstGeom>
                                      <a:noFill/>
                                      <a:ln>
                                        <a:noFill/>
                                      </a:ln>
                                    </pic:spPr>
                                  </pic:pic>
                                </a:graphicData>
                              </a:graphic>
                            </wp:inline>
                          </w:drawing>
                        </w:r>
                      </w:p>
                      <w:p w14:paraId="1B07645D">
                        <w:pPr>
                          <w:ind w:firstLine="480"/>
                          <w:jc w:val="center"/>
                          <w:rPr>
                            <w:rFonts w:eastAsia="Times New Roman"/>
                          </w:rPr>
                        </w:pPr>
                      </w:p>
                    </w:txbxContent>
                  </v:textbox>
                </v:rect>
                <v:shape id="_x0000_s1026" o:spid="_x0000_s1026" o:spt="100" style="position:absolute;left:8954;top:3466;height:269;width:20;" filled="f" stroked="t" coordsize="20,269" o:gfxdata="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sKa&#10;+8EAAADbAAAADwAAAAAAAAABACAAAAAiAAAAZHJzL2Rvd25yZXYueG1sUEsBAhQAFAAAAAgAh07i&#10;QDMvBZ47AAAAOQAAABAAAAAAAAAAAQAgAAAAEAEAAGRycy9zaGFwZXhtbC54bWxQSwUGAAAAAAYA&#10;BgBbAQAAugMAAAAA&#10;" path="m0,0l0,268e">
                  <v:fill on="f" focussize="0,0"/>
                  <v:stroke color="#000000" joinstyle="round"/>
                  <v:imagedata o:title=""/>
                  <o:lock v:ext="edit" aspectratio="f"/>
                </v:shape>
                <v:rect id="_x0000_s1026" o:spid="_x0000_s1026" o:spt="1" style="position:absolute;left:5134;top:1058;height:402;width:1418;" filled="f" stroked="t" coordsize="21600,21600" o:gfxdata="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qba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_x0000_s1026" o:spid="_x0000_s1026" o:spt="1" style="position:absolute;left:5066;top:1048;height:434;width:1534;" filled="f" stroked="f" coordsize="21600,21600" o:gfxdata="UEsDBAoAAAAAAIdO4kAAAAAAAAAAAAAAAAAEAAAAZHJzL1BLAwQUAAAACACHTuJA3tmz/b8AAADb&#10;AAAADwAAAGRycy9kb3ducmV2LnhtbEWPT2vCQBTE74LfYXlCb7pJKa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Zs/2/&#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A444D8">
                        <w:pPr>
                          <w:pStyle w:val="189"/>
                          <w:ind w:firstLine="0" w:firstLineChars="0"/>
                          <w:jc w:val="center"/>
                        </w:pPr>
                        <w:r>
                          <w:rPr>
                            <w:rFonts w:hint="eastAsia"/>
                          </w:rPr>
                          <w:t>事故报警</w:t>
                        </w:r>
                      </w:p>
                      <w:p w14:paraId="2406024E">
                        <w:pPr>
                          <w:ind w:firstLine="480"/>
                          <w:rPr>
                            <w:rFonts w:eastAsia="Times New Roman"/>
                          </w:rPr>
                        </w:pPr>
                      </w:p>
                    </w:txbxContent>
                  </v:textbox>
                </v:rect>
                <v:rect id="_x0000_s1026" o:spid="_x0000_s1026" o:spt="1" style="position:absolute;left:4358;top:1865;height:402;width:2809;" filled="f" stroked="t" coordsize="21600,21600" o:gfxdata="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J02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_x0000_s1026" o:spid="_x0000_s1026" o:spt="1" style="position:absolute;left:4336;top:1840;height:449;width:2874;" filled="f" stroked="f" coordsize="21600,21600" o:gfxdata="UEsDBAoAAAAAAIdO4kAAAAAAAAAAAAAAAAAEAAAAZHJzL1BLAwQUAAAACACHTuJAwAqCFLoAAADb&#10;AAAADwAAAGRycy9kb3ducmV2LnhtbEVPTYvCMBC9C/sfwix401QR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oI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F6C8346">
                        <w:pPr>
                          <w:pStyle w:val="189"/>
                        </w:pPr>
                        <w:r>
                          <w:rPr>
                            <w:rFonts w:hint="eastAsia"/>
                          </w:rPr>
                          <w:t>应急中心值班人员</w:t>
                        </w:r>
                      </w:p>
                      <w:p w14:paraId="4B711430">
                        <w:pPr>
                          <w:widowControl/>
                          <w:autoSpaceDE/>
                          <w:autoSpaceDN/>
                          <w:adjustRightInd/>
                          <w:spacing w:line="240" w:lineRule="atLeast"/>
                          <w:ind w:firstLine="480"/>
                          <w:rPr>
                            <w:rFonts w:eastAsia="Times New Roman"/>
                          </w:rPr>
                        </w:pPr>
                      </w:p>
                      <w:p w14:paraId="33963DF1">
                        <w:pPr>
                          <w:ind w:firstLine="480"/>
                          <w:rPr>
                            <w:rFonts w:eastAsia="Times New Roman"/>
                          </w:rPr>
                        </w:pPr>
                      </w:p>
                    </w:txbxContent>
                  </v:textbox>
                </v:rect>
                <v:shape id="_x0000_s1026" o:spid="_x0000_s1026" o:spt="100" style="position:absolute;left:5774;top:1461;height:404;width:20;" filled="f" stroked="t" coordsize="20,404" o:gfxdata="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y6O7sAAADb&#10;AAAADwAAAAAAAAABACAAAAAiAAAAZHJzL2Rvd25yZXYueG1sUEsBAhQAFAAAAAgAh07iQDMvBZ47&#10;AAAAOQAAABAAAAAAAAAAAQAgAAAACgEAAGRycy9zaGFwZXhtbC54bWxQSwUGAAAAAAYABgBbAQAA&#10;tAMAAAAA&#10;" path="m0,0l0,403e">
                  <v:fill on="f" focussize="0,0"/>
                  <v:stroke color="#000000" joinstyle="round"/>
                  <v:imagedata o:title=""/>
                  <o:lock v:ext="edit" aspectratio="f"/>
                </v:shape>
                <v:rect id="_x0000_s1026" o:spid="_x0000_s1026" o:spt="1" style="position:absolute;left:4358;top:2672;height:402;width:2809;" filled="f" stroked="t" coordsize="21600,21600" o:gfxdata="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Ek5+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rect>
                <v:rect id="_x0000_s1026" o:spid="_x0000_s1026" o:spt="1" style="position:absolute;left:4306;top:2646;height:538;width:3190;" filled="f" stroked="f" coordsize="21600,21600" o:gfxdata="UEsDBAoAAAAAAIdO4kAAAAAAAAAAAAAAAAAEAAAAZHJzL1BLAwQUAAAACACHTuJA1Om9VL4AAADb&#10;AAAADwAAAGRycy9kb3ducmV2LnhtbEWPQWvCQBSE7wX/w/KE3ppNCha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m9V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1F5D687">
                        <w:pPr>
                          <w:ind w:firstLine="480"/>
                          <w:rPr>
                            <w:rFonts w:eastAsia="Times New Roman"/>
                          </w:rPr>
                        </w:pPr>
                        <w:r>
                          <w:rPr>
                            <w:rFonts w:hint="eastAsia"/>
                          </w:rPr>
                          <w:t>应急事故领导小组</w:t>
                        </w:r>
                      </w:p>
                    </w:txbxContent>
                  </v:textbox>
                </v:rect>
                <v:shape id="_x0000_s1026" o:spid="_x0000_s1026" o:spt="100" style="position:absolute;left:5788;top:2268;height:404;width:20;" filled="f" stroked="t" coordsize="20,404" o:gfxdata="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b6XvQAA&#10;ANsAAAAPAAAAAAAAAAEAIAAAACIAAABkcnMvZG93bnJldi54bWxQSwECFAAUAAAACACHTuJAMy8F&#10;njsAAAA5AAAAEAAAAAAAAAABACAAAAAMAQAAZHJzL3NoYXBleG1sLnhtbFBLBQYAAAAABgAGAFsB&#10;AAC2AwAAAAA=&#10;" path="m0,0l0,404e">
                  <v:fill on="f" focussize="0,0"/>
                  <v:stroke color="#000000" joinstyle="round"/>
                  <v:imagedata o:title=""/>
                  <o:lock v:ext="edit" aspectratio="f"/>
                </v:shape>
                <v:shape id="_x0000_s1026" o:spid="_x0000_s1026" o:spt="100" style="position:absolute;left:5774;top:3075;height:404;width:20;" filled="f" stroked="t" coordsize="20,404" o:gfxdata="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tGwy8AAAA&#10;2wAAAA8AAAAAAAAAAQAgAAAAIgAAAGRycy9kb3ducmV2LnhtbFBLAQIUABQAAAAIAIdO4kAzLwWe&#10;OwAAADkAAAAQAAAAAAAAAAEAIAAAAAsBAABkcnMvc2hhcGV4bWwueG1sUEsFBgAAAAAGAAYAWwEA&#10;ALUDAAAAAA==&#10;" path="m0,0l0,404e">
                  <v:fill on="f" focussize="0,0"/>
                  <v:stroke color="#000000" joinstyle="round"/>
                  <v:imagedata o:title=""/>
                  <o:lock v:ext="edit" aspectratio="f"/>
                </v:shape>
              </v:group>
            </w:pict>
          </mc:Fallback>
        </mc:AlternateContent>
      </w:r>
    </w:p>
    <w:p w14:paraId="709BD935">
      <w:pPr>
        <w:pStyle w:val="189"/>
        <w:ind w:firstLine="0" w:firstLineChars="0"/>
        <w:rPr>
          <w:rFonts w:hint="default" w:ascii="Times New Roman" w:hAnsi="Times New Roman" w:cs="Times New Roman"/>
          <w:color w:val="FF0000"/>
          <w:highlight w:val="none"/>
          <w:u w:val="none" w:color="auto"/>
        </w:rPr>
      </w:pPr>
    </w:p>
    <w:p w14:paraId="33B2F209">
      <w:pPr>
        <w:pStyle w:val="189"/>
        <w:rPr>
          <w:rFonts w:hint="default" w:ascii="Times New Roman" w:hAnsi="Times New Roman" w:cs="Times New Roman"/>
          <w:color w:val="FF0000"/>
          <w:highlight w:val="none"/>
          <w:u w:val="none" w:color="auto"/>
        </w:rPr>
      </w:pPr>
    </w:p>
    <w:p w14:paraId="3A394353">
      <w:pPr>
        <w:pStyle w:val="189"/>
        <w:rPr>
          <w:rFonts w:hint="default" w:ascii="Times New Roman" w:hAnsi="Times New Roman" w:cs="Times New Roman"/>
          <w:color w:val="FF0000"/>
          <w:highlight w:val="none"/>
          <w:u w:val="none" w:color="auto"/>
        </w:rPr>
      </w:pPr>
    </w:p>
    <w:p w14:paraId="1FD57292">
      <w:pPr>
        <w:pStyle w:val="189"/>
        <w:rPr>
          <w:rFonts w:hint="default" w:ascii="Times New Roman" w:hAnsi="Times New Roman" w:cs="Times New Roman"/>
          <w:color w:val="FF0000"/>
          <w:highlight w:val="none"/>
          <w:u w:val="none" w:color="auto"/>
        </w:rPr>
      </w:pPr>
    </w:p>
    <w:p w14:paraId="03A018ED">
      <w:pPr>
        <w:pStyle w:val="189"/>
        <w:rPr>
          <w:rFonts w:hint="default" w:ascii="Times New Roman" w:hAnsi="Times New Roman" w:cs="Times New Roman"/>
          <w:color w:val="FF0000"/>
          <w:highlight w:val="none"/>
          <w:u w:val="none" w:color="auto"/>
        </w:rPr>
      </w:pPr>
    </w:p>
    <w:p w14:paraId="347A7199">
      <w:pPr>
        <w:pStyle w:val="189"/>
        <w:rPr>
          <w:rFonts w:hint="default" w:ascii="Times New Roman" w:hAnsi="Times New Roman" w:cs="Times New Roman"/>
          <w:color w:val="FF0000"/>
          <w:highlight w:val="none"/>
          <w:u w:val="none" w:color="auto"/>
        </w:rPr>
      </w:pPr>
    </w:p>
    <w:p w14:paraId="7E0B034B">
      <w:pPr>
        <w:pStyle w:val="189"/>
        <w:rPr>
          <w:rFonts w:hint="default" w:ascii="Times New Roman" w:hAnsi="Times New Roman" w:cs="Times New Roman"/>
          <w:color w:val="FF0000"/>
          <w:highlight w:val="none"/>
          <w:u w:val="none" w:color="auto"/>
        </w:rPr>
      </w:pPr>
    </w:p>
    <w:p w14:paraId="0E9F4C14">
      <w:pPr>
        <w:pStyle w:val="194"/>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图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.5</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图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事故应急程序示意图</w:t>
      </w:r>
    </w:p>
    <w:p w14:paraId="437D4F77">
      <w:pPr>
        <w:pStyle w:val="189"/>
        <w:numPr>
          <w:ilvl w:val="0"/>
          <w:numId w:val="20"/>
        </w:numPr>
        <w:outlineLvl w:val="9"/>
        <w:rPr>
          <w:rFonts w:hint="default" w:ascii="Times New Roman" w:hAnsi="Times New Roman" w:cs="Times New Roman"/>
          <w:color w:val="auto"/>
          <w:highlight w:val="none"/>
          <w:u w:val="none" w:color="auto"/>
        </w:rPr>
      </w:pPr>
      <w:bookmarkStart w:id="159" w:name="_Toc16298"/>
      <w:r>
        <w:rPr>
          <w:rFonts w:hint="default" w:ascii="Times New Roman" w:hAnsi="Times New Roman" w:cs="Times New Roman"/>
          <w:color w:val="auto"/>
          <w:highlight w:val="none"/>
          <w:u w:val="none" w:color="auto"/>
        </w:rPr>
        <w:t>应急行动</w:t>
      </w:r>
      <w:bookmarkEnd w:id="159"/>
    </w:p>
    <w:p w14:paraId="723B307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包括及时控制事故源和防止事故扩大，抢救受害人员和组织民众撤离，消除危害后果等。</w:t>
      </w:r>
    </w:p>
    <w:p w14:paraId="7F0A946F">
      <w:pPr>
        <w:pStyle w:val="189"/>
        <w:numPr>
          <w:ilvl w:val="0"/>
          <w:numId w:val="20"/>
        </w:numPr>
        <w:outlineLvl w:val="9"/>
        <w:rPr>
          <w:rFonts w:hint="default" w:ascii="Times New Roman" w:hAnsi="Times New Roman" w:cs="Times New Roman"/>
          <w:color w:val="auto"/>
          <w:highlight w:val="none"/>
          <w:u w:val="none" w:color="auto"/>
        </w:rPr>
      </w:pPr>
      <w:bookmarkStart w:id="160" w:name="_Toc22344"/>
      <w:r>
        <w:rPr>
          <w:rFonts w:hint="default" w:ascii="Times New Roman" w:hAnsi="Times New Roman" w:cs="Times New Roman"/>
          <w:color w:val="auto"/>
          <w:highlight w:val="none"/>
          <w:u w:val="none" w:color="auto"/>
        </w:rPr>
        <w:t>应急设备和器材清单</w:t>
      </w:r>
      <w:bookmarkEnd w:id="160"/>
    </w:p>
    <w:p w14:paraId="667A048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包括消防、医疗急救、污染物处理和处置、通讯联络、交通运输等设备和器材。</w:t>
      </w:r>
    </w:p>
    <w:p w14:paraId="4C5BDB22">
      <w:pPr>
        <w:pStyle w:val="3"/>
        <w:numPr>
          <w:ilvl w:val="1"/>
          <w:numId w:val="0"/>
        </w:numPr>
        <w:ind w:leftChars="0"/>
        <w:rPr>
          <w:rFonts w:hint="default" w:ascii="Times New Roman" w:hAnsi="Times New Roman" w:cs="Times New Roman"/>
          <w:color w:val="auto"/>
          <w:highlight w:val="none"/>
          <w:u w:val="none" w:color="auto"/>
        </w:rPr>
      </w:pPr>
      <w:bookmarkStart w:id="161" w:name="_Toc23142"/>
      <w:r>
        <w:rPr>
          <w:rFonts w:hint="default" w:ascii="Times New Roman" w:hAnsi="Times New Roman" w:cs="Times New Roman"/>
          <w:color w:val="auto"/>
          <w:highlight w:val="none"/>
          <w:u w:val="none" w:color="auto"/>
          <w:lang w:val="en-US" w:eastAsia="zh-CN"/>
        </w:rPr>
        <w:t xml:space="preserve">6.6 </w:t>
      </w:r>
      <w:r>
        <w:rPr>
          <w:rFonts w:hint="default" w:ascii="Times New Roman" w:hAnsi="Times New Roman" w:cs="Times New Roman"/>
          <w:color w:val="auto"/>
          <w:highlight w:val="none"/>
          <w:u w:val="none" w:color="auto"/>
        </w:rPr>
        <w:t>环境风险评价结论</w:t>
      </w:r>
      <w:bookmarkEnd w:id="161"/>
    </w:p>
    <w:p w14:paraId="04339E3B">
      <w:pPr>
        <w:pStyle w:val="189"/>
        <w:rPr>
          <w:rFonts w:hint="default" w:ascii="Times New Roman" w:hAnsi="Times New Roman" w:cs="Times New Roman"/>
          <w:color w:val="auto"/>
          <w:highlight w:val="none"/>
          <w:u w:val="none" w:color="auto"/>
        </w:rPr>
      </w:pPr>
      <w:bookmarkStart w:id="162" w:name="bookmark37"/>
      <w:bookmarkEnd w:id="162"/>
      <w:bookmarkStart w:id="163" w:name="bookmark39"/>
      <w:bookmarkEnd w:id="163"/>
      <w:r>
        <w:rPr>
          <w:rFonts w:hint="default" w:ascii="Times New Roman" w:hAnsi="Times New Roman" w:cs="Times New Roman"/>
          <w:color w:val="auto"/>
          <w:highlight w:val="none"/>
          <w:u w:val="none" w:color="auto"/>
        </w:rPr>
        <w:t>综上所述，项目涉及的环境风险因素包括废水事故排放和危险物质贮存、使用过程发生泄漏。</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项目设置有一个</w:t>
      </w:r>
      <w:r>
        <w:rPr>
          <w:rFonts w:hint="eastAsia" w:cs="Times New Roman"/>
          <w:color w:val="000000" w:themeColor="text1"/>
          <w:highlight w:val="none"/>
          <w:u w:val="wave" w:color="auto"/>
          <w:lang w:val="en-US" w:eastAsia="zh-CN"/>
          <w14:textFill>
            <w14:solidFill>
              <w14:schemeClr w14:val="tx1"/>
            </w14:solidFill>
          </w14:textFill>
        </w:rPr>
        <w:t>（20m×19.4m×4.55m）</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w:t>
      </w:r>
      <w:r>
        <w:rPr>
          <w:rFonts w:hint="eastAsia" w:cs="Times New Roman"/>
          <w:color w:val="000000" w:themeColor="text1"/>
          <w:highlight w:val="none"/>
          <w:u w:val="wave" w:color="auto"/>
          <w:lang w:val="en-US" w:eastAsia="zh-CN"/>
          <w14:textFill>
            <w14:solidFill>
              <w14:schemeClr w14:val="tx1"/>
            </w14:solidFill>
          </w14:textFill>
        </w:rPr>
        <w:t>1765.4</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m</w:t>
      </w:r>
      <w:r>
        <w:rPr>
          <w:rFonts w:hint="default" w:ascii="Times New Roman" w:hAnsi="Times New Roman" w:cs="Times New Roman"/>
          <w:color w:val="000000" w:themeColor="text1"/>
          <w:highlight w:val="none"/>
          <w:u w:val="wav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的事故应急池</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，并</w:t>
      </w:r>
      <w:r>
        <w:rPr>
          <w:rFonts w:hint="default" w:ascii="Times New Roman" w:hAnsi="Times New Roman" w:cs="Times New Roman"/>
          <w:color w:val="auto"/>
          <w:highlight w:val="none"/>
          <w:u w:val="none" w:color="auto"/>
          <w:lang w:val="en-US" w:eastAsia="zh-CN"/>
        </w:rPr>
        <w:t>与上游企业建立了应急联系。</w:t>
      </w:r>
      <w:r>
        <w:rPr>
          <w:rFonts w:hint="default" w:ascii="Times New Roman" w:hAnsi="Times New Roman" w:cs="Times New Roman"/>
          <w:color w:val="auto"/>
          <w:highlight w:val="none"/>
          <w:u w:val="none" w:color="auto"/>
        </w:rPr>
        <w:t>在工程的设计及生产运行过程中，建设单位应严格按工程设计、操作规程运行和管理，并认真落实本评价提出的各项风险防范措施，可把事故发生的几率降至最低。通过采取各项风险防范及应急救援措施，可降低各种事故发生的概率及对周围环境的影响，环境风险在可接受范围内。</w:t>
      </w:r>
    </w:p>
    <w:p w14:paraId="40EC7327">
      <w:pPr>
        <w:pStyle w:val="194"/>
        <w:spacing w:line="240" w:lineRule="auto"/>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.6</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rPr>
        <w:t xml:space="preserve">  建设项目环境风险简单分析内容表</w:t>
      </w:r>
    </w:p>
    <w:tbl>
      <w:tblPr>
        <w:tblStyle w:val="76"/>
        <w:tblW w:w="907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03"/>
        <w:gridCol w:w="1986"/>
        <w:gridCol w:w="1844"/>
        <w:gridCol w:w="992"/>
        <w:gridCol w:w="1170"/>
        <w:gridCol w:w="1384"/>
      </w:tblGrid>
      <w:tr w14:paraId="65270C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1703" w:type="dxa"/>
            <w:tcBorders>
              <w:top w:val="single" w:color="000000" w:sz="12" w:space="0"/>
              <w:left w:val="single" w:color="000000" w:sz="12" w:space="0"/>
              <w:bottom w:val="single" w:color="000000" w:sz="4" w:space="0"/>
              <w:right w:val="single" w:color="000000" w:sz="4" w:space="0"/>
            </w:tcBorders>
            <w:vAlign w:val="center"/>
          </w:tcPr>
          <w:p w14:paraId="3208163F">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highlight w:val="none"/>
                <w:u w:val="none" w:color="auto"/>
              </w:rPr>
            </w:pPr>
            <w:r>
              <w:rPr>
                <w:rFonts w:hint="default" w:ascii="Times New Roman" w:hAnsi="Times New Roman" w:cs="Times New Roman" w:eastAsiaTheme="minorEastAsia"/>
                <w:b/>
                <w:color w:val="auto"/>
                <w:highlight w:val="none"/>
                <w:u w:val="none" w:color="auto"/>
              </w:rPr>
              <w:t>建设项目名称</w:t>
            </w:r>
          </w:p>
        </w:tc>
        <w:tc>
          <w:tcPr>
            <w:tcW w:w="7376" w:type="dxa"/>
            <w:gridSpan w:val="5"/>
            <w:tcBorders>
              <w:top w:val="single" w:color="000000" w:sz="12" w:space="0"/>
              <w:left w:val="single" w:color="000000" w:sz="4" w:space="0"/>
              <w:bottom w:val="single" w:color="000000" w:sz="4" w:space="0"/>
              <w:right w:val="single" w:color="000000" w:sz="12" w:space="0"/>
            </w:tcBorders>
            <w:vAlign w:val="center"/>
          </w:tcPr>
          <w:p w14:paraId="74DA9FFF">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lang w:eastAsia="zh-CN"/>
              </w:rPr>
            </w:pPr>
            <w:r>
              <w:rPr>
                <w:rFonts w:hint="default" w:ascii="Times New Roman" w:hAnsi="Times New Roman" w:cs="Times New Roman" w:eastAsiaTheme="minorEastAsia"/>
                <w:color w:val="auto"/>
                <w:highlight w:val="none"/>
                <w:u w:val="none" w:color="auto"/>
                <w:lang w:eastAsia="zh-CN"/>
              </w:rPr>
              <w:t>大通湖工业园污水处理厂提质改造建设项目</w:t>
            </w:r>
          </w:p>
        </w:tc>
      </w:tr>
      <w:tr w14:paraId="23DF78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1703" w:type="dxa"/>
            <w:tcBorders>
              <w:top w:val="single" w:color="000000" w:sz="4" w:space="0"/>
              <w:left w:val="single" w:color="000000" w:sz="12" w:space="0"/>
              <w:bottom w:val="single" w:color="000000" w:sz="4" w:space="0"/>
              <w:right w:val="single" w:color="000000" w:sz="4" w:space="0"/>
            </w:tcBorders>
            <w:vAlign w:val="center"/>
          </w:tcPr>
          <w:p w14:paraId="36D4AAA4">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highlight w:val="none"/>
                <w:u w:val="none" w:color="auto"/>
              </w:rPr>
            </w:pPr>
            <w:r>
              <w:rPr>
                <w:rFonts w:hint="default" w:ascii="Times New Roman" w:hAnsi="Times New Roman" w:cs="Times New Roman" w:eastAsiaTheme="minorEastAsia"/>
                <w:b/>
                <w:color w:val="auto"/>
                <w:highlight w:val="none"/>
                <w:u w:val="none" w:color="auto"/>
              </w:rPr>
              <w:t>建设地点</w:t>
            </w:r>
          </w:p>
        </w:tc>
        <w:tc>
          <w:tcPr>
            <w:tcW w:w="1986" w:type="dxa"/>
            <w:tcBorders>
              <w:top w:val="single" w:color="000000" w:sz="4" w:space="0"/>
              <w:left w:val="single" w:color="000000" w:sz="4" w:space="0"/>
              <w:bottom w:val="single" w:color="000000" w:sz="4" w:space="0"/>
              <w:right w:val="single" w:color="000000" w:sz="4" w:space="0"/>
            </w:tcBorders>
            <w:vAlign w:val="center"/>
          </w:tcPr>
          <w:p w14:paraId="119B951D">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（湖南）省</w:t>
            </w:r>
          </w:p>
        </w:tc>
        <w:tc>
          <w:tcPr>
            <w:tcW w:w="1844" w:type="dxa"/>
            <w:tcBorders>
              <w:top w:val="single" w:color="000000" w:sz="4" w:space="0"/>
              <w:left w:val="single" w:color="000000" w:sz="4" w:space="0"/>
              <w:bottom w:val="single" w:color="000000" w:sz="4" w:space="0"/>
              <w:right w:val="single" w:color="000000" w:sz="4" w:space="0"/>
            </w:tcBorders>
            <w:vAlign w:val="center"/>
          </w:tcPr>
          <w:p w14:paraId="4C311553">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（益阳）市</w:t>
            </w:r>
          </w:p>
        </w:tc>
        <w:tc>
          <w:tcPr>
            <w:tcW w:w="992" w:type="dxa"/>
            <w:tcBorders>
              <w:top w:val="single" w:color="000000" w:sz="4" w:space="0"/>
              <w:left w:val="single" w:color="000000" w:sz="4" w:space="0"/>
              <w:bottom w:val="single" w:color="000000" w:sz="4" w:space="0"/>
              <w:right w:val="single" w:color="000000" w:sz="4" w:space="0"/>
            </w:tcBorders>
            <w:vAlign w:val="center"/>
          </w:tcPr>
          <w:p w14:paraId="06E98D27">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w:t>
            </w:r>
            <w:r>
              <w:rPr>
                <w:rFonts w:hint="default" w:ascii="Times New Roman" w:hAnsi="Times New Roman" w:cs="Times New Roman" w:eastAsiaTheme="minorEastAsia"/>
                <w:color w:val="auto"/>
                <w:highlight w:val="none"/>
                <w:u w:val="none" w:color="auto"/>
                <w:lang w:val="en-US" w:eastAsia="zh-CN"/>
              </w:rPr>
              <w:t>大通湖</w:t>
            </w:r>
            <w:r>
              <w:rPr>
                <w:rFonts w:hint="default" w:ascii="Times New Roman" w:hAnsi="Times New Roman" w:cs="Times New Roman" w:eastAsiaTheme="minorEastAsia"/>
                <w:color w:val="auto"/>
                <w:highlight w:val="none"/>
                <w:u w:val="none" w:color="auto"/>
              </w:rPr>
              <w:t>）区</w:t>
            </w:r>
          </w:p>
        </w:tc>
        <w:tc>
          <w:tcPr>
            <w:tcW w:w="1170" w:type="dxa"/>
            <w:tcBorders>
              <w:top w:val="single" w:color="000000" w:sz="4" w:space="0"/>
              <w:left w:val="single" w:color="000000" w:sz="4" w:space="0"/>
              <w:bottom w:val="single" w:color="000000" w:sz="4" w:space="0"/>
              <w:right w:val="single" w:color="000000" w:sz="4" w:space="0"/>
            </w:tcBorders>
            <w:vAlign w:val="center"/>
          </w:tcPr>
          <w:p w14:paraId="1105121B">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w:t>
            </w:r>
            <w:r>
              <w:rPr>
                <w:rFonts w:hint="default" w:ascii="Times New Roman" w:hAnsi="Times New Roman" w:cs="Times New Roman" w:eastAsiaTheme="minorEastAsia"/>
                <w:color w:val="auto"/>
                <w:highlight w:val="none"/>
                <w:u w:val="none" w:color="auto"/>
                <w:lang w:val="en-US" w:eastAsia="zh-CN"/>
              </w:rPr>
              <w:t>/</w:t>
            </w:r>
            <w:r>
              <w:rPr>
                <w:rFonts w:hint="default" w:ascii="Times New Roman" w:hAnsi="Times New Roman" w:cs="Times New Roman" w:eastAsiaTheme="minorEastAsia"/>
                <w:color w:val="auto"/>
                <w:highlight w:val="none"/>
                <w:u w:val="none" w:color="auto"/>
              </w:rPr>
              <w:t>）县</w:t>
            </w:r>
          </w:p>
        </w:tc>
        <w:tc>
          <w:tcPr>
            <w:tcW w:w="1384" w:type="dxa"/>
            <w:tcBorders>
              <w:top w:val="single" w:color="000000" w:sz="4" w:space="0"/>
              <w:left w:val="single" w:color="000000" w:sz="4" w:space="0"/>
              <w:bottom w:val="single" w:color="000000" w:sz="4" w:space="0"/>
              <w:right w:val="single" w:color="000000" w:sz="12" w:space="0"/>
            </w:tcBorders>
            <w:vAlign w:val="center"/>
          </w:tcPr>
          <w:p w14:paraId="1EC79172">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w:t>
            </w:r>
            <w:r>
              <w:rPr>
                <w:rFonts w:hint="default" w:ascii="Times New Roman" w:hAnsi="Times New Roman" w:cs="Times New Roman" w:eastAsiaTheme="minorEastAsia"/>
                <w:color w:val="auto"/>
                <w:highlight w:val="none"/>
                <w:u w:val="none" w:color="auto"/>
                <w:lang w:val="en-US" w:eastAsia="zh-CN"/>
              </w:rPr>
              <w:t>大通湖工业园</w:t>
            </w:r>
            <w:r>
              <w:rPr>
                <w:rFonts w:hint="default" w:ascii="Times New Roman" w:hAnsi="Times New Roman" w:cs="Times New Roman" w:eastAsiaTheme="minorEastAsia"/>
                <w:color w:val="auto"/>
                <w:highlight w:val="none"/>
                <w:u w:val="none" w:color="auto"/>
              </w:rPr>
              <w:t>）园区</w:t>
            </w:r>
          </w:p>
        </w:tc>
      </w:tr>
      <w:tr w14:paraId="724825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7" w:hRule="atLeast"/>
          <w:jc w:val="center"/>
        </w:trPr>
        <w:tc>
          <w:tcPr>
            <w:tcW w:w="1703" w:type="dxa"/>
            <w:tcBorders>
              <w:top w:val="single" w:color="000000" w:sz="4" w:space="0"/>
              <w:left w:val="single" w:color="000000" w:sz="12" w:space="0"/>
              <w:bottom w:val="single" w:color="000000" w:sz="4" w:space="0"/>
              <w:right w:val="single" w:color="000000" w:sz="4" w:space="0"/>
            </w:tcBorders>
            <w:vAlign w:val="center"/>
          </w:tcPr>
          <w:p w14:paraId="69BDB437">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highlight w:val="none"/>
                <w:u w:val="none" w:color="auto"/>
              </w:rPr>
            </w:pPr>
            <w:r>
              <w:rPr>
                <w:rFonts w:hint="default" w:ascii="Times New Roman" w:hAnsi="Times New Roman" w:cs="Times New Roman" w:eastAsiaTheme="minorEastAsia"/>
                <w:b/>
                <w:color w:val="auto"/>
                <w:highlight w:val="none"/>
                <w:u w:val="none" w:color="auto"/>
              </w:rPr>
              <w:t>地理坐标</w:t>
            </w:r>
          </w:p>
        </w:tc>
        <w:tc>
          <w:tcPr>
            <w:tcW w:w="1986" w:type="dxa"/>
            <w:tcBorders>
              <w:top w:val="single" w:color="000000" w:sz="4" w:space="0"/>
              <w:left w:val="single" w:color="000000" w:sz="4" w:space="0"/>
              <w:bottom w:val="single" w:color="000000" w:sz="4" w:space="0"/>
              <w:right w:val="single" w:color="000000" w:sz="4" w:space="0"/>
            </w:tcBorders>
            <w:vAlign w:val="center"/>
          </w:tcPr>
          <w:p w14:paraId="51BDE45C">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经度</w:t>
            </w:r>
          </w:p>
        </w:tc>
        <w:tc>
          <w:tcPr>
            <w:tcW w:w="1844" w:type="dxa"/>
            <w:tcBorders>
              <w:top w:val="single" w:color="000000" w:sz="4" w:space="0"/>
              <w:left w:val="single" w:color="000000" w:sz="4" w:space="0"/>
              <w:bottom w:val="single" w:color="000000" w:sz="4" w:space="0"/>
              <w:right w:val="single" w:color="000000" w:sz="4" w:space="0"/>
            </w:tcBorders>
            <w:vAlign w:val="center"/>
          </w:tcPr>
          <w:p w14:paraId="2AC65A09">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E112°36′52.53151″</w:t>
            </w:r>
          </w:p>
        </w:tc>
        <w:tc>
          <w:tcPr>
            <w:tcW w:w="992" w:type="dxa"/>
            <w:tcBorders>
              <w:top w:val="single" w:color="000000" w:sz="4" w:space="0"/>
              <w:left w:val="single" w:color="000000" w:sz="4" w:space="0"/>
              <w:bottom w:val="single" w:color="000000" w:sz="4" w:space="0"/>
              <w:right w:val="single" w:color="000000" w:sz="4" w:space="0"/>
            </w:tcBorders>
            <w:vAlign w:val="center"/>
          </w:tcPr>
          <w:p w14:paraId="4F837720">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纬度</w:t>
            </w:r>
          </w:p>
        </w:tc>
        <w:tc>
          <w:tcPr>
            <w:tcW w:w="2554" w:type="dxa"/>
            <w:gridSpan w:val="2"/>
            <w:tcBorders>
              <w:top w:val="single" w:color="000000" w:sz="4" w:space="0"/>
              <w:left w:val="single" w:color="000000" w:sz="4" w:space="0"/>
              <w:bottom w:val="single" w:color="000000" w:sz="4" w:space="0"/>
              <w:right w:val="single" w:color="000000" w:sz="12" w:space="0"/>
            </w:tcBorders>
            <w:vAlign w:val="center"/>
          </w:tcPr>
          <w:p w14:paraId="4F742E5D">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N29°11′0.79100″</w:t>
            </w:r>
          </w:p>
        </w:tc>
      </w:tr>
      <w:tr w14:paraId="29DB19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1703" w:type="dxa"/>
            <w:tcBorders>
              <w:top w:val="single" w:color="000000" w:sz="4" w:space="0"/>
              <w:left w:val="single" w:color="000000" w:sz="12" w:space="0"/>
              <w:bottom w:val="single" w:color="000000" w:sz="4" w:space="0"/>
              <w:right w:val="single" w:color="000000" w:sz="4" w:space="0"/>
            </w:tcBorders>
            <w:vAlign w:val="center"/>
          </w:tcPr>
          <w:p w14:paraId="26DA4887">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highlight w:val="none"/>
                <w:u w:val="none" w:color="auto"/>
              </w:rPr>
            </w:pPr>
            <w:r>
              <w:rPr>
                <w:rFonts w:hint="default" w:ascii="Times New Roman" w:hAnsi="Times New Roman" w:cs="Times New Roman" w:eastAsiaTheme="minorEastAsia"/>
                <w:b/>
                <w:color w:val="auto"/>
                <w:highlight w:val="none"/>
                <w:u w:val="none" w:color="auto"/>
              </w:rPr>
              <w:t>主要危险物质及分布</w:t>
            </w:r>
          </w:p>
        </w:tc>
        <w:tc>
          <w:tcPr>
            <w:tcW w:w="7376" w:type="dxa"/>
            <w:gridSpan w:val="5"/>
            <w:tcBorders>
              <w:top w:val="single" w:color="000000" w:sz="4" w:space="0"/>
              <w:left w:val="single" w:color="000000" w:sz="4" w:space="0"/>
              <w:bottom w:val="single" w:color="000000" w:sz="4" w:space="0"/>
              <w:right w:val="single" w:color="000000" w:sz="12" w:space="0"/>
            </w:tcBorders>
            <w:vAlign w:val="center"/>
          </w:tcPr>
          <w:p w14:paraId="2DB6A5F6">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eastAsiaTheme="minorEastAsia"/>
                <w:color w:val="auto"/>
                <w:highlight w:val="none"/>
                <w:u w:val="none" w:color="auto"/>
              </w:rPr>
              <w:t>污水处理区域废气氨、硫化氢</w:t>
            </w:r>
            <w:r>
              <w:rPr>
                <w:rFonts w:hint="default" w:ascii="Times New Roman" w:hAnsi="Times New Roman" w:cs="Times New Roman" w:eastAsiaTheme="minorEastAsia"/>
                <w:color w:val="auto"/>
                <w:highlight w:val="none"/>
                <w:u w:val="none" w:color="auto"/>
                <w:lang w:eastAsia="zh-CN"/>
              </w:rPr>
              <w:t>；</w:t>
            </w:r>
            <w:r>
              <w:rPr>
                <w:rFonts w:hint="default" w:ascii="Times New Roman" w:hAnsi="Times New Roman" w:cs="Times New Roman" w:eastAsiaTheme="minorEastAsia"/>
                <w:color w:val="auto"/>
                <w:highlight w:val="none"/>
                <w:u w:val="none" w:color="auto"/>
                <w:lang w:val="en-US" w:eastAsia="zh-CN"/>
              </w:rPr>
              <w:t>加氯间次氯酸钠；危废暂存间废矿物油、在线监测废液、化验室废液</w:t>
            </w:r>
          </w:p>
        </w:tc>
      </w:tr>
      <w:tr w14:paraId="0F4E11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08" w:hRule="atLeast"/>
          <w:jc w:val="center"/>
        </w:trPr>
        <w:tc>
          <w:tcPr>
            <w:tcW w:w="1703" w:type="dxa"/>
            <w:tcBorders>
              <w:top w:val="single" w:color="000000" w:sz="4" w:space="0"/>
              <w:left w:val="single" w:color="000000" w:sz="12" w:space="0"/>
              <w:bottom w:val="single" w:color="000000" w:sz="4" w:space="0"/>
              <w:right w:val="single" w:color="000000" w:sz="4" w:space="0"/>
            </w:tcBorders>
            <w:vAlign w:val="center"/>
          </w:tcPr>
          <w:p w14:paraId="32CA9811">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highlight w:val="none"/>
                <w:u w:val="none" w:color="auto"/>
              </w:rPr>
            </w:pPr>
            <w:r>
              <w:rPr>
                <w:rFonts w:hint="default" w:ascii="Times New Roman" w:hAnsi="Times New Roman" w:cs="Times New Roman" w:eastAsiaTheme="minorEastAsia"/>
                <w:b/>
                <w:color w:val="auto"/>
                <w:highlight w:val="none"/>
                <w:u w:val="none" w:color="auto"/>
              </w:rPr>
              <w:t>环境影响途径及危害后果（大气、地表水、地下水等）</w:t>
            </w:r>
          </w:p>
        </w:tc>
        <w:tc>
          <w:tcPr>
            <w:tcW w:w="7376" w:type="dxa"/>
            <w:gridSpan w:val="5"/>
            <w:tcBorders>
              <w:top w:val="single" w:color="000000" w:sz="4" w:space="0"/>
              <w:left w:val="single" w:color="000000" w:sz="4" w:space="0"/>
              <w:bottom w:val="single" w:color="000000" w:sz="4" w:space="0"/>
              <w:right w:val="single" w:color="000000" w:sz="12" w:space="0"/>
            </w:tcBorders>
            <w:vAlign w:val="center"/>
          </w:tcPr>
          <w:p w14:paraId="7652923A">
            <w:pPr>
              <w:pStyle w:val="192"/>
              <w:keepNext w:val="0"/>
              <w:keepLines w:val="0"/>
              <w:suppressLineNumbers w:val="0"/>
              <w:spacing w:before="0" w:beforeAutospacing="0" w:after="0" w:afterAutospacing="0"/>
              <w:ind w:left="0" w:right="0"/>
              <w:jc w:val="both"/>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大气：恶臭废气排放量较小，且所在区域大气扩散条件好，恶臭废气事故排放时不会对区域环境空气质量产生太大影响。地表水、地下水：</w:t>
            </w:r>
            <w:r>
              <w:rPr>
                <w:rFonts w:hint="default" w:ascii="Times New Roman" w:hAnsi="Times New Roman" w:cs="Times New Roman" w:eastAsiaTheme="minorEastAsia"/>
                <w:color w:val="auto"/>
                <w:highlight w:val="none"/>
                <w:u w:val="none" w:color="auto"/>
                <w:lang w:val="en-US" w:eastAsia="zh-CN"/>
              </w:rPr>
              <w:t>①次氯酸钠、废矿物油等危废泄漏，泄漏物料可控制在环保托盘内，不会进入地表水环境。②</w:t>
            </w:r>
            <w:r>
              <w:rPr>
                <w:rFonts w:hint="default" w:ascii="Times New Roman" w:hAnsi="Times New Roman" w:cs="Times New Roman" w:eastAsiaTheme="minorEastAsia"/>
                <w:color w:val="auto"/>
                <w:highlight w:val="none"/>
                <w:u w:val="none" w:color="auto"/>
              </w:rPr>
              <w:t>管道破裂、管道接头、阀门破损等导致污水泄漏，污染区域环境。污水处理设备及构筑物发生故障，污水处理效率降低导致尾水超标。进管污水量、水质超过污水厂处理负荷，大量污水未经处理通过事故应急管直接排放，从而对区域水环境造成污染。</w:t>
            </w:r>
          </w:p>
        </w:tc>
      </w:tr>
      <w:tr w14:paraId="03DA23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30" w:hRule="atLeast"/>
          <w:jc w:val="center"/>
        </w:trPr>
        <w:tc>
          <w:tcPr>
            <w:tcW w:w="1703" w:type="dxa"/>
            <w:tcBorders>
              <w:top w:val="single" w:color="000000" w:sz="4" w:space="0"/>
              <w:left w:val="single" w:color="000000" w:sz="12" w:space="0"/>
              <w:bottom w:val="single" w:color="000000" w:sz="4" w:space="0"/>
              <w:right w:val="single" w:color="000000" w:sz="4" w:space="0"/>
            </w:tcBorders>
            <w:vAlign w:val="center"/>
          </w:tcPr>
          <w:p w14:paraId="7D5B414D">
            <w:pPr>
              <w:pStyle w:val="192"/>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highlight w:val="none"/>
                <w:u w:val="none" w:color="auto"/>
              </w:rPr>
            </w:pPr>
            <w:r>
              <w:rPr>
                <w:rFonts w:hint="default" w:ascii="Times New Roman" w:hAnsi="Times New Roman" w:cs="Times New Roman" w:eastAsiaTheme="minorEastAsia"/>
                <w:b/>
                <w:color w:val="auto"/>
                <w:highlight w:val="none"/>
                <w:u w:val="none" w:color="auto"/>
              </w:rPr>
              <w:t>风险防范措施要求</w:t>
            </w:r>
          </w:p>
        </w:tc>
        <w:tc>
          <w:tcPr>
            <w:tcW w:w="7376" w:type="dxa"/>
            <w:gridSpan w:val="5"/>
            <w:tcBorders>
              <w:top w:val="single" w:color="000000" w:sz="4" w:space="0"/>
              <w:left w:val="single" w:color="000000" w:sz="4" w:space="0"/>
              <w:bottom w:val="single" w:color="000000" w:sz="4" w:space="0"/>
              <w:right w:val="single" w:color="000000" w:sz="12" w:space="0"/>
            </w:tcBorders>
            <w:vAlign w:val="center"/>
          </w:tcPr>
          <w:p w14:paraId="5CA4147F">
            <w:pPr>
              <w:pStyle w:val="192"/>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eastAsiaTheme="minorEastAsia"/>
                <w:color w:val="auto"/>
                <w:highlight w:val="none"/>
                <w:u w:val="none" w:color="auto"/>
                <w:lang w:eastAsia="zh-CN"/>
              </w:rPr>
            </w:pPr>
            <w:r>
              <w:rPr>
                <w:rFonts w:hint="default" w:ascii="Times New Roman" w:hAnsi="Times New Roman" w:cs="Times New Roman" w:eastAsiaTheme="minorEastAsia"/>
                <w:color w:val="auto"/>
                <w:highlight w:val="none"/>
                <w:u w:val="none" w:color="auto"/>
              </w:rPr>
              <w:t>对于除臭系统的操作，在运行过程中应加强运行维护，污水厂需制定设备运行维护相关管理办法，指派专人对该系统进行定期维护管理，确保正常运行，杜绝事故排放对周边大气环境的影响</w:t>
            </w:r>
            <w:r>
              <w:rPr>
                <w:rFonts w:hint="default" w:ascii="Times New Roman" w:hAnsi="Times New Roman" w:cs="Times New Roman" w:eastAsiaTheme="minorEastAsia"/>
                <w:color w:val="auto"/>
                <w:highlight w:val="none"/>
                <w:u w:val="none" w:color="auto"/>
                <w:lang w:eastAsia="zh-CN"/>
              </w:rPr>
              <w:t>。一旦发生废气环境风险事故，及时查明原因，更换设备或物资，减轻废气事故排放对周边大气环境的影响。</w:t>
            </w:r>
          </w:p>
          <w:p w14:paraId="12B166DF">
            <w:pPr>
              <w:pStyle w:val="192"/>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非正常污水排放的防护措施：关键设备应有备用机，保证电源双回路供电；当双回路停电，突发性自然灾害等情况导致污水未能及时处理时将来水自动切换进入废水事故池，并通知排污企业部分或全部停止向管道排污。严格执行废水进管标准确保污水处理设施的正常运行。特大暴雨或洪水危害，而造成的非正常排放。采取应急预案，向当地环保局申报，关闭污水厂，停止外排尾水。在事故发生及处理期间，应在排放口附近水域悬挂标志示警，提醒各有关方面采取防范措施。</w:t>
            </w:r>
          </w:p>
          <w:p w14:paraId="098B6AF1">
            <w:pPr>
              <w:pStyle w:val="192"/>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 xml:space="preserve">管网泄漏防范措施：加强日常排查和检修，安排专人分段进行检修和维护管道。当管网泄露事故发生后，应启动应急预案，上报领导。同时暂停水泵运行，派人员紧急维修污水管，尽快恢复管网的运行。对污水处理水池等重点防渗区域采取有效的防雨、防渗漏、防溢流措施。设置污水应急控制阀门。定期对专业技术人员和操作工人进行培训。 </w:t>
            </w:r>
          </w:p>
          <w:p w14:paraId="4DC54AB1">
            <w:pPr>
              <w:pStyle w:val="192"/>
              <w:keepNext w:val="0"/>
              <w:keepLines w:val="0"/>
              <w:suppressLineNumbers w:val="0"/>
              <w:spacing w:before="0" w:beforeAutospacing="0" w:after="0" w:afterAutospacing="0"/>
              <w:ind w:left="0" w:right="0" w:firstLine="420" w:firstLineChars="200"/>
              <w:jc w:val="both"/>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污水处理厂风险防范措施：加强对进水水质水量的监测与分析，发现超标，及时查明原因，采取应急封堵措施。制定污水处理厂装置操作管理规程、岗位责任制、奖惩条例等规章制度，对污水处理厂实现规范化、制度化管理，操作人员必须持证上岗，严格执行操作管理规定，最大限度控制由于操作失误因素造成的废水事故性排放发生机率。污水处理厂内应设超越管线，以便在事故发生时，使污水能超越一部分或全部构筑物，进入下一级构筑物。厂内应设雨水管，及时将雨水排入雨水处理系统，以免发生积水事故及污染环境。制定事故处理应急计划，建立事故处理机构，落实各部分、各岗位、各操作管理人员的责任，一旦发生事故，及时采取处理措施并通知环保、市政、水利管理部门在最短时间内排除故障。</w:t>
            </w:r>
          </w:p>
        </w:tc>
      </w:tr>
      <w:tr w14:paraId="47F94F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34" w:hRule="atLeast"/>
          <w:jc w:val="center"/>
        </w:trPr>
        <w:tc>
          <w:tcPr>
            <w:tcW w:w="9079" w:type="dxa"/>
            <w:gridSpan w:val="6"/>
            <w:tcBorders>
              <w:top w:val="single" w:color="000000" w:sz="4" w:space="0"/>
              <w:left w:val="single" w:color="000000" w:sz="12" w:space="0"/>
              <w:bottom w:val="single" w:color="000000" w:sz="12" w:space="0"/>
              <w:right w:val="single" w:color="000000" w:sz="12" w:space="0"/>
            </w:tcBorders>
            <w:vAlign w:val="center"/>
          </w:tcPr>
          <w:p w14:paraId="515E3A19">
            <w:pPr>
              <w:pStyle w:val="192"/>
              <w:keepNext w:val="0"/>
              <w:keepLines w:val="0"/>
              <w:suppressLineNumbers w:val="0"/>
              <w:spacing w:before="0" w:beforeAutospacing="0" w:after="0" w:afterAutospacing="0"/>
              <w:ind w:left="0" w:right="0" w:firstLine="420" w:firstLineChars="200"/>
              <w:jc w:val="left"/>
              <w:rPr>
                <w:rFonts w:hint="default" w:ascii="Times New Roman" w:hAnsi="Times New Roman" w:cs="Times New Roman" w:eastAsiaTheme="minorEastAsia"/>
                <w:color w:val="auto"/>
                <w:highlight w:val="none"/>
                <w:u w:val="none" w:color="auto"/>
              </w:rPr>
            </w:pPr>
            <w:r>
              <w:rPr>
                <w:rFonts w:hint="default" w:ascii="Times New Roman" w:hAnsi="Times New Roman" w:cs="Times New Roman" w:eastAsiaTheme="minorEastAsia"/>
                <w:color w:val="auto"/>
                <w:highlight w:val="none"/>
                <w:u w:val="none" w:color="auto"/>
              </w:rPr>
              <w:t>填表说明：本项目主要危险物质为氨</w:t>
            </w:r>
            <w:r>
              <w:rPr>
                <w:rFonts w:hint="default" w:ascii="Times New Roman" w:hAnsi="Times New Roman" w:cs="Times New Roman" w:eastAsiaTheme="minorEastAsia"/>
                <w:color w:val="auto"/>
                <w:highlight w:val="none"/>
                <w:u w:val="none" w:color="auto"/>
                <w:lang w:eastAsia="zh-CN"/>
              </w:rPr>
              <w:t>、</w:t>
            </w:r>
            <w:r>
              <w:rPr>
                <w:rFonts w:hint="default" w:ascii="Times New Roman" w:hAnsi="Times New Roman" w:cs="Times New Roman" w:eastAsiaTheme="minorEastAsia"/>
                <w:color w:val="auto"/>
                <w:highlight w:val="none"/>
                <w:u w:val="none" w:color="auto"/>
              </w:rPr>
              <w:t>硫化氢</w:t>
            </w:r>
            <w:r>
              <w:rPr>
                <w:rFonts w:hint="default" w:ascii="Times New Roman" w:hAnsi="Times New Roman" w:cs="Times New Roman" w:eastAsiaTheme="minorEastAsia"/>
                <w:color w:val="auto"/>
                <w:highlight w:val="none"/>
                <w:u w:val="none" w:color="auto"/>
                <w:lang w:eastAsia="zh-CN"/>
              </w:rPr>
              <w:t>、</w:t>
            </w:r>
            <w:r>
              <w:rPr>
                <w:rFonts w:hint="default" w:ascii="Times New Roman" w:hAnsi="Times New Roman" w:cs="Times New Roman" w:eastAsiaTheme="minorEastAsia"/>
                <w:color w:val="auto"/>
                <w:highlight w:val="none"/>
                <w:u w:val="none" w:color="auto"/>
                <w:lang w:val="en-US" w:eastAsia="zh-CN"/>
              </w:rPr>
              <w:t>次氯酸钠、废矿物油、在线监测废液及化验室废液</w:t>
            </w:r>
            <w:r>
              <w:rPr>
                <w:rFonts w:hint="default" w:ascii="Times New Roman" w:hAnsi="Times New Roman" w:cs="Times New Roman" w:eastAsiaTheme="minorEastAsia"/>
                <w:color w:val="auto"/>
                <w:highlight w:val="none"/>
                <w:u w:val="none" w:color="auto"/>
              </w:rPr>
              <w:t>，项目营运过程中存在的主要风险是废水事故排</w:t>
            </w:r>
            <w:r>
              <w:rPr>
                <w:rFonts w:hint="default" w:ascii="Times New Roman" w:hAnsi="Times New Roman" w:cs="Times New Roman" w:eastAsiaTheme="minorEastAsia"/>
                <w:color w:val="auto"/>
                <w:highlight w:val="none"/>
                <w:u w:val="none" w:color="auto"/>
                <w:lang w:val="en-US" w:eastAsia="zh-CN"/>
              </w:rPr>
              <w:t>放</w:t>
            </w:r>
            <w:r>
              <w:rPr>
                <w:rFonts w:hint="default" w:ascii="Times New Roman" w:hAnsi="Times New Roman" w:cs="Times New Roman" w:eastAsiaTheme="minorEastAsia"/>
                <w:color w:val="auto"/>
                <w:highlight w:val="none"/>
                <w:u w:val="none" w:color="auto"/>
              </w:rPr>
              <w:t>引起的地表水、地下水污染问题，大气污染问题。本项目风险评价根据《建设项目环境风险评价技术导则》（HJ169-2018）进行分析，风险潜势为</w:t>
            </w:r>
            <w:r>
              <w:rPr>
                <w:rFonts w:hint="default" w:ascii="Times New Roman" w:hAnsi="Times New Roman" w:cs="Times New Roman"/>
                <w:color w:val="auto"/>
                <w:highlight w:val="none"/>
                <w:u w:val="none" w:color="auto"/>
              </w:rPr>
              <w:t>Ⅰ</w:t>
            </w:r>
            <w:r>
              <w:rPr>
                <w:rFonts w:hint="default" w:ascii="Times New Roman" w:hAnsi="Times New Roman" w:cs="Times New Roman" w:eastAsiaTheme="minorEastAsia"/>
                <w:color w:val="auto"/>
                <w:highlight w:val="none"/>
                <w:u w:val="none" w:color="auto"/>
              </w:rPr>
              <w:t>。评价等级为简单分析。在落实了环评提出的风险防范措施后，环境风险可控，不会对周围环境造成较大风险。</w:t>
            </w:r>
          </w:p>
        </w:tc>
      </w:tr>
    </w:tbl>
    <w:p w14:paraId="6999F471">
      <w:pPr>
        <w:pStyle w:val="96"/>
        <w:rPr>
          <w:rFonts w:hint="default" w:ascii="Times New Roman" w:hAnsi="Times New Roman" w:cs="Times New Roman" w:eastAsiaTheme="minorEastAsia"/>
          <w:color w:val="FF0000"/>
          <w:highlight w:val="none"/>
          <w:u w:val="none" w:color="auto"/>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312" w:charSpace="0"/>
        </w:sectPr>
      </w:pPr>
    </w:p>
    <w:p w14:paraId="14490B50">
      <w:pPr>
        <w:pStyle w:val="2"/>
        <w:numPr>
          <w:ilvl w:val="0"/>
          <w:numId w:val="0"/>
        </w:numPr>
        <w:ind w:leftChars="0"/>
        <w:rPr>
          <w:rFonts w:hint="default" w:ascii="Times New Roman" w:hAnsi="Times New Roman" w:cs="Times New Roman"/>
          <w:color w:val="auto"/>
          <w:highlight w:val="none"/>
          <w:u w:val="none" w:color="auto"/>
        </w:rPr>
      </w:pPr>
      <w:bookmarkStart w:id="164" w:name="bookmark44"/>
      <w:bookmarkEnd w:id="164"/>
      <w:bookmarkStart w:id="165" w:name="_Toc16708"/>
      <w:r>
        <w:rPr>
          <w:rFonts w:hint="default" w:ascii="Times New Roman" w:hAnsi="Times New Roman" w:cs="Times New Roman"/>
          <w:color w:val="auto"/>
          <w:highlight w:val="none"/>
          <w:u w:val="none" w:color="auto"/>
          <w:lang w:val="en-US" w:eastAsia="zh-CN"/>
        </w:rPr>
        <w:t xml:space="preserve">7 </w:t>
      </w:r>
      <w:r>
        <w:rPr>
          <w:rFonts w:hint="default" w:ascii="Times New Roman" w:hAnsi="Times New Roman" w:cs="Times New Roman"/>
          <w:color w:val="auto"/>
          <w:highlight w:val="none"/>
          <w:u w:val="none" w:color="auto"/>
        </w:rPr>
        <w:t>污染防治措施及可行性分析</w:t>
      </w:r>
      <w:bookmarkEnd w:id="165"/>
    </w:p>
    <w:p w14:paraId="7BD778E1">
      <w:pPr>
        <w:pStyle w:val="3"/>
        <w:numPr>
          <w:ilvl w:val="1"/>
          <w:numId w:val="0"/>
        </w:numPr>
        <w:ind w:leftChars="0"/>
        <w:rPr>
          <w:rFonts w:hint="default" w:ascii="Times New Roman" w:hAnsi="Times New Roman" w:cs="Times New Roman"/>
          <w:color w:val="auto"/>
          <w:highlight w:val="none"/>
          <w:u w:val="none" w:color="auto"/>
        </w:rPr>
      </w:pPr>
      <w:bookmarkStart w:id="166" w:name="_Toc31465"/>
      <w:r>
        <w:rPr>
          <w:rFonts w:hint="default" w:ascii="Times New Roman" w:hAnsi="Times New Roman" w:cs="Times New Roman"/>
          <w:color w:val="auto"/>
          <w:highlight w:val="none"/>
          <w:u w:val="none" w:color="auto"/>
          <w:lang w:val="en-US" w:eastAsia="zh-CN"/>
        </w:rPr>
        <w:t xml:space="preserve">7.1 </w:t>
      </w:r>
      <w:r>
        <w:rPr>
          <w:rFonts w:hint="default" w:ascii="Times New Roman" w:hAnsi="Times New Roman" w:cs="Times New Roman"/>
          <w:color w:val="auto"/>
          <w:highlight w:val="none"/>
          <w:u w:val="none" w:color="auto"/>
        </w:rPr>
        <w:t>施工期污染防治措施可行性</w:t>
      </w:r>
      <w:bookmarkEnd w:id="166"/>
    </w:p>
    <w:p w14:paraId="7A7BE197">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7.1.1 </w:t>
      </w:r>
      <w:r>
        <w:rPr>
          <w:rFonts w:hint="default" w:ascii="Times New Roman" w:hAnsi="Times New Roman" w:cs="Times New Roman"/>
          <w:color w:val="auto"/>
          <w:highlight w:val="none"/>
          <w:u w:val="none" w:color="auto"/>
        </w:rPr>
        <w:t>施工期大气污染防治措施</w:t>
      </w:r>
    </w:p>
    <w:p w14:paraId="2C3E3EF0">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7.1.1.1 </w:t>
      </w:r>
      <w:r>
        <w:rPr>
          <w:rFonts w:hint="default" w:ascii="Times New Roman" w:hAnsi="Times New Roman" w:cs="Times New Roman"/>
          <w:color w:val="auto"/>
          <w:highlight w:val="none"/>
          <w:u w:val="none" w:color="auto"/>
        </w:rPr>
        <w:t>施工扬尘环境管理措施</w:t>
      </w:r>
    </w:p>
    <w:p w14:paraId="05AA4DC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为保证施工期防治扬尘环境管理任务的顺利实施，拟建项目的法定负责人，又是控制环境污染，保护环境的法律责任者，拟建项目应该设立专门的环保机构和专职负责人，负责项目的施工期防治扬尘环境管理。建设单位必须确定防治扬尘污染现场监督员，专门负责施工期环境管理与监督，监督施工单位落实各项扬尘污染防治措施，重点是地基处理和建筑物建设过程中防治施工扬尘环境管理，并明确各部门分管负责。</w:t>
      </w:r>
    </w:p>
    <w:p w14:paraId="0A44DBD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工程建设单位须遵守《中华人民共和国环境影响评价法》和《建设项目环境保护管理条例》的相关规定，向当地环境保护行政主管部门提供施工扬尘防治实施方案，并提请排污申报，签订《建筑施工防治扬尘污染责任书》。建设单位与施工单位签订施工合同时必须将防治扬尘污染的具体措施列入合同，并明确责任。</w:t>
      </w:r>
    </w:p>
    <w:p w14:paraId="2518D4D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（3）工程建设单位应按照《防治城市扬尘污染技术规范》条款制定施工扬尘污染防治方案，根据施工工序编制施工期内扬尘污染防治任务书，实施扬尘防治全过程管理，责任到每个施工工序。</w:t>
      </w:r>
    </w:p>
    <w:p w14:paraId="2110611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（4）各施工队伍（承包商）应配备一名环保员负责逸散性材料、垃圾、渣土、 裸地等密闭、覆盖、洒水作业以及车辆清洗作业等，根据承包工程的环境问题提出环保实施计划，并根据审批的计划进行实施、监督、管理，并记录扬尘控制措施的实施情况，对发生污染事故应组织处理，并及时向建设单位和地方环保部门报告。</w:t>
      </w:r>
    </w:p>
    <w:p w14:paraId="3E0C697E">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7.1.1.2 </w:t>
      </w:r>
      <w:r>
        <w:rPr>
          <w:rFonts w:hint="default" w:ascii="Times New Roman" w:hAnsi="Times New Roman" w:cs="Times New Roman"/>
          <w:color w:val="auto"/>
          <w:highlight w:val="none"/>
          <w:u w:val="none" w:color="auto"/>
        </w:rPr>
        <w:t>施工扬尘污染保护措施</w:t>
      </w:r>
    </w:p>
    <w:p w14:paraId="176BBE5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根据《益阳市扬尘污染防治条例》，工程施工应当采取下列扬尘污染防治措施：</w:t>
      </w:r>
    </w:p>
    <w:p w14:paraId="1451151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（一）施工工地周围按照国家和省、市规范要求设置百分之百的围挡或者围墙；</w:t>
      </w:r>
    </w:p>
    <w:p w14:paraId="09B1AB6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（二）施工工地内的裸露地面百分之百覆盖防尘布、防尘网并进行维护；无法覆盖的建设项目，采取喷淋等其他有效防尘措施；</w:t>
      </w:r>
    </w:p>
    <w:p w14:paraId="10B3882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（三）散装物料集中分区、分类存放，并根据易产生扬尘污染程度，分别采取密闭存放或者百分之百覆盖等其他有效防尘措施；禁止抛掷、扬撒和在围挡外堆放；</w:t>
      </w:r>
    </w:p>
    <w:p w14:paraId="30A8661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（四）及时清运建筑垃圾，不能及时清运的分类存放和百分之百覆盖，并定时喷淋；禁止抛撒和在围挡外堆放；</w:t>
      </w:r>
    </w:p>
    <w:p w14:paraId="777F543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（五）工地出入口、材料堆放区、材料加工区、生活区和主要道路等进行百分之百硬化并辅以喷淋洒水等措施，对其他场地进行覆盖或者临时绿化；</w:t>
      </w:r>
    </w:p>
    <w:p w14:paraId="780F2A7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（六）施工现场进行切割、抹灰、钻孔、凿槽等易产生粉尘的作业时，采取洒水、喷淋等措施；</w:t>
      </w:r>
    </w:p>
    <w:p w14:paraId="0BC69C4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（七）开挖和回填土方采取持续喷淋等有效抑尘措施作业；气象部门发布四级以上大风天气时，停止作业，并对作业面和土方进行覆盖；</w:t>
      </w:r>
    </w:p>
    <w:p w14:paraId="125393B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（八）采取覆盖、分段作业、择时施工、洒水抑尘等有效防尘降尘措施。</w:t>
      </w:r>
    </w:p>
    <w:p w14:paraId="16FB1D4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（九）运输散装、流体物料的车辆应当采取密闭或者其他措施防止物料遗撒造成扬尘污染，运输车辆在除泥、冲洗干净后方可驶出作业场所，并按照规定路线、时间行驶。在运输过程中不得遗撒、泄漏物料。</w:t>
      </w:r>
    </w:p>
    <w:p w14:paraId="094BC29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十）贮存砂土等易产生扬尘的物料应当密闭；不能密闭的，应当设置不低于堆放物高度的严密围挡，并采取有效覆盖措施防治扬尘污染。硬化物料堆放区域和道路，划分物料区和道路界限，及时清除散落的物料，保持道路及出入口通道整洁。堆场露天装卸作业的，应当采取洒水等有效的抑尘措施。</w:t>
      </w:r>
    </w:p>
    <w:p w14:paraId="27D69F35">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7.1.1.3 </w:t>
      </w:r>
      <w:r>
        <w:rPr>
          <w:rStyle w:val="188"/>
          <w:rFonts w:hint="default" w:ascii="Times New Roman" w:hAnsi="Times New Roman" w:cs="Times New Roman"/>
          <w:b/>
          <w:color w:val="auto"/>
          <w:highlight w:val="none"/>
          <w:u w:val="none" w:color="auto"/>
        </w:rPr>
        <w:t>车辆和机械尾气污染保护措施</w:t>
      </w:r>
    </w:p>
    <w:p w14:paraId="1A8AECF6">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①</w:t>
      </w:r>
      <w:r>
        <w:rPr>
          <w:rFonts w:hint="default" w:ascii="Times New Roman" w:hAnsi="Times New Roman" w:cs="Times New Roman"/>
          <w:color w:val="auto"/>
          <w:highlight w:val="none"/>
          <w:u w:val="none" w:color="auto"/>
        </w:rPr>
        <w:t>加强大型施工机械和车辆的管理，执行定期检查维护制度。承包商所有燃油机械和车辆尾气排放应执行GB3847-2005《车用压燃式发动机和压燃式发动机汽车排气烟度排放限值及测量方法》，若其尾气不能达标排放，必须配置消烟除尘设备。施工机械使用无铅汽油等优质燃料。发动机耗油多、效率低、排放尾气严重超标的老旧车辆，应予更新，禁止尾气排放不达标的车辆和施工机械运行作业。</w:t>
      </w:r>
    </w:p>
    <w:p w14:paraId="62997180">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②</w:t>
      </w:r>
      <w:r>
        <w:rPr>
          <w:rFonts w:hint="default" w:ascii="Times New Roman" w:hAnsi="Times New Roman" w:cs="Times New Roman"/>
          <w:color w:val="auto"/>
          <w:highlight w:val="none"/>
          <w:u w:val="none" w:color="auto"/>
        </w:rPr>
        <w:t>运输车辆和施工机械发生故障和损坏，必须及时维修或更新，防止设备带病运行从而加大废气对环境空气的污染。</w:t>
      </w:r>
    </w:p>
    <w:p w14:paraId="6AC0E16D">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7.1.2 </w:t>
      </w:r>
      <w:r>
        <w:rPr>
          <w:rFonts w:hint="default" w:ascii="Times New Roman" w:hAnsi="Times New Roman" w:cs="Times New Roman"/>
          <w:color w:val="auto"/>
          <w:highlight w:val="none"/>
          <w:u w:val="none" w:color="auto"/>
        </w:rPr>
        <w:t>施工期水污染防治措施</w:t>
      </w:r>
    </w:p>
    <w:p w14:paraId="5013C60B">
      <w:pPr>
        <w:pStyle w:val="381"/>
        <w:numPr>
          <w:ilvl w:val="3"/>
          <w:numId w:val="0"/>
        </w:numPr>
        <w:ind w:left="480" w:leftChars="0"/>
        <w:rPr>
          <w:rStyle w:val="188"/>
          <w:rFonts w:hint="default" w:ascii="Times New Roman" w:hAnsi="Times New Roman" w:cs="Times New Roman"/>
          <w:b/>
          <w:color w:val="auto"/>
          <w:highlight w:val="none"/>
          <w:u w:val="none" w:color="auto"/>
        </w:rPr>
      </w:pPr>
      <w:r>
        <w:rPr>
          <w:rStyle w:val="188"/>
          <w:rFonts w:hint="default" w:ascii="Times New Roman" w:hAnsi="Times New Roman" w:cs="Times New Roman"/>
          <w:b/>
          <w:color w:val="auto"/>
          <w:highlight w:val="none"/>
          <w:u w:val="none" w:color="auto"/>
          <w:lang w:val="en-US"/>
        </w:rPr>
        <w:t xml:space="preserve">7.1.2.1 </w:t>
      </w:r>
      <w:r>
        <w:rPr>
          <w:rStyle w:val="188"/>
          <w:rFonts w:hint="default" w:ascii="Times New Roman" w:hAnsi="Times New Roman" w:cs="Times New Roman"/>
          <w:b/>
          <w:color w:val="auto"/>
          <w:highlight w:val="none"/>
          <w:u w:val="none" w:color="auto"/>
        </w:rPr>
        <w:t>施工废水处理措施</w:t>
      </w:r>
    </w:p>
    <w:p w14:paraId="4A595642">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000000" w:themeColor="text1"/>
          <w:highlight w:val="none"/>
          <w:u w:val="none" w:color="auto"/>
          <w14:textFill>
            <w14:solidFill>
              <w14:schemeClr w14:val="tx1"/>
            </w14:solidFill>
          </w14:textFill>
        </w:rPr>
        <w:t>①</w:t>
      </w:r>
      <w:r>
        <w:rPr>
          <w:rFonts w:hint="default" w:ascii="Times New Roman" w:hAnsi="Times New Roman" w:cs="Times New Roman"/>
          <w:color w:val="000000" w:themeColor="text1"/>
          <w:highlight w:val="none"/>
          <w:u w:val="none" w:color="auto"/>
          <w14:textFill>
            <w14:solidFill>
              <w14:schemeClr w14:val="tx1"/>
            </w14:solidFill>
          </w14:textFill>
        </w:rPr>
        <w:t>施工期间，严禁施工废水乱排、乱流污染道路、环境；施工土石方工程</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实现</w:t>
      </w:r>
      <w:r>
        <w:rPr>
          <w:rFonts w:hint="default" w:ascii="Times New Roman" w:hAnsi="Times New Roman" w:cs="Times New Roman"/>
          <w:color w:val="000000" w:themeColor="text1"/>
          <w:highlight w:val="none"/>
          <w:u w:val="none" w:color="auto"/>
          <w14:textFill>
            <w14:solidFill>
              <w14:schemeClr w14:val="tx1"/>
            </w14:solidFill>
          </w14:textFill>
        </w:rPr>
        <w:t>内部平衡，做好各项排水、截水、防止水土流失的设计。工程施工区设置完善的配套排水系统、沉淀设施，施工场地的</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运输</w:t>
      </w:r>
      <w:r>
        <w:rPr>
          <w:rFonts w:hint="default" w:ascii="Times New Roman" w:hAnsi="Times New Roman" w:cs="Times New Roman"/>
          <w:color w:val="000000" w:themeColor="text1"/>
          <w:highlight w:val="none"/>
          <w:u w:val="none" w:color="auto"/>
          <w14:textFill>
            <w14:solidFill>
              <w14:schemeClr w14:val="tx1"/>
            </w14:solidFill>
          </w14:textFill>
        </w:rPr>
        <w:t>车辆经过冲洗干净后方可出行，冲洗废水经过沉淀处理后回用。在洗车台四周设置污水排水沟连接沉淀池，设计沉淀时间为2h以上，为保证沉淀效果，可适当延长沉淀时间</w:t>
      </w:r>
      <w:r>
        <w:rPr>
          <w:rFonts w:hint="default" w:ascii="Times New Roman" w:hAnsi="Times New Roman" w:cs="Times New Roman"/>
          <w:color w:val="auto"/>
          <w:highlight w:val="none"/>
          <w:u w:val="none" w:color="auto"/>
        </w:rPr>
        <w:t>。</w:t>
      </w:r>
    </w:p>
    <w:p w14:paraId="2532A09C">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eastAsia="宋体" w:cs="Times New Roman"/>
          <w:color w:val="auto"/>
          <w:highlight w:val="none"/>
          <w:u w:val="none" w:color="auto"/>
        </w:rPr>
        <w:t>②</w:t>
      </w:r>
      <w:r>
        <w:rPr>
          <w:rFonts w:hint="default" w:ascii="Times New Roman" w:hAnsi="Times New Roman" w:cs="Times New Roman"/>
          <w:color w:val="auto"/>
          <w:highlight w:val="none"/>
          <w:u w:val="none" w:color="auto"/>
        </w:rPr>
        <w:t>在施工中，应合理安排施工计划、施工程序，协调好各个施工步骤，雨季中尽量</w:t>
      </w:r>
      <w:r>
        <w:rPr>
          <w:rFonts w:hint="default" w:ascii="Times New Roman" w:hAnsi="Times New Roman" w:cs="Times New Roman"/>
          <w:color w:val="000000" w:themeColor="text1"/>
          <w:highlight w:val="none"/>
          <w:u w:val="none" w:color="auto"/>
          <w14:textFill>
            <w14:solidFill>
              <w14:schemeClr w14:val="tx1"/>
            </w14:solidFill>
          </w14:textFill>
        </w:rPr>
        <w:t>减少地面坡度，减少开挖面，减少堆土裸土的暴露时间，以避免受降雨的直接冲刷，在暴雨期，还应采取应急措施，尽量用覆盖物覆盖新开挖的陡坡，防止冲刷和塌崩。</w:t>
      </w:r>
    </w:p>
    <w:p w14:paraId="054F0C0D">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eastAsia="宋体" w:cs="Times New Roman"/>
          <w:color w:val="000000" w:themeColor="text1"/>
          <w:highlight w:val="none"/>
          <w:u w:val="none" w:color="auto"/>
          <w14:textFill>
            <w14:solidFill>
              <w14:schemeClr w14:val="tx1"/>
            </w14:solidFill>
          </w14:textFill>
        </w:rPr>
        <w:t>③</w:t>
      </w:r>
      <w:r>
        <w:rPr>
          <w:rFonts w:hint="default" w:ascii="Times New Roman" w:hAnsi="Times New Roman" w:cs="Times New Roman"/>
          <w:color w:val="000000" w:themeColor="text1"/>
          <w:highlight w:val="none"/>
          <w:u w:val="none" w:color="auto"/>
          <w14:textFill>
            <w14:solidFill>
              <w14:schemeClr w14:val="tx1"/>
            </w14:solidFill>
          </w14:textFill>
        </w:rPr>
        <w:t>在厂区施工场地，争取做到土料随填随压，不留松土，填土作业应尽量集中和避开暴雨期。</w:t>
      </w:r>
    </w:p>
    <w:p w14:paraId="36DE1080">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000000" w:themeColor="text1"/>
          <w:highlight w:val="none"/>
          <w:u w:val="none" w:color="auto"/>
          <w14:textFill>
            <w14:solidFill>
              <w14:schemeClr w14:val="tx1"/>
            </w14:solidFill>
          </w14:textFill>
        </w:rPr>
        <w:t>④</w:t>
      </w:r>
      <w:r>
        <w:rPr>
          <w:rFonts w:hint="default" w:ascii="Times New Roman" w:hAnsi="Times New Roman" w:cs="Times New Roman"/>
          <w:color w:val="000000" w:themeColor="text1"/>
          <w:highlight w:val="none"/>
          <w:u w:val="none" w:color="auto"/>
          <w14:textFill>
            <w14:solidFill>
              <w14:schemeClr w14:val="tx1"/>
            </w14:solidFill>
          </w14:textFill>
        </w:rPr>
        <w:t>在工程施工场地内需构筑相应容量的集水沉砂池和排水沟，以收集地表径流和施工过程产生的泥浆水、废水和污水，经过沉沙、除渣等处理后，回用施工建设</w:t>
      </w:r>
      <w:r>
        <w:rPr>
          <w:rFonts w:hint="default" w:ascii="Times New Roman" w:hAnsi="Times New Roman" w:cs="Times New Roman"/>
          <w:color w:val="auto"/>
          <w:highlight w:val="none"/>
          <w:u w:val="none" w:color="auto"/>
        </w:rPr>
        <w:t>。</w:t>
      </w:r>
    </w:p>
    <w:p w14:paraId="48B5268F">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7.1.2.2 </w:t>
      </w:r>
      <w:r>
        <w:rPr>
          <w:rFonts w:hint="default" w:ascii="Times New Roman" w:hAnsi="Times New Roman" w:cs="Times New Roman"/>
          <w:color w:val="auto"/>
          <w:highlight w:val="none"/>
          <w:u w:val="none" w:color="auto"/>
        </w:rPr>
        <w:t>施工期生活污水处理措施</w:t>
      </w:r>
    </w:p>
    <w:p w14:paraId="190EE61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施工生活污水，进入</w:t>
      </w:r>
      <w:r>
        <w:rPr>
          <w:rFonts w:hint="default" w:ascii="Times New Roman" w:hAnsi="Times New Roman" w:cs="Times New Roman"/>
          <w:color w:val="auto"/>
          <w:highlight w:val="none"/>
          <w:u w:val="none" w:color="auto"/>
          <w:lang w:val="en-US" w:eastAsia="zh-CN"/>
        </w:rPr>
        <w:t>大通湖工业园污水处理厂</w:t>
      </w:r>
      <w:r>
        <w:rPr>
          <w:rFonts w:hint="default" w:ascii="Times New Roman" w:hAnsi="Times New Roman" w:cs="Times New Roman"/>
          <w:color w:val="auto"/>
          <w:highlight w:val="none"/>
          <w:u w:val="none" w:color="auto"/>
        </w:rPr>
        <w:t>现有生活污水处理设施处理后进入</w:t>
      </w:r>
      <w:r>
        <w:rPr>
          <w:rFonts w:hint="default" w:ascii="Times New Roman" w:hAnsi="Times New Roman" w:cs="Times New Roman"/>
          <w:color w:val="auto"/>
          <w:highlight w:val="none"/>
          <w:u w:val="none" w:color="auto"/>
          <w:lang w:val="en-US" w:eastAsia="zh-CN"/>
        </w:rPr>
        <w:t>现状</w:t>
      </w:r>
      <w:r>
        <w:rPr>
          <w:rFonts w:hint="default" w:ascii="Times New Roman" w:hAnsi="Times New Roman" w:cs="Times New Roman"/>
          <w:color w:val="auto"/>
          <w:highlight w:val="none"/>
          <w:u w:val="none" w:color="auto"/>
          <w:lang w:eastAsia="zh-CN"/>
        </w:rPr>
        <w:t>污水处理厂</w:t>
      </w:r>
      <w:r>
        <w:rPr>
          <w:rFonts w:hint="default" w:ascii="Times New Roman" w:hAnsi="Times New Roman" w:cs="Times New Roman"/>
          <w:color w:val="auto"/>
          <w:highlight w:val="none"/>
          <w:u w:val="none" w:color="auto"/>
        </w:rPr>
        <w:t>处理</w:t>
      </w:r>
      <w:r>
        <w:rPr>
          <w:rFonts w:hint="default" w:ascii="Times New Roman" w:hAnsi="Times New Roman" w:cs="Times New Roman"/>
          <w:color w:val="auto"/>
          <w:highlight w:val="none"/>
          <w:u w:val="none" w:color="auto"/>
          <w:lang w:val="en-US" w:eastAsia="zh-CN"/>
        </w:rPr>
        <w:t>后排入机排二十渠</w:t>
      </w:r>
      <w:r>
        <w:rPr>
          <w:rFonts w:hint="default" w:ascii="Times New Roman" w:hAnsi="Times New Roman" w:cs="Times New Roman"/>
          <w:color w:val="auto"/>
          <w:highlight w:val="none"/>
          <w:u w:val="none" w:color="auto"/>
        </w:rPr>
        <w:t>。施工单位应采取一切必要措施，防止污水未经处理直接排入附近水域。</w:t>
      </w:r>
    </w:p>
    <w:p w14:paraId="2F665271">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7.1.3 </w:t>
      </w:r>
      <w:r>
        <w:rPr>
          <w:rFonts w:hint="default" w:ascii="Times New Roman" w:hAnsi="Times New Roman" w:cs="Times New Roman"/>
          <w:color w:val="auto"/>
          <w:highlight w:val="none"/>
          <w:u w:val="none" w:color="auto"/>
        </w:rPr>
        <w:t>施工期噪声污染防治措施</w:t>
      </w:r>
    </w:p>
    <w:p w14:paraId="55A78F4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施工期间噪声污染主要来自施工机械作业产生的噪声和运输车辆产生的交通噪声。</w:t>
      </w:r>
    </w:p>
    <w:p w14:paraId="05B5803F">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施工单位应严格执行《中华人民共和国噪声污染防治法》和《建筑施工场界环境噪声排放标准》（</w:t>
      </w:r>
      <w:r>
        <w:rPr>
          <w:rFonts w:hint="default" w:ascii="Times New Roman" w:hAnsi="Times New Roman" w:cs="Times New Roman"/>
          <w:color w:val="auto"/>
          <w:highlight w:val="none"/>
          <w:u w:val="none" w:color="auto"/>
          <w:lang w:eastAsia="zh-CN"/>
        </w:rPr>
        <w:t>GB12523-2025</w:t>
      </w:r>
      <w:r>
        <w:rPr>
          <w:rFonts w:hint="default" w:ascii="Times New Roman" w:hAnsi="Times New Roman" w:cs="Times New Roman"/>
          <w:color w:val="auto"/>
          <w:highlight w:val="none"/>
          <w:u w:val="none" w:color="auto"/>
        </w:rPr>
        <w:t>），采用低噪声施工机具和先进工艺进行施工，在施工作业中必须合理安排各类施工机械的工作时间，除必须连续作业的工序外，晚上不得施工。根据有关规定，建设施工时除抢修、抢险作业和因生产工艺上要求或者特殊要求必须连续作业外，禁止夜间进行产生环境噪声污染的建筑施工作业，“因特殊要求必须连续作业的，必须有县级以上人民政府或者有关主管部门的证明”（《</w:t>
      </w:r>
      <w:r>
        <w:rPr>
          <w:rFonts w:hint="default" w:ascii="Times New Roman" w:hAnsi="Times New Roman" w:cs="Times New Roman"/>
          <w:color w:val="auto"/>
          <w:highlight w:val="none"/>
          <w:u w:val="none" w:color="auto"/>
          <w:lang w:eastAsia="zh-CN"/>
        </w:rPr>
        <w:t>中华人民共和国噪声污染防治法</w:t>
      </w:r>
      <w:r>
        <w:rPr>
          <w:rFonts w:hint="default" w:ascii="Times New Roman" w:hAnsi="Times New Roman" w:cs="Times New Roman"/>
          <w:color w:val="auto"/>
          <w:highlight w:val="none"/>
          <w:u w:val="none" w:color="auto"/>
        </w:rPr>
        <w:t>》第三十条）。</w:t>
      </w:r>
    </w:p>
    <w:p w14:paraId="1ED404D2">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项目在进行施工过程中应注重采取相应的控制措施，最大限度地减少噪声对环境的影响，具体要求如下：</w:t>
      </w:r>
    </w:p>
    <w:p w14:paraId="4A33BE22">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施工部门应合理安排施工时间和施工场所。制订科学的施工计划，尽可能避免大量高噪声设备同时使用，高噪声设备的施工时间尽量安排在昼间，减少夜间施工，禁止在中午（12:00-14:00）和夜间（22:00-6:00）施工。高噪声作业区应远离声环境敏感区（如民居），并对设备定期保养，严格操作规范。</w:t>
      </w:r>
    </w:p>
    <w:p w14:paraId="744E78A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（2）合理布局施工现场，避免在同一地点安排多个高噪声设备。</w:t>
      </w:r>
    </w:p>
    <w:p w14:paraId="7D87049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尽量选用低噪声机械设备或带隔声、消声的设备。设备选型上尽量采用低噪声设备，如以液压机械代替燃油机械，低频振捣器代替高频振捣器等。固定机械设备与挖土、运土机械，如挖土机、推土机等，可以通过排气管消音器和隔离发机振动部件的方法降低噪声。对动力机械设备应进行定期的维修、养护。闲置不用的设备应立即关闭，运输车辆进入现场应减速，并减少鸣笛。</w:t>
      </w:r>
    </w:p>
    <w:p w14:paraId="47ACC08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（4）降低人为噪声。按照规定操作机械设备，在挡板、支架拆卸过程中，应遵守作业规定，减少碰撞噪声。</w:t>
      </w:r>
    </w:p>
    <w:p w14:paraId="491CC21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（5）施工运输车辆进出应合理安排，尽量避开噪声敏感区，尽量减少交通堵塞。</w:t>
      </w:r>
    </w:p>
    <w:p w14:paraId="1309DA8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（6）严禁高噪声设备在作息时间(中午和夜间)作业。施工单位在工程开工前15 天内向有审批权的环境保护部门提出申报，并说明拟采用的防治措施。</w:t>
      </w:r>
    </w:p>
    <w:p w14:paraId="2E2E9D3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（7）加强现场运输管理，对施工车辆造成的噪声影响要加强管理，运输车辆尽量采用较低声级喇叭，并在所经过的道路禁止鸣笛，以免影响沿途居民的正常生活。</w:t>
      </w:r>
    </w:p>
    <w:p w14:paraId="404C854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对施工场地噪声除采取以上减噪措施以外，还应与沿线周围单位、居民建立良好的社区关系，对受施工干扰的单位和居民应在作业前予以通知，并随时向他们汇报施工进度及施工中对降低噪声采取的措施，求得公众的共同理解。此外，施工期间应设热线投诉电话，接受噪声扰民的投诉，并对投诉情况进行积极治理。</w:t>
      </w:r>
    </w:p>
    <w:p w14:paraId="4A3FC5DF">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7.1.4 </w:t>
      </w:r>
      <w:r>
        <w:rPr>
          <w:rFonts w:hint="default" w:ascii="Times New Roman" w:hAnsi="Times New Roman" w:cs="Times New Roman"/>
          <w:color w:val="auto"/>
          <w:highlight w:val="none"/>
          <w:u w:val="none" w:color="auto"/>
        </w:rPr>
        <w:t>施工期固体废物污染防治措施</w:t>
      </w:r>
    </w:p>
    <w:p w14:paraId="6D681F4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为防止和减少施工期固体废物对环境的影响，施工单位应采取以下措施：</w:t>
      </w:r>
    </w:p>
    <w:p w14:paraId="5E1FE99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（1）施工开挖的土</w:t>
      </w:r>
      <w:r>
        <w:rPr>
          <w:rFonts w:hint="default" w:ascii="Times New Roman" w:hAnsi="Times New Roman" w:cs="Times New Roman"/>
          <w:color w:val="000000" w:themeColor="text1"/>
          <w:highlight w:val="none"/>
          <w:u w:val="none" w:color="auto"/>
          <w:lang w:eastAsia="zh-CN"/>
          <w14:textFill>
            <w14:solidFill>
              <w14:schemeClr w14:val="tx1"/>
            </w14:solidFill>
          </w14:textFill>
        </w:rPr>
        <w:t>方</w:t>
      </w:r>
      <w:r>
        <w:rPr>
          <w:rFonts w:hint="default" w:ascii="Times New Roman" w:hAnsi="Times New Roman" w:cs="Times New Roman"/>
          <w:color w:val="000000" w:themeColor="text1"/>
          <w:highlight w:val="none"/>
          <w:u w:val="none" w:color="auto"/>
          <w14:textFill>
            <w14:solidFill>
              <w14:schemeClr w14:val="tx1"/>
            </w14:solidFill>
          </w14:textFill>
        </w:rPr>
        <w:t>应单独存放，并采取相应的防护措施，防止雨水冲刷</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及时回填</w:t>
      </w:r>
      <w:r>
        <w:rPr>
          <w:rFonts w:hint="default" w:ascii="Times New Roman" w:hAnsi="Times New Roman" w:cs="Times New Roman"/>
          <w:color w:val="000000" w:themeColor="text1"/>
          <w:highlight w:val="none"/>
          <w:u w:val="none" w:color="auto"/>
          <w14:textFill>
            <w14:solidFill>
              <w14:schemeClr w14:val="tx1"/>
            </w14:solidFill>
          </w14:textFill>
        </w:rPr>
        <w:t>；项目无弃土产生，项目不设取土场及弃渣场。施工过程中产生</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的</w:t>
      </w:r>
      <w:r>
        <w:rPr>
          <w:rFonts w:hint="default" w:ascii="Times New Roman" w:hAnsi="Times New Roman" w:cs="Times New Roman"/>
          <w:color w:val="000000" w:themeColor="text1"/>
          <w:highlight w:val="none"/>
          <w:u w:val="none" w:color="auto"/>
          <w14:textFill>
            <w14:solidFill>
              <w14:schemeClr w14:val="tx1"/>
            </w14:solidFill>
          </w14:textFill>
        </w:rPr>
        <w:t>建筑垃圾及时清运，并做好清运前和堆存过程中的水土流失防治工作</w:t>
      </w:r>
      <w:r>
        <w:rPr>
          <w:rFonts w:hint="default" w:ascii="Times New Roman" w:hAnsi="Times New Roman" w:cs="Times New Roman"/>
          <w:color w:val="auto"/>
          <w:highlight w:val="none"/>
          <w:u w:val="none" w:color="auto"/>
        </w:rPr>
        <w:t>。清运必须限制在规定时段内进行，按指定路段行驶。车辆运输散体物和废弃物时，运输车辆必须做到装载适量，需要穿越施工场地外区域的车辆应加盖遮布，出工地前做好外部清洗，沿途不漏泥土、不飞扬。</w:t>
      </w:r>
    </w:p>
    <w:p w14:paraId="332E5FA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 对于施工垃圾、维修垃圾，要求进行分类和处理，其中可利用的物料，应重复利用或收购，如纸质、木质、金属性和玻璃质的垃圾可供收购站再利用，对不能利用的，应按要求，运送到指定地点。</w:t>
      </w:r>
    </w:p>
    <w:p w14:paraId="1D7DCB2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(3)施工人员产生生活垃圾应采用定点收集方式，设立专门的容器 (如垃圾箱)加以收集，并按时每天清运。对于人员活动产生的分散垃圾，除对施工人员加强环境保护教育外，应设立分散的小型垃圾收集器，如废物箱等加以收集，并派专人定时打扫清理。</w:t>
      </w:r>
    </w:p>
    <w:p w14:paraId="3FF6FA81">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7.1.5 施工期水土防治</w:t>
      </w:r>
      <w:r>
        <w:rPr>
          <w:rFonts w:hint="default" w:ascii="Times New Roman" w:hAnsi="Times New Roman" w:cs="Times New Roman"/>
          <w:color w:val="auto"/>
          <w:highlight w:val="none"/>
          <w:u w:val="none" w:color="auto"/>
        </w:rPr>
        <w:t>措施</w:t>
      </w:r>
    </w:p>
    <w:p w14:paraId="2CB7D068">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（1）工程施工期间，施工单位应严格执行《建设工程施工场地管理规定》，对废水的排放进行组织设计，严禁乱排、乱流污染道路、环境。</w:t>
      </w:r>
    </w:p>
    <w:p w14:paraId="3F5AF30E">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2）施工时要尽量减少弃土，做好各项排水、截水、防止水土流失的设计，建设相应的排水沟和沉砂池，防止雨天水土流失污染附近水体、市政管道。对施工产生的弃土应尽可能就地回填，对不能迅速找到回填工地的，要申报有关部门，及时运走，堆放到合适的地方，绝不能乱堆乱放，影响环境。</w:t>
      </w:r>
    </w:p>
    <w:p w14:paraId="1A6CC9E4">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3）合理安排施工计划、施工程序，协调好各个施工步骤。尽量避开雨季施工。根据当地气象台的资料，该地区的降雨量主要集中4~9月，而且常发生暴雨。暴雨是造成水土流失的主要原因，因此工程施工尽量避开雨季，可以大大减少水土流失。</w:t>
      </w:r>
    </w:p>
    <w:p w14:paraId="77E0B706">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尽量减少地面坡度，减少开挖面，并争取土料随挖、随运，减少推土裸土的暴露时间，以避免受降雨的直接冲刷，在暴雨期，还应采取应急措施，尽量用覆盖物覆盖新开挖的陡坡，防止冲刷和崩塌。</w:t>
      </w:r>
    </w:p>
    <w:p w14:paraId="46A0FAB9">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（4）加强现场施工、物料及建筑材料的堆放和车辆的管理。施工场地做到土料随填随压，不留松土。填土作业时应尽量集中和避开暴雨期。</w:t>
      </w:r>
    </w:p>
    <w:p w14:paraId="5C4E713B">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（5）在工程场地内需构筑相应的排水沟和沉砂池，以收集地表径流和施工过程产生的泥浆水和污水，经过沉砂、除渣后回用于施工中喷洒工序。</w:t>
      </w:r>
    </w:p>
    <w:p w14:paraId="389DA5CB">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（6）在项目占地范围内，尽量减少剥离表层植被的面积。施工结束后，应对污水处理站周围覆土，植树栽草，对生态进行修复。</w:t>
      </w:r>
    </w:p>
    <w:p w14:paraId="0CF82AC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项目施工期需认真落实上述措施防止水土流失，可有效防止水土流失</w:t>
      </w:r>
      <w:r>
        <w:rPr>
          <w:rFonts w:hint="default" w:ascii="Times New Roman" w:hAnsi="Times New Roman" w:cs="Times New Roman"/>
          <w:color w:val="auto"/>
          <w:highlight w:val="none"/>
          <w:u w:val="none" w:color="auto"/>
        </w:rPr>
        <w:t>。</w:t>
      </w:r>
    </w:p>
    <w:p w14:paraId="30AF047A">
      <w:pPr>
        <w:pStyle w:val="3"/>
        <w:numPr>
          <w:ilvl w:val="1"/>
          <w:numId w:val="0"/>
        </w:numPr>
        <w:ind w:leftChars="0"/>
        <w:rPr>
          <w:rFonts w:hint="default" w:ascii="Times New Roman" w:hAnsi="Times New Roman" w:cs="Times New Roman"/>
          <w:color w:val="auto"/>
          <w:highlight w:val="none"/>
          <w:u w:val="none" w:color="auto"/>
        </w:rPr>
      </w:pPr>
      <w:bookmarkStart w:id="167" w:name="bookmark45"/>
      <w:bookmarkEnd w:id="167"/>
      <w:bookmarkStart w:id="168" w:name="bookmark46"/>
      <w:bookmarkEnd w:id="168"/>
      <w:bookmarkStart w:id="169" w:name="_Toc26921"/>
      <w:r>
        <w:rPr>
          <w:rFonts w:hint="default" w:ascii="Times New Roman" w:hAnsi="Times New Roman" w:cs="Times New Roman"/>
          <w:color w:val="auto"/>
          <w:highlight w:val="none"/>
          <w:u w:val="none" w:color="auto"/>
          <w:lang w:val="en-US" w:eastAsia="zh-CN"/>
        </w:rPr>
        <w:t xml:space="preserve">7.2 </w:t>
      </w:r>
      <w:r>
        <w:rPr>
          <w:rFonts w:hint="default" w:ascii="Times New Roman" w:hAnsi="Times New Roman" w:cs="Times New Roman"/>
          <w:color w:val="auto"/>
          <w:highlight w:val="none"/>
          <w:u w:val="none" w:color="auto"/>
        </w:rPr>
        <w:t>营运期环境保护措施可行性</w:t>
      </w:r>
      <w:bookmarkEnd w:id="169"/>
    </w:p>
    <w:p w14:paraId="7487F44F">
      <w:pPr>
        <w:pStyle w:val="4"/>
        <w:numPr>
          <w:ilvl w:val="2"/>
          <w:numId w:val="0"/>
        </w:numPr>
        <w:ind w:leftChars="0"/>
        <w:rPr>
          <w:rFonts w:hint="default" w:ascii="Times New Roman" w:hAnsi="Times New Roman" w:cs="Times New Roman"/>
          <w:color w:val="auto"/>
          <w:spacing w:val="2"/>
          <w:highlight w:val="none"/>
          <w:u w:val="none" w:color="auto"/>
        </w:rPr>
      </w:pPr>
      <w:r>
        <w:rPr>
          <w:rFonts w:hint="default" w:ascii="Times New Roman" w:hAnsi="Times New Roman" w:cs="Times New Roman"/>
          <w:color w:val="auto"/>
          <w:spacing w:val="2"/>
          <w:highlight w:val="none"/>
          <w:u w:val="none" w:color="auto"/>
          <w:lang w:val="en-US" w:eastAsia="zh-CN"/>
        </w:rPr>
        <w:t xml:space="preserve">7.2.1 </w:t>
      </w:r>
      <w:r>
        <w:rPr>
          <w:rFonts w:hint="default" w:ascii="Times New Roman" w:hAnsi="Times New Roman" w:cs="Times New Roman"/>
          <w:color w:val="auto"/>
          <w:spacing w:val="2"/>
          <w:highlight w:val="none"/>
          <w:u w:val="none" w:color="auto"/>
        </w:rPr>
        <w:t>运</w:t>
      </w:r>
      <w:r>
        <w:rPr>
          <w:rFonts w:hint="default" w:ascii="Times New Roman" w:hAnsi="Times New Roman" w:cs="Times New Roman"/>
          <w:color w:val="auto"/>
          <w:highlight w:val="none"/>
          <w:u w:val="none" w:color="auto"/>
        </w:rPr>
        <w:t>营</w:t>
      </w:r>
      <w:r>
        <w:rPr>
          <w:rFonts w:hint="default" w:ascii="Times New Roman" w:hAnsi="Times New Roman" w:cs="Times New Roman"/>
          <w:color w:val="auto"/>
          <w:spacing w:val="2"/>
          <w:highlight w:val="none"/>
          <w:u w:val="none" w:color="auto"/>
        </w:rPr>
        <w:t>期</w:t>
      </w:r>
      <w:r>
        <w:rPr>
          <w:rFonts w:hint="default" w:ascii="Times New Roman" w:hAnsi="Times New Roman" w:cs="Times New Roman"/>
          <w:color w:val="auto"/>
          <w:highlight w:val="none"/>
          <w:u w:val="none" w:color="auto"/>
        </w:rPr>
        <w:t>废</w:t>
      </w:r>
      <w:r>
        <w:rPr>
          <w:rFonts w:hint="default" w:ascii="Times New Roman" w:hAnsi="Times New Roman" w:cs="Times New Roman"/>
          <w:color w:val="auto"/>
          <w:spacing w:val="2"/>
          <w:highlight w:val="none"/>
          <w:u w:val="none" w:color="auto"/>
        </w:rPr>
        <w:t>气</w:t>
      </w:r>
      <w:r>
        <w:rPr>
          <w:rFonts w:hint="default" w:ascii="Times New Roman" w:hAnsi="Times New Roman" w:cs="Times New Roman"/>
          <w:color w:val="auto"/>
          <w:highlight w:val="none"/>
          <w:u w:val="none" w:color="auto"/>
        </w:rPr>
        <w:t>治</w:t>
      </w:r>
      <w:r>
        <w:rPr>
          <w:rFonts w:hint="default" w:ascii="Times New Roman" w:hAnsi="Times New Roman" w:cs="Times New Roman"/>
          <w:color w:val="auto"/>
          <w:spacing w:val="1"/>
          <w:highlight w:val="none"/>
          <w:u w:val="none" w:color="auto"/>
        </w:rPr>
        <w:t>理</w:t>
      </w:r>
      <w:r>
        <w:rPr>
          <w:rFonts w:hint="default" w:ascii="Times New Roman" w:hAnsi="Times New Roman" w:cs="Times New Roman"/>
          <w:color w:val="auto"/>
          <w:spacing w:val="2"/>
          <w:highlight w:val="none"/>
          <w:u w:val="none" w:color="auto"/>
        </w:rPr>
        <w:t>措施</w:t>
      </w:r>
    </w:p>
    <w:p w14:paraId="5EDE57BF">
      <w:pPr>
        <w:pStyle w:val="381"/>
        <w:numPr>
          <w:ilvl w:val="3"/>
          <w:numId w:val="0"/>
        </w:numPr>
        <w:ind w:left="480" w:leftChars="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 xml:space="preserve">7.2.1.1 </w:t>
      </w:r>
      <w:r>
        <w:rPr>
          <w:rFonts w:hint="default" w:ascii="Times New Roman" w:hAnsi="Times New Roman" w:cs="Times New Roman"/>
          <w:color w:val="auto"/>
          <w:sz w:val="24"/>
          <w:szCs w:val="24"/>
          <w:highlight w:val="none"/>
          <w:u w:val="none" w:color="auto"/>
          <w:lang w:val="en-US" w:eastAsia="zh-CN"/>
        </w:rPr>
        <w:t>生物</w:t>
      </w:r>
      <w:r>
        <w:rPr>
          <w:rFonts w:hint="default" w:ascii="Times New Roman" w:hAnsi="Times New Roman" w:eastAsia="宋体" w:cs="Times New Roman"/>
          <w:color w:val="auto"/>
          <w:sz w:val="24"/>
          <w:szCs w:val="24"/>
          <w:highlight w:val="none"/>
          <w:u w:val="none" w:color="auto"/>
        </w:rPr>
        <w:t>除臭</w:t>
      </w:r>
      <w:r>
        <w:rPr>
          <w:rFonts w:hint="default" w:ascii="Times New Roman" w:hAnsi="Times New Roman" w:eastAsia="宋体" w:cs="Times New Roman"/>
          <w:color w:val="auto"/>
          <w:sz w:val="24"/>
          <w:szCs w:val="24"/>
          <w:highlight w:val="none"/>
          <w:u w:val="none" w:color="auto"/>
          <w:lang w:eastAsia="zh-CN"/>
        </w:rPr>
        <w:t>工艺及可行性分析</w:t>
      </w:r>
    </w:p>
    <w:p w14:paraId="5C60FC79">
      <w:pPr>
        <w:spacing w:line="360" w:lineRule="auto"/>
        <w:ind w:left="0" w:leftChars="0" w:firstLine="420" w:firstLineChars="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本项目除臭拟采用生物法除臭工艺，利用微生物将致臭污染物降解成二氧化碳、水、无机盐、矿物质等，从而达到除臭的目的。</w:t>
      </w:r>
    </w:p>
    <w:p w14:paraId="4C79EB0E">
      <w:pPr>
        <w:spacing w:line="360" w:lineRule="auto"/>
        <w:ind w:left="0" w:leftChars="0" w:firstLine="420" w:firstLineChars="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生物法除臭工艺工作原理是利用微生物细胞对恶臭物质进行吸附、吸收和降解；微生物以细胞个体小、比表面积大、吸附性强、代谢类型多样的特点，可以将恶臭物质吸附吸收后转化为无毒害的CO</w:t>
      </w:r>
      <w:r>
        <w:rPr>
          <w:rFonts w:hint="default" w:ascii="Times New Roman" w:hAnsi="Times New Roman" w:eastAsia="宋体" w:cs="Times New Roman"/>
          <w:color w:val="auto"/>
          <w:sz w:val="24"/>
          <w:szCs w:val="24"/>
          <w:highlight w:val="none"/>
          <w:u w:val="none" w:color="auto"/>
          <w:vertAlign w:val="subscript"/>
        </w:rPr>
        <w:t>2</w:t>
      </w:r>
      <w:r>
        <w:rPr>
          <w:rFonts w:hint="default" w:ascii="Times New Roman" w:hAnsi="Times New Roman" w:eastAsia="宋体" w:cs="Times New Roman"/>
          <w:color w:val="auto"/>
          <w:sz w:val="24"/>
          <w:szCs w:val="24"/>
          <w:highlight w:val="none"/>
          <w:u w:val="none" w:color="auto"/>
        </w:rPr>
        <w:t>、H</w:t>
      </w:r>
      <w:r>
        <w:rPr>
          <w:rFonts w:hint="default" w:ascii="Times New Roman" w:hAnsi="Times New Roman" w:eastAsia="宋体" w:cs="Times New Roman"/>
          <w:color w:val="auto"/>
          <w:sz w:val="24"/>
          <w:szCs w:val="24"/>
          <w:highlight w:val="none"/>
          <w:u w:val="none" w:color="auto"/>
          <w:vertAlign w:val="subscript"/>
        </w:rPr>
        <w:t>2</w:t>
      </w:r>
      <w:r>
        <w:rPr>
          <w:rFonts w:hint="default" w:ascii="Times New Roman" w:hAnsi="Times New Roman" w:eastAsia="宋体" w:cs="Times New Roman"/>
          <w:color w:val="auto"/>
          <w:sz w:val="24"/>
          <w:szCs w:val="24"/>
          <w:highlight w:val="none"/>
          <w:u w:val="none" w:color="auto"/>
        </w:rPr>
        <w:t>O等简单无机物。微生物除臭分三个步骤：</w:t>
      </w:r>
    </w:p>
    <w:p w14:paraId="6FF28456">
      <w:pPr>
        <w:spacing w:line="360" w:lineRule="auto"/>
        <w:ind w:left="0" w:leftChars="0" w:firstLine="420" w:firstLineChars="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①臭气同水接触并溶解到水中；</w:t>
      </w:r>
    </w:p>
    <w:p w14:paraId="34A99B84">
      <w:pPr>
        <w:spacing w:line="360" w:lineRule="auto"/>
        <w:ind w:left="0" w:leftChars="0" w:firstLine="420" w:firstLineChars="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②水溶液中的恶臭成分被微生物吸附、吸收，恶臭成分从水中转移至微生物体内；</w:t>
      </w:r>
    </w:p>
    <w:p w14:paraId="71B40FE5">
      <w:pPr>
        <w:spacing w:line="360" w:lineRule="auto"/>
        <w:ind w:left="0" w:leftChars="0" w:firstLine="420" w:firstLineChars="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③进入微生物细胞的恶臭成分作为营养物质为微生物所分解、利用，从而使污染物得以去除。</w:t>
      </w:r>
    </w:p>
    <w:p w14:paraId="68DE22AB">
      <w:pPr>
        <w:spacing w:line="360" w:lineRule="auto"/>
        <w:ind w:left="0" w:leftChars="0" w:firstLine="420" w:firstLineChars="0"/>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rPr>
        <w:t>生物过滤技术属于《排污许可证申请与核发技术规范 水处理（试行）》（HJ978-2018）中推荐的恶臭气体治理可行技术，经生物过滤技术处理后的恶臭废气可满足</w:t>
      </w:r>
      <w:r>
        <w:rPr>
          <w:rFonts w:hint="default" w:ascii="Times New Roman" w:hAnsi="Times New Roman" w:cs="Times New Roman"/>
          <w:color w:val="auto"/>
          <w:highlight w:val="none"/>
          <w:u w:val="none" w:color="auto"/>
          <w:lang w:val="en-US" w:eastAsia="zh-CN"/>
        </w:rPr>
        <w:t>《恶臭污染物排放标准》（GB14554-93）</w:t>
      </w:r>
      <w:r>
        <w:rPr>
          <w:rFonts w:hint="default" w:ascii="Times New Roman" w:hAnsi="Times New Roman" w:cs="Times New Roman"/>
          <w:color w:val="auto"/>
          <w:sz w:val="24"/>
          <w:szCs w:val="24"/>
          <w:highlight w:val="none"/>
          <w:u w:val="none" w:color="auto"/>
          <w:lang w:val="en-US" w:eastAsia="zh-CN"/>
        </w:rPr>
        <w:t>要求。</w:t>
      </w:r>
    </w:p>
    <w:p w14:paraId="345FCDEA">
      <w:pPr>
        <w:spacing w:line="360" w:lineRule="auto"/>
        <w:ind w:left="0" w:leftChars="0" w:firstLine="420" w:firstLineChars="0"/>
        <w:rPr>
          <w:rFonts w:hint="eastAsia"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综上所述，本项目采取的恶臭废气净化措施可行</w:t>
      </w:r>
      <w:r>
        <w:rPr>
          <w:rFonts w:hint="eastAsia" w:cs="Times New Roman"/>
          <w:color w:val="auto"/>
          <w:sz w:val="24"/>
          <w:szCs w:val="24"/>
          <w:highlight w:val="none"/>
          <w:u w:val="none" w:color="auto"/>
          <w:lang w:val="en-US" w:eastAsia="zh-CN"/>
        </w:rPr>
        <w:t>。</w:t>
      </w:r>
    </w:p>
    <w:p w14:paraId="3CD1ABFE">
      <w:pPr>
        <w:pStyle w:val="5"/>
        <w:numPr>
          <w:ilvl w:val="2"/>
          <w:numId w:val="0"/>
        </w:numPr>
        <w:ind w:leftChars="0"/>
        <w:outlineLvl w:val="3"/>
        <w:rPr>
          <w:rFonts w:hint="default" w:ascii="Times New Roman" w:hAnsi="Times New Roman" w:cs="Times New Roman"/>
          <w:color w:val="000000" w:themeColor="text1"/>
          <w:sz w:val="24"/>
          <w:szCs w:val="28"/>
          <w:highlight w:val="none"/>
          <w:u w:val="wave" w:color="auto"/>
          <w14:textFill>
            <w14:solidFill>
              <w14:schemeClr w14:val="tx1"/>
            </w14:solidFill>
          </w14:textFill>
        </w:rPr>
      </w:pPr>
      <w:r>
        <w:rPr>
          <w:rFonts w:hint="eastAsia" w:cs="Times New Roman"/>
          <w:color w:val="000000" w:themeColor="text1"/>
          <w:sz w:val="24"/>
          <w:szCs w:val="28"/>
          <w:highlight w:val="none"/>
          <w:u w:val="wave" w:color="auto"/>
          <w:lang w:val="en-US" w:eastAsia="zh-CN"/>
          <w14:textFill>
            <w14:solidFill>
              <w14:schemeClr w14:val="tx1"/>
            </w14:solidFill>
          </w14:textFill>
        </w:rPr>
        <w:t>7.2.1.2 排气筒设置合理性</w:t>
      </w:r>
      <w:r>
        <w:rPr>
          <w:rFonts w:hint="default" w:ascii="Times New Roman" w:hAnsi="Times New Roman" w:cs="Times New Roman"/>
          <w:color w:val="000000" w:themeColor="text1"/>
          <w:sz w:val="24"/>
          <w:szCs w:val="28"/>
          <w:highlight w:val="none"/>
          <w:u w:val="wave" w:color="auto"/>
          <w:lang w:val="en-US" w:eastAsia="zh-CN"/>
          <w14:textFill>
            <w14:solidFill>
              <w14:schemeClr w14:val="tx1"/>
            </w14:solidFill>
          </w14:textFill>
        </w:rPr>
        <w:t>分析</w:t>
      </w:r>
      <w:r>
        <w:rPr>
          <w:rFonts w:hint="default" w:ascii="Times New Roman" w:hAnsi="Times New Roman" w:cs="Times New Roman"/>
          <w:color w:val="000000" w:themeColor="text1"/>
          <w:sz w:val="24"/>
          <w:szCs w:val="28"/>
          <w:highlight w:val="none"/>
          <w:u w:val="wave" w:color="auto"/>
          <w14:textFill>
            <w14:solidFill>
              <w14:schemeClr w14:val="tx1"/>
            </w14:solidFill>
          </w14:textFill>
        </w:rPr>
        <w:t xml:space="preserve"> </w:t>
      </w:r>
    </w:p>
    <w:p w14:paraId="0C6A02BD">
      <w:pP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① </w:t>
      </w:r>
      <w:r>
        <w:rPr>
          <w:rFonts w:hint="default" w:ascii="Times New Roman" w:hAnsi="Times New Roman" w:cs="Times New Roman"/>
          <w:color w:val="000000" w:themeColor="text1"/>
          <w:highlight w:val="none"/>
          <w:u w:val="wave" w:color="auto"/>
          <w14:textFill>
            <w14:solidFill>
              <w14:schemeClr w14:val="tx1"/>
            </w14:solidFill>
          </w14:textFill>
        </w:rPr>
        <w:t>数量合理性</w:t>
      </w:r>
    </w:p>
    <w:p w14:paraId="34A2DF6B">
      <w:pP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项目共设置</w:t>
      </w:r>
      <w:r>
        <w:rPr>
          <w:rFonts w:hint="eastAsia" w:cs="Times New Roman"/>
          <w:color w:val="000000" w:themeColor="text1"/>
          <w:highlight w:val="none"/>
          <w:u w:val="wav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wave" w:color="auto"/>
          <w14:textFill>
            <w14:solidFill>
              <w14:schemeClr w14:val="tx1"/>
            </w14:solidFill>
          </w14:textFill>
        </w:rPr>
        <w:t>个恶臭废气排气筒。</w:t>
      </w:r>
    </w:p>
    <w:p w14:paraId="4C65F9F7">
      <w:pP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② </w:t>
      </w:r>
      <w:r>
        <w:rPr>
          <w:rFonts w:hint="default" w:ascii="Times New Roman" w:hAnsi="Times New Roman" w:cs="Times New Roman"/>
          <w:color w:val="000000" w:themeColor="text1"/>
          <w:highlight w:val="none"/>
          <w:u w:val="wave" w:color="auto"/>
          <w14:textFill>
            <w14:solidFill>
              <w14:schemeClr w14:val="tx1"/>
            </w14:solidFill>
          </w14:textFill>
        </w:rPr>
        <w:t>高度合理性</w:t>
      </w:r>
    </w:p>
    <w:p w14:paraId="3D0A128F">
      <w:pP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根据《恶臭污染物排放标准》（GB14554-93），排气筒高度应不低于15m，本项目恶臭废气排气简设置为15m，排气筒高度合理。</w:t>
      </w:r>
    </w:p>
    <w:p w14:paraId="46D0D1F0">
      <w:pP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③ </w:t>
      </w:r>
      <w:r>
        <w:rPr>
          <w:rFonts w:hint="default" w:ascii="Times New Roman" w:hAnsi="Times New Roman" w:cs="Times New Roman"/>
          <w:color w:val="000000" w:themeColor="text1"/>
          <w:highlight w:val="none"/>
          <w:u w:val="wave" w:color="auto"/>
          <w14:textFill>
            <w14:solidFill>
              <w14:schemeClr w14:val="tx1"/>
            </w14:solidFill>
          </w14:textFill>
        </w:rPr>
        <w:t>气流速度合理性</w:t>
      </w:r>
    </w:p>
    <w:p w14:paraId="5154247C">
      <w:pPr>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根据《大气污染治理工程技术导则》（HJ2000-2010）“排气筒的出口直径应根据出口流速确定，流速宜取15m/s 左右。当采用钢管烟囱且高度较高时或烟气量较大时，可适当提高出口流速至20m/s~25m/s 左右。”项目废气正常排放时，排气简烟气流速</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约</w:t>
      </w:r>
      <w:r>
        <w:rPr>
          <w:rFonts w:hint="default" w:ascii="Times New Roman" w:hAnsi="Times New Roman" w:cs="Times New Roman"/>
          <w:color w:val="000000" w:themeColor="text1"/>
          <w:highlight w:val="none"/>
          <w:u w:val="wave" w:color="auto"/>
          <w14:textFill>
            <w14:solidFill>
              <w14:schemeClr w14:val="tx1"/>
            </w14:solidFill>
          </w14:textFill>
        </w:rPr>
        <w:t xml:space="preserve">为 </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14.1</w:t>
      </w:r>
      <w:r>
        <w:rPr>
          <w:rFonts w:hint="default" w:ascii="Times New Roman" w:hAnsi="Times New Roman" w:cs="Times New Roman"/>
          <w:color w:val="000000" w:themeColor="text1"/>
          <w:highlight w:val="none"/>
          <w:u w:val="wave" w:color="auto"/>
          <w14:textFill>
            <w14:solidFill>
              <w14:schemeClr w14:val="tx1"/>
            </w14:solidFill>
          </w14:textFill>
        </w:rPr>
        <w:t>5m/s，在15m/s左右，可以满足要求。</w:t>
      </w:r>
    </w:p>
    <w:p w14:paraId="751106CB">
      <w:pPr>
        <w:rPr>
          <w:rFonts w:hint="default" w:ascii="Times New Roman" w:hAnsi="Times New Roman" w:cs="Times New Roman"/>
          <w:color w:val="000000" w:themeColor="text1"/>
          <w:highlight w:val="none"/>
          <w:u w:val="wave" w:color="auto"/>
          <w14:textFill>
            <w14:solidFill>
              <w14:schemeClr w14:val="tx1"/>
            </w14:solidFill>
          </w14:textFill>
        </w:rPr>
      </w:pPr>
      <w:r>
        <w:rPr>
          <w:rFonts w:hint="eastAsia" w:ascii="Times New Roman" w:hAnsi="Times New Roman" w:cs="Times New Roman"/>
          <w:color w:val="000000" w:themeColor="text1"/>
          <w:highlight w:val="none"/>
          <w:u w:val="wave" w:color="auto"/>
          <w:lang w:val="en-US" w:eastAsia="zh-CN"/>
          <w14:textFill>
            <w14:solidFill>
              <w14:schemeClr w14:val="tx1"/>
            </w14:solidFill>
          </w14:textFill>
        </w:rPr>
        <w:t>综上所述，项目排气筒设置合理。</w:t>
      </w:r>
    </w:p>
    <w:p w14:paraId="2A44E6AD">
      <w:pPr>
        <w:pStyle w:val="381"/>
        <w:numPr>
          <w:ilvl w:val="3"/>
          <w:numId w:val="0"/>
        </w:numP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7.2.1.</w:t>
      </w:r>
      <w:r>
        <w:rPr>
          <w:rFonts w:hint="eastAsia" w:cs="Times New Roman"/>
          <w:color w:val="auto"/>
          <w:highlight w:val="none"/>
          <w:u w:val="none" w:color="auto"/>
          <w:lang w:val="en-US" w:eastAsia="zh-CN"/>
        </w:rPr>
        <w:t>3</w:t>
      </w:r>
      <w:r>
        <w:rPr>
          <w:rFonts w:hint="default" w:ascii="Times New Roman" w:hAnsi="Times New Roman" w:cs="Times New Roman"/>
          <w:color w:val="auto"/>
          <w:highlight w:val="none"/>
          <w:u w:val="none" w:color="auto"/>
          <w:lang w:val="en-US" w:eastAsia="zh-CN"/>
        </w:rPr>
        <w:t xml:space="preserve"> </w:t>
      </w:r>
      <w:r>
        <w:rPr>
          <w:rFonts w:hint="default" w:ascii="Times New Roman" w:hAnsi="Times New Roman" w:cs="Times New Roman"/>
          <w:color w:val="auto"/>
          <w:highlight w:val="none"/>
          <w:u w:val="none" w:color="auto"/>
        </w:rPr>
        <w:t>其他措施</w:t>
      </w:r>
    </w:p>
    <w:p w14:paraId="2AFFE80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为了同时改善污水厂内部及周边环境质量，从而达到最终降低、消除异味对周边环境影响的目的，还应采取以下恶臭控制措施：</w:t>
      </w:r>
    </w:p>
    <w:p w14:paraId="40412BB4">
      <w:pPr>
        <w:pStyle w:val="189"/>
        <w:rPr>
          <w:rFonts w:hint="default" w:ascii="Times New Roman" w:hAnsi="Times New Roman" w:cs="Times New Roman"/>
          <w:color w:val="auto"/>
          <w:highlight w:val="none"/>
          <w:u w:val="none" w:color="auto"/>
        </w:rPr>
      </w:pPr>
      <w:bookmarkStart w:id="170" w:name="_Hlk33539479"/>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rPr>
        <w:t xml:space="preserve">）厂区的污水管设计流速应足够大，尽量避免产生死区。厂区保持清洁，沉淀池表面漂浮污泥层和固体定期清除。 </w:t>
      </w:r>
    </w:p>
    <w:p w14:paraId="7FD9AAD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）脱水污泥禁止露天堆放，要封闭操作，以减轻臭味的扩散和滋生蚊蝇，脱水后的污泥要及时清运，脱水机要定时清洗。格栅截流的固型物应及时清除，减少其停留时间和恶臭源的量，及时</w:t>
      </w:r>
      <w:r>
        <w:rPr>
          <w:rFonts w:hint="default" w:ascii="Times New Roman" w:hAnsi="Times New Roman" w:cs="Times New Roman"/>
          <w:color w:val="auto"/>
          <w:highlight w:val="none"/>
          <w:u w:val="none" w:color="auto"/>
          <w:lang w:eastAsia="zh-CN"/>
        </w:rPr>
        <w:t>清运</w:t>
      </w:r>
      <w:r>
        <w:rPr>
          <w:rFonts w:hint="default" w:ascii="Times New Roman" w:hAnsi="Times New Roman" w:cs="Times New Roman"/>
          <w:color w:val="auto"/>
          <w:highlight w:val="none"/>
          <w:u w:val="none" w:color="auto"/>
        </w:rPr>
        <w:t xml:space="preserve">。 </w:t>
      </w:r>
    </w:p>
    <w:p w14:paraId="1923913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）应加强管理，使污水全流程都处于正常运行状态。确保污水处理厂的正常运行，减少污染物的产生量。</w:t>
      </w:r>
    </w:p>
    <w:p w14:paraId="6B36F82F">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4</w:t>
      </w:r>
      <w:r>
        <w:rPr>
          <w:rFonts w:hint="default" w:ascii="Times New Roman" w:hAnsi="Times New Roman" w:cs="Times New Roman"/>
          <w:color w:val="auto"/>
          <w:highlight w:val="none"/>
          <w:u w:val="none" w:color="auto"/>
        </w:rPr>
        <w:t>）在污水处理厂停产修理时，池底沉积的污泥会暴露出来散发臭气，应采取及时清除积泥的措施来防止臭气的影响。</w:t>
      </w:r>
    </w:p>
    <w:p w14:paraId="15F3A2E5">
      <w:pPr>
        <w:pStyle w:val="189"/>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lang w:eastAsia="zh-CN"/>
        </w:rPr>
        <w:t>）项目厂界四周建设绿化隔离带，种植抗污染能力较强的乔木，形成多层防护林带，以最大限度降低对外界环境的恶臭影响。</w:t>
      </w:r>
    </w:p>
    <w:p w14:paraId="236776A0">
      <w:pPr>
        <w:pStyle w:val="189"/>
        <w:rPr>
          <w:rFonts w:hint="default" w:ascii="Times New Roman" w:hAnsi="Times New Roman" w:cs="Times New Roman" w:eastAsiaTheme="minorEastAsia"/>
          <w:color w:val="auto"/>
          <w:highlight w:val="none"/>
          <w:u w:val="none" w:color="auto"/>
          <w:lang w:eastAsia="zh-CN"/>
        </w:rPr>
      </w:pPr>
      <w:r>
        <w:rPr>
          <w:rFonts w:hint="default" w:ascii="Times New Roman" w:hAnsi="Times New Roman" w:cs="Times New Roman"/>
          <w:color w:val="auto"/>
          <w:highlight w:val="none"/>
          <w:u w:val="none" w:color="auto"/>
          <w:lang w:eastAsia="zh-CN"/>
        </w:rPr>
        <w:t>对于无组织废气的影响，本项目主要采取产臭设施密闭，加强恶臭收集方式降低污染影响，无组织排放废气处理处置措施可行。</w:t>
      </w:r>
    </w:p>
    <w:bookmarkEnd w:id="170"/>
    <w:p w14:paraId="5EDAE5A9">
      <w:pPr>
        <w:pStyle w:val="201"/>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7.2.2 </w:t>
      </w:r>
      <w:r>
        <w:rPr>
          <w:rFonts w:hint="default" w:ascii="Times New Roman" w:hAnsi="Times New Roman" w:cs="Times New Roman"/>
          <w:color w:val="auto"/>
          <w:highlight w:val="none"/>
          <w:u w:val="none" w:color="auto"/>
        </w:rPr>
        <w:t>运营期水污染防治措施</w:t>
      </w:r>
    </w:p>
    <w:p w14:paraId="71B34C3E">
      <w:pPr>
        <w:pStyle w:val="5"/>
        <w:numPr>
          <w:ilvl w:val="2"/>
          <w:numId w:val="0"/>
        </w:numPr>
        <w:ind w:leftChars="0" w:firstLine="482" w:firstLineChars="200"/>
        <w:outlineLvl w:val="3"/>
        <w:rPr>
          <w:rFonts w:hint="default" w:ascii="Times New Roman" w:hAnsi="Times New Roman" w:eastAsia="宋体" w:cs="Times New Roman"/>
          <w:b w:val="0"/>
          <w:color w:val="000000" w:themeColor="text1"/>
          <w:kern w:val="0"/>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auto"/>
          <w:sz w:val="24"/>
          <w:szCs w:val="28"/>
          <w:highlight w:val="none"/>
          <w:u w:val="none" w:color="auto"/>
          <w:lang w:val="en-US" w:eastAsia="zh-CN"/>
        </w:rPr>
        <w:t>7.2.2.1</w:t>
      </w:r>
      <w:r>
        <w:rPr>
          <w:rFonts w:hint="default" w:ascii="Times New Roman" w:hAnsi="Times New Roman" w:cs="Times New Roman"/>
          <w:color w:val="auto"/>
          <w:sz w:val="24"/>
          <w:szCs w:val="28"/>
          <w:highlight w:val="none"/>
          <w:u w:val="none" w:color="auto"/>
          <w:lang w:val="en-US" w:eastAsia="zh-CN"/>
        </w:rPr>
        <w:t xml:space="preserve"> 废水治理措施及达标可行性分析</w:t>
      </w:r>
    </w:p>
    <w:p w14:paraId="47EE69C4">
      <w:pPr>
        <w:pStyle w:val="438"/>
        <w:numPr>
          <w:ilvl w:val="4"/>
          <w:numId w:val="0"/>
        </w:numPr>
        <w:ind w:firstLine="480" w:firstLineChars="200"/>
        <w:jc w:val="both"/>
        <w:rPr>
          <w:rFonts w:hint="default" w:ascii="Times New Roman" w:hAnsi="Times New Roman" w:eastAsia="宋体" w:cs="Times New Roman"/>
          <w:b w:val="0"/>
          <w:color w:val="000000" w:themeColor="text1"/>
          <w:kern w:val="0"/>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u w:val="none" w:color="auto"/>
          <w:lang w:val="en-US" w:eastAsia="zh-CN" w:bidi="ar-SA"/>
          <w14:textFill>
            <w14:solidFill>
              <w14:schemeClr w14:val="tx1"/>
            </w14:solidFill>
          </w14:textFill>
        </w:rPr>
        <w:t>本项目废水处理工艺路线为“一体化泵站+调节均质+水解酸化+AAO生化+混凝沉淀+精密过滤+接触消毒”，对照《排污许可证申请与核发技术规范 水处理（试行）》（HJ978-2018）中表4污水处理可行技术参照表，本项目采用的处理工艺均属于可行技术，详见下表。</w:t>
      </w:r>
    </w:p>
    <w:p w14:paraId="4FFB3231">
      <w:pPr>
        <w:pStyle w:val="194"/>
        <w:spacing w:line="240" w:lineRule="auto"/>
        <w:rPr>
          <w:rFonts w:hint="default" w:ascii="Times New Roman" w:hAnsi="Times New Roman" w:eastAsia="宋体" w:cs="Times New Roman"/>
          <w:color w:val="000000" w:themeColor="text1"/>
          <w:highlight w:val="none"/>
          <w:u w:val="none" w:color="auto"/>
          <w14:textFill>
            <w14:solidFill>
              <w14:schemeClr w14:val="tx1"/>
            </w14:solidFill>
          </w14:textFill>
        </w:rPr>
      </w:pPr>
      <w: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t xml:space="preserve">7.2-1 </w:t>
      </w:r>
      <w:r>
        <w:rPr>
          <w:rFonts w:hint="default" w:ascii="Times New Roman" w:hAnsi="Times New Roman" w:eastAsia="宋体" w:cs="Times New Roman"/>
          <w:color w:val="000000" w:themeColor="text1"/>
          <w:highlight w:val="none"/>
          <w:u w:val="none" w:color="auto"/>
          <w14:textFill>
            <w14:solidFill>
              <w14:schemeClr w14:val="tx1"/>
            </w14:solidFill>
          </w14:textFill>
        </w:rPr>
        <w:t>本项目废水处理措施可行性分析一览表</w:t>
      </w:r>
    </w:p>
    <w:tbl>
      <w:tblPr>
        <w:tblStyle w:val="7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4072"/>
        <w:gridCol w:w="2288"/>
        <w:gridCol w:w="1086"/>
      </w:tblGrid>
      <w:tr w14:paraId="25FDC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58" w:type="dxa"/>
            <w:tcBorders>
              <w:tl2br w:val="nil"/>
              <w:tr2bl w:val="nil"/>
            </w:tcBorders>
            <w:vAlign w:val="center"/>
          </w:tcPr>
          <w:p w14:paraId="32CE9EA1">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废水</w:t>
            </w:r>
          </w:p>
          <w:p w14:paraId="3108E8C3">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类别</w:t>
            </w:r>
          </w:p>
        </w:tc>
        <w:tc>
          <w:tcPr>
            <w:tcW w:w="4072" w:type="dxa"/>
            <w:tcBorders>
              <w:tl2br w:val="nil"/>
              <w:tr2bl w:val="nil"/>
            </w:tcBorders>
            <w:vAlign w:val="center"/>
          </w:tcPr>
          <w:p w14:paraId="32CD3D19">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val="en-US" w:eastAsia="zh-CN"/>
              </w:rPr>
              <w:t>可行技术</w:t>
            </w:r>
          </w:p>
        </w:tc>
        <w:tc>
          <w:tcPr>
            <w:tcW w:w="2288" w:type="dxa"/>
            <w:tcBorders>
              <w:tl2br w:val="nil"/>
              <w:tr2bl w:val="nil"/>
            </w:tcBorders>
            <w:vAlign w:val="center"/>
          </w:tcPr>
          <w:p w14:paraId="7ED70AC8">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本项目处理工艺</w:t>
            </w:r>
          </w:p>
        </w:tc>
        <w:tc>
          <w:tcPr>
            <w:tcW w:w="1086" w:type="dxa"/>
            <w:tcBorders>
              <w:tl2br w:val="nil"/>
              <w:tr2bl w:val="nil"/>
            </w:tcBorders>
            <w:vAlign w:val="center"/>
          </w:tcPr>
          <w:p w14:paraId="3A26B81E">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是否</w:t>
            </w:r>
          </w:p>
          <w:p w14:paraId="7B6D26C4">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相符</w:t>
            </w:r>
          </w:p>
        </w:tc>
      </w:tr>
      <w:tr w14:paraId="1D1DA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8" w:type="dxa"/>
            <w:vMerge w:val="restart"/>
            <w:tcBorders>
              <w:tl2br w:val="nil"/>
              <w:tr2bl w:val="nil"/>
            </w:tcBorders>
            <w:vAlign w:val="center"/>
          </w:tcPr>
          <w:p w14:paraId="1EDB6F91">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工业</w:t>
            </w:r>
          </w:p>
          <w:p w14:paraId="5DFE029F">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废水</w:t>
            </w:r>
          </w:p>
        </w:tc>
        <w:tc>
          <w:tcPr>
            <w:tcW w:w="4072" w:type="dxa"/>
            <w:tcBorders>
              <w:tl2br w:val="nil"/>
              <w:tr2bl w:val="nil"/>
            </w:tcBorders>
            <w:vAlign w:val="center"/>
          </w:tcPr>
          <w:p w14:paraId="2162E2DF">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预处理</w:t>
            </w:r>
            <w:r>
              <w:rPr>
                <w:rFonts w:hint="default" w:ascii="Times New Roman" w:hAnsi="Times New Roman" w:cs="Times New Roman"/>
                <w:b/>
                <w:bCs/>
                <w:color w:val="auto"/>
                <w:highlight w:val="none"/>
                <w:vertAlign w:val="superscript"/>
                <w:lang w:val="en-US" w:eastAsia="zh-CN"/>
              </w:rPr>
              <w:t>a</w:t>
            </w:r>
            <w:r>
              <w:rPr>
                <w:rFonts w:hint="default" w:ascii="Times New Roman" w:hAnsi="Times New Roman" w:cs="Times New Roman"/>
                <w:color w:val="auto"/>
                <w:highlight w:val="none"/>
              </w:rPr>
              <w:t>：沉淀、调节、气浮、水解酸化</w:t>
            </w:r>
          </w:p>
        </w:tc>
        <w:tc>
          <w:tcPr>
            <w:tcW w:w="2288" w:type="dxa"/>
            <w:tcBorders>
              <w:tl2br w:val="nil"/>
              <w:tr2bl w:val="nil"/>
            </w:tcBorders>
            <w:vAlign w:val="center"/>
          </w:tcPr>
          <w:p w14:paraId="4D7DBB35">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u w:val="none" w:color="auto"/>
              </w:rPr>
              <w:t>调节均质+水解酸化</w:t>
            </w:r>
          </w:p>
        </w:tc>
        <w:tc>
          <w:tcPr>
            <w:tcW w:w="1086" w:type="dxa"/>
            <w:tcBorders>
              <w:tl2br w:val="nil"/>
              <w:tr2bl w:val="nil"/>
            </w:tcBorders>
            <w:vAlign w:val="center"/>
          </w:tcPr>
          <w:p w14:paraId="212D89A3">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是</w:t>
            </w:r>
          </w:p>
        </w:tc>
      </w:tr>
      <w:tr w14:paraId="7877B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8" w:type="dxa"/>
            <w:vMerge w:val="continue"/>
            <w:tcBorders>
              <w:tl2br w:val="nil"/>
              <w:tr2bl w:val="nil"/>
            </w:tcBorders>
            <w:vAlign w:val="center"/>
          </w:tcPr>
          <w:p w14:paraId="4B96E9AD">
            <w:pPr>
              <w:pStyle w:val="447"/>
              <w:keepNext w:val="0"/>
              <w:keepLines w:val="0"/>
              <w:suppressLineNumbers w:val="0"/>
              <w:bidi w:val="0"/>
              <w:spacing w:before="0" w:beforeAutospacing="0" w:after="0" w:afterAutospacing="0"/>
              <w:ind w:right="0"/>
              <w:jc w:val="center"/>
              <w:rPr>
                <w:rFonts w:hint="default" w:ascii="Times New Roman" w:hAnsi="Times New Roman" w:cs="Times New Roman"/>
                <w:color w:val="auto"/>
                <w:highlight w:val="none"/>
                <w:lang w:val="en-US" w:eastAsia="zh-CN"/>
              </w:rPr>
            </w:pPr>
          </w:p>
        </w:tc>
        <w:tc>
          <w:tcPr>
            <w:tcW w:w="4072" w:type="dxa"/>
            <w:tcBorders>
              <w:tl2br w:val="nil"/>
              <w:tr2bl w:val="nil"/>
            </w:tcBorders>
            <w:vAlign w:val="center"/>
          </w:tcPr>
          <w:p w14:paraId="6CA68108">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生化处理：好氧、缺氧好氧、厌氧缺氧好氧、序批式活性污泥、氧化沟、移动生物床反应器、膜生物反应器</w:t>
            </w:r>
          </w:p>
        </w:tc>
        <w:tc>
          <w:tcPr>
            <w:tcW w:w="2288" w:type="dxa"/>
            <w:tcBorders>
              <w:tl2br w:val="nil"/>
              <w:tr2bl w:val="nil"/>
            </w:tcBorders>
            <w:vAlign w:val="center"/>
          </w:tcPr>
          <w:p w14:paraId="3CC6CE09">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u w:val="none" w:color="auto"/>
              </w:rPr>
              <w:t>AAO生化</w:t>
            </w:r>
          </w:p>
        </w:tc>
        <w:tc>
          <w:tcPr>
            <w:tcW w:w="1086" w:type="dxa"/>
            <w:tcBorders>
              <w:tl2br w:val="nil"/>
              <w:tr2bl w:val="nil"/>
            </w:tcBorders>
            <w:vAlign w:val="center"/>
          </w:tcPr>
          <w:p w14:paraId="60418BB5">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是</w:t>
            </w:r>
          </w:p>
        </w:tc>
      </w:tr>
      <w:tr w14:paraId="5223A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8" w:type="dxa"/>
            <w:vMerge w:val="continue"/>
            <w:tcBorders>
              <w:tl2br w:val="nil"/>
              <w:tr2bl w:val="nil"/>
            </w:tcBorders>
            <w:vAlign w:val="center"/>
          </w:tcPr>
          <w:p w14:paraId="0D159DB7">
            <w:pPr>
              <w:pStyle w:val="447"/>
              <w:keepNext w:val="0"/>
              <w:keepLines w:val="0"/>
              <w:suppressLineNumbers w:val="0"/>
              <w:bidi w:val="0"/>
              <w:spacing w:before="0" w:beforeAutospacing="0" w:after="0" w:afterAutospacing="0"/>
              <w:ind w:right="0"/>
              <w:jc w:val="center"/>
              <w:rPr>
                <w:rFonts w:hint="default" w:ascii="Times New Roman" w:hAnsi="Times New Roman" w:cs="Times New Roman"/>
                <w:color w:val="auto"/>
                <w:highlight w:val="none"/>
                <w:lang w:val="en-US" w:eastAsia="zh-CN"/>
              </w:rPr>
            </w:pPr>
          </w:p>
        </w:tc>
        <w:tc>
          <w:tcPr>
            <w:tcW w:w="4072" w:type="dxa"/>
            <w:tcBorders>
              <w:tl2br w:val="nil"/>
              <w:tr2bl w:val="nil"/>
            </w:tcBorders>
            <w:vAlign w:val="center"/>
          </w:tcPr>
          <w:p w14:paraId="5B732AE1">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深度处理：反硝化滤池、化学沉淀、过滤、高级氧化、曝气生物滤池、生物接触氧化、膜分离、离子交换</w:t>
            </w:r>
          </w:p>
        </w:tc>
        <w:tc>
          <w:tcPr>
            <w:tcW w:w="2288" w:type="dxa"/>
            <w:tcBorders>
              <w:tl2br w:val="nil"/>
              <w:tr2bl w:val="nil"/>
            </w:tcBorders>
            <w:vAlign w:val="center"/>
          </w:tcPr>
          <w:p w14:paraId="52193EB8">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絮凝沉淀+精密过滤</w:t>
            </w:r>
          </w:p>
        </w:tc>
        <w:tc>
          <w:tcPr>
            <w:tcW w:w="1086" w:type="dxa"/>
            <w:tcBorders>
              <w:tl2br w:val="nil"/>
              <w:tr2bl w:val="nil"/>
            </w:tcBorders>
            <w:vAlign w:val="center"/>
          </w:tcPr>
          <w:p w14:paraId="2A4EE589">
            <w:pPr>
              <w:pStyle w:val="447"/>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是</w:t>
            </w:r>
          </w:p>
        </w:tc>
      </w:tr>
      <w:tr w14:paraId="0A58D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4"/>
            <w:tcBorders>
              <w:tl2br w:val="nil"/>
              <w:tr2bl w:val="nil"/>
            </w:tcBorders>
            <w:vAlign w:val="center"/>
          </w:tcPr>
          <w:p w14:paraId="6CE3436D">
            <w:pPr>
              <w:pStyle w:val="447"/>
              <w:keepNext w:val="0"/>
              <w:keepLines w:val="0"/>
              <w:suppressLineNumbers w:val="0"/>
              <w:bidi w:val="0"/>
              <w:spacing w:before="0" w:beforeAutospacing="0" w:after="0" w:afterAutospacing="0"/>
              <w:ind w:left="0" w:leftChars="0" w:right="0" w:firstLine="0" w:firstLineChars="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vertAlign w:val="superscript"/>
                <w:lang w:val="en-US" w:eastAsia="zh-CN"/>
              </w:rPr>
              <w:t>a</w:t>
            </w:r>
            <w:r>
              <w:rPr>
                <w:rFonts w:hint="default" w:ascii="Times New Roman" w:hAnsi="Times New Roman" w:cs="Times New Roman"/>
                <w:color w:val="auto"/>
                <w:highlight w:val="none"/>
                <w:lang w:val="en-US" w:eastAsia="zh-CN"/>
              </w:rPr>
              <w:t>工业废水间接排放时可以只有预处理段</w:t>
            </w:r>
          </w:p>
        </w:tc>
      </w:tr>
    </w:tbl>
    <w:p w14:paraId="35FC2179">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7.2.2.2 水污染防治</w:t>
      </w:r>
      <w:r>
        <w:rPr>
          <w:rFonts w:hint="default" w:ascii="Times New Roman" w:hAnsi="Times New Roman" w:cs="Times New Roman"/>
          <w:color w:val="auto"/>
          <w:highlight w:val="none"/>
          <w:u w:val="none" w:color="auto"/>
        </w:rPr>
        <w:t>措施</w:t>
      </w:r>
    </w:p>
    <w:p w14:paraId="665F3F55">
      <w:pPr>
        <w:pStyle w:val="189"/>
        <w:ind w:left="0" w:leftChars="0" w:firstLine="420" w:firstLineChars="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1</w:t>
      </w:r>
      <w:r>
        <w:rPr>
          <w:rFonts w:hint="default" w:ascii="Times New Roman" w:hAnsi="Times New Roman" w:cs="Times New Roman"/>
          <w:color w:val="auto"/>
          <w:highlight w:val="none"/>
          <w:u w:val="none" w:color="auto"/>
          <w:lang w:eastAsia="zh-CN"/>
        </w:rPr>
        <w:t>）安装在线检测仪及自动控制系统。建立污水厂进水水质在线监控系统，并与污水厂中控室相连，监测因子包括水量、COD、氨氮等指标。建立污水处理厂中控系统和在线自动监测系统，建立排放口COD、BOD、氨氮、总磷等主要污染物在线监测，与主管部门监控中心联网，一旦发现水质数据异常，及时调整和修正处理参数。</w:t>
      </w:r>
    </w:p>
    <w:p w14:paraId="1D9F1C3A">
      <w:pPr>
        <w:pStyle w:val="189"/>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lang w:eastAsia="zh-CN"/>
        </w:rPr>
        <w:t>）建立联动机制。污水厂与服务范围内企业建立联动机制，当污水厂进水或尾水超标时，立即启动应急预案，相关企业应通过将处理废水转入企业事故池或停产等方式，确保各企业废水不排至污水厂，待污水厂应急响应解除后，再恢复正常生产。</w:t>
      </w:r>
    </w:p>
    <w:p w14:paraId="263A5D64">
      <w:pPr>
        <w:pStyle w:val="189"/>
        <w:ind w:left="0" w:leftChars="0" w:firstLine="420" w:firstLineChars="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lang w:eastAsia="zh-CN"/>
        </w:rPr>
        <w:t>）事故情况下，力争保证</w:t>
      </w:r>
      <w:r>
        <w:rPr>
          <w:rFonts w:hint="default" w:ascii="Times New Roman" w:hAnsi="Times New Roman" w:cs="Times New Roman"/>
          <w:color w:val="auto"/>
          <w:highlight w:val="none"/>
          <w:u w:val="none" w:color="auto"/>
          <w:lang w:val="en-US" w:eastAsia="zh-CN"/>
        </w:rPr>
        <w:t>一体化泵站</w:t>
      </w:r>
      <w:r>
        <w:rPr>
          <w:rFonts w:hint="default" w:ascii="Times New Roman" w:hAnsi="Times New Roman" w:cs="Times New Roman"/>
          <w:color w:val="auto"/>
          <w:highlight w:val="none"/>
          <w:u w:val="none" w:color="auto"/>
          <w:lang w:eastAsia="zh-CN"/>
        </w:rPr>
        <w:t>正常运行，使进水中的SS和COD得到一定的削减；如一旦出现不可抗拒的外部原因，如突发性停电、自然灾害等情况将导致污水未能有效处理时，应启动应急预案，启用事故应急池，必要时要求前端企业停产，停止尾水排放，以确保水体功能安全。</w:t>
      </w:r>
    </w:p>
    <w:p w14:paraId="3804FD8C">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7.2.2.3 </w:t>
      </w:r>
      <w:r>
        <w:rPr>
          <w:rFonts w:hint="default" w:ascii="Times New Roman" w:hAnsi="Times New Roman" w:cs="Times New Roman"/>
          <w:color w:val="auto"/>
          <w:highlight w:val="none"/>
          <w:u w:val="none" w:color="auto"/>
        </w:rPr>
        <w:t xml:space="preserve">接管水质的管理措施 </w:t>
      </w:r>
    </w:p>
    <w:p w14:paraId="136F6E9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lang w:val="en-US" w:eastAsia="zh-CN"/>
        </w:rPr>
        <w:t>园区</w:t>
      </w:r>
      <w:r>
        <w:rPr>
          <w:rFonts w:hint="default" w:ascii="Times New Roman" w:hAnsi="Times New Roman" w:cs="Times New Roman"/>
          <w:color w:val="auto"/>
          <w:highlight w:val="none"/>
          <w:u w:val="none" w:color="auto"/>
        </w:rPr>
        <w:t>需严格执行区域项目环境准入条件，服务范围内的现有及新建工业污染源产生的污水需达到污水厂接管标准，</w:t>
      </w:r>
      <w:r>
        <w:rPr>
          <w:rFonts w:hint="default" w:ascii="Times New Roman" w:hAnsi="Times New Roman" w:cs="Times New Roman"/>
          <w:color w:val="auto"/>
          <w:highlight w:val="none"/>
          <w:u w:val="none" w:color="auto"/>
          <w:lang w:val="en-US" w:eastAsia="zh-CN"/>
        </w:rPr>
        <w:t>对于废水不能满足污水处理厂进水水质的，严格要求企业设置前端污水处理设施，此外应严格限制高盐废水及对生化阶段产生毒害作用的废水排入本工程，</w:t>
      </w:r>
      <w:r>
        <w:rPr>
          <w:rFonts w:hint="default" w:ascii="Times New Roman" w:hAnsi="Times New Roman" w:cs="Times New Roman"/>
          <w:color w:val="auto"/>
          <w:highlight w:val="none"/>
          <w:u w:val="none" w:color="auto"/>
        </w:rPr>
        <w:t xml:space="preserve">以避免对污水处理厂运行有破坏性影响。为减轻污水处理工程的负荷，服务范围内企业应加强内部环境管理。通过清洁生产、车间预处理等手段减少污染物的排放，杜绝事故发生。严格限制特异因子废水进入污水管网，待接管的企业必须达到接管标准后排放污水管网。 </w:t>
      </w:r>
    </w:p>
    <w:p w14:paraId="13B7441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（2）污水处理厂对接管的污水定期进行抽查，防止超接管标准排放。</w:t>
      </w:r>
    </w:p>
    <w:p w14:paraId="02C9D175">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7.2.2.4 </w:t>
      </w:r>
      <w:r>
        <w:rPr>
          <w:rFonts w:hint="default" w:ascii="Times New Roman" w:hAnsi="Times New Roman" w:cs="Times New Roman"/>
          <w:color w:val="auto"/>
          <w:highlight w:val="none"/>
          <w:u w:val="none" w:color="auto"/>
        </w:rPr>
        <w:t xml:space="preserve">厂内运行管理 </w:t>
      </w:r>
    </w:p>
    <w:p w14:paraId="03D6AC5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在保证出水水质的条件下，为使污水处理厂高效运转，减少运行费用，提高能源利用率，应加强对污水处理厂内部的运行管理。 </w:t>
      </w:r>
    </w:p>
    <w:p w14:paraId="5E0EE34F">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（1）专业培训 </w:t>
      </w:r>
    </w:p>
    <w:p w14:paraId="1FFBD4E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污水处理厂投入运行之前，对操作人员的专业化培训和考核是必要的一环，也应作为污水处理厂运行准备工作的必要条件，特别是对主要操作人员进行理论和实际操作的培训。 </w:t>
      </w:r>
    </w:p>
    <w:p w14:paraId="19E2300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（2）加强常规化验分析 </w:t>
      </w:r>
    </w:p>
    <w:p w14:paraId="0876CFA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常规化验分析是污水厂的重要组成部分之一。污水处理厂的操作人员，必须根据水质变化情况，及时改变运行状况，实现最佳运行条件，减少运转费用，做到达标排放。 </w:t>
      </w:r>
    </w:p>
    <w:p w14:paraId="1ECBB2E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（3）建立较先进的自动控制系统 </w:t>
      </w:r>
    </w:p>
    <w:p w14:paraId="06ED61E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先进的自动控制系统既是实现污水厂现代化管理的重要标志，也是提高操作水平，及时发现事故隐患的重要手段。同时应加强自动化仪器仪表的维护管理。 </w:t>
      </w:r>
    </w:p>
    <w:p w14:paraId="69D705DA">
      <w:pPr>
        <w:pStyle w:val="189"/>
        <w:numPr>
          <w:ilvl w:val="0"/>
          <w:numId w:val="21"/>
        </w:numPr>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建立一个完整的管理机构和制订一套完善的管理措施。污水处理厂应建立一套以厂长责任制为主要内容的责权利清晰的管理体系。</w:t>
      </w:r>
    </w:p>
    <w:p w14:paraId="2C730381">
      <w:pPr>
        <w:pStyle w:val="381"/>
        <w:numPr>
          <w:ilvl w:val="3"/>
          <w:numId w:val="0"/>
        </w:numPr>
        <w:ind w:left="480" w:leftChars="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7.2.2.</w:t>
      </w:r>
      <w:r>
        <w:rPr>
          <w:rFonts w:hint="default" w:ascii="Times New Roman" w:hAnsi="Times New Roman" w:cs="Times New Roman"/>
          <w:color w:val="auto"/>
          <w:highlight w:val="none"/>
          <w:u w:val="none" w:color="auto"/>
          <w:lang w:val="en-US" w:eastAsia="zh-CN"/>
        </w:rPr>
        <w:t>5</w:t>
      </w:r>
      <w:r>
        <w:rPr>
          <w:rFonts w:hint="default" w:ascii="Times New Roman" w:hAnsi="Times New Roman" w:eastAsia="宋体" w:cs="Times New Roman"/>
          <w:color w:val="auto"/>
          <w:highlight w:val="none"/>
          <w:u w:val="none" w:color="auto"/>
          <w:lang w:val="en-US" w:eastAsia="zh-CN"/>
        </w:rPr>
        <w:t xml:space="preserve"> 企业入园建议</w:t>
      </w:r>
    </w:p>
    <w:p w14:paraId="18892E76">
      <w:pPr>
        <w:pStyle w:val="189"/>
        <w:numPr>
          <w:ilvl w:val="0"/>
          <w:numId w:val="0"/>
        </w:numPr>
        <w:ind w:firstLine="420" w:firstLineChars="0"/>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建议管委会在招商引资过程中注意对拟招商企业进行一定的把控，产生高含盐废水的企业需慎重考虑，确保污水处理厂的正常运行。建设单位在与企业签订接管协议时需明确污水处理工程进水水质标准，明确因企业原因造成超标排放时企业需承担相关法律责任的内容，此外，企业纳管废水中需自行处理达到本工程进水水质要求，生产企业废水超过进水水质标准时应设置预处理工序。</w:t>
      </w:r>
    </w:p>
    <w:p w14:paraId="10DB023E">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7.2.2.6 </w:t>
      </w:r>
      <w:r>
        <w:rPr>
          <w:rFonts w:hint="default" w:ascii="Times New Roman" w:hAnsi="Times New Roman" w:cs="Times New Roman"/>
          <w:color w:val="auto"/>
          <w:highlight w:val="none"/>
          <w:u w:val="none" w:color="auto"/>
        </w:rPr>
        <w:t>尾水排放</w:t>
      </w:r>
    </w:p>
    <w:p w14:paraId="065C275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本项目处理后的尾水达到《城镇污水处理厂污染物排放标准》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cs="Times New Roman"/>
          <w:color w:val="auto"/>
          <w:highlight w:val="none"/>
          <w:u w:val="none" w:color="auto"/>
        </w:rPr>
        <w:t>一级A标准后</w:t>
      </w:r>
      <w:r>
        <w:rPr>
          <w:rFonts w:hint="default" w:ascii="Times New Roman" w:hAnsi="Times New Roman" w:cs="Times New Roman"/>
          <w:color w:val="auto"/>
          <w:highlight w:val="none"/>
          <w:u w:val="none" w:color="auto"/>
          <w:lang w:eastAsia="zh-CN"/>
        </w:rPr>
        <w:t>经</w:t>
      </w:r>
      <w:r>
        <w:rPr>
          <w:rFonts w:hint="default" w:ascii="Times New Roman" w:hAnsi="Times New Roman" w:cs="Times New Roman"/>
          <w:color w:val="auto"/>
          <w:highlight w:val="none"/>
          <w:u w:val="none" w:color="auto"/>
          <w:lang w:val="en-US" w:eastAsia="zh-CN"/>
        </w:rPr>
        <w:t>机排二十渠</w:t>
      </w:r>
      <w:r>
        <w:rPr>
          <w:rFonts w:hint="default" w:ascii="Times New Roman" w:hAnsi="Times New Roman" w:cs="Times New Roman"/>
          <w:color w:val="auto"/>
          <w:highlight w:val="none"/>
          <w:u w:val="none" w:color="auto"/>
          <w:lang w:eastAsia="zh-CN"/>
        </w:rPr>
        <w:t>渠</w:t>
      </w:r>
      <w:r>
        <w:rPr>
          <w:rFonts w:hint="default" w:ascii="Times New Roman" w:hAnsi="Times New Roman" w:cs="Times New Roman"/>
          <w:color w:val="auto"/>
          <w:highlight w:val="none"/>
          <w:u w:val="none" w:color="auto"/>
        </w:rPr>
        <w:t>排入</w:t>
      </w:r>
      <w:r>
        <w:rPr>
          <w:rFonts w:hint="default" w:ascii="Times New Roman" w:hAnsi="Times New Roman" w:cs="Times New Roman"/>
          <w:color w:val="auto"/>
          <w:highlight w:val="none"/>
          <w:u w:val="none" w:color="auto"/>
          <w:lang w:val="en-US" w:eastAsia="zh-CN"/>
        </w:rPr>
        <w:t>老三运河</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最后进入漉湖。</w:t>
      </w:r>
    </w:p>
    <w:p w14:paraId="3EA43DD5">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7.2.3 </w:t>
      </w:r>
      <w:r>
        <w:rPr>
          <w:rFonts w:hint="default" w:ascii="Times New Roman" w:hAnsi="Times New Roman" w:cs="Times New Roman"/>
          <w:color w:val="auto"/>
          <w:highlight w:val="none"/>
          <w:u w:val="none" w:color="auto"/>
        </w:rPr>
        <w:t xml:space="preserve">运营期地下水、土壤污染防治措施评述 </w:t>
      </w:r>
    </w:p>
    <w:p w14:paraId="0D06F25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针对厂区生产过程中废水、废液输送和处理过程，采取合理有效的工程措施可防止污染物对地下水的污染。本项目可能对下水造成污染的途径主要有污水处理池和污水管道等污水下渗对地下水造成的污染。 </w:t>
      </w:r>
    </w:p>
    <w:p w14:paraId="63D7879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正常情况下，地下水的污染主要是由于污染物迁移穿过包气带进入含水层造成。若废水发生渗漏，首先污染所在土壤，同时污染物会较快穿过包气带进入浅层地下水，对浅层地下水造成污染。由于地下水一旦受污染其发现和治理难度都非常难，为了更好的保护地下水资源，将项目对地下水的影响降至最低限度，建议采取以下的污染防治措施。</w:t>
      </w:r>
    </w:p>
    <w:p w14:paraId="6BF8B2C1">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7.2.3.1 </w:t>
      </w:r>
      <w:r>
        <w:rPr>
          <w:rFonts w:hint="default" w:ascii="Times New Roman" w:hAnsi="Times New Roman" w:cs="Times New Roman"/>
          <w:color w:val="auto"/>
          <w:highlight w:val="none"/>
          <w:u w:val="none" w:color="auto"/>
        </w:rPr>
        <w:t xml:space="preserve">源头控制 </w:t>
      </w:r>
    </w:p>
    <w:p w14:paraId="5E803BEC">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项目所有输水、排水管道等必须采取防渗措施，杜绝各类废水下渗的通道。另外，应严格废水的管理，强调节约用水，防止污水“跑、冒、滴、漏”，确保污水处理系统的正常运行。污水的转移运输管线敷设尽量采用“可视化”原则，即管道尽可能地上敷设，做到污染物“早发现、早处理”，以减少由于埋地管道泄漏而可能造成地下水污染。并且接口处要定期检查以免漏水。污水处理的车间也要进行定期检查，不能在污水处理的过程中有太多的污水泄漏。</w:t>
      </w:r>
      <w:r>
        <w:rPr>
          <w:rFonts w:hint="default" w:ascii="Times New Roman" w:hAnsi="Times New Roman" w:cs="Times New Roman"/>
          <w:color w:val="FF0000"/>
          <w:highlight w:val="none"/>
          <w:u w:val="none" w:color="auto"/>
        </w:rPr>
        <w:t xml:space="preserve"> </w:t>
      </w:r>
    </w:p>
    <w:p w14:paraId="5081168C">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7.2.3.2 </w:t>
      </w:r>
      <w:r>
        <w:rPr>
          <w:rFonts w:hint="default" w:ascii="Times New Roman" w:hAnsi="Times New Roman" w:cs="Times New Roman"/>
          <w:color w:val="auto"/>
          <w:highlight w:val="none"/>
          <w:u w:val="none" w:color="auto"/>
        </w:rPr>
        <w:t xml:space="preserve">分区防控 </w:t>
      </w:r>
    </w:p>
    <w:p w14:paraId="56938C83">
      <w:pPr>
        <w:pStyle w:val="398"/>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（1）防渗分区划分 </w:t>
      </w:r>
    </w:p>
    <w:p w14:paraId="1657D68D">
      <w:pPr>
        <w:pStyle w:val="189"/>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本项目可能对下水造成污染的途径主要有污水处理池和污水管道等污水下渗对地下水造成的污染，应严格按照《给水排水构筑物工程施工及验收规范》（GB50141-2008）、《 给水排水管道工程施工及验收规范》（GB50268-2008）等相关行业标准规范进行防渗措施。根据场地内天然包气带防污性能、污染控制难易程度和污染物特性，本项目重点防渗区为危废暂存间、格栅、调节池、水解酸化及AAO组合池、生化池、絮凝沉淀池、精密滤池、污泥脱水及加氯间、加药间、贮泥池、事故应急池，一般污染防治区包括</w:t>
      </w:r>
      <w:r>
        <w:rPr>
          <w:rFonts w:hint="eastAsia" w:cs="Times New Roman"/>
          <w:color w:val="auto"/>
          <w:highlight w:val="none"/>
          <w:u w:val="none" w:color="auto"/>
          <w:lang w:val="en-US" w:eastAsia="zh-CN"/>
        </w:rPr>
        <w:t>在线监测房</w:t>
      </w:r>
      <w:r>
        <w:rPr>
          <w:rFonts w:hint="default" w:ascii="Times New Roman" w:hAnsi="Times New Roman" w:cs="Times New Roman"/>
          <w:color w:val="auto"/>
          <w:highlight w:val="none"/>
          <w:u w:val="none" w:color="auto"/>
        </w:rPr>
        <w:t>、排放渠，综合</w:t>
      </w:r>
      <w:r>
        <w:rPr>
          <w:rFonts w:hint="eastAsia" w:cs="Times New Roman"/>
          <w:color w:val="auto"/>
          <w:highlight w:val="none"/>
          <w:u w:val="none" w:color="auto"/>
          <w:lang w:val="en-US" w:eastAsia="zh-CN"/>
        </w:rPr>
        <w:t>用</w:t>
      </w:r>
      <w:r>
        <w:rPr>
          <w:rFonts w:hint="default" w:ascii="Times New Roman" w:hAnsi="Times New Roman" w:cs="Times New Roman"/>
          <w:color w:val="auto"/>
          <w:highlight w:val="none"/>
          <w:u w:val="none" w:color="auto"/>
        </w:rPr>
        <w:t>房</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变配电间及鼓风机房及其他区域</w:t>
      </w:r>
      <w:r>
        <w:rPr>
          <w:rFonts w:hint="default" w:ascii="Times New Roman" w:hAnsi="Times New Roman" w:cs="Times New Roman"/>
          <w:color w:val="auto"/>
          <w:highlight w:val="none"/>
          <w:u w:val="none" w:color="auto"/>
        </w:rPr>
        <w:t>为简单防渗区。</w:t>
      </w:r>
    </w:p>
    <w:p w14:paraId="3214213A">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7</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 xml:space="preserve">  本项目污染区划分及防渗等级一览表</w:t>
      </w:r>
    </w:p>
    <w:tbl>
      <w:tblPr>
        <w:tblStyle w:val="76"/>
        <w:tblW w:w="504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85"/>
        <w:gridCol w:w="1222"/>
        <w:gridCol w:w="1068"/>
        <w:gridCol w:w="3666"/>
        <w:gridCol w:w="2247"/>
      </w:tblGrid>
      <w:tr w14:paraId="69F6A5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82" w:type="dxa"/>
            <w:tcBorders>
              <w:tl2br w:val="nil"/>
              <w:tr2bl w:val="nil"/>
            </w:tcBorders>
            <w:vAlign w:val="center"/>
          </w:tcPr>
          <w:p w14:paraId="39F70086">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 xml:space="preserve">防渗分区 </w:t>
            </w:r>
          </w:p>
        </w:tc>
        <w:tc>
          <w:tcPr>
            <w:tcW w:w="1218" w:type="dxa"/>
            <w:tcBorders>
              <w:tl2br w:val="nil"/>
              <w:tr2bl w:val="nil"/>
            </w:tcBorders>
            <w:vAlign w:val="center"/>
          </w:tcPr>
          <w:p w14:paraId="716BDFDD">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天然包气带防污性能</w:t>
            </w:r>
          </w:p>
        </w:tc>
        <w:tc>
          <w:tcPr>
            <w:tcW w:w="1065" w:type="dxa"/>
            <w:tcBorders>
              <w:tl2br w:val="nil"/>
              <w:tr2bl w:val="nil"/>
            </w:tcBorders>
            <w:vAlign w:val="center"/>
          </w:tcPr>
          <w:p w14:paraId="5B580ED4">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污染控制 难易程度</w:t>
            </w:r>
          </w:p>
        </w:tc>
        <w:tc>
          <w:tcPr>
            <w:tcW w:w="3654" w:type="dxa"/>
            <w:tcBorders>
              <w:tl2br w:val="nil"/>
              <w:tr2bl w:val="nil"/>
            </w:tcBorders>
            <w:vAlign w:val="center"/>
          </w:tcPr>
          <w:p w14:paraId="097DB18D">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 xml:space="preserve">分区 </w:t>
            </w:r>
          </w:p>
        </w:tc>
        <w:tc>
          <w:tcPr>
            <w:tcW w:w="2240" w:type="dxa"/>
            <w:tcBorders>
              <w:tl2br w:val="nil"/>
              <w:tr2bl w:val="nil"/>
            </w:tcBorders>
            <w:vAlign w:val="center"/>
          </w:tcPr>
          <w:p w14:paraId="63B90381">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防渗技术要求</w:t>
            </w:r>
          </w:p>
        </w:tc>
      </w:tr>
      <w:tr w14:paraId="2EA8A1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82" w:type="dxa"/>
            <w:tcBorders>
              <w:tl2br w:val="nil"/>
              <w:tr2bl w:val="nil"/>
            </w:tcBorders>
            <w:vAlign w:val="center"/>
          </w:tcPr>
          <w:p w14:paraId="7D8AEDE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重点防渗区 </w:t>
            </w:r>
          </w:p>
        </w:tc>
        <w:tc>
          <w:tcPr>
            <w:tcW w:w="1218" w:type="dxa"/>
            <w:tcBorders>
              <w:tl2br w:val="nil"/>
              <w:tr2bl w:val="nil"/>
            </w:tcBorders>
            <w:vAlign w:val="center"/>
          </w:tcPr>
          <w:p w14:paraId="6C26EBC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中-强 </w:t>
            </w:r>
          </w:p>
        </w:tc>
        <w:tc>
          <w:tcPr>
            <w:tcW w:w="1065" w:type="dxa"/>
            <w:tcBorders>
              <w:tl2br w:val="nil"/>
              <w:tr2bl w:val="nil"/>
            </w:tcBorders>
            <w:vAlign w:val="center"/>
          </w:tcPr>
          <w:p w14:paraId="3C7C307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难</w:t>
            </w:r>
          </w:p>
        </w:tc>
        <w:tc>
          <w:tcPr>
            <w:tcW w:w="3654" w:type="dxa"/>
            <w:tcBorders>
              <w:tl2br w:val="nil"/>
              <w:tr2bl w:val="nil"/>
            </w:tcBorders>
            <w:vAlign w:val="center"/>
          </w:tcPr>
          <w:p w14:paraId="1DA8300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sz w:val="21"/>
                <w:szCs w:val="24"/>
                <w:highlight w:val="none"/>
                <w:u w:val="none" w:color="auto"/>
                <w:lang w:val="en-US" w:eastAsia="zh-CN"/>
              </w:rPr>
              <w:t>危废暂存间、</w:t>
            </w:r>
            <w:r>
              <w:rPr>
                <w:rFonts w:hint="default" w:ascii="Times New Roman" w:hAnsi="Times New Roman" w:eastAsia="宋体" w:cs="Times New Roman"/>
                <w:color w:val="auto"/>
                <w:sz w:val="21"/>
                <w:szCs w:val="24"/>
                <w:highlight w:val="none"/>
                <w:u w:val="none" w:color="auto"/>
              </w:rPr>
              <w:t>格栅、调节池、</w:t>
            </w:r>
            <w:r>
              <w:rPr>
                <w:rFonts w:hint="default" w:ascii="Times New Roman" w:hAnsi="Times New Roman" w:eastAsia="宋体" w:cs="Times New Roman"/>
                <w:color w:val="auto"/>
                <w:sz w:val="21"/>
                <w:szCs w:val="24"/>
                <w:highlight w:val="none"/>
                <w:u w:val="none" w:color="auto"/>
                <w:lang w:val="en-US" w:eastAsia="zh-CN"/>
              </w:rPr>
              <w:t>水解酸化及AAO组合池</w:t>
            </w:r>
            <w:r>
              <w:rPr>
                <w:rFonts w:hint="default" w:ascii="Times New Roman" w:hAnsi="Times New Roman" w:eastAsia="宋体" w:cs="Times New Roman"/>
                <w:color w:val="auto"/>
                <w:sz w:val="21"/>
                <w:szCs w:val="24"/>
                <w:highlight w:val="none"/>
                <w:u w:val="none" w:color="auto"/>
              </w:rPr>
              <w:t>、生化池、</w:t>
            </w:r>
            <w:r>
              <w:rPr>
                <w:rFonts w:hint="default" w:ascii="Times New Roman" w:hAnsi="Times New Roman" w:eastAsia="宋体" w:cs="Times New Roman"/>
                <w:color w:val="auto"/>
                <w:sz w:val="21"/>
                <w:szCs w:val="24"/>
                <w:highlight w:val="none"/>
                <w:u w:val="none" w:color="auto"/>
                <w:lang w:val="en-US" w:eastAsia="zh-CN"/>
              </w:rPr>
              <w:t>絮凝</w:t>
            </w:r>
            <w:r>
              <w:rPr>
                <w:rFonts w:hint="default" w:ascii="Times New Roman" w:hAnsi="Times New Roman" w:eastAsia="宋体" w:cs="Times New Roman"/>
                <w:color w:val="auto"/>
                <w:sz w:val="21"/>
                <w:szCs w:val="24"/>
                <w:highlight w:val="none"/>
                <w:u w:val="none" w:color="auto"/>
              </w:rPr>
              <w:t>沉淀池、</w:t>
            </w:r>
            <w:r>
              <w:rPr>
                <w:rFonts w:hint="default" w:ascii="Times New Roman" w:hAnsi="Times New Roman" w:eastAsia="宋体" w:cs="Times New Roman"/>
                <w:color w:val="auto"/>
                <w:sz w:val="21"/>
                <w:szCs w:val="24"/>
                <w:highlight w:val="none"/>
                <w:u w:val="none" w:color="auto"/>
                <w:lang w:val="en-US" w:eastAsia="zh-CN"/>
              </w:rPr>
              <w:t>精密滤池、污泥脱水及加氯间、加药间、贮泥</w:t>
            </w:r>
            <w:r>
              <w:rPr>
                <w:rFonts w:hint="default" w:ascii="Times New Roman" w:hAnsi="Times New Roman" w:eastAsia="宋体" w:cs="Times New Roman"/>
                <w:color w:val="auto"/>
                <w:sz w:val="21"/>
                <w:szCs w:val="24"/>
                <w:highlight w:val="none"/>
                <w:u w:val="none" w:color="auto"/>
              </w:rPr>
              <w:t>池、事故应急池</w:t>
            </w:r>
          </w:p>
        </w:tc>
        <w:tc>
          <w:tcPr>
            <w:tcW w:w="2240" w:type="dxa"/>
            <w:tcBorders>
              <w:tl2br w:val="nil"/>
              <w:tr2bl w:val="nil"/>
            </w:tcBorders>
            <w:vAlign w:val="center"/>
          </w:tcPr>
          <w:p w14:paraId="7137BAF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等效黏土防渗层 Mb≥6.0，渗透系数 K≤1×10</w:t>
            </w:r>
            <w:r>
              <w:rPr>
                <w:rFonts w:hint="default" w:ascii="Times New Roman" w:hAnsi="Times New Roman" w:cs="Times New Roman"/>
                <w:color w:val="auto"/>
                <w:highlight w:val="none"/>
                <w:u w:val="none" w:color="auto"/>
                <w:vertAlign w:val="superscript"/>
              </w:rPr>
              <w:t>-7</w:t>
            </w:r>
            <w:r>
              <w:rPr>
                <w:rFonts w:hint="default" w:ascii="Times New Roman" w:hAnsi="Times New Roman" w:cs="Times New Roman"/>
                <w:color w:val="auto"/>
                <w:highlight w:val="none"/>
                <w:u w:val="none" w:color="auto"/>
              </w:rPr>
              <w:t xml:space="preserve"> cm/s </w:t>
            </w:r>
          </w:p>
        </w:tc>
      </w:tr>
      <w:tr w14:paraId="3A871C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82" w:type="dxa"/>
            <w:tcBorders>
              <w:tl2br w:val="nil"/>
              <w:tr2bl w:val="nil"/>
            </w:tcBorders>
            <w:vAlign w:val="center"/>
          </w:tcPr>
          <w:p w14:paraId="3B40ED8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一般防渗区</w:t>
            </w:r>
          </w:p>
        </w:tc>
        <w:tc>
          <w:tcPr>
            <w:tcW w:w="1218" w:type="dxa"/>
            <w:tcBorders>
              <w:tl2br w:val="nil"/>
              <w:tr2bl w:val="nil"/>
            </w:tcBorders>
            <w:vAlign w:val="center"/>
          </w:tcPr>
          <w:p w14:paraId="2D1E24F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中-强 </w:t>
            </w:r>
          </w:p>
        </w:tc>
        <w:tc>
          <w:tcPr>
            <w:tcW w:w="1065" w:type="dxa"/>
            <w:tcBorders>
              <w:tl2br w:val="nil"/>
              <w:tr2bl w:val="nil"/>
            </w:tcBorders>
            <w:vAlign w:val="center"/>
          </w:tcPr>
          <w:p w14:paraId="437C796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难</w:t>
            </w:r>
          </w:p>
        </w:tc>
        <w:tc>
          <w:tcPr>
            <w:tcW w:w="3654" w:type="dxa"/>
            <w:tcBorders>
              <w:tl2br w:val="nil"/>
              <w:tr2bl w:val="nil"/>
            </w:tcBorders>
            <w:vAlign w:val="center"/>
          </w:tcPr>
          <w:p w14:paraId="5F794AD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在线监测房、</w:t>
            </w:r>
            <w:r>
              <w:rPr>
                <w:rFonts w:hint="eastAsia" w:cs="Times New Roman"/>
                <w:color w:val="auto"/>
                <w:highlight w:val="none"/>
                <w:u w:val="none" w:color="auto"/>
                <w:lang w:val="en-US" w:eastAsia="zh-CN"/>
              </w:rPr>
              <w:t>计量</w:t>
            </w:r>
            <w:r>
              <w:rPr>
                <w:rFonts w:hint="default" w:ascii="Times New Roman" w:hAnsi="Times New Roman" w:cs="Times New Roman"/>
                <w:color w:val="auto"/>
                <w:highlight w:val="none"/>
                <w:u w:val="none" w:color="auto"/>
                <w:lang w:eastAsia="zh-CN"/>
              </w:rPr>
              <w:t>渠</w:t>
            </w:r>
            <w:r>
              <w:rPr>
                <w:rFonts w:hint="default" w:ascii="Times New Roman" w:hAnsi="Times New Roman" w:cs="Times New Roman"/>
                <w:color w:val="auto"/>
                <w:highlight w:val="none"/>
                <w:u w:val="none" w:color="auto"/>
              </w:rPr>
              <w:t xml:space="preserve"> </w:t>
            </w:r>
          </w:p>
        </w:tc>
        <w:tc>
          <w:tcPr>
            <w:tcW w:w="2240" w:type="dxa"/>
            <w:tcBorders>
              <w:tl2br w:val="nil"/>
              <w:tr2bl w:val="nil"/>
            </w:tcBorders>
            <w:vAlign w:val="center"/>
          </w:tcPr>
          <w:p w14:paraId="581600D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等效黏土防渗层 Mb≥1.5，渗透系数 K≤1×10</w:t>
            </w:r>
            <w:r>
              <w:rPr>
                <w:rFonts w:hint="default" w:ascii="Times New Roman" w:hAnsi="Times New Roman" w:cs="Times New Roman"/>
                <w:color w:val="auto"/>
                <w:highlight w:val="none"/>
                <w:u w:val="none" w:color="auto"/>
                <w:vertAlign w:val="superscript"/>
              </w:rPr>
              <w:t>-7</w:t>
            </w:r>
            <w:r>
              <w:rPr>
                <w:rFonts w:hint="default" w:ascii="Times New Roman" w:hAnsi="Times New Roman" w:cs="Times New Roman"/>
                <w:color w:val="auto"/>
                <w:highlight w:val="none"/>
                <w:u w:val="none" w:color="auto"/>
              </w:rPr>
              <w:t xml:space="preserve"> cm/s </w:t>
            </w:r>
          </w:p>
        </w:tc>
      </w:tr>
      <w:tr w14:paraId="375005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82" w:type="dxa"/>
            <w:tcBorders>
              <w:tl2br w:val="nil"/>
              <w:tr2bl w:val="nil"/>
            </w:tcBorders>
            <w:vAlign w:val="center"/>
          </w:tcPr>
          <w:p w14:paraId="7AA60F19">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简单防渗区</w:t>
            </w:r>
          </w:p>
        </w:tc>
        <w:tc>
          <w:tcPr>
            <w:tcW w:w="1218" w:type="dxa"/>
            <w:tcBorders>
              <w:tl2br w:val="nil"/>
              <w:tr2bl w:val="nil"/>
            </w:tcBorders>
            <w:vAlign w:val="center"/>
          </w:tcPr>
          <w:p w14:paraId="37A6173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中-强 </w:t>
            </w:r>
          </w:p>
        </w:tc>
        <w:tc>
          <w:tcPr>
            <w:tcW w:w="1065" w:type="dxa"/>
            <w:tcBorders>
              <w:tl2br w:val="nil"/>
              <w:tr2bl w:val="nil"/>
            </w:tcBorders>
            <w:vAlign w:val="center"/>
          </w:tcPr>
          <w:p w14:paraId="6D2DB68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易</w:t>
            </w:r>
          </w:p>
        </w:tc>
        <w:tc>
          <w:tcPr>
            <w:tcW w:w="3654" w:type="dxa"/>
            <w:tcBorders>
              <w:tl2br w:val="nil"/>
              <w:tr2bl w:val="nil"/>
            </w:tcBorders>
            <w:vAlign w:val="center"/>
          </w:tcPr>
          <w:p w14:paraId="03A384C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eastAsia" w:ascii="Times New Roman" w:hAnsi="Times New Roman" w:cs="Times New Roman"/>
                <w:color w:val="auto"/>
                <w:highlight w:val="none"/>
                <w:u w:val="none" w:color="auto"/>
                <w:lang w:val="en-US" w:eastAsia="zh-CN"/>
              </w:rPr>
              <w:t>变配电间及鼓风机房、</w:t>
            </w:r>
            <w:r>
              <w:rPr>
                <w:rFonts w:hint="default" w:ascii="Times New Roman" w:hAnsi="Times New Roman" w:cs="Times New Roman"/>
                <w:color w:val="auto"/>
                <w:highlight w:val="none"/>
                <w:u w:val="none" w:color="auto"/>
              </w:rPr>
              <w:t>其他区域</w:t>
            </w:r>
          </w:p>
        </w:tc>
        <w:tc>
          <w:tcPr>
            <w:tcW w:w="2240" w:type="dxa"/>
            <w:tcBorders>
              <w:tl2br w:val="nil"/>
              <w:tr2bl w:val="nil"/>
            </w:tcBorders>
            <w:vAlign w:val="center"/>
          </w:tcPr>
          <w:p w14:paraId="513770A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一般地面硬化</w:t>
            </w:r>
          </w:p>
        </w:tc>
      </w:tr>
    </w:tbl>
    <w:p w14:paraId="6C7EC1F0">
      <w:pPr>
        <w:pStyle w:val="398"/>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（2）分区防控措施 </w:t>
      </w:r>
    </w:p>
    <w:p w14:paraId="01A1ED1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厂的主要构筑物为储水构筑物，对结构防水性能有较高的要求，所以储水构筑物均采用钢筋混凝土结构，在储水构筑物中，还需加一定比例的防水剂，用于混凝土的收缩变形，以避免混凝土在温度、干缩、徐变等作用下引起的开裂。针对不同的防渗、防腐区域采用下列不同的措施，在具体设计中应根据实际情况在满足标准的前提下做必要的调整。</w:t>
      </w:r>
    </w:p>
    <w:p w14:paraId="4D11BF04">
      <w:pPr>
        <w:pStyle w:val="189"/>
        <w:numPr>
          <w:ilvl w:val="0"/>
          <w:numId w:val="22"/>
        </w:numPr>
        <w:ind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重点防渗区 </w:t>
      </w:r>
    </w:p>
    <w:p w14:paraId="4FE3341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包括</w:t>
      </w:r>
      <w:r>
        <w:rPr>
          <w:rFonts w:hint="default" w:ascii="Times New Roman" w:hAnsi="Times New Roman" w:cs="Times New Roman"/>
          <w:color w:val="auto"/>
          <w:highlight w:val="none"/>
          <w:u w:val="none" w:color="auto"/>
          <w:lang w:val="en-US" w:eastAsia="zh-CN"/>
        </w:rPr>
        <w:t>危废暂存间、</w:t>
      </w:r>
      <w:r>
        <w:rPr>
          <w:rFonts w:hint="default" w:ascii="Times New Roman" w:hAnsi="Times New Roman" w:cs="Times New Roman"/>
          <w:color w:val="auto"/>
          <w:highlight w:val="none"/>
          <w:u w:val="none" w:color="auto"/>
        </w:rPr>
        <w:t>格栅、调节池、</w:t>
      </w:r>
      <w:r>
        <w:rPr>
          <w:rFonts w:hint="default" w:ascii="Times New Roman" w:hAnsi="Times New Roman" w:cs="Times New Roman"/>
          <w:color w:val="auto"/>
          <w:highlight w:val="none"/>
          <w:u w:val="none" w:color="auto"/>
          <w:lang w:val="en-US" w:eastAsia="zh-CN"/>
        </w:rPr>
        <w:t>水解酸化及AAO组合池</w:t>
      </w:r>
      <w:r>
        <w:rPr>
          <w:rFonts w:hint="default" w:ascii="Times New Roman" w:hAnsi="Times New Roman" w:cs="Times New Roman"/>
          <w:color w:val="auto"/>
          <w:highlight w:val="none"/>
          <w:u w:val="none" w:color="auto"/>
        </w:rPr>
        <w:t>、生化池、</w:t>
      </w:r>
      <w:r>
        <w:rPr>
          <w:rFonts w:hint="default" w:ascii="Times New Roman" w:hAnsi="Times New Roman" w:cs="Times New Roman"/>
          <w:color w:val="auto"/>
          <w:highlight w:val="none"/>
          <w:u w:val="none" w:color="auto"/>
          <w:lang w:val="en-US" w:eastAsia="zh-CN"/>
        </w:rPr>
        <w:t>絮凝</w:t>
      </w:r>
      <w:r>
        <w:rPr>
          <w:rFonts w:hint="default" w:ascii="Times New Roman" w:hAnsi="Times New Roman" w:cs="Times New Roman"/>
          <w:color w:val="auto"/>
          <w:highlight w:val="none"/>
          <w:u w:val="none" w:color="auto"/>
        </w:rPr>
        <w:t>沉淀池、</w:t>
      </w:r>
      <w:r>
        <w:rPr>
          <w:rFonts w:hint="default" w:ascii="Times New Roman" w:hAnsi="Times New Roman" w:cs="Times New Roman"/>
          <w:color w:val="auto"/>
          <w:highlight w:val="none"/>
          <w:u w:val="none" w:color="auto"/>
          <w:lang w:val="en-US" w:eastAsia="zh-CN"/>
        </w:rPr>
        <w:t>精密滤池、污泥脱水及加氯间、加药间、贮泥</w:t>
      </w:r>
      <w:r>
        <w:rPr>
          <w:rFonts w:hint="default" w:ascii="Times New Roman" w:hAnsi="Times New Roman" w:cs="Times New Roman"/>
          <w:color w:val="auto"/>
          <w:highlight w:val="none"/>
          <w:u w:val="none" w:color="auto"/>
        </w:rPr>
        <w:t xml:space="preserve">池、事故应急池等。 </w:t>
      </w:r>
    </w:p>
    <w:p w14:paraId="1612C23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a.建议污水处理池设计采用抗渗钢筋混凝土结构，混凝土强度等级不宜小于 C30，抗渗等级不应小于P10，厚度不应小于250mm，最大裂缝宽度不应大于0.20mm，并不得贯通。迎水面钢筋采用单层 HDPE 膜防渗，从迎水面向钢筋混凝土池依次为：50mm厚抗渗混凝土保护层+600g/m</w:t>
      </w:r>
      <w:r>
        <w:rPr>
          <w:rFonts w:hint="default" w:ascii="Times New Roman" w:hAnsi="Times New Roman" w:cs="Times New Roman"/>
          <w:color w:val="auto"/>
          <w:highlight w:val="none"/>
          <w:u w:val="none" w:color="auto"/>
          <w:vertAlign w:val="superscript"/>
        </w:rPr>
        <w:t>2</w:t>
      </w:r>
      <w:r>
        <w:rPr>
          <w:rFonts w:hint="default" w:ascii="Times New Roman" w:hAnsi="Times New Roman" w:cs="Times New Roman"/>
          <w:color w:val="auto"/>
          <w:highlight w:val="none"/>
          <w:u w:val="none" w:color="auto"/>
        </w:rPr>
        <w:t>非织造土工布+2.0mm厚HDPE膜+600g/m</w:t>
      </w:r>
      <w:r>
        <w:rPr>
          <w:rFonts w:hint="default" w:ascii="Times New Roman" w:hAnsi="Times New Roman" w:cs="Times New Roman"/>
          <w:color w:val="auto"/>
          <w:highlight w:val="none"/>
          <w:u w:val="none" w:color="auto"/>
          <w:vertAlign w:val="superscript"/>
        </w:rPr>
        <w:t>2</w:t>
      </w:r>
      <w:r>
        <w:rPr>
          <w:rFonts w:hint="default" w:ascii="Times New Roman" w:hAnsi="Times New Roman" w:cs="Times New Roman"/>
          <w:color w:val="auto"/>
          <w:highlight w:val="none"/>
          <w:u w:val="none" w:color="auto"/>
        </w:rPr>
        <w:t xml:space="preserve">非织造土工布+20mm厚抗渗混凝土保护层+钢筋混凝土池壁。在池四周回填土和涂刷防水涂料之前，应进行水压试验。 </w:t>
      </w:r>
    </w:p>
    <w:p w14:paraId="1A25278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b.建议污泥暂存场所地面防渗方案自上而下：首先地面必须先采用粘土铺底，再在上层铺10~15cm的防渗混凝土进行硬化，用环氧树脂漆作防渗处理，通过上述措施使重点污染区防渗层渗透系数≤10</w:t>
      </w:r>
      <w:r>
        <w:rPr>
          <w:rFonts w:hint="default" w:ascii="Times New Roman" w:hAnsi="Times New Roman" w:cs="Times New Roman"/>
          <w:color w:val="auto"/>
          <w:highlight w:val="none"/>
          <w:u w:val="none" w:color="auto"/>
          <w:vertAlign w:val="superscript"/>
        </w:rPr>
        <w:t>-8</w:t>
      </w:r>
      <w:r>
        <w:rPr>
          <w:rFonts w:hint="default" w:ascii="Times New Roman" w:hAnsi="Times New Roman" w:cs="Times New Roman"/>
          <w:color w:val="auto"/>
          <w:highlight w:val="none"/>
          <w:u w:val="none" w:color="auto"/>
        </w:rPr>
        <w:t xml:space="preserve">cm/s。 </w:t>
      </w:r>
    </w:p>
    <w:p w14:paraId="3FE1083E">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②</w:t>
      </w:r>
      <w:r>
        <w:rPr>
          <w:rFonts w:hint="default" w:ascii="Times New Roman" w:hAnsi="Times New Roman" w:cs="Times New Roman"/>
          <w:color w:val="auto"/>
          <w:highlight w:val="none"/>
          <w:u w:val="none" w:color="auto"/>
        </w:rPr>
        <w:t>一般防渗区</w:t>
      </w:r>
    </w:p>
    <w:p w14:paraId="3FBCD48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包括在线监测</w:t>
      </w:r>
      <w:r>
        <w:rPr>
          <w:rFonts w:hint="eastAsia" w:cs="Times New Roman"/>
          <w:color w:val="auto"/>
          <w:highlight w:val="none"/>
          <w:u w:val="none" w:color="auto"/>
          <w:lang w:val="en-US" w:eastAsia="zh-CN"/>
        </w:rPr>
        <w:t>用</w:t>
      </w:r>
      <w:r>
        <w:rPr>
          <w:rFonts w:hint="default" w:ascii="Times New Roman" w:hAnsi="Times New Roman" w:cs="Times New Roman"/>
          <w:color w:val="auto"/>
          <w:highlight w:val="none"/>
          <w:u w:val="none" w:color="auto"/>
        </w:rPr>
        <w:t>房</w:t>
      </w: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计量渠</w:t>
      </w:r>
      <w:r>
        <w:rPr>
          <w:rFonts w:hint="default" w:ascii="Times New Roman" w:hAnsi="Times New Roman" w:cs="Times New Roman"/>
          <w:color w:val="auto"/>
          <w:highlight w:val="none"/>
          <w:u w:val="none" w:color="auto"/>
        </w:rPr>
        <w:t>。建议地面防渗方案自上而下：聚氯乙烯薄膜； 50mm厚水泥地面随打随抹光；50mm厚C15砼垫层随打随抹光；50mm厚级配砂石垫层；3:7水泥土夯实。通过上述措施使防渗层渗透系数≤10</w:t>
      </w:r>
      <w:r>
        <w:rPr>
          <w:rFonts w:hint="default" w:ascii="Times New Roman" w:hAnsi="Times New Roman" w:cs="Times New Roman"/>
          <w:color w:val="auto"/>
          <w:highlight w:val="none"/>
          <w:u w:val="none" w:color="auto"/>
          <w:vertAlign w:val="superscript"/>
        </w:rPr>
        <w:t>-7</w:t>
      </w:r>
      <w:r>
        <w:rPr>
          <w:rFonts w:hint="default" w:ascii="Times New Roman" w:hAnsi="Times New Roman" w:cs="Times New Roman"/>
          <w:color w:val="auto"/>
          <w:highlight w:val="none"/>
          <w:u w:val="none" w:color="auto"/>
        </w:rPr>
        <w:t xml:space="preserve">cm/s。 </w:t>
      </w:r>
    </w:p>
    <w:p w14:paraId="48621AA0">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③</w:t>
      </w:r>
      <w:r>
        <w:rPr>
          <w:rFonts w:hint="default" w:ascii="Times New Roman" w:hAnsi="Times New Roman" w:cs="Times New Roman"/>
          <w:color w:val="auto"/>
          <w:highlight w:val="none"/>
          <w:u w:val="none" w:color="auto"/>
        </w:rPr>
        <w:t>简单防渗区</w:t>
      </w:r>
    </w:p>
    <w:p w14:paraId="44157C22">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针对除重点防渗区和一般防渗区以外的区域，建议采用天然粘土层+水泥地面硬化的方式进行防渗处理，渗透系数不大于 1×10</w:t>
      </w:r>
      <w:r>
        <w:rPr>
          <w:rFonts w:hint="default" w:ascii="Times New Roman" w:hAnsi="Times New Roman" w:cs="Times New Roman"/>
          <w:color w:val="auto"/>
          <w:highlight w:val="none"/>
          <w:u w:val="none" w:color="auto"/>
          <w:vertAlign w:val="superscript"/>
        </w:rPr>
        <w:t>-5</w:t>
      </w:r>
      <w:r>
        <w:rPr>
          <w:rFonts w:hint="default" w:ascii="Times New Roman" w:hAnsi="Times New Roman" w:cs="Times New Roman"/>
          <w:color w:val="auto"/>
          <w:highlight w:val="none"/>
          <w:u w:val="none" w:color="auto"/>
        </w:rPr>
        <w:t>cm/s。</w:t>
      </w:r>
    </w:p>
    <w:p w14:paraId="47A2931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运营期建设单位应建立地下水环境监测管理体系，建立地下水环境影响跟踪监测制度，委托</w:t>
      </w:r>
      <w:r>
        <w:rPr>
          <w:rFonts w:hint="default" w:ascii="Times New Roman" w:hAnsi="Times New Roman" w:cs="Times New Roman"/>
          <w:color w:val="auto"/>
          <w:highlight w:val="none"/>
          <w:u w:val="none" w:color="auto"/>
          <w:lang w:eastAsia="zh-CN"/>
        </w:rPr>
        <w:t>有资质</w:t>
      </w:r>
      <w:r>
        <w:rPr>
          <w:rFonts w:hint="default" w:ascii="Times New Roman" w:hAnsi="Times New Roman" w:cs="Times New Roman"/>
          <w:color w:val="auto"/>
          <w:highlight w:val="none"/>
          <w:u w:val="none" w:color="auto"/>
        </w:rPr>
        <w:t>的检测单位对工程建设对项目区域的地下水环境影响进行跟踪监测，在厂区内、上游、下游分别设置地下水环境影响跟踪监测点、背景值监测点、污染扩散监测点，以便及时发现问题，采取措施。</w:t>
      </w:r>
    </w:p>
    <w:p w14:paraId="3CC744FC">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7.2.4</w:t>
      </w:r>
      <w:r>
        <w:rPr>
          <w:rFonts w:hint="default" w:ascii="Times New Roman" w:hAnsi="Times New Roman" w:cs="Times New Roman"/>
          <w:color w:val="auto"/>
          <w:highlight w:val="none"/>
          <w:u w:val="none" w:color="auto"/>
        </w:rPr>
        <w:tab/>
      </w:r>
      <w:r>
        <w:rPr>
          <w:rFonts w:hint="default" w:ascii="Times New Roman" w:hAnsi="Times New Roman" w:cs="Times New Roman"/>
          <w:color w:val="auto"/>
          <w:highlight w:val="none"/>
          <w:u w:val="none" w:color="auto"/>
        </w:rPr>
        <w:t>运营期噪声防治措施</w:t>
      </w:r>
    </w:p>
    <w:p w14:paraId="006E038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污水处理工程主要噪声源为污水处理厂的设备噪声，包括污水泵、污泥泵、鼓风机、污泥脱水机等，噪声污染防治主要可从噪声源、传播途径以及接受者三方面进行防护，可采取如下措施：</w:t>
      </w:r>
    </w:p>
    <w:p w14:paraId="485DA53F">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①</w:t>
      </w:r>
      <w:r>
        <w:rPr>
          <w:rFonts w:hint="default" w:ascii="Times New Roman" w:hAnsi="Times New Roman" w:cs="Times New Roman"/>
          <w:color w:val="auto"/>
          <w:highlight w:val="none"/>
          <w:u w:val="none" w:color="auto"/>
        </w:rPr>
        <w:t>尽量选用低噪声设备，大型设备均安装减震座垫；排风机安装进、排风消声器和静压箱，消声器的消声量应大于20dB</w:t>
      </w:r>
      <w:r>
        <w:rPr>
          <w:rFonts w:hint="default" w:ascii="Times New Roman" w:hAnsi="Times New Roman" w:cs="Times New Roman"/>
          <w:color w:val="auto"/>
          <w:highlight w:val="none"/>
          <w:u w:val="none" w:color="auto"/>
          <w:lang w:val="en-US" w:eastAsia="zh-CN"/>
        </w:rPr>
        <w:t xml:space="preserve"> </w:t>
      </w:r>
      <w:r>
        <w:rPr>
          <w:rFonts w:hint="default" w:ascii="Times New Roman" w:hAnsi="Times New Roman" w:cs="Times New Roman"/>
          <w:color w:val="auto"/>
          <w:highlight w:val="none"/>
          <w:u w:val="none" w:color="auto"/>
        </w:rPr>
        <w:t>(A)，静压箱的隔声量应大于20dB(A)。设备房安装隔声门窗隔声量应不小于30 dB(A)。在项目设计中应严格执行《工业企业厂界环境噪声排放标准》(GB12348-2008)规定选用低噪声设备，内局部作吸声处理。对点声源及通风系统作相应的消声、隔声、减振处理，可大大降低噪声对周围环境的影响，同时也能保障工作人员的劳动职业卫生安全。</w:t>
      </w:r>
    </w:p>
    <w:p w14:paraId="7E95F439">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②</w:t>
      </w:r>
      <w:r>
        <w:rPr>
          <w:rFonts w:hint="default" w:ascii="Times New Roman" w:hAnsi="Times New Roman" w:cs="Times New Roman"/>
          <w:color w:val="auto"/>
          <w:highlight w:val="none"/>
          <w:u w:val="none" w:color="auto"/>
        </w:rPr>
        <w:t>采用“闹静分开”和“合理布局”的设计原则，使高噪声设备尽可能远离噪声敏感区。把设备噪声影响限制在厂区范围内，降低噪声对外界影响，确保厂界噪声符合标准要求。</w:t>
      </w:r>
    </w:p>
    <w:p w14:paraId="304B522F">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③</w:t>
      </w:r>
      <w:r>
        <w:rPr>
          <w:rFonts w:hint="default" w:ascii="Times New Roman" w:hAnsi="Times New Roman" w:cs="Times New Roman"/>
          <w:color w:val="auto"/>
          <w:highlight w:val="none"/>
          <w:u w:val="none" w:color="auto"/>
        </w:rPr>
        <w:t>风机噪声较大，为保护操作人员，采取减振、隔音、地下廊道式送风等措施，或单独设置隔声操作室。风机的进、出气口设阻抗复合式消声器。风机安装减振底座，管道、阀门接口采用缓动及减振的挠性接头（口）。挠性接头（口）可有效地阻断噪音并防止震动的传播。水泵底部要设减振垫，机械部件应紧固。污水泵房工作时应关闭门窗，泵房内采用隔音、吸引材料装饰墙体，确保厂界噪声满足标准要求。</w:t>
      </w:r>
    </w:p>
    <w:p w14:paraId="685FF69A">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④</w:t>
      </w:r>
      <w:r>
        <w:rPr>
          <w:rFonts w:hint="default" w:ascii="Times New Roman" w:hAnsi="Times New Roman" w:cs="Times New Roman"/>
          <w:color w:val="auto"/>
          <w:highlight w:val="none"/>
          <w:u w:val="none" w:color="auto"/>
        </w:rPr>
        <w:t>做好设备维护。</w:t>
      </w:r>
    </w:p>
    <w:p w14:paraId="3A2D1F36">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highlight w:val="none"/>
          <w:u w:val="none" w:color="auto"/>
        </w:rPr>
        <w:t>⑤</w:t>
      </w:r>
      <w:r>
        <w:rPr>
          <w:rFonts w:hint="default" w:ascii="Times New Roman" w:hAnsi="Times New Roman" w:cs="Times New Roman"/>
          <w:color w:val="auto"/>
          <w:highlight w:val="none"/>
          <w:u w:val="none" w:color="auto"/>
        </w:rPr>
        <w:t>在厂界周围种植绿化树种，增减噪声衰减量。</w:t>
      </w:r>
    </w:p>
    <w:p w14:paraId="236E4BE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在采取以上设备维护，并根据各噪声源具体情况采取消声、减振等措施后，再通过墙体的隔声和距离衰减，本项目噪声在厂界可以达标。</w:t>
      </w:r>
    </w:p>
    <w:p w14:paraId="0C03F181">
      <w:pPr>
        <w:pStyle w:val="201"/>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7.2.5 </w:t>
      </w:r>
      <w:r>
        <w:rPr>
          <w:rFonts w:hint="default" w:ascii="Times New Roman" w:hAnsi="Times New Roman" w:cs="Times New Roman"/>
          <w:color w:val="auto"/>
          <w:highlight w:val="none"/>
          <w:u w:val="none" w:color="auto"/>
        </w:rPr>
        <w:t>运营期固体废物处置措施</w:t>
      </w:r>
    </w:p>
    <w:p w14:paraId="4C10E68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 项目格栅渣和沉砂池沉砂主要为随废水入厂的玻璃、塑料、生活垃圾等杂物，成分与生活垃圾相似，但由于长时间受污水浸泡，含水率达50％，该废渣属一般固废，经格栅拦截捞取压榨后存放垃圾车内，</w:t>
      </w:r>
      <w:r>
        <w:rPr>
          <w:rFonts w:hint="default" w:ascii="Times New Roman" w:hAnsi="Times New Roman" w:cs="Times New Roman"/>
          <w:color w:val="auto"/>
          <w:highlight w:val="none"/>
          <w:u w:val="none" w:color="auto"/>
          <w:lang w:eastAsia="zh-CN"/>
        </w:rPr>
        <w:t>与生活垃圾一起委托环卫部门清运，</w:t>
      </w:r>
      <w:r>
        <w:rPr>
          <w:rFonts w:hint="default" w:ascii="Times New Roman" w:hAnsi="Times New Roman" w:cs="Times New Roman"/>
          <w:color w:val="auto"/>
          <w:highlight w:val="none"/>
          <w:u w:val="none" w:color="auto"/>
          <w:lang w:val="en-US" w:eastAsia="zh-CN"/>
        </w:rPr>
        <w:t>交由</w:t>
      </w:r>
      <w:r>
        <w:rPr>
          <w:rFonts w:hint="default" w:ascii="Times New Roman" w:hAnsi="Times New Roman" w:cs="Times New Roman" w:eastAsiaTheme="minorEastAsia"/>
          <w:b w:val="0"/>
          <w:bCs w:val="0"/>
          <w:color w:val="auto"/>
          <w:sz w:val="24"/>
          <w:szCs w:val="24"/>
          <w:highlight w:val="none"/>
          <w:u w:val="none" w:color="auto"/>
          <w:lang w:val="en-US" w:eastAsia="zh-CN" w:bidi="ar-SA"/>
        </w:rPr>
        <w:t>益阳市北部片区生活垃圾焚烧发电厂进行处置</w:t>
      </w:r>
      <w:r>
        <w:rPr>
          <w:rFonts w:hint="default" w:ascii="Times New Roman" w:hAnsi="Times New Roman" w:cs="Times New Roman"/>
          <w:color w:val="auto"/>
          <w:highlight w:val="none"/>
          <w:u w:val="none" w:color="auto"/>
        </w:rPr>
        <w:t>。</w:t>
      </w:r>
    </w:p>
    <w:p w14:paraId="36D36023">
      <w:pPr>
        <w:numPr>
          <w:ilvl w:val="3"/>
          <w:numId w:val="0"/>
        </w:numPr>
        <w:tabs>
          <w:tab w:val="left" w:pos="0"/>
        </w:tabs>
        <w:ind w:firstLine="480" w:firstLineChars="200"/>
        <w:outlineLvl w:val="9"/>
        <w:rPr>
          <w:rFonts w:hint="default" w:ascii="Times New Roman" w:hAnsi="Times New Roman" w:cs="Times New Roman"/>
          <w:color w:val="auto"/>
          <w:highlight w:val="none"/>
          <w:u w:val="none" w:color="auto"/>
        </w:rPr>
      </w:pPr>
      <w:r>
        <w:rPr>
          <w:rFonts w:hint="default" w:ascii="Times New Roman" w:hAnsi="Times New Roman" w:cs="Times New Roman"/>
          <w:b w:val="0"/>
          <w:bCs w:val="0"/>
          <w:color w:val="auto"/>
          <w:sz w:val="24"/>
          <w:szCs w:val="24"/>
          <w:highlight w:val="none"/>
          <w:u w:val="none" w:color="auto"/>
          <w:lang w:val="en-US" w:eastAsia="zh-CN" w:bidi="ar-SA"/>
        </w:rPr>
        <w:t>益阳市北部片区生活垃圾焚烧发电厂</w:t>
      </w:r>
      <w:r>
        <w:rPr>
          <w:rFonts w:hint="default" w:ascii="Times New Roman" w:hAnsi="Times New Roman" w:eastAsia="宋体" w:cs="Times New Roman"/>
          <w:b w:val="0"/>
          <w:bCs w:val="0"/>
          <w:color w:val="auto"/>
          <w:sz w:val="24"/>
          <w:szCs w:val="24"/>
          <w:highlight w:val="none"/>
          <w:u w:val="none" w:color="auto"/>
          <w:lang w:val="en-US" w:eastAsia="zh-CN" w:bidi="ar-SA"/>
        </w:rPr>
        <w:t>近期日处理垃圾能力为 600t，年处理能力为20.1万吨，统筹处理益阳市北部片区（南县、大通湖区及沅江市部分区域）的城乡生活垃圾，预留远期300t/d发展用地。目前项目运行效果良好。</w:t>
      </w:r>
    </w:p>
    <w:p w14:paraId="0C796A45">
      <w:pPr>
        <w:pStyle w:val="189"/>
        <w:rPr>
          <w:rFonts w:hint="default" w:ascii="Times New Roman" w:hAnsi="Times New Roman" w:cs="Times New Roman"/>
          <w:b w:val="0"/>
          <w:bCs w:val="0"/>
          <w:color w:val="000000" w:themeColor="text1"/>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val="0"/>
          <w:color w:val="auto"/>
          <w:sz w:val="24"/>
          <w:szCs w:val="24"/>
          <w:highlight w:val="none"/>
          <w:u w:val="none" w:color="auto"/>
          <w:lang w:val="en-US" w:eastAsia="zh-CN" w:bidi="ar-SA"/>
        </w:rPr>
        <w:t>项目产生量最大的固体废物为生化处理系统产生的剩余污泥，污泥脱水后污泥（60%）暂存于污泥房及时</w:t>
      </w:r>
      <w:r>
        <w:rPr>
          <w:rFonts w:hint="default" w:ascii="Times New Roman" w:hAnsi="Times New Roman" w:cs="Times New Roman"/>
          <w:b w:val="0"/>
          <w:bCs w:val="0"/>
          <w:color w:val="auto"/>
          <w:sz w:val="24"/>
          <w:szCs w:val="24"/>
          <w:highlight w:val="none"/>
          <w:u w:val="none" w:color="auto"/>
          <w:lang w:val="en-US" w:eastAsia="zh-CN" w:bidi="ar-SA"/>
        </w:rPr>
        <w:t>交由</w:t>
      </w:r>
      <w:r>
        <w:rPr>
          <w:rFonts w:hint="default" w:ascii="Times New Roman" w:hAnsi="Times New Roman" w:cs="Times New Roman" w:eastAsiaTheme="minorEastAsia"/>
          <w:b w:val="0"/>
          <w:bCs w:val="0"/>
          <w:color w:val="auto"/>
          <w:sz w:val="24"/>
          <w:szCs w:val="24"/>
          <w:highlight w:val="none"/>
          <w:u w:val="none" w:color="auto"/>
          <w:lang w:val="en-US" w:eastAsia="zh-CN" w:bidi="ar-SA"/>
        </w:rPr>
        <w:t>益阳海螺环保科技有限责任公司进行处置，污泥房</w:t>
      </w:r>
      <w:r>
        <w:rPr>
          <w:rFonts w:hint="default" w:ascii="Times New Roman" w:hAnsi="Times New Roman" w:cs="Times New Roman" w:eastAsiaTheme="minorEastAsia"/>
          <w:b w:val="0"/>
          <w:bCs w:val="0"/>
          <w:color w:val="000000" w:themeColor="text1"/>
          <w:sz w:val="24"/>
          <w:szCs w:val="24"/>
          <w:highlight w:val="none"/>
          <w:u w:val="none" w:color="auto"/>
          <w:lang w:val="en-US" w:eastAsia="zh-CN" w:bidi="ar-SA"/>
          <w14:textFill>
            <w14:solidFill>
              <w14:schemeClr w14:val="tx1"/>
            </w14:solidFill>
          </w14:textFill>
        </w:rPr>
        <w:t>设置有封闭式干泥仓，储存量为</w:t>
      </w:r>
      <w:r>
        <w:rPr>
          <w:rFonts w:hint="default" w:ascii="Times New Roman" w:hAnsi="Times New Roman" w:cs="Times New Roman"/>
          <w:b w:val="0"/>
          <w:bCs w:val="0"/>
          <w:color w:val="000000" w:themeColor="text1"/>
          <w:sz w:val="24"/>
          <w:szCs w:val="24"/>
          <w:highlight w:val="none"/>
          <w:u w:val="none" w:color="auto"/>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highlight w:val="none"/>
          <w:u w:val="none" w:color="auto"/>
          <w:lang w:val="en-US" w:eastAsia="zh-CN" w:bidi="ar-SA"/>
          <w14:textFill>
            <w14:solidFill>
              <w14:schemeClr w14:val="tx1"/>
            </w14:solidFill>
          </w14:textFill>
        </w:rPr>
        <w:t>0t，污水处理厂污泥产生量为</w:t>
      </w:r>
      <w:r>
        <w:rPr>
          <w:rFonts w:hint="default" w:ascii="Times New Roman" w:hAnsi="Times New Roman" w:cs="Times New Roman"/>
          <w:b w:val="0"/>
          <w:bCs w:val="0"/>
          <w:color w:val="000000" w:themeColor="text1"/>
          <w:sz w:val="24"/>
          <w:szCs w:val="24"/>
          <w:highlight w:val="none"/>
          <w:u w:val="none" w:color="auto"/>
          <w:lang w:val="en-US" w:eastAsia="zh-CN" w:bidi="ar-SA"/>
          <w14:textFill>
            <w14:solidFill>
              <w14:schemeClr w14:val="tx1"/>
            </w14:solidFill>
          </w14:textFill>
        </w:rPr>
        <w:t>1.7</w:t>
      </w:r>
      <w:r>
        <w:rPr>
          <w:rFonts w:hint="default" w:ascii="Times New Roman" w:hAnsi="Times New Roman" w:cs="Times New Roman" w:eastAsiaTheme="minorEastAsia"/>
          <w:b w:val="0"/>
          <w:bCs w:val="0"/>
          <w:color w:val="000000" w:themeColor="text1"/>
          <w:sz w:val="24"/>
          <w:szCs w:val="24"/>
          <w:highlight w:val="none"/>
          <w:u w:val="none" w:color="auto"/>
          <w:lang w:val="en-US" w:eastAsia="zh-CN" w:bidi="ar-SA"/>
          <w14:textFill>
            <w14:solidFill>
              <w14:schemeClr w14:val="tx1"/>
            </w14:solidFill>
          </w14:textFill>
        </w:rPr>
        <w:t>t/d，</w:t>
      </w:r>
      <w:r>
        <w:rPr>
          <w:rFonts w:hint="default" w:ascii="Times New Roman" w:hAnsi="Times New Roman" w:cs="Times New Roman"/>
          <w:b w:val="0"/>
          <w:bCs w:val="0"/>
          <w:color w:val="000000" w:themeColor="text1"/>
          <w:sz w:val="24"/>
          <w:szCs w:val="24"/>
          <w:highlight w:val="none"/>
          <w:u w:val="none" w:color="auto"/>
          <w:lang w:val="en-US" w:eastAsia="zh-CN" w:bidi="ar-SA"/>
          <w14:textFill>
            <w14:solidFill>
              <w14:schemeClr w14:val="tx1"/>
            </w14:solidFill>
          </w14:textFill>
        </w:rPr>
        <w:t>定期</w:t>
      </w:r>
      <w:r>
        <w:rPr>
          <w:rFonts w:hint="default" w:ascii="Times New Roman" w:hAnsi="Times New Roman" w:cs="Times New Roman" w:eastAsiaTheme="minorEastAsia"/>
          <w:b w:val="0"/>
          <w:bCs w:val="0"/>
          <w:color w:val="000000" w:themeColor="text1"/>
          <w:sz w:val="24"/>
          <w:szCs w:val="24"/>
          <w:highlight w:val="none"/>
          <w:u w:val="none" w:color="auto"/>
          <w:lang w:val="en-US" w:eastAsia="zh-CN" w:bidi="ar-SA"/>
          <w14:textFill>
            <w14:solidFill>
              <w14:schemeClr w14:val="tx1"/>
            </w14:solidFill>
          </w14:textFill>
        </w:rPr>
        <w:t>通过1</w:t>
      </w:r>
      <w:r>
        <w:rPr>
          <w:rFonts w:hint="default" w:ascii="Times New Roman" w:hAnsi="Times New Roman" w:cs="Times New Roman"/>
          <w:b w:val="0"/>
          <w:bCs w:val="0"/>
          <w:color w:val="000000" w:themeColor="text1"/>
          <w:sz w:val="24"/>
          <w:szCs w:val="24"/>
          <w:highlight w:val="none"/>
          <w:u w:val="none" w:color="auto"/>
          <w:lang w:val="en-US" w:eastAsia="zh-CN" w:bidi="ar-SA"/>
          <w14:textFill>
            <w14:solidFill>
              <w14:schemeClr w14:val="tx1"/>
            </w14:solidFill>
          </w14:textFill>
        </w:rPr>
        <w:t>0</w:t>
      </w:r>
      <w:r>
        <w:rPr>
          <w:rFonts w:hint="default" w:ascii="Times New Roman" w:hAnsi="Times New Roman" w:cs="Times New Roman" w:eastAsiaTheme="minorEastAsia"/>
          <w:b w:val="0"/>
          <w:bCs w:val="0"/>
          <w:color w:val="000000" w:themeColor="text1"/>
          <w:sz w:val="24"/>
          <w:szCs w:val="24"/>
          <w:highlight w:val="none"/>
          <w:u w:val="none" w:color="auto"/>
          <w:lang w:val="en-US" w:eastAsia="zh-CN" w:bidi="ar-SA"/>
          <w14:textFill>
            <w14:solidFill>
              <w14:schemeClr w14:val="tx1"/>
            </w14:solidFill>
          </w14:textFill>
        </w:rPr>
        <w:t>t卡车运输</w:t>
      </w:r>
      <w:r>
        <w:rPr>
          <w:rFonts w:hint="default" w:ascii="Times New Roman" w:hAnsi="Times New Roman" w:cs="Times New Roman"/>
          <w:b w:val="0"/>
          <w:bCs w:val="0"/>
          <w:color w:val="000000" w:themeColor="text1"/>
          <w:sz w:val="24"/>
          <w:szCs w:val="24"/>
          <w:highlight w:val="none"/>
          <w:u w:val="none" w:color="auto"/>
          <w:lang w:val="en-US" w:eastAsia="zh-CN" w:bidi="ar-SA"/>
          <w14:textFill>
            <w14:solidFill>
              <w14:schemeClr w14:val="tx1"/>
            </w14:solidFill>
          </w14:textFill>
        </w:rPr>
        <w:t>至益阳海螺环保科技有限责任公司</w:t>
      </w:r>
      <w:r>
        <w:rPr>
          <w:rFonts w:hint="default" w:ascii="Times New Roman" w:hAnsi="Times New Roman" w:cs="Times New Roman" w:eastAsiaTheme="minorEastAsia"/>
          <w:b w:val="0"/>
          <w:bCs w:val="0"/>
          <w:color w:val="000000" w:themeColor="text1"/>
          <w:sz w:val="24"/>
          <w:szCs w:val="24"/>
          <w:highlight w:val="none"/>
          <w:u w:val="none" w:color="auto"/>
          <w:lang w:val="en-US" w:eastAsia="zh-CN" w:bidi="ar-SA"/>
          <w14:textFill>
            <w14:solidFill>
              <w14:schemeClr w14:val="tx1"/>
            </w14:solidFill>
          </w14:textFill>
        </w:rPr>
        <w:t>，不利气象条件下可采用专用包装袋密封包装、暂存在污泥脱水间</w:t>
      </w:r>
      <w:r>
        <w:rPr>
          <w:rFonts w:hint="default" w:ascii="Times New Roman" w:hAnsi="Times New Roman" w:cs="Times New Roman"/>
          <w:b w:val="0"/>
          <w:bCs w:val="0"/>
          <w:color w:val="000000" w:themeColor="text1"/>
          <w:sz w:val="24"/>
          <w:szCs w:val="24"/>
          <w:highlight w:val="none"/>
          <w:u w:val="none" w:color="auto"/>
          <w:lang w:val="en-US" w:eastAsia="zh-CN" w:bidi="ar-SA"/>
          <w14:textFill>
            <w14:solidFill>
              <w14:schemeClr w14:val="tx1"/>
            </w14:solidFill>
          </w14:textFill>
        </w:rPr>
        <w:t>。</w:t>
      </w:r>
    </w:p>
    <w:p w14:paraId="569237B2">
      <w:pPr>
        <w:pStyle w:val="189"/>
        <w:rPr>
          <w:rFonts w:hint="default" w:ascii="Times New Roman" w:hAnsi="Times New Roman" w:cs="Times New Roman"/>
          <w:b w:val="0"/>
          <w:bCs w:val="0"/>
          <w:color w:val="000000" w:themeColor="text1"/>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4"/>
          <w:szCs w:val="24"/>
          <w:highlight w:val="none"/>
          <w:u w:val="none" w:color="auto"/>
          <w:lang w:val="en-US" w:eastAsia="zh-CN" w:bidi="ar-SA"/>
          <w14:textFill>
            <w14:solidFill>
              <w14:schemeClr w14:val="tx1"/>
            </w14:solidFill>
          </w14:textFill>
        </w:rPr>
        <w:t>益阳海螺环保科技有限责任公司成立于2019年，曾用名益阳海创环保科技有限责任公司，2020年3月委托湖南九畴环境科技有限公司编制了《益阳海创环保科技有限责任公司益阳海创水泥窑综合利用固废项目环境影响报告书》处理生活垃圾焚烧飞灰4.95万吨、污泥6.6万吨（其中市政污泥3.96万吨、一般无机污泥2.64万吨），且同年4月21日取得了益阳市生态环境局对该项目的批复（益环审（书）[2020]11号）。该项目于2022年9月通过竣工环保验收。</w:t>
      </w:r>
    </w:p>
    <w:p w14:paraId="20A3DCB6">
      <w:pPr>
        <w:pStyle w:val="189"/>
        <w:rPr>
          <w:rFonts w:hint="default" w:ascii="Times New Roman" w:hAnsi="Times New Roman" w:cs="Times New Roman"/>
          <w:b w:val="0"/>
          <w:bCs w:val="0"/>
          <w:color w:val="000000" w:themeColor="text1"/>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4"/>
          <w:szCs w:val="24"/>
          <w:highlight w:val="none"/>
          <w:u w:val="none" w:color="auto"/>
          <w:lang w:val="en-US" w:eastAsia="zh-CN" w:bidi="ar-SA"/>
          <w14:textFill>
            <w14:solidFill>
              <w14:schemeClr w14:val="tx1"/>
            </w14:solidFill>
          </w14:textFill>
        </w:rPr>
        <w:t>2024年12月开展水泥窑综合化利用固废技改项目，项目建成后处理规模为一般工业固体废物10万t/a（污泥6.6万t/a、污染土及无机固废3.4万t/a）、生活垃圾焚烧飞灰4.95万吨。益阳海螺环保科技有限责任公司有足够处置能力接纳本项目污泥。</w:t>
      </w:r>
    </w:p>
    <w:p w14:paraId="044FA957">
      <w:pPr>
        <w:pStyle w:val="189"/>
        <w:rPr>
          <w:rFonts w:hint="default" w:ascii="Times New Roman" w:hAnsi="Times New Roman" w:cs="Times New Roman" w:eastAsiaTheme="minorEastAsia"/>
          <w:b w:val="0"/>
          <w:bCs w:val="0"/>
          <w:color w:val="auto"/>
          <w:sz w:val="24"/>
          <w:szCs w:val="24"/>
          <w:highlight w:val="none"/>
          <w:u w:val="none" w:color="auto"/>
          <w:lang w:val="en-US" w:eastAsia="zh-CN" w:bidi="ar-SA"/>
        </w:rPr>
      </w:pPr>
      <w:r>
        <w:rPr>
          <w:rFonts w:hint="default" w:ascii="Times New Roman" w:hAnsi="Times New Roman" w:cs="Times New Roman"/>
          <w:b w:val="0"/>
          <w:bCs w:val="0"/>
          <w:color w:val="auto"/>
          <w:sz w:val="24"/>
          <w:szCs w:val="24"/>
          <w:highlight w:val="none"/>
          <w:u w:val="none" w:color="auto"/>
          <w:lang w:val="en-US" w:eastAsia="zh-CN" w:bidi="ar-SA"/>
        </w:rPr>
        <w:t>项目危险废物采用封闭桶装暂存危废暂存间，定期交由有资质的单位处置。</w:t>
      </w:r>
    </w:p>
    <w:p w14:paraId="294ED5AB">
      <w:pPr>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综上所述，项目固体废物采取上述措施后，各类固废均可得到妥善处置，措施可行。</w:t>
      </w:r>
    </w:p>
    <w:p w14:paraId="1911B37A">
      <w:pPr>
        <w:numPr>
          <w:ilvl w:val="0"/>
          <w:numId w:val="0"/>
        </w:numPr>
        <w:tabs>
          <w:tab w:val="left" w:pos="0"/>
        </w:tabs>
        <w:ind w:leftChars="0"/>
        <w:outlineLvl w:val="9"/>
        <w:rPr>
          <w:rFonts w:hint="default" w:ascii="Times New Roman" w:hAnsi="Times New Roman" w:cs="Times New Roman"/>
          <w:color w:val="FF0000"/>
          <w:highlight w:val="none"/>
          <w:u w:val="none" w:color="auto"/>
          <w:lang w:val="en-US" w:eastAsia="zh-CN"/>
        </w:rPr>
      </w:pPr>
      <w:bookmarkStart w:id="171" w:name="bookmark47"/>
      <w:bookmarkEnd w:id="171"/>
    </w:p>
    <w:p w14:paraId="710854CE">
      <w:pPr>
        <w:rPr>
          <w:rFonts w:hint="default" w:ascii="Times New Roman" w:hAnsi="Times New Roman" w:cs="Times New Roman"/>
          <w:color w:val="FF0000"/>
          <w:highlight w:val="none"/>
          <w:u w:val="none" w:color="auto"/>
          <w:lang w:val="en-US" w:eastAsia="zh-CN"/>
        </w:rPr>
      </w:pPr>
      <w:r>
        <w:rPr>
          <w:rFonts w:hint="default" w:ascii="Times New Roman" w:hAnsi="Times New Roman" w:cs="Times New Roman"/>
          <w:color w:val="FF0000"/>
          <w:highlight w:val="none"/>
          <w:u w:val="none" w:color="auto"/>
          <w:lang w:val="en-US" w:eastAsia="zh-CN"/>
        </w:rPr>
        <w:br w:type="page"/>
      </w:r>
    </w:p>
    <w:p w14:paraId="5376A89F">
      <w:pPr>
        <w:pStyle w:val="2"/>
        <w:numPr>
          <w:ilvl w:val="0"/>
          <w:numId w:val="0"/>
        </w:numPr>
        <w:ind w:leftChars="0"/>
        <w:rPr>
          <w:rFonts w:hint="default" w:ascii="Times New Roman" w:hAnsi="Times New Roman" w:cs="Times New Roman"/>
          <w:color w:val="auto"/>
          <w:highlight w:val="none"/>
          <w:u w:val="none" w:color="auto"/>
        </w:rPr>
      </w:pPr>
      <w:bookmarkStart w:id="172" w:name="_Toc23311"/>
      <w:r>
        <w:rPr>
          <w:rFonts w:hint="default" w:ascii="Times New Roman" w:hAnsi="Times New Roman" w:cs="Times New Roman"/>
          <w:color w:val="auto"/>
          <w:highlight w:val="none"/>
          <w:u w:val="none" w:color="auto"/>
          <w:lang w:val="en-US" w:eastAsia="zh-CN"/>
        </w:rPr>
        <w:t xml:space="preserve">8 </w:t>
      </w:r>
      <w:r>
        <w:rPr>
          <w:rFonts w:hint="default" w:ascii="Times New Roman" w:hAnsi="Times New Roman" w:cs="Times New Roman"/>
          <w:color w:val="auto"/>
          <w:highlight w:val="none"/>
          <w:u w:val="none" w:color="auto"/>
        </w:rPr>
        <w:t>环境影响经济损益分析</w:t>
      </w:r>
      <w:bookmarkEnd w:id="172"/>
    </w:p>
    <w:p w14:paraId="776A81D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境经济损益分析是要对项目的经济效益、社会效益和环境效益进行分析，揭示三效益之间的依存关系，分析本项目既可发展经济又能实现环境保护的双重目的，使三效益协调统一，走可持续发展道路，即在发展经济的同时保护好环境，从而促进社会的稳定。环境经济损益分析的目的，就是要通过经济分析的方法来评价该工程的实施可能使周围环境受到污染所引起的经济损失，以及环境工程投资情况和采取相应的污染防治对策后，使被污染的环境得到改善所带来的经济效益等综合评估。</w:t>
      </w:r>
    </w:p>
    <w:p w14:paraId="66456742">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拟建项目的开发建设，必将促进当地的社会经济发展，但工程建设也必然会对建设地及周围环境产生一定的不利影响。在开发建设中采取必要的环境保护措施可以减轻工程建设对当地环境造成的不利影响和经济损失。本章通过对该项目的社会、经济、环境效益以及环境损失的分析，对该项目的环境经济损益进行分析。</w:t>
      </w:r>
    </w:p>
    <w:p w14:paraId="0D4D437F">
      <w:pPr>
        <w:pStyle w:val="3"/>
        <w:numPr>
          <w:ilvl w:val="1"/>
          <w:numId w:val="0"/>
        </w:numPr>
        <w:ind w:leftChars="0"/>
        <w:rPr>
          <w:rFonts w:hint="default" w:ascii="Times New Roman" w:hAnsi="Times New Roman" w:cs="Times New Roman"/>
          <w:color w:val="auto"/>
          <w:highlight w:val="none"/>
          <w:u w:val="none" w:color="auto"/>
        </w:rPr>
      </w:pPr>
      <w:bookmarkStart w:id="173" w:name="_Toc25819"/>
      <w:r>
        <w:rPr>
          <w:rFonts w:hint="default" w:ascii="Times New Roman" w:hAnsi="Times New Roman" w:cs="Times New Roman"/>
          <w:color w:val="auto"/>
          <w:highlight w:val="none"/>
          <w:u w:val="none" w:color="auto"/>
          <w:lang w:val="en-US" w:eastAsia="zh-CN"/>
        </w:rPr>
        <w:t xml:space="preserve">8.1 </w:t>
      </w:r>
      <w:r>
        <w:rPr>
          <w:rFonts w:hint="default" w:ascii="Times New Roman" w:hAnsi="Times New Roman" w:cs="Times New Roman"/>
          <w:color w:val="auto"/>
          <w:highlight w:val="none"/>
          <w:u w:val="none" w:color="auto"/>
        </w:rPr>
        <w:t>环境保护投资</w:t>
      </w:r>
      <w:bookmarkEnd w:id="173"/>
    </w:p>
    <w:p w14:paraId="587FED1F">
      <w:pPr>
        <w:pStyle w:val="4"/>
        <w:numPr>
          <w:ilvl w:val="2"/>
          <w:numId w:val="0"/>
        </w:numPr>
        <w:ind w:leftChars="0"/>
        <w:rPr>
          <w:rFonts w:hint="default" w:ascii="Times New Roman" w:hAnsi="Times New Roman" w:cs="Times New Roman"/>
          <w:color w:val="auto"/>
          <w:highlight w:val="none"/>
          <w:u w:val="none" w:color="auto"/>
        </w:rPr>
      </w:pPr>
      <w:bookmarkStart w:id="174" w:name="_Toc16904"/>
      <w:r>
        <w:rPr>
          <w:rFonts w:hint="default" w:ascii="Times New Roman" w:hAnsi="Times New Roman" w:cs="Times New Roman"/>
          <w:color w:val="auto"/>
          <w:highlight w:val="none"/>
          <w:u w:val="none" w:color="auto"/>
          <w:lang w:val="en-US" w:eastAsia="zh-CN"/>
        </w:rPr>
        <w:t xml:space="preserve">8.1.1 </w:t>
      </w:r>
      <w:r>
        <w:rPr>
          <w:rFonts w:hint="default" w:ascii="Times New Roman" w:hAnsi="Times New Roman" w:cs="Times New Roman"/>
          <w:color w:val="auto"/>
          <w:highlight w:val="none"/>
          <w:u w:val="none" w:color="auto"/>
        </w:rPr>
        <w:t>工程投资估算</w:t>
      </w:r>
      <w:bookmarkEnd w:id="174"/>
    </w:p>
    <w:p w14:paraId="5796349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本工程总投资估算额为：</w:t>
      </w:r>
      <w:r>
        <w:rPr>
          <w:rFonts w:hint="default" w:ascii="Times New Roman" w:hAnsi="Times New Roman" w:cs="Times New Roman"/>
          <w:color w:val="auto"/>
          <w:highlight w:val="none"/>
          <w:u w:val="none" w:color="auto"/>
          <w:lang w:val="en-US" w:eastAsia="zh-CN"/>
        </w:rPr>
        <w:t>8000</w:t>
      </w:r>
      <w:r>
        <w:rPr>
          <w:rFonts w:hint="default" w:ascii="Times New Roman" w:hAnsi="Times New Roman" w:cs="Times New Roman"/>
          <w:color w:val="auto"/>
          <w:highlight w:val="none"/>
          <w:u w:val="none" w:color="auto"/>
          <w:lang w:eastAsia="zh-CN"/>
        </w:rPr>
        <w:t>万</w:t>
      </w:r>
      <w:r>
        <w:rPr>
          <w:rFonts w:hint="default" w:ascii="Times New Roman" w:hAnsi="Times New Roman" w:cs="Times New Roman"/>
          <w:color w:val="auto"/>
          <w:highlight w:val="none"/>
          <w:u w:val="none" w:color="auto"/>
        </w:rPr>
        <w:t>元。</w:t>
      </w:r>
    </w:p>
    <w:p w14:paraId="5631B4F5">
      <w:pPr>
        <w:pStyle w:val="4"/>
        <w:numPr>
          <w:ilvl w:val="2"/>
          <w:numId w:val="0"/>
        </w:numPr>
        <w:ind w:leftChars="0"/>
        <w:rPr>
          <w:rFonts w:hint="default" w:ascii="Times New Roman" w:hAnsi="Times New Roman" w:cs="Times New Roman"/>
          <w:color w:val="auto"/>
          <w:highlight w:val="none"/>
          <w:u w:val="none" w:color="auto"/>
        </w:rPr>
      </w:pPr>
      <w:bookmarkStart w:id="175" w:name="_Toc15255"/>
      <w:r>
        <w:rPr>
          <w:rFonts w:hint="default" w:ascii="Times New Roman" w:hAnsi="Times New Roman" w:cs="Times New Roman"/>
          <w:color w:val="auto"/>
          <w:highlight w:val="none"/>
          <w:u w:val="none" w:color="auto"/>
          <w:lang w:val="en-US" w:eastAsia="zh-CN"/>
        </w:rPr>
        <w:t xml:space="preserve">8.1.2 </w:t>
      </w:r>
      <w:r>
        <w:rPr>
          <w:rFonts w:hint="default" w:ascii="Times New Roman" w:hAnsi="Times New Roman" w:cs="Times New Roman"/>
          <w:color w:val="auto"/>
          <w:highlight w:val="none"/>
          <w:u w:val="none" w:color="auto"/>
        </w:rPr>
        <w:t>环保投资</w:t>
      </w:r>
      <w:bookmarkEnd w:id="175"/>
    </w:p>
    <w:p w14:paraId="09A97A4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本工程本身是一项旨在削减区域废水污染物排放量的环保工程，工程本身的全部投资都用于环境保护基础设施建设。本评价主要统计其用于施工期环境环保和营运期二次污染防治的资金，作为本工程的环保投资。</w:t>
      </w:r>
    </w:p>
    <w:p w14:paraId="1F9DF701">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8</w:t>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环保措施投资估算一览表</w:t>
      </w:r>
    </w:p>
    <w:tbl>
      <w:tblPr>
        <w:tblStyle w:val="76"/>
        <w:tblW w:w="852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85"/>
        <w:gridCol w:w="2156"/>
        <w:gridCol w:w="989"/>
        <w:gridCol w:w="3330"/>
        <w:gridCol w:w="1168"/>
      </w:tblGrid>
      <w:tr w14:paraId="07E94C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885" w:type="dxa"/>
            <w:tcBorders>
              <w:tl2br w:val="nil"/>
              <w:tr2bl w:val="nil"/>
            </w:tcBorders>
            <w:vAlign w:val="center"/>
          </w:tcPr>
          <w:p w14:paraId="5CB9593C">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污染源</w:t>
            </w:r>
          </w:p>
        </w:tc>
        <w:tc>
          <w:tcPr>
            <w:tcW w:w="2156" w:type="dxa"/>
            <w:tcBorders>
              <w:tl2br w:val="nil"/>
              <w:tr2bl w:val="nil"/>
            </w:tcBorders>
            <w:vAlign w:val="center"/>
          </w:tcPr>
          <w:p w14:paraId="300770E9">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环保设施名称</w:t>
            </w:r>
          </w:p>
        </w:tc>
        <w:tc>
          <w:tcPr>
            <w:tcW w:w="989" w:type="dxa"/>
            <w:tcBorders>
              <w:tl2br w:val="nil"/>
              <w:tr2bl w:val="nil"/>
            </w:tcBorders>
            <w:vAlign w:val="center"/>
          </w:tcPr>
          <w:p w14:paraId="6C4AAA5F">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投资/万元</w:t>
            </w:r>
          </w:p>
        </w:tc>
        <w:tc>
          <w:tcPr>
            <w:tcW w:w="3330" w:type="dxa"/>
            <w:tcBorders>
              <w:tl2br w:val="nil"/>
              <w:tr2bl w:val="nil"/>
            </w:tcBorders>
            <w:vAlign w:val="center"/>
          </w:tcPr>
          <w:p w14:paraId="41BAEDFE">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内容</w:t>
            </w:r>
          </w:p>
        </w:tc>
        <w:tc>
          <w:tcPr>
            <w:tcW w:w="1168" w:type="dxa"/>
            <w:tcBorders>
              <w:tl2br w:val="nil"/>
              <w:tr2bl w:val="nil"/>
            </w:tcBorders>
            <w:vAlign w:val="center"/>
          </w:tcPr>
          <w:p w14:paraId="2B84DFAA">
            <w:pPr>
              <w:pStyle w:val="192"/>
              <w:keepNext w:val="0"/>
              <w:keepLines w:val="0"/>
              <w:suppressLineNumbers w:val="0"/>
              <w:spacing w:before="0" w:beforeAutospacing="0" w:after="0" w:afterAutospacing="0"/>
              <w:ind w:left="0" w:right="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投资时期</w:t>
            </w:r>
          </w:p>
        </w:tc>
      </w:tr>
      <w:tr w14:paraId="26D217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885" w:type="dxa"/>
            <w:vMerge w:val="restart"/>
            <w:tcBorders>
              <w:tl2br w:val="nil"/>
              <w:tr2bl w:val="nil"/>
            </w:tcBorders>
            <w:vAlign w:val="center"/>
          </w:tcPr>
          <w:p w14:paraId="0762720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废水</w:t>
            </w:r>
          </w:p>
        </w:tc>
        <w:tc>
          <w:tcPr>
            <w:tcW w:w="2156" w:type="dxa"/>
            <w:tcBorders>
              <w:tl2br w:val="nil"/>
              <w:tr2bl w:val="nil"/>
            </w:tcBorders>
            <w:vAlign w:val="center"/>
          </w:tcPr>
          <w:p w14:paraId="2E7D6F3F">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车辆冲洗设施</w:t>
            </w:r>
          </w:p>
        </w:tc>
        <w:tc>
          <w:tcPr>
            <w:tcW w:w="989" w:type="dxa"/>
            <w:tcBorders>
              <w:tl2br w:val="nil"/>
              <w:tr2bl w:val="nil"/>
            </w:tcBorders>
            <w:vAlign w:val="center"/>
          </w:tcPr>
          <w:p w14:paraId="5F07880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2</w:t>
            </w:r>
          </w:p>
        </w:tc>
        <w:tc>
          <w:tcPr>
            <w:tcW w:w="3330" w:type="dxa"/>
            <w:tcBorders>
              <w:tl2br w:val="nil"/>
              <w:tr2bl w:val="nil"/>
            </w:tcBorders>
            <w:vAlign w:val="center"/>
          </w:tcPr>
          <w:p w14:paraId="06EDACC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施工场地出口洗车装置</w:t>
            </w:r>
          </w:p>
        </w:tc>
        <w:tc>
          <w:tcPr>
            <w:tcW w:w="1168" w:type="dxa"/>
            <w:tcBorders>
              <w:tl2br w:val="nil"/>
              <w:tr2bl w:val="nil"/>
            </w:tcBorders>
            <w:vAlign w:val="center"/>
          </w:tcPr>
          <w:p w14:paraId="1748ECF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施工期</w:t>
            </w:r>
          </w:p>
        </w:tc>
      </w:tr>
      <w:tr w14:paraId="106F87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885" w:type="dxa"/>
            <w:vMerge w:val="continue"/>
            <w:tcBorders>
              <w:tl2br w:val="nil"/>
              <w:tr2bl w:val="nil"/>
            </w:tcBorders>
            <w:vAlign w:val="center"/>
          </w:tcPr>
          <w:p w14:paraId="621702DB">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2156" w:type="dxa"/>
            <w:tcBorders>
              <w:tl2br w:val="nil"/>
              <w:tr2bl w:val="nil"/>
            </w:tcBorders>
            <w:vAlign w:val="center"/>
          </w:tcPr>
          <w:p w14:paraId="12E941F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地面硬化、防渗措施</w:t>
            </w:r>
          </w:p>
        </w:tc>
        <w:tc>
          <w:tcPr>
            <w:tcW w:w="989" w:type="dxa"/>
            <w:tcBorders>
              <w:tl2br w:val="nil"/>
              <w:tr2bl w:val="nil"/>
            </w:tcBorders>
            <w:vAlign w:val="center"/>
          </w:tcPr>
          <w:p w14:paraId="15DA6ED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12</w:t>
            </w:r>
          </w:p>
        </w:tc>
        <w:tc>
          <w:tcPr>
            <w:tcW w:w="3330" w:type="dxa"/>
            <w:tcBorders>
              <w:tl2br w:val="nil"/>
              <w:tr2bl w:val="nil"/>
            </w:tcBorders>
            <w:vAlign w:val="center"/>
          </w:tcPr>
          <w:p w14:paraId="21FAA6E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防止污水渗透地面</w:t>
            </w:r>
          </w:p>
        </w:tc>
        <w:tc>
          <w:tcPr>
            <w:tcW w:w="1168" w:type="dxa"/>
            <w:tcBorders>
              <w:tl2br w:val="nil"/>
              <w:tr2bl w:val="nil"/>
            </w:tcBorders>
            <w:vAlign w:val="center"/>
          </w:tcPr>
          <w:p w14:paraId="3F924C2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项目营运期</w:t>
            </w:r>
          </w:p>
        </w:tc>
      </w:tr>
      <w:tr w14:paraId="3FDA17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885" w:type="dxa"/>
            <w:tcBorders>
              <w:tl2br w:val="nil"/>
              <w:tr2bl w:val="nil"/>
            </w:tcBorders>
            <w:vAlign w:val="center"/>
          </w:tcPr>
          <w:p w14:paraId="6DBFABB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废气</w:t>
            </w:r>
          </w:p>
        </w:tc>
        <w:tc>
          <w:tcPr>
            <w:tcW w:w="2156" w:type="dxa"/>
            <w:tcBorders>
              <w:tl2br w:val="nil"/>
              <w:tr2bl w:val="nil"/>
            </w:tcBorders>
            <w:vAlign w:val="center"/>
          </w:tcPr>
          <w:p w14:paraId="6389A26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eastAsia="zh-CN"/>
              </w:rPr>
              <w:t>厂区绿化、喷洒除臭药剂、</w:t>
            </w:r>
            <w:r>
              <w:rPr>
                <w:rFonts w:hint="default" w:ascii="Times New Roman" w:hAnsi="Times New Roman" w:cs="Times New Roman"/>
                <w:color w:val="auto"/>
                <w:highlight w:val="none"/>
                <w:u w:val="none" w:color="auto"/>
                <w:lang w:val="en-US" w:eastAsia="zh-CN"/>
              </w:rPr>
              <w:t>生物除臭</w:t>
            </w:r>
          </w:p>
        </w:tc>
        <w:tc>
          <w:tcPr>
            <w:tcW w:w="989" w:type="dxa"/>
            <w:tcBorders>
              <w:tl2br w:val="nil"/>
              <w:tr2bl w:val="nil"/>
            </w:tcBorders>
            <w:vAlign w:val="center"/>
          </w:tcPr>
          <w:p w14:paraId="6BE902B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18</w:t>
            </w:r>
          </w:p>
        </w:tc>
        <w:tc>
          <w:tcPr>
            <w:tcW w:w="3330" w:type="dxa"/>
            <w:tcBorders>
              <w:tl2br w:val="nil"/>
              <w:tr2bl w:val="nil"/>
            </w:tcBorders>
            <w:vAlign w:val="center"/>
          </w:tcPr>
          <w:p w14:paraId="18C9287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lang w:eastAsia="zh-CN"/>
              </w:rPr>
              <w:t>厂区绿化、喷洒除臭药剂、</w:t>
            </w:r>
            <w:r>
              <w:rPr>
                <w:rFonts w:hint="default" w:ascii="Times New Roman" w:hAnsi="Times New Roman" w:cs="Times New Roman"/>
                <w:color w:val="auto"/>
                <w:highlight w:val="none"/>
                <w:u w:val="none" w:color="auto"/>
                <w:lang w:val="en-US" w:eastAsia="zh-CN"/>
              </w:rPr>
              <w:t>封闭设施，除臭塔及15m排气筒</w:t>
            </w:r>
          </w:p>
        </w:tc>
        <w:tc>
          <w:tcPr>
            <w:tcW w:w="1168" w:type="dxa"/>
            <w:tcBorders>
              <w:tl2br w:val="nil"/>
              <w:tr2bl w:val="nil"/>
            </w:tcBorders>
            <w:vAlign w:val="center"/>
          </w:tcPr>
          <w:p w14:paraId="61465E1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项目营运期</w:t>
            </w:r>
          </w:p>
        </w:tc>
      </w:tr>
      <w:tr w14:paraId="7B968E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885" w:type="dxa"/>
            <w:tcBorders>
              <w:tl2br w:val="nil"/>
              <w:tr2bl w:val="nil"/>
            </w:tcBorders>
            <w:vAlign w:val="center"/>
          </w:tcPr>
          <w:p w14:paraId="1D04368D">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噪声</w:t>
            </w:r>
          </w:p>
        </w:tc>
        <w:tc>
          <w:tcPr>
            <w:tcW w:w="2156" w:type="dxa"/>
            <w:tcBorders>
              <w:tl2br w:val="nil"/>
              <w:tr2bl w:val="nil"/>
            </w:tcBorders>
            <w:vAlign w:val="center"/>
          </w:tcPr>
          <w:p w14:paraId="34E053F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减振基座、厂房隔声等</w:t>
            </w:r>
          </w:p>
        </w:tc>
        <w:tc>
          <w:tcPr>
            <w:tcW w:w="989" w:type="dxa"/>
            <w:tcBorders>
              <w:tl2br w:val="nil"/>
              <w:tr2bl w:val="nil"/>
            </w:tcBorders>
            <w:vAlign w:val="center"/>
          </w:tcPr>
          <w:p w14:paraId="0F80073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8</w:t>
            </w:r>
          </w:p>
        </w:tc>
        <w:tc>
          <w:tcPr>
            <w:tcW w:w="3330" w:type="dxa"/>
            <w:tcBorders>
              <w:tl2br w:val="nil"/>
              <w:tr2bl w:val="nil"/>
            </w:tcBorders>
            <w:vAlign w:val="center"/>
          </w:tcPr>
          <w:p w14:paraId="467DDD2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达（GB12348-2008）3类标准</w:t>
            </w:r>
          </w:p>
        </w:tc>
        <w:tc>
          <w:tcPr>
            <w:tcW w:w="1168" w:type="dxa"/>
            <w:tcBorders>
              <w:tl2br w:val="nil"/>
              <w:tr2bl w:val="nil"/>
            </w:tcBorders>
            <w:vAlign w:val="center"/>
          </w:tcPr>
          <w:p w14:paraId="53F09F8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项目营运期</w:t>
            </w:r>
          </w:p>
        </w:tc>
      </w:tr>
      <w:tr w14:paraId="7D9411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885" w:type="dxa"/>
            <w:vMerge w:val="restart"/>
            <w:tcBorders>
              <w:tl2br w:val="nil"/>
              <w:tr2bl w:val="nil"/>
            </w:tcBorders>
            <w:vAlign w:val="center"/>
          </w:tcPr>
          <w:p w14:paraId="3AFA561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固废</w:t>
            </w:r>
          </w:p>
        </w:tc>
        <w:tc>
          <w:tcPr>
            <w:tcW w:w="2156" w:type="dxa"/>
            <w:tcBorders>
              <w:tl2br w:val="nil"/>
              <w:tr2bl w:val="nil"/>
            </w:tcBorders>
            <w:vAlign w:val="center"/>
          </w:tcPr>
          <w:p w14:paraId="788F804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eastAsia="zh-CN"/>
              </w:rPr>
              <w:t>栅渣、</w:t>
            </w:r>
            <w:r>
              <w:rPr>
                <w:rFonts w:hint="default" w:ascii="Times New Roman" w:hAnsi="Times New Roman" w:cs="Times New Roman"/>
                <w:color w:val="auto"/>
                <w:highlight w:val="none"/>
                <w:u w:val="none" w:color="auto"/>
              </w:rPr>
              <w:t>垃圾收集与清运措施</w:t>
            </w:r>
          </w:p>
        </w:tc>
        <w:tc>
          <w:tcPr>
            <w:tcW w:w="989" w:type="dxa"/>
            <w:tcBorders>
              <w:tl2br w:val="nil"/>
              <w:tr2bl w:val="nil"/>
            </w:tcBorders>
            <w:vAlign w:val="center"/>
          </w:tcPr>
          <w:p w14:paraId="4577CE1C">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6</w:t>
            </w:r>
          </w:p>
        </w:tc>
        <w:tc>
          <w:tcPr>
            <w:tcW w:w="3330" w:type="dxa"/>
            <w:tcBorders>
              <w:tl2br w:val="nil"/>
              <w:tr2bl w:val="nil"/>
            </w:tcBorders>
            <w:vAlign w:val="center"/>
          </w:tcPr>
          <w:p w14:paraId="7A6A0A1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eastAsia="zh-CN"/>
              </w:rPr>
              <w:t>栅渣、</w:t>
            </w:r>
            <w:r>
              <w:rPr>
                <w:rFonts w:hint="default" w:ascii="Times New Roman" w:hAnsi="Times New Roman" w:cs="Times New Roman"/>
                <w:color w:val="auto"/>
                <w:highlight w:val="none"/>
                <w:u w:val="none" w:color="auto"/>
              </w:rPr>
              <w:t>垃圾收集与清运措施</w:t>
            </w:r>
          </w:p>
        </w:tc>
        <w:tc>
          <w:tcPr>
            <w:tcW w:w="1168" w:type="dxa"/>
            <w:tcBorders>
              <w:tl2br w:val="nil"/>
              <w:tr2bl w:val="nil"/>
            </w:tcBorders>
            <w:vAlign w:val="center"/>
          </w:tcPr>
          <w:p w14:paraId="71276AA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项目营运期</w:t>
            </w:r>
          </w:p>
        </w:tc>
      </w:tr>
      <w:tr w14:paraId="6F4D91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1" w:hRule="atLeast"/>
          <w:jc w:val="center"/>
        </w:trPr>
        <w:tc>
          <w:tcPr>
            <w:tcW w:w="885" w:type="dxa"/>
            <w:vMerge w:val="continue"/>
            <w:tcBorders>
              <w:tl2br w:val="nil"/>
              <w:tr2bl w:val="nil"/>
            </w:tcBorders>
            <w:vAlign w:val="center"/>
          </w:tcPr>
          <w:p w14:paraId="3E9C794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p>
        </w:tc>
        <w:tc>
          <w:tcPr>
            <w:tcW w:w="2156" w:type="dxa"/>
            <w:tcBorders>
              <w:tl2br w:val="nil"/>
              <w:tr2bl w:val="nil"/>
            </w:tcBorders>
            <w:vAlign w:val="center"/>
          </w:tcPr>
          <w:p w14:paraId="44B1B7B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污泥运输</w:t>
            </w:r>
          </w:p>
        </w:tc>
        <w:tc>
          <w:tcPr>
            <w:tcW w:w="989" w:type="dxa"/>
            <w:tcBorders>
              <w:tl2br w:val="nil"/>
              <w:tr2bl w:val="nil"/>
            </w:tcBorders>
            <w:vAlign w:val="center"/>
          </w:tcPr>
          <w:p w14:paraId="3675CC6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28</w:t>
            </w:r>
          </w:p>
        </w:tc>
        <w:tc>
          <w:tcPr>
            <w:tcW w:w="3330" w:type="dxa"/>
            <w:tcBorders>
              <w:tl2br w:val="nil"/>
              <w:tr2bl w:val="nil"/>
            </w:tcBorders>
            <w:vAlign w:val="center"/>
          </w:tcPr>
          <w:p w14:paraId="3CE272A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加盖、翻斗的污泥运输车辆</w:t>
            </w:r>
          </w:p>
        </w:tc>
        <w:tc>
          <w:tcPr>
            <w:tcW w:w="1168" w:type="dxa"/>
            <w:tcBorders>
              <w:tl2br w:val="nil"/>
              <w:tr2bl w:val="nil"/>
            </w:tcBorders>
            <w:vAlign w:val="center"/>
          </w:tcPr>
          <w:p w14:paraId="1551FF5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项目营运期</w:t>
            </w:r>
          </w:p>
        </w:tc>
      </w:tr>
      <w:tr w14:paraId="707414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7" w:hRule="exact"/>
          <w:jc w:val="center"/>
        </w:trPr>
        <w:tc>
          <w:tcPr>
            <w:tcW w:w="885" w:type="dxa"/>
            <w:tcBorders>
              <w:tl2br w:val="nil"/>
              <w:tr2bl w:val="nil"/>
            </w:tcBorders>
            <w:vAlign w:val="center"/>
          </w:tcPr>
          <w:p w14:paraId="611262B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绿化</w:t>
            </w:r>
          </w:p>
        </w:tc>
        <w:tc>
          <w:tcPr>
            <w:tcW w:w="2156" w:type="dxa"/>
            <w:tcBorders>
              <w:tl2br w:val="nil"/>
              <w:tr2bl w:val="nil"/>
            </w:tcBorders>
            <w:vAlign w:val="center"/>
          </w:tcPr>
          <w:p w14:paraId="3F79874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厂区绿化</w:t>
            </w:r>
          </w:p>
        </w:tc>
        <w:tc>
          <w:tcPr>
            <w:tcW w:w="989" w:type="dxa"/>
            <w:tcBorders>
              <w:tl2br w:val="nil"/>
              <w:tr2bl w:val="nil"/>
            </w:tcBorders>
            <w:vAlign w:val="center"/>
          </w:tcPr>
          <w:p w14:paraId="60FDAE2D">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4</w:t>
            </w:r>
          </w:p>
        </w:tc>
        <w:tc>
          <w:tcPr>
            <w:tcW w:w="3330" w:type="dxa"/>
            <w:tcBorders>
              <w:tl2br w:val="nil"/>
              <w:tr2bl w:val="nil"/>
            </w:tcBorders>
            <w:vAlign w:val="center"/>
          </w:tcPr>
          <w:p w14:paraId="0AC4A3D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美化周边环境，减少恶臭类气体对周边环境的影响，恢复生态原貌</w:t>
            </w:r>
          </w:p>
        </w:tc>
        <w:tc>
          <w:tcPr>
            <w:tcW w:w="1168" w:type="dxa"/>
            <w:tcBorders>
              <w:tl2br w:val="nil"/>
              <w:tr2bl w:val="nil"/>
            </w:tcBorders>
            <w:vAlign w:val="center"/>
          </w:tcPr>
          <w:p w14:paraId="696BD630">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项目营运期</w:t>
            </w:r>
          </w:p>
        </w:tc>
      </w:tr>
      <w:tr w14:paraId="5B53E0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6" w:hRule="exact"/>
          <w:jc w:val="center"/>
        </w:trPr>
        <w:tc>
          <w:tcPr>
            <w:tcW w:w="885" w:type="dxa"/>
            <w:tcBorders>
              <w:tl2br w:val="nil"/>
              <w:tr2bl w:val="nil"/>
            </w:tcBorders>
            <w:vAlign w:val="center"/>
          </w:tcPr>
          <w:p w14:paraId="2D3B43A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地下水</w:t>
            </w:r>
          </w:p>
        </w:tc>
        <w:tc>
          <w:tcPr>
            <w:tcW w:w="2156" w:type="dxa"/>
            <w:tcBorders>
              <w:tl2br w:val="nil"/>
              <w:tr2bl w:val="nil"/>
            </w:tcBorders>
            <w:vAlign w:val="center"/>
          </w:tcPr>
          <w:p w14:paraId="54067FB5">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池体防渗</w:t>
            </w:r>
          </w:p>
        </w:tc>
        <w:tc>
          <w:tcPr>
            <w:tcW w:w="989" w:type="dxa"/>
            <w:tcBorders>
              <w:tl2br w:val="nil"/>
              <w:tr2bl w:val="nil"/>
            </w:tcBorders>
            <w:vAlign w:val="center"/>
          </w:tcPr>
          <w:p w14:paraId="44B95D0F">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20</w:t>
            </w:r>
          </w:p>
        </w:tc>
        <w:tc>
          <w:tcPr>
            <w:tcW w:w="3330" w:type="dxa"/>
            <w:tcBorders>
              <w:tl2br w:val="nil"/>
              <w:tr2bl w:val="nil"/>
            </w:tcBorders>
            <w:vAlign w:val="center"/>
          </w:tcPr>
          <w:p w14:paraId="2FAF3BF8">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分区对各种水池及管道进行防渗。</w:t>
            </w:r>
          </w:p>
        </w:tc>
        <w:tc>
          <w:tcPr>
            <w:tcW w:w="1168" w:type="dxa"/>
            <w:tcBorders>
              <w:tl2br w:val="nil"/>
              <w:tr2bl w:val="nil"/>
            </w:tcBorders>
            <w:vAlign w:val="center"/>
          </w:tcPr>
          <w:p w14:paraId="20A4FDC4">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项目营运期</w:t>
            </w:r>
          </w:p>
        </w:tc>
      </w:tr>
      <w:tr w14:paraId="3E7BF0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exact"/>
          <w:jc w:val="center"/>
        </w:trPr>
        <w:tc>
          <w:tcPr>
            <w:tcW w:w="885" w:type="dxa"/>
            <w:tcBorders>
              <w:tl2br w:val="nil"/>
              <w:tr2bl w:val="nil"/>
            </w:tcBorders>
            <w:vAlign w:val="center"/>
          </w:tcPr>
          <w:p w14:paraId="088E13F1">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水土流失</w:t>
            </w:r>
          </w:p>
        </w:tc>
        <w:tc>
          <w:tcPr>
            <w:tcW w:w="2156" w:type="dxa"/>
            <w:tcBorders>
              <w:tl2br w:val="nil"/>
              <w:tr2bl w:val="nil"/>
            </w:tcBorders>
            <w:vAlign w:val="center"/>
          </w:tcPr>
          <w:p w14:paraId="198F1CAE">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挡土墙等水土保持设施</w:t>
            </w:r>
          </w:p>
        </w:tc>
        <w:tc>
          <w:tcPr>
            <w:tcW w:w="989" w:type="dxa"/>
            <w:tcBorders>
              <w:tl2br w:val="nil"/>
              <w:tr2bl w:val="nil"/>
            </w:tcBorders>
            <w:vAlign w:val="center"/>
          </w:tcPr>
          <w:p w14:paraId="139E4F25">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2</w:t>
            </w:r>
          </w:p>
        </w:tc>
        <w:tc>
          <w:tcPr>
            <w:tcW w:w="3330" w:type="dxa"/>
            <w:tcBorders>
              <w:tl2br w:val="nil"/>
              <w:tr2bl w:val="nil"/>
            </w:tcBorders>
            <w:vAlign w:val="center"/>
          </w:tcPr>
          <w:p w14:paraId="3F99908B">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防止水土流失</w:t>
            </w:r>
          </w:p>
        </w:tc>
        <w:tc>
          <w:tcPr>
            <w:tcW w:w="1168" w:type="dxa"/>
            <w:tcBorders>
              <w:tl2br w:val="nil"/>
              <w:tr2bl w:val="nil"/>
            </w:tcBorders>
            <w:vAlign w:val="center"/>
          </w:tcPr>
          <w:p w14:paraId="013C8C5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w:t>
            </w:r>
            <w:r>
              <w:rPr>
                <w:rFonts w:hint="default" w:ascii="Times New Roman" w:hAnsi="Times New Roman" w:cs="Times New Roman"/>
                <w:color w:val="auto"/>
                <w:highlight w:val="none"/>
                <w:u w:val="none" w:color="auto"/>
                <w:lang w:eastAsia="zh-CN"/>
              </w:rPr>
              <w:t>施工</w:t>
            </w:r>
            <w:r>
              <w:rPr>
                <w:rFonts w:hint="default" w:ascii="Times New Roman" w:hAnsi="Times New Roman" w:cs="Times New Roman"/>
                <w:color w:val="auto"/>
                <w:highlight w:val="none"/>
                <w:u w:val="none" w:color="auto"/>
              </w:rPr>
              <w:t>期</w:t>
            </w:r>
          </w:p>
        </w:tc>
      </w:tr>
      <w:tr w14:paraId="51F584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2" w:hRule="exact"/>
          <w:jc w:val="center"/>
        </w:trPr>
        <w:tc>
          <w:tcPr>
            <w:tcW w:w="3041" w:type="dxa"/>
            <w:gridSpan w:val="2"/>
            <w:tcBorders>
              <w:tl2br w:val="nil"/>
              <w:tr2bl w:val="nil"/>
            </w:tcBorders>
            <w:vAlign w:val="center"/>
          </w:tcPr>
          <w:p w14:paraId="7C788AF7">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合</w:t>
            </w:r>
            <w:r>
              <w:rPr>
                <w:rFonts w:hint="default" w:ascii="Times New Roman" w:hAnsi="Times New Roman" w:cs="Times New Roman"/>
                <w:color w:val="auto"/>
                <w:highlight w:val="none"/>
                <w:u w:val="none" w:color="auto"/>
              </w:rPr>
              <w:tab/>
            </w:r>
            <w:r>
              <w:rPr>
                <w:rFonts w:hint="default" w:ascii="Times New Roman" w:hAnsi="Times New Roman" w:cs="Times New Roman"/>
                <w:color w:val="auto"/>
                <w:highlight w:val="none"/>
                <w:u w:val="none" w:color="auto"/>
              </w:rPr>
              <w:t>计</w:t>
            </w:r>
          </w:p>
        </w:tc>
        <w:tc>
          <w:tcPr>
            <w:tcW w:w="989" w:type="dxa"/>
            <w:tcBorders>
              <w:tl2br w:val="nil"/>
              <w:tr2bl w:val="nil"/>
            </w:tcBorders>
            <w:vAlign w:val="center"/>
          </w:tcPr>
          <w:p w14:paraId="70C842A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100</w:t>
            </w:r>
          </w:p>
        </w:tc>
        <w:tc>
          <w:tcPr>
            <w:tcW w:w="3330" w:type="dxa"/>
            <w:tcBorders>
              <w:tl2br w:val="nil"/>
              <w:tr2bl w:val="nil"/>
            </w:tcBorders>
            <w:vAlign w:val="center"/>
          </w:tcPr>
          <w:p w14:paraId="0AA10B73">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c>
          <w:tcPr>
            <w:tcW w:w="1168" w:type="dxa"/>
            <w:tcBorders>
              <w:tl2br w:val="nil"/>
              <w:tr2bl w:val="nil"/>
            </w:tcBorders>
            <w:vAlign w:val="center"/>
          </w:tcPr>
          <w:p w14:paraId="7C47AA1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p>
        </w:tc>
      </w:tr>
    </w:tbl>
    <w:p w14:paraId="5887E3AC">
      <w:pPr>
        <w:pStyle w:val="3"/>
        <w:numPr>
          <w:ilvl w:val="1"/>
          <w:numId w:val="0"/>
        </w:numPr>
        <w:ind w:leftChars="0"/>
        <w:rPr>
          <w:rFonts w:hint="default" w:ascii="Times New Roman" w:hAnsi="Times New Roman" w:cs="Times New Roman"/>
          <w:color w:val="auto"/>
          <w:highlight w:val="none"/>
          <w:u w:val="none" w:color="auto"/>
        </w:rPr>
      </w:pPr>
      <w:bookmarkStart w:id="176" w:name="_Toc10419"/>
      <w:r>
        <w:rPr>
          <w:rFonts w:hint="default" w:ascii="Times New Roman" w:hAnsi="Times New Roman" w:cs="Times New Roman"/>
          <w:color w:val="auto"/>
          <w:highlight w:val="none"/>
          <w:u w:val="none" w:color="auto"/>
          <w:lang w:val="en-US" w:eastAsia="zh-CN"/>
        </w:rPr>
        <w:t xml:space="preserve">8.2 </w:t>
      </w:r>
      <w:r>
        <w:rPr>
          <w:rFonts w:hint="default" w:ascii="Times New Roman" w:hAnsi="Times New Roman" w:cs="Times New Roman"/>
          <w:color w:val="auto"/>
          <w:highlight w:val="none"/>
          <w:u w:val="none" w:color="auto"/>
        </w:rPr>
        <w:t>环境损益分析</w:t>
      </w:r>
      <w:bookmarkEnd w:id="176"/>
    </w:p>
    <w:p w14:paraId="505944DA">
      <w:pPr>
        <w:pStyle w:val="4"/>
        <w:numPr>
          <w:ilvl w:val="2"/>
          <w:numId w:val="0"/>
        </w:numPr>
        <w:ind w:leftChars="0"/>
        <w:rPr>
          <w:rFonts w:hint="default" w:ascii="Times New Roman" w:hAnsi="Times New Roman" w:cs="Times New Roman"/>
          <w:color w:val="auto"/>
          <w:highlight w:val="none"/>
          <w:u w:val="none" w:color="auto"/>
        </w:rPr>
      </w:pPr>
      <w:bookmarkStart w:id="177" w:name="_Toc27821"/>
      <w:r>
        <w:rPr>
          <w:rFonts w:hint="default" w:ascii="Times New Roman" w:hAnsi="Times New Roman" w:cs="Times New Roman"/>
          <w:color w:val="auto"/>
          <w:highlight w:val="none"/>
          <w:u w:val="none" w:color="auto"/>
          <w:lang w:val="en-US" w:eastAsia="zh-CN"/>
        </w:rPr>
        <w:t xml:space="preserve">8.2.1 </w:t>
      </w:r>
      <w:r>
        <w:rPr>
          <w:rFonts w:hint="default" w:ascii="Times New Roman" w:hAnsi="Times New Roman" w:cs="Times New Roman"/>
          <w:color w:val="auto"/>
          <w:highlight w:val="none"/>
          <w:u w:val="none" w:color="auto"/>
        </w:rPr>
        <w:t>环境效益分析</w:t>
      </w:r>
      <w:bookmarkEnd w:id="177"/>
    </w:p>
    <w:p w14:paraId="7AE1EC88">
      <w:pPr>
        <w:pStyle w:val="189"/>
        <w:ind w:left="0" w:leftChars="0" w:firstLine="420" w:firstLineChars="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环境效益是项目实施后体现得最直接的工程效益，本项目为污水处理工程，其主要环境效益也就体现在对水污染物的削减上。</w:t>
      </w:r>
    </w:p>
    <w:p w14:paraId="0612E90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eastAsia="zh-CN"/>
        </w:rPr>
        <w:t>大通湖工业园污水处理厂提质改造建设项目</w:t>
      </w:r>
      <w:r>
        <w:rPr>
          <w:rFonts w:hint="default" w:ascii="Times New Roman" w:hAnsi="Times New Roman" w:cs="Times New Roman"/>
          <w:color w:val="auto"/>
          <w:highlight w:val="none"/>
          <w:u w:val="none" w:color="auto"/>
        </w:rPr>
        <w:t>废水处理能力为</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000</w:t>
      </w:r>
      <w:r>
        <w:rPr>
          <w:rFonts w:hint="default" w:ascii="Times New Roman" w:hAnsi="Times New Roman" w:cs="Times New Roman"/>
          <w:color w:val="auto"/>
          <w:spacing w:val="-1"/>
          <w:highlight w:val="none"/>
          <w:u w:val="none" w:color="auto"/>
        </w:rPr>
        <w:t>m</w:t>
      </w:r>
      <w:r>
        <w:rPr>
          <w:rFonts w:hint="default" w:ascii="Times New Roman" w:hAnsi="Times New Roman" w:cs="Times New Roman"/>
          <w:color w:val="auto"/>
          <w:position w:val="10"/>
          <w:sz w:val="14"/>
          <w:szCs w:val="14"/>
          <w:highlight w:val="none"/>
          <w:u w:val="none" w:color="auto"/>
        </w:rPr>
        <w:t>3</w:t>
      </w:r>
      <w:r>
        <w:rPr>
          <w:rFonts w:hint="default" w:ascii="Times New Roman" w:hAnsi="Times New Roman" w:cs="Times New Roman"/>
          <w:color w:val="auto"/>
          <w:highlight w:val="none"/>
          <w:u w:val="none" w:color="auto"/>
        </w:rPr>
        <w:t>/d，主要污染物为CODcr、氨氮</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总磷、总氮，</w:t>
      </w:r>
      <w:r>
        <w:rPr>
          <w:rFonts w:hint="default" w:ascii="Times New Roman" w:hAnsi="Times New Roman" w:cs="Times New Roman"/>
          <w:color w:val="auto"/>
          <w:highlight w:val="none"/>
          <w:u w:val="none" w:color="auto"/>
        </w:rPr>
        <w:t>CODcr削减量为</w:t>
      </w:r>
      <w:r>
        <w:rPr>
          <w:rFonts w:hint="default" w:ascii="Times New Roman" w:hAnsi="Times New Roman" w:cs="Times New Roman"/>
          <w:color w:val="auto"/>
          <w:highlight w:val="none"/>
          <w:u w:val="none" w:color="auto"/>
          <w:lang w:val="en-US" w:eastAsia="zh-CN"/>
        </w:rPr>
        <w:t>492.75</w:t>
      </w:r>
      <w:r>
        <w:rPr>
          <w:rFonts w:hint="default" w:ascii="Times New Roman" w:hAnsi="Times New Roman" w:cs="Times New Roman"/>
          <w:color w:val="auto"/>
          <w:highlight w:val="none"/>
          <w:u w:val="none" w:color="auto"/>
        </w:rPr>
        <w:t>t/a，NH</w:t>
      </w:r>
      <w:r>
        <w:rPr>
          <w:rFonts w:hint="default" w:ascii="Times New Roman" w:hAnsi="Times New Roman" w:cs="Times New Roman"/>
          <w:color w:val="auto"/>
          <w:sz w:val="15"/>
          <w:szCs w:val="15"/>
          <w:highlight w:val="none"/>
          <w:u w:val="none" w:color="auto"/>
        </w:rPr>
        <w:t>3</w:t>
      </w:r>
      <w:r>
        <w:rPr>
          <w:rFonts w:hint="default" w:ascii="Times New Roman" w:hAnsi="Times New Roman" w:cs="Times New Roman"/>
          <w:color w:val="auto"/>
          <w:highlight w:val="none"/>
          <w:u w:val="none" w:color="auto"/>
        </w:rPr>
        <w:t>-N削减量为</w:t>
      </w:r>
      <w:r>
        <w:rPr>
          <w:rFonts w:hint="default" w:ascii="Times New Roman" w:hAnsi="Times New Roman" w:cs="Times New Roman"/>
          <w:color w:val="auto"/>
          <w:highlight w:val="none"/>
          <w:u w:val="none" w:color="auto"/>
          <w:lang w:val="en-US" w:eastAsia="zh-CN"/>
        </w:rPr>
        <w:t>43.8</w:t>
      </w:r>
      <w:r>
        <w:rPr>
          <w:rFonts w:hint="default" w:ascii="Times New Roman" w:hAnsi="Times New Roman" w:cs="Times New Roman"/>
          <w:color w:val="auto"/>
          <w:highlight w:val="none"/>
          <w:u w:val="none" w:color="auto"/>
        </w:rPr>
        <w:t>t/a</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总磷</w:t>
      </w:r>
      <w:r>
        <w:rPr>
          <w:rFonts w:hint="default" w:ascii="Times New Roman" w:hAnsi="Times New Roman" w:cs="Times New Roman"/>
          <w:color w:val="000000" w:themeColor="text1"/>
          <w:highlight w:val="none"/>
          <w:u w:val="none" w:color="auto"/>
          <w14:textFill>
            <w14:solidFill>
              <w14:schemeClr w14:val="tx1"/>
            </w14:solidFill>
          </w14:textFill>
        </w:rPr>
        <w:t>削减量为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8.2125</w:t>
      </w:r>
      <w:r>
        <w:rPr>
          <w:rFonts w:hint="default" w:ascii="Times New Roman" w:hAnsi="Times New Roman" w:cs="Times New Roman"/>
          <w:color w:val="000000" w:themeColor="text1"/>
          <w:highlight w:val="none"/>
          <w:u w:val="none" w:color="auto"/>
          <w14:textFill>
            <w14:solidFill>
              <w14:schemeClr w14:val="tx1"/>
            </w14:solidFill>
          </w14:textFill>
        </w:rPr>
        <w:t>t/a</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总氮</w:t>
      </w:r>
      <w:r>
        <w:rPr>
          <w:rFonts w:hint="default" w:ascii="Times New Roman" w:hAnsi="Times New Roman" w:cs="Times New Roman"/>
          <w:color w:val="000000" w:themeColor="text1"/>
          <w:highlight w:val="none"/>
          <w:u w:val="none" w:color="auto"/>
          <w14:textFill>
            <w14:solidFill>
              <w14:schemeClr w14:val="tx1"/>
            </w14:solidFill>
          </w14:textFill>
        </w:rPr>
        <w:t>削减量为</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60.225</w:t>
      </w:r>
      <w:r>
        <w:rPr>
          <w:rFonts w:hint="default" w:ascii="Times New Roman" w:hAnsi="Times New Roman" w:cs="Times New Roman"/>
          <w:color w:val="000000" w:themeColor="text1"/>
          <w:highlight w:val="none"/>
          <w:u w:val="none" w:color="auto"/>
          <w14:textFill>
            <w14:solidFill>
              <w14:schemeClr w14:val="tx1"/>
            </w14:solidFill>
          </w14:textFill>
        </w:rPr>
        <w:t>t/a</w:t>
      </w:r>
      <w:r>
        <w:rPr>
          <w:rFonts w:hint="default" w:ascii="Times New Roman" w:hAnsi="Times New Roman" w:cs="Times New Roman"/>
          <w:color w:val="auto"/>
          <w:highlight w:val="none"/>
          <w:u w:val="none" w:color="auto"/>
        </w:rPr>
        <w:t>。该工程的实施将</w:t>
      </w:r>
      <w:r>
        <w:rPr>
          <w:rFonts w:hint="default" w:ascii="Times New Roman" w:hAnsi="Times New Roman" w:cs="Times New Roman"/>
          <w:color w:val="auto"/>
          <w:highlight w:val="none"/>
          <w:u w:val="none" w:color="auto"/>
          <w:lang w:val="en-US" w:eastAsia="zh-CN"/>
        </w:rPr>
        <w:t>大幅度减少区域污染物的排放量，对区域水环境的保护效果显著</w:t>
      </w:r>
      <w:r>
        <w:rPr>
          <w:rFonts w:hint="default" w:ascii="Times New Roman" w:hAnsi="Times New Roman" w:cs="Times New Roman"/>
          <w:color w:val="auto"/>
          <w:highlight w:val="none"/>
          <w:u w:val="none" w:color="auto"/>
        </w:rPr>
        <w:t>。</w:t>
      </w:r>
    </w:p>
    <w:p w14:paraId="1F87498C">
      <w:pPr>
        <w:pStyle w:val="189"/>
        <w:rPr>
          <w:rFonts w:hint="default" w:ascii="Times New Roman" w:hAnsi="Times New Roman" w:cs="Times New Roman" w:eastAsiaTheme="minorEastAsia"/>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项目建成后可促使区域污水的集中收集处理，有利于实现环境监管的有效性、长效性。减少企业未经处理而偷排、超标排污的可能性，促进区域水环境的改善。</w:t>
      </w:r>
    </w:p>
    <w:p w14:paraId="266676BC">
      <w:pPr>
        <w:pStyle w:val="4"/>
        <w:numPr>
          <w:ilvl w:val="2"/>
          <w:numId w:val="0"/>
        </w:numPr>
        <w:ind w:leftChars="0"/>
        <w:rPr>
          <w:rFonts w:hint="default" w:ascii="Times New Roman" w:hAnsi="Times New Roman" w:cs="Times New Roman"/>
          <w:color w:val="auto"/>
          <w:highlight w:val="none"/>
          <w:u w:val="none" w:color="auto"/>
        </w:rPr>
      </w:pPr>
      <w:bookmarkStart w:id="178" w:name="_Toc23949"/>
      <w:r>
        <w:rPr>
          <w:rFonts w:hint="default" w:ascii="Times New Roman" w:hAnsi="Times New Roman" w:cs="Times New Roman"/>
          <w:color w:val="auto"/>
          <w:highlight w:val="none"/>
          <w:u w:val="none" w:color="auto"/>
          <w:lang w:val="en-US" w:eastAsia="zh-CN"/>
        </w:rPr>
        <w:t xml:space="preserve">8.2.2 </w:t>
      </w:r>
      <w:r>
        <w:rPr>
          <w:rFonts w:hint="default" w:ascii="Times New Roman" w:hAnsi="Times New Roman" w:cs="Times New Roman"/>
          <w:color w:val="auto"/>
          <w:highlight w:val="none"/>
          <w:u w:val="none" w:color="auto"/>
        </w:rPr>
        <w:t>经济效益分析</w:t>
      </w:r>
      <w:bookmarkEnd w:id="178"/>
    </w:p>
    <w:p w14:paraId="572F888A">
      <w:pPr>
        <w:ind w:left="0" w:leftChars="0" w:firstLine="420" w:firstLineChars="0"/>
        <w:rPr>
          <w:rFonts w:hint="default" w:ascii="Times New Roman" w:hAnsi="Times New Roman" w:cs="Times New Roman"/>
          <w:color w:val="auto"/>
          <w:highlight w:val="none"/>
          <w:u w:val="none" w:color="auto"/>
        </w:rPr>
      </w:pPr>
      <w:bookmarkStart w:id="179" w:name="bookmark48"/>
      <w:bookmarkEnd w:id="179"/>
      <w:r>
        <w:rPr>
          <w:rFonts w:hint="default" w:ascii="Times New Roman" w:hAnsi="Times New Roman" w:cs="Times New Roman"/>
          <w:color w:val="auto"/>
          <w:highlight w:val="none"/>
          <w:u w:val="none" w:color="auto"/>
        </w:rPr>
        <w:t>本项目为公益性项目，项目投产后将本着“保本微利”的原则向用户收取适当的污水处理费用，以维持自身正常运转，基本不产生直接经济效益，但会产生间接经济效益，</w:t>
      </w:r>
    </w:p>
    <w:p w14:paraId="1FBA45A9">
      <w:pPr>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具体分析如下：</w:t>
      </w:r>
    </w:p>
    <w:p w14:paraId="7BD3DCAF">
      <w:pPr>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（1）项目的建设可减少服务范围内排污企业在污水处理上的环保投资。</w:t>
      </w:r>
    </w:p>
    <w:p w14:paraId="465D9A90">
      <w:pPr>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（2）项目建设将改善区域投资环境，促进区域经济发展。</w:t>
      </w:r>
    </w:p>
    <w:p w14:paraId="5EE7021E">
      <w:pPr>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（3）项目建设将大幅度削减区域污染物的排放，避免污水排放对排污口周边水域的污染以及由此产生的经济损失。</w:t>
      </w:r>
    </w:p>
    <w:p w14:paraId="34A91232">
      <w:pPr>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综上所述，项目建设将改善区域居民生活环境，有效地控制城市水污染，促进区域水环境质量的改善，优化城市投资环境，促进城市社会经济的可持续发展。</w:t>
      </w:r>
    </w:p>
    <w:p w14:paraId="58EAAF46">
      <w:pPr>
        <w:pStyle w:val="4"/>
        <w:numPr>
          <w:ilvl w:val="2"/>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8.2.3 社会</w:t>
      </w:r>
      <w:r>
        <w:rPr>
          <w:rFonts w:hint="default" w:ascii="Times New Roman" w:hAnsi="Times New Roman" w:cs="Times New Roman"/>
          <w:color w:val="auto"/>
          <w:highlight w:val="none"/>
          <w:u w:val="none" w:color="auto"/>
        </w:rPr>
        <w:t>效益分析</w:t>
      </w:r>
    </w:p>
    <w:p w14:paraId="31C7641C">
      <w:pPr>
        <w:ind w:left="0" w:leftChars="0" w:firstLine="480" w:firstLineChars="20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项目建成社会效益主要体现在一下几个方面：</w:t>
      </w:r>
    </w:p>
    <w:p w14:paraId="7864BA4C">
      <w:pPr>
        <w:ind w:left="0" w:leftChars="0" w:firstLine="48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（1）对改善</w:t>
      </w:r>
      <w:r>
        <w:rPr>
          <w:rFonts w:hint="default" w:ascii="Times New Roman" w:hAnsi="Times New Roman" w:cs="Times New Roman"/>
          <w:color w:val="auto"/>
          <w:highlight w:val="none"/>
          <w:u w:val="none" w:color="auto"/>
          <w:lang w:val="en-US" w:eastAsia="zh-CN"/>
        </w:rPr>
        <w:t>大通湖区</w:t>
      </w:r>
      <w:r>
        <w:rPr>
          <w:rFonts w:hint="default" w:ascii="Times New Roman" w:hAnsi="Times New Roman" w:cs="Times New Roman"/>
          <w:color w:val="auto"/>
          <w:highlight w:val="none"/>
          <w:u w:val="none" w:color="auto"/>
        </w:rPr>
        <w:t>的环境质量，改善居民生活条件，提高居民健康水平有重要作用。</w:t>
      </w:r>
    </w:p>
    <w:p w14:paraId="6DDDFD56">
      <w:pP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）项目建设能提供一些工作岗位，将解决一部分社会人员的就业问题。</w:t>
      </w:r>
    </w:p>
    <w:p w14:paraId="64E3B854">
      <w:pPr>
        <w:rPr>
          <w:rFonts w:hint="default" w:ascii="Times New Roman" w:hAnsi="Times New Roman" w:cs="Times New Roman"/>
          <w:color w:val="auto"/>
          <w:highlight w:val="none"/>
          <w:u w:val="none" w:color="auto"/>
        </w:rPr>
        <w:sectPr>
          <w:footerReference r:id="rId18"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）项目建设将改善区域水环境质量现状，减少因水环境污染问题而引发的社会矛盾，促进社会安定团结。</w:t>
      </w:r>
    </w:p>
    <w:p w14:paraId="56EBD75A">
      <w:pPr>
        <w:pStyle w:val="2"/>
        <w:numPr>
          <w:ilvl w:val="0"/>
          <w:numId w:val="0"/>
        </w:numPr>
        <w:ind w:leftChars="0"/>
        <w:rPr>
          <w:rFonts w:hint="default" w:ascii="Times New Roman" w:hAnsi="Times New Roman" w:cs="Times New Roman"/>
          <w:color w:val="auto"/>
          <w:highlight w:val="none"/>
          <w:u w:val="none" w:color="auto"/>
        </w:rPr>
      </w:pPr>
      <w:bookmarkStart w:id="180" w:name="bookmark50"/>
      <w:bookmarkEnd w:id="180"/>
      <w:bookmarkStart w:id="181" w:name="_Toc31336"/>
      <w:r>
        <w:rPr>
          <w:rFonts w:hint="default" w:ascii="Times New Roman" w:hAnsi="Times New Roman" w:cs="Times New Roman"/>
          <w:color w:val="auto"/>
          <w:highlight w:val="none"/>
          <w:u w:val="none" w:color="auto"/>
          <w:lang w:val="en-US" w:eastAsia="zh-CN"/>
        </w:rPr>
        <w:t xml:space="preserve">9 </w:t>
      </w:r>
      <w:r>
        <w:rPr>
          <w:rFonts w:hint="default" w:ascii="Times New Roman" w:hAnsi="Times New Roman" w:cs="Times New Roman"/>
          <w:color w:val="auto"/>
          <w:highlight w:val="none"/>
          <w:u w:val="none" w:color="auto"/>
        </w:rPr>
        <w:t>污染物总量控制</w:t>
      </w:r>
      <w:bookmarkEnd w:id="181"/>
    </w:p>
    <w:p w14:paraId="5DE85D16">
      <w:pPr>
        <w:pStyle w:val="3"/>
        <w:numPr>
          <w:ilvl w:val="1"/>
          <w:numId w:val="0"/>
        </w:numPr>
        <w:ind w:leftChars="0"/>
        <w:rPr>
          <w:rFonts w:hint="default" w:ascii="Times New Roman" w:hAnsi="Times New Roman" w:cs="Times New Roman"/>
          <w:color w:val="auto"/>
          <w:highlight w:val="none"/>
          <w:u w:val="none" w:color="auto"/>
        </w:rPr>
      </w:pPr>
      <w:bookmarkStart w:id="182" w:name="bookmark51"/>
      <w:bookmarkEnd w:id="182"/>
      <w:bookmarkStart w:id="183" w:name="_Toc10944"/>
      <w:r>
        <w:rPr>
          <w:rFonts w:hint="default" w:ascii="Times New Roman" w:hAnsi="Times New Roman" w:cs="Times New Roman"/>
          <w:color w:val="auto"/>
          <w:highlight w:val="none"/>
          <w:u w:val="none" w:color="auto"/>
          <w:lang w:val="en-US" w:eastAsia="zh-CN"/>
        </w:rPr>
        <w:t>9.1</w:t>
      </w:r>
      <w:r>
        <w:rPr>
          <w:rFonts w:hint="default" w:ascii="Times New Roman" w:hAnsi="Times New Roman" w:cs="Times New Roman"/>
          <w:color w:val="auto"/>
          <w:highlight w:val="none"/>
          <w:u w:val="none" w:color="auto"/>
        </w:rPr>
        <w:t>总量控制因子</w:t>
      </w:r>
      <w:bookmarkEnd w:id="183"/>
    </w:p>
    <w:p w14:paraId="33ABC16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根据项目排污特点，污染物排放总量控制对象分为两类，一类是列为我国社会经济</w:t>
      </w:r>
    </w:p>
    <w:p w14:paraId="7E215BDF">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发展的约束性指标，另一类是本项目特征污染物，总量控制指标如下：</w:t>
      </w:r>
    </w:p>
    <w:p w14:paraId="61125438">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（1）约束性指标：废水—化学需氧量、氨氮。</w:t>
      </w:r>
    </w:p>
    <w:p w14:paraId="14F5328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（2）特征污染物：废气—H</w:t>
      </w:r>
      <w:r>
        <w:rPr>
          <w:rFonts w:hint="default" w:ascii="Times New Roman" w:hAnsi="Times New Roman" w:cs="Times New Roman"/>
          <w:color w:val="auto"/>
          <w:highlight w:val="none"/>
          <w:u w:val="none" w:color="auto"/>
          <w:vertAlign w:val="subscript"/>
        </w:rPr>
        <w:t>2</w:t>
      </w:r>
      <w:r>
        <w:rPr>
          <w:rFonts w:hint="default" w:ascii="Times New Roman" w:hAnsi="Times New Roman" w:cs="Times New Roman"/>
          <w:color w:val="auto"/>
          <w:highlight w:val="none"/>
          <w:u w:val="none" w:color="auto"/>
        </w:rPr>
        <w:t>S、NH</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w:t>
      </w:r>
    </w:p>
    <w:p w14:paraId="65CA5F77">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另根据生态环境部环水体〔2018〕16号《关于加强固定污染源氮磷污染防治的通知》，</w:t>
      </w:r>
    </w:p>
    <w:p w14:paraId="087C02E4">
      <w:pPr>
        <w:pStyle w:val="189"/>
        <w:ind w:left="0" w:lef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将污水集中处理设施作为氮磷排放重点行业，因此将总磷、总氮作为本项目特征污染物</w:t>
      </w:r>
    </w:p>
    <w:p w14:paraId="3637398F">
      <w:pPr>
        <w:pStyle w:val="189"/>
        <w:ind w:left="0" w:lef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进行总量控制。</w:t>
      </w:r>
    </w:p>
    <w:p w14:paraId="28355EF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根据国家总量控制指标体系要求，结合项目污染物排放特点，确定本项目的总量控制因子为水污染物：化学需氧量（COD）、氨氮（NH</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-N）、总磷（TP）和总氮（TN）。</w:t>
      </w:r>
    </w:p>
    <w:p w14:paraId="5E014DA8">
      <w:pPr>
        <w:pStyle w:val="3"/>
        <w:numPr>
          <w:ilvl w:val="1"/>
          <w:numId w:val="0"/>
        </w:numPr>
        <w:ind w:leftChars="0"/>
        <w:rPr>
          <w:rFonts w:hint="default" w:ascii="Times New Roman" w:hAnsi="Times New Roman" w:cs="Times New Roman"/>
          <w:color w:val="auto"/>
          <w:highlight w:val="none"/>
          <w:u w:val="none" w:color="auto"/>
        </w:rPr>
      </w:pPr>
      <w:bookmarkStart w:id="184" w:name="bookmark52"/>
      <w:bookmarkEnd w:id="184"/>
      <w:bookmarkStart w:id="185" w:name="_Toc29120"/>
      <w:r>
        <w:rPr>
          <w:rFonts w:hint="default" w:ascii="Times New Roman" w:hAnsi="Times New Roman" w:cs="Times New Roman"/>
          <w:color w:val="auto"/>
          <w:highlight w:val="none"/>
          <w:u w:val="none" w:color="auto"/>
          <w:lang w:val="en-US" w:eastAsia="zh-CN"/>
        </w:rPr>
        <w:t xml:space="preserve">9.2 </w:t>
      </w:r>
      <w:r>
        <w:rPr>
          <w:rFonts w:hint="default" w:ascii="Times New Roman" w:hAnsi="Times New Roman" w:cs="Times New Roman"/>
          <w:color w:val="auto"/>
          <w:highlight w:val="none"/>
          <w:u w:val="none" w:color="auto"/>
        </w:rPr>
        <w:t>污染物排放总量控制指标分析</w:t>
      </w:r>
      <w:bookmarkEnd w:id="185"/>
    </w:p>
    <w:p w14:paraId="3DD57E22">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本工程处理后的尾水达到《城镇污水处理厂污染物排放标准》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cs="Times New Roman"/>
          <w:color w:val="auto"/>
          <w:highlight w:val="none"/>
          <w:u w:val="none" w:color="auto"/>
        </w:rPr>
        <w:t>一级A标准后排入</w:t>
      </w:r>
      <w:r>
        <w:rPr>
          <w:rFonts w:hint="default" w:ascii="Times New Roman" w:hAnsi="Times New Roman" w:cs="Times New Roman"/>
          <w:color w:val="auto"/>
          <w:highlight w:val="none"/>
          <w:u w:val="none" w:color="auto"/>
          <w:lang w:val="en-US" w:eastAsia="zh-CN"/>
        </w:rPr>
        <w:t>机排二十渠</w:t>
      </w:r>
      <w:r>
        <w:rPr>
          <w:rFonts w:hint="default" w:ascii="Times New Roman" w:hAnsi="Times New Roman" w:cs="Times New Roman"/>
          <w:color w:val="auto"/>
          <w:highlight w:val="none"/>
          <w:u w:val="none" w:color="auto"/>
        </w:rPr>
        <w:t>，后经</w:t>
      </w:r>
      <w:r>
        <w:rPr>
          <w:rFonts w:hint="default" w:ascii="Times New Roman" w:hAnsi="Times New Roman" w:cs="Times New Roman"/>
          <w:color w:val="auto"/>
          <w:highlight w:val="none"/>
          <w:u w:val="none" w:color="auto"/>
          <w:lang w:val="en-US" w:eastAsia="zh-CN"/>
        </w:rPr>
        <w:t>机排二十</w:t>
      </w:r>
      <w:r>
        <w:rPr>
          <w:rFonts w:hint="default" w:ascii="Times New Roman" w:hAnsi="Times New Roman" w:cs="Times New Roman"/>
          <w:color w:val="auto"/>
          <w:highlight w:val="none"/>
          <w:u w:val="none" w:color="auto"/>
        </w:rPr>
        <w:t>渠进入</w:t>
      </w:r>
      <w:r>
        <w:rPr>
          <w:rFonts w:hint="default" w:ascii="Times New Roman" w:hAnsi="Times New Roman" w:cs="Times New Roman"/>
          <w:color w:val="auto"/>
          <w:highlight w:val="none"/>
          <w:u w:val="none" w:color="auto"/>
          <w:lang w:val="en-US" w:eastAsia="zh-CN"/>
        </w:rPr>
        <w:t>老三运</w:t>
      </w:r>
      <w:r>
        <w:rPr>
          <w:rFonts w:hint="default" w:ascii="Times New Roman" w:hAnsi="Times New Roman" w:cs="Times New Roman"/>
          <w:color w:val="auto"/>
          <w:highlight w:val="none"/>
          <w:u w:val="none" w:color="auto"/>
        </w:rPr>
        <w:t>河。</w:t>
      </w:r>
    </w:p>
    <w:p w14:paraId="7EDFAA6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按照进出水水质及废水排放量估算，本工程实施后排放 COD：</w:t>
      </w:r>
      <w:r>
        <w:rPr>
          <w:rFonts w:hint="default" w:ascii="Times New Roman" w:hAnsi="Times New Roman" w:cs="Times New Roman"/>
          <w:color w:val="auto"/>
          <w:highlight w:val="none"/>
          <w:u w:val="none" w:color="auto"/>
          <w:lang w:val="en-US" w:eastAsia="zh-CN"/>
        </w:rPr>
        <w:t>54.75</w:t>
      </w:r>
      <w:r>
        <w:rPr>
          <w:rFonts w:hint="default" w:ascii="Times New Roman" w:hAnsi="Times New Roman" w:cs="Times New Roman"/>
          <w:color w:val="auto"/>
          <w:highlight w:val="none"/>
          <w:u w:val="none" w:color="auto"/>
        </w:rPr>
        <w:t>t/a，NH</w:t>
      </w:r>
      <w:r>
        <w:rPr>
          <w:rFonts w:hint="default" w:ascii="Times New Roman" w:hAnsi="Times New Roman" w:cs="Times New Roman"/>
          <w:color w:val="auto"/>
          <w:sz w:val="15"/>
          <w:szCs w:val="15"/>
          <w:highlight w:val="none"/>
          <w:u w:val="none" w:color="auto"/>
        </w:rPr>
        <w:t>3</w:t>
      </w:r>
      <w:r>
        <w:rPr>
          <w:rFonts w:hint="default" w:ascii="Times New Roman" w:hAnsi="Times New Roman" w:cs="Times New Roman"/>
          <w:color w:val="auto"/>
          <w:highlight w:val="none"/>
          <w:u w:val="none" w:color="auto"/>
        </w:rPr>
        <w:t>-N：</w:t>
      </w:r>
      <w:r>
        <w:rPr>
          <w:rFonts w:hint="default" w:ascii="Times New Roman" w:hAnsi="Times New Roman" w:cs="Times New Roman"/>
          <w:color w:val="auto"/>
          <w:highlight w:val="none"/>
          <w:u w:val="none" w:color="auto"/>
          <w:lang w:val="en-US" w:eastAsia="zh-CN"/>
        </w:rPr>
        <w:t>5.475</w:t>
      </w:r>
      <w:r>
        <w:rPr>
          <w:rFonts w:hint="default" w:ascii="Times New Roman" w:hAnsi="Times New Roman" w:cs="Times New Roman"/>
          <w:color w:val="auto"/>
          <w:highlight w:val="none"/>
          <w:u w:val="none" w:color="auto"/>
        </w:rPr>
        <w:t>t/a，</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TP：0.5475</w:t>
      </w:r>
      <w:r>
        <w:rPr>
          <w:rFonts w:hint="default" w:ascii="Times New Roman" w:hAnsi="Times New Roman" w:cs="Times New Roman"/>
          <w:color w:val="000000" w:themeColor="text1"/>
          <w:highlight w:val="none"/>
          <w:u w:val="none" w:color="auto"/>
          <w14:textFill>
            <w14:solidFill>
              <w14:schemeClr w14:val="tx1"/>
            </w14:solidFill>
          </w14:textFill>
        </w:rPr>
        <w:t>t/a</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TN：16.425</w:t>
      </w:r>
      <w:r>
        <w:rPr>
          <w:rFonts w:hint="default" w:ascii="Times New Roman" w:hAnsi="Times New Roman" w:cs="Times New Roman"/>
          <w:color w:val="000000" w:themeColor="text1"/>
          <w:highlight w:val="none"/>
          <w:u w:val="none" w:color="auto"/>
          <w14:textFill>
            <w14:solidFill>
              <w14:schemeClr w14:val="tx1"/>
            </w14:solidFill>
          </w14:textFill>
        </w:rPr>
        <w:t>t/a</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auto"/>
          <w:highlight w:val="none"/>
          <w:u w:val="none" w:color="auto"/>
        </w:rPr>
        <w:t>削减量分别为 COD：</w:t>
      </w:r>
      <w:r>
        <w:rPr>
          <w:rFonts w:hint="default" w:ascii="Times New Roman" w:hAnsi="Times New Roman" w:cs="Times New Roman"/>
          <w:color w:val="auto"/>
          <w:highlight w:val="none"/>
          <w:u w:val="none" w:color="auto"/>
          <w:lang w:val="en-US" w:eastAsia="zh-CN"/>
        </w:rPr>
        <w:t>492.75</w:t>
      </w:r>
      <w:r>
        <w:rPr>
          <w:rFonts w:hint="default" w:ascii="Times New Roman" w:hAnsi="Times New Roman" w:cs="Times New Roman"/>
          <w:color w:val="auto"/>
          <w:highlight w:val="none"/>
          <w:u w:val="none" w:color="auto"/>
        </w:rPr>
        <w:t>t/a，NH</w:t>
      </w:r>
      <w:r>
        <w:rPr>
          <w:rFonts w:hint="default" w:ascii="Times New Roman" w:hAnsi="Times New Roman" w:cs="Times New Roman"/>
          <w:color w:val="auto"/>
          <w:sz w:val="15"/>
          <w:szCs w:val="15"/>
          <w:highlight w:val="none"/>
          <w:u w:val="none" w:color="auto"/>
        </w:rPr>
        <w:t>3</w:t>
      </w:r>
      <w:r>
        <w:rPr>
          <w:rFonts w:hint="default" w:ascii="Times New Roman" w:hAnsi="Times New Roman" w:cs="Times New Roman"/>
          <w:color w:val="auto"/>
          <w:highlight w:val="none"/>
          <w:u w:val="none" w:color="auto"/>
        </w:rPr>
        <w:t>-N</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43.8</w:t>
      </w:r>
      <w:r>
        <w:rPr>
          <w:rFonts w:hint="default" w:ascii="Times New Roman" w:hAnsi="Times New Roman" w:cs="Times New Roman"/>
          <w:color w:val="auto"/>
          <w:highlight w:val="none"/>
          <w:u w:val="none" w:color="auto"/>
        </w:rPr>
        <w:t>t/a</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TP：8.2125</w:t>
      </w:r>
      <w:r>
        <w:rPr>
          <w:rFonts w:hint="default" w:ascii="Times New Roman" w:hAnsi="Times New Roman" w:cs="Times New Roman"/>
          <w:color w:val="000000" w:themeColor="text1"/>
          <w:highlight w:val="none"/>
          <w:u w:val="none" w:color="auto"/>
          <w14:textFill>
            <w14:solidFill>
              <w14:schemeClr w14:val="tx1"/>
            </w14:solidFill>
          </w14:textFill>
        </w:rPr>
        <w:t>t/a</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TN：60.225</w:t>
      </w:r>
      <w:r>
        <w:rPr>
          <w:rFonts w:hint="default" w:ascii="Times New Roman" w:hAnsi="Times New Roman" w:cs="Times New Roman"/>
          <w:color w:val="000000" w:themeColor="text1"/>
          <w:highlight w:val="none"/>
          <w:u w:val="none" w:color="auto"/>
          <w14:textFill>
            <w14:solidFill>
              <w14:schemeClr w14:val="tx1"/>
            </w14:solidFill>
          </w14:textFill>
        </w:rPr>
        <w:t>t/a</w:t>
      </w:r>
      <w:r>
        <w:rPr>
          <w:rFonts w:hint="default" w:ascii="Times New Roman" w:hAnsi="Times New Roman" w:cs="Times New Roman"/>
          <w:color w:val="auto"/>
          <w:highlight w:val="none"/>
          <w:u w:val="none" w:color="auto"/>
        </w:rPr>
        <w:t>。</w:t>
      </w:r>
    </w:p>
    <w:p w14:paraId="77073F5E">
      <w:pPr>
        <w:pStyle w:val="194"/>
        <w:spacing w:line="240" w:lineRule="auto"/>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9</w:t>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w:t>
      </w:r>
      <w:r>
        <w:rPr>
          <w:rFonts w:hint="default" w:ascii="Times New Roman" w:hAnsi="Times New Roman" w:cs="Times New Roman"/>
          <w:color w:val="auto"/>
          <w:highlight w:val="none"/>
          <w:u w:val="none" w:color="auto"/>
          <w:lang w:eastAsia="zh-CN"/>
        </w:rPr>
        <w:t>工程</w:t>
      </w:r>
      <w:r>
        <w:rPr>
          <w:rFonts w:hint="default" w:ascii="Times New Roman" w:hAnsi="Times New Roman" w:cs="Times New Roman"/>
          <w:color w:val="auto"/>
          <w:highlight w:val="none"/>
          <w:u w:val="none" w:color="auto"/>
        </w:rPr>
        <w:t>总量</w:t>
      </w:r>
      <w:r>
        <w:rPr>
          <w:rFonts w:hint="default" w:ascii="Times New Roman" w:hAnsi="Times New Roman" w:cs="Times New Roman"/>
          <w:color w:val="auto"/>
          <w:highlight w:val="none"/>
          <w:u w:val="none" w:color="auto"/>
          <w:lang w:eastAsia="zh-CN"/>
        </w:rPr>
        <w:t>计算情况表</w:t>
      </w:r>
    </w:p>
    <w:tbl>
      <w:tblPr>
        <w:tblStyle w:val="76"/>
        <w:tblW w:w="478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24"/>
        <w:gridCol w:w="578"/>
        <w:gridCol w:w="1687"/>
        <w:gridCol w:w="898"/>
        <w:gridCol w:w="948"/>
        <w:gridCol w:w="779"/>
        <w:gridCol w:w="891"/>
        <w:gridCol w:w="795"/>
        <w:gridCol w:w="784"/>
        <w:gridCol w:w="821"/>
      </w:tblGrid>
      <w:tr w14:paraId="0B7B8F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24" w:hRule="atLeast"/>
          <w:jc w:val="center"/>
        </w:trPr>
        <w:tc>
          <w:tcPr>
            <w:tcW w:w="1098" w:type="dxa"/>
            <w:gridSpan w:val="2"/>
            <w:vAlign w:val="center"/>
          </w:tcPr>
          <w:p w14:paraId="51BF0DBA">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分类</w:t>
            </w:r>
          </w:p>
        </w:tc>
        <w:tc>
          <w:tcPr>
            <w:tcW w:w="1682" w:type="dxa"/>
            <w:vAlign w:val="center"/>
          </w:tcPr>
          <w:p w14:paraId="6C1C574B">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参数</w:t>
            </w:r>
          </w:p>
        </w:tc>
        <w:tc>
          <w:tcPr>
            <w:tcW w:w="895" w:type="dxa"/>
            <w:vAlign w:val="center"/>
          </w:tcPr>
          <w:p w14:paraId="7D995B37">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 xml:space="preserve">水量（万 </w:t>
            </w:r>
            <w:r>
              <w:rPr>
                <w:rFonts w:hint="default" w:ascii="Times New Roman" w:hAnsi="Times New Roman" w:cs="Times New Roman"/>
                <w:b/>
                <w:bCs/>
                <w:color w:val="000000" w:themeColor="text1"/>
                <w:spacing w:val="-1"/>
                <w:sz w:val="24"/>
                <w:szCs w:val="24"/>
                <w:highlight w:val="none"/>
                <w:u w:val="none" w:color="auto"/>
                <w14:textFill>
                  <w14:solidFill>
                    <w14:schemeClr w14:val="tx1"/>
                  </w14:solidFill>
                </w14:textFill>
              </w:rPr>
              <w:t>m</w:t>
            </w:r>
            <w:r>
              <w:rPr>
                <w:rFonts w:hint="default" w:ascii="Times New Roman" w:hAnsi="Times New Roman" w:cs="Times New Roman"/>
                <w:b/>
                <w:bCs/>
                <w:color w:val="000000" w:themeColor="text1"/>
                <w:position w:val="10"/>
                <w:sz w:val="14"/>
                <w:szCs w:val="14"/>
                <w:highlight w:val="none"/>
                <w:u w:val="none" w:color="auto"/>
                <w14:textFill>
                  <w14:solidFill>
                    <w14:schemeClr w14:val="tx1"/>
                  </w14:solidFill>
                </w14:textFill>
              </w:rPr>
              <w:t>3</w:t>
            </w:r>
            <w:r>
              <w:rPr>
                <w:rFonts w:hint="default" w:ascii="Times New Roman" w:hAnsi="Times New Roman" w:cs="Times New Roman"/>
                <w:b/>
                <w:bCs/>
                <w:color w:val="000000" w:themeColor="text1"/>
                <w:highlight w:val="none"/>
                <w:u w:val="none" w:color="auto"/>
                <w14:textFill>
                  <w14:solidFill>
                    <w14:schemeClr w14:val="tx1"/>
                  </w14:solidFill>
                </w14:textFill>
              </w:rPr>
              <w:t>/a）</w:t>
            </w:r>
          </w:p>
        </w:tc>
        <w:tc>
          <w:tcPr>
            <w:tcW w:w="945" w:type="dxa"/>
            <w:vAlign w:val="center"/>
          </w:tcPr>
          <w:p w14:paraId="358A13A7">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COD</w:t>
            </w:r>
            <w:r>
              <w:rPr>
                <w:rFonts w:hint="default" w:ascii="Times New Roman" w:hAnsi="Times New Roman" w:cs="Times New Roman"/>
                <w:b/>
                <w:bCs/>
                <w:color w:val="000000" w:themeColor="text1"/>
                <w:sz w:val="16"/>
                <w:szCs w:val="16"/>
                <w:highlight w:val="none"/>
                <w:u w:val="none" w:color="auto"/>
                <w14:textFill>
                  <w14:solidFill>
                    <w14:schemeClr w14:val="tx1"/>
                  </w14:solidFill>
                </w14:textFill>
              </w:rPr>
              <w:t>cr</w:t>
            </w:r>
          </w:p>
        </w:tc>
        <w:tc>
          <w:tcPr>
            <w:tcW w:w="776" w:type="dxa"/>
            <w:vAlign w:val="center"/>
          </w:tcPr>
          <w:p w14:paraId="5BB2D0F1">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BOD</w:t>
            </w:r>
            <w:r>
              <w:rPr>
                <w:rFonts w:hint="default" w:ascii="Times New Roman" w:hAnsi="Times New Roman" w:cs="Times New Roman"/>
                <w:b/>
                <w:bCs/>
                <w:color w:val="000000" w:themeColor="text1"/>
                <w:sz w:val="16"/>
                <w:szCs w:val="16"/>
                <w:highlight w:val="none"/>
                <w:u w:val="none" w:color="auto"/>
                <w14:textFill>
                  <w14:solidFill>
                    <w14:schemeClr w14:val="tx1"/>
                  </w14:solidFill>
                </w14:textFill>
              </w:rPr>
              <w:t>5</w:t>
            </w:r>
          </w:p>
        </w:tc>
        <w:tc>
          <w:tcPr>
            <w:tcW w:w="888" w:type="dxa"/>
            <w:vAlign w:val="center"/>
          </w:tcPr>
          <w:p w14:paraId="10C88EF9">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SS</w:t>
            </w:r>
          </w:p>
        </w:tc>
        <w:tc>
          <w:tcPr>
            <w:tcW w:w="792" w:type="dxa"/>
            <w:vAlign w:val="center"/>
          </w:tcPr>
          <w:p w14:paraId="7365B84F">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NH</w:t>
            </w:r>
            <w:r>
              <w:rPr>
                <w:rFonts w:hint="default" w:ascii="Times New Roman" w:hAnsi="Times New Roman" w:cs="Times New Roman"/>
                <w:b/>
                <w:bCs/>
                <w:color w:val="000000" w:themeColor="text1"/>
                <w:sz w:val="16"/>
                <w:szCs w:val="16"/>
                <w:highlight w:val="none"/>
                <w:u w:val="none" w:color="auto"/>
                <w14:textFill>
                  <w14:solidFill>
                    <w14:schemeClr w14:val="tx1"/>
                  </w14:solidFill>
                </w14:textFill>
              </w:rPr>
              <w:t>3</w:t>
            </w:r>
            <w:r>
              <w:rPr>
                <w:rFonts w:hint="default" w:ascii="Times New Roman" w:hAnsi="Times New Roman" w:cs="Times New Roman"/>
                <w:b/>
                <w:bCs/>
                <w:color w:val="000000" w:themeColor="text1"/>
                <w:highlight w:val="none"/>
                <w:u w:val="none" w:color="auto"/>
                <w14:textFill>
                  <w14:solidFill>
                    <w14:schemeClr w14:val="tx1"/>
                  </w14:solidFill>
                </w14:textFill>
              </w:rPr>
              <w:t>-N</w:t>
            </w:r>
          </w:p>
        </w:tc>
        <w:tc>
          <w:tcPr>
            <w:tcW w:w="781" w:type="dxa"/>
            <w:vAlign w:val="center"/>
          </w:tcPr>
          <w:p w14:paraId="4ADBE50B">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TN</w:t>
            </w:r>
          </w:p>
        </w:tc>
        <w:tc>
          <w:tcPr>
            <w:tcW w:w="818" w:type="dxa"/>
            <w:vAlign w:val="center"/>
          </w:tcPr>
          <w:p w14:paraId="400E495B">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TP</w:t>
            </w:r>
          </w:p>
        </w:tc>
      </w:tr>
      <w:tr w14:paraId="1510ED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atLeast"/>
          <w:jc w:val="center"/>
        </w:trPr>
        <w:tc>
          <w:tcPr>
            <w:tcW w:w="522" w:type="dxa"/>
            <w:vMerge w:val="restart"/>
            <w:vAlign w:val="center"/>
          </w:tcPr>
          <w:p w14:paraId="6DDD2642">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highlight w:val="none"/>
                <w:u w:val="none" w:color="auto"/>
                <w:lang w:val="en-US" w:eastAsia="zh-CN"/>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改扩建后</w:t>
            </w:r>
          </w:p>
        </w:tc>
        <w:tc>
          <w:tcPr>
            <w:tcW w:w="576" w:type="dxa"/>
            <w:vMerge w:val="restart"/>
            <w:vAlign w:val="center"/>
          </w:tcPr>
          <w:p w14:paraId="4D31500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进水</w:t>
            </w:r>
          </w:p>
        </w:tc>
        <w:tc>
          <w:tcPr>
            <w:tcW w:w="1682" w:type="dxa"/>
            <w:vAlign w:val="center"/>
          </w:tcPr>
          <w:p w14:paraId="2093192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进水浓度(mg/L)</w:t>
            </w:r>
          </w:p>
        </w:tc>
        <w:tc>
          <w:tcPr>
            <w:tcW w:w="895" w:type="dxa"/>
            <w:vMerge w:val="restart"/>
            <w:vAlign w:val="center"/>
          </w:tcPr>
          <w:p w14:paraId="4211AECC">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109.5</w:t>
            </w:r>
          </w:p>
        </w:tc>
        <w:tc>
          <w:tcPr>
            <w:tcW w:w="945" w:type="dxa"/>
            <w:vAlign w:val="center"/>
          </w:tcPr>
          <w:p w14:paraId="1D0D5E63">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500</w:t>
            </w:r>
          </w:p>
        </w:tc>
        <w:tc>
          <w:tcPr>
            <w:tcW w:w="776" w:type="dxa"/>
            <w:vAlign w:val="center"/>
          </w:tcPr>
          <w:p w14:paraId="1FF197D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350</w:t>
            </w:r>
          </w:p>
        </w:tc>
        <w:tc>
          <w:tcPr>
            <w:tcW w:w="888" w:type="dxa"/>
            <w:vAlign w:val="center"/>
          </w:tcPr>
          <w:p w14:paraId="0359CAA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400</w:t>
            </w:r>
          </w:p>
        </w:tc>
        <w:tc>
          <w:tcPr>
            <w:tcW w:w="792" w:type="dxa"/>
            <w:vAlign w:val="center"/>
          </w:tcPr>
          <w:p w14:paraId="7491D4F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45</w:t>
            </w:r>
          </w:p>
        </w:tc>
        <w:tc>
          <w:tcPr>
            <w:tcW w:w="781" w:type="dxa"/>
            <w:vAlign w:val="center"/>
          </w:tcPr>
          <w:p w14:paraId="646E5A52">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70</w:t>
            </w:r>
          </w:p>
        </w:tc>
        <w:tc>
          <w:tcPr>
            <w:tcW w:w="818" w:type="dxa"/>
            <w:vAlign w:val="center"/>
          </w:tcPr>
          <w:p w14:paraId="05CA4DA0">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w:t>
            </w:r>
          </w:p>
        </w:tc>
      </w:tr>
      <w:tr w14:paraId="1A902B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atLeast"/>
          <w:jc w:val="center"/>
        </w:trPr>
        <w:tc>
          <w:tcPr>
            <w:tcW w:w="522" w:type="dxa"/>
            <w:vMerge w:val="continue"/>
            <w:vAlign w:val="center"/>
          </w:tcPr>
          <w:p w14:paraId="7F831DC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rPr>
            </w:pPr>
          </w:p>
        </w:tc>
        <w:tc>
          <w:tcPr>
            <w:tcW w:w="576" w:type="dxa"/>
            <w:vMerge w:val="continue"/>
            <w:vAlign w:val="center"/>
          </w:tcPr>
          <w:p w14:paraId="18F1BD08">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1682" w:type="dxa"/>
            <w:vAlign w:val="center"/>
          </w:tcPr>
          <w:p w14:paraId="3B514F5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产生量（t/a）</w:t>
            </w:r>
          </w:p>
        </w:tc>
        <w:tc>
          <w:tcPr>
            <w:tcW w:w="895" w:type="dxa"/>
            <w:vMerge w:val="continue"/>
            <w:vAlign w:val="center"/>
          </w:tcPr>
          <w:p w14:paraId="56B6B51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945" w:type="dxa"/>
            <w:vAlign w:val="center"/>
          </w:tcPr>
          <w:p w14:paraId="553ACEC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547.5</w:t>
            </w:r>
          </w:p>
        </w:tc>
        <w:tc>
          <w:tcPr>
            <w:tcW w:w="776" w:type="dxa"/>
            <w:vAlign w:val="center"/>
          </w:tcPr>
          <w:p w14:paraId="7116FE2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383.25</w:t>
            </w:r>
          </w:p>
        </w:tc>
        <w:tc>
          <w:tcPr>
            <w:tcW w:w="888" w:type="dxa"/>
            <w:vAlign w:val="center"/>
          </w:tcPr>
          <w:p w14:paraId="50B1E78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438</w:t>
            </w:r>
          </w:p>
        </w:tc>
        <w:tc>
          <w:tcPr>
            <w:tcW w:w="792" w:type="dxa"/>
            <w:vAlign w:val="center"/>
          </w:tcPr>
          <w:p w14:paraId="0D5D4D4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49.275</w:t>
            </w:r>
          </w:p>
        </w:tc>
        <w:tc>
          <w:tcPr>
            <w:tcW w:w="781" w:type="dxa"/>
            <w:vAlign w:val="center"/>
          </w:tcPr>
          <w:p w14:paraId="35D71DD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76.65</w:t>
            </w:r>
          </w:p>
        </w:tc>
        <w:tc>
          <w:tcPr>
            <w:tcW w:w="818" w:type="dxa"/>
            <w:vAlign w:val="center"/>
          </w:tcPr>
          <w:p w14:paraId="2A3B98F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8.76</w:t>
            </w:r>
          </w:p>
        </w:tc>
      </w:tr>
      <w:tr w14:paraId="511AB2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9" w:hRule="atLeast"/>
          <w:jc w:val="center"/>
        </w:trPr>
        <w:tc>
          <w:tcPr>
            <w:tcW w:w="522" w:type="dxa"/>
            <w:vMerge w:val="continue"/>
            <w:vAlign w:val="center"/>
          </w:tcPr>
          <w:p w14:paraId="01CB8B9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rPr>
            </w:pPr>
          </w:p>
        </w:tc>
        <w:tc>
          <w:tcPr>
            <w:tcW w:w="576" w:type="dxa"/>
            <w:vMerge w:val="restart"/>
            <w:vAlign w:val="center"/>
          </w:tcPr>
          <w:p w14:paraId="060588A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出水</w:t>
            </w:r>
          </w:p>
        </w:tc>
        <w:tc>
          <w:tcPr>
            <w:tcW w:w="1682" w:type="dxa"/>
            <w:vAlign w:val="center"/>
          </w:tcPr>
          <w:p w14:paraId="54EE675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排水浓度(mg/L)</w:t>
            </w:r>
          </w:p>
        </w:tc>
        <w:tc>
          <w:tcPr>
            <w:tcW w:w="895" w:type="dxa"/>
            <w:vMerge w:val="restart"/>
            <w:vAlign w:val="center"/>
          </w:tcPr>
          <w:p w14:paraId="1237D55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109.5</w:t>
            </w:r>
          </w:p>
        </w:tc>
        <w:tc>
          <w:tcPr>
            <w:tcW w:w="945" w:type="dxa"/>
            <w:vAlign w:val="center"/>
          </w:tcPr>
          <w:p w14:paraId="67C4407D">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50</w:t>
            </w:r>
          </w:p>
        </w:tc>
        <w:tc>
          <w:tcPr>
            <w:tcW w:w="776" w:type="dxa"/>
            <w:vAlign w:val="center"/>
          </w:tcPr>
          <w:p w14:paraId="03E9F8F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p>
        </w:tc>
        <w:tc>
          <w:tcPr>
            <w:tcW w:w="888" w:type="dxa"/>
            <w:vAlign w:val="center"/>
          </w:tcPr>
          <w:p w14:paraId="62EE512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w:t>
            </w:r>
          </w:p>
        </w:tc>
        <w:tc>
          <w:tcPr>
            <w:tcW w:w="792" w:type="dxa"/>
            <w:vAlign w:val="center"/>
          </w:tcPr>
          <w:p w14:paraId="686A2DE4">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w:t>
            </w:r>
          </w:p>
        </w:tc>
        <w:tc>
          <w:tcPr>
            <w:tcW w:w="781" w:type="dxa"/>
            <w:vAlign w:val="center"/>
          </w:tcPr>
          <w:p w14:paraId="6C96BF5B">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15</w:t>
            </w:r>
          </w:p>
        </w:tc>
        <w:tc>
          <w:tcPr>
            <w:tcW w:w="818" w:type="dxa"/>
            <w:vAlign w:val="center"/>
          </w:tcPr>
          <w:p w14:paraId="1148BEEF">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0.5</w:t>
            </w:r>
          </w:p>
        </w:tc>
      </w:tr>
      <w:tr w14:paraId="10D782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6" w:hRule="atLeast"/>
          <w:jc w:val="center"/>
        </w:trPr>
        <w:tc>
          <w:tcPr>
            <w:tcW w:w="522" w:type="dxa"/>
            <w:vMerge w:val="continue"/>
            <w:vAlign w:val="center"/>
          </w:tcPr>
          <w:p w14:paraId="47163791">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rPr>
            </w:pPr>
          </w:p>
        </w:tc>
        <w:tc>
          <w:tcPr>
            <w:tcW w:w="576" w:type="dxa"/>
            <w:vMerge w:val="continue"/>
            <w:vAlign w:val="center"/>
          </w:tcPr>
          <w:p w14:paraId="3FAC7BB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FF0000"/>
                <w:highlight w:val="none"/>
                <w:u w:val="none" w:color="auto"/>
              </w:rPr>
            </w:pPr>
          </w:p>
        </w:tc>
        <w:tc>
          <w:tcPr>
            <w:tcW w:w="1682" w:type="dxa"/>
            <w:vAlign w:val="center"/>
          </w:tcPr>
          <w:p w14:paraId="111F67B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排放量（t/a）</w:t>
            </w:r>
          </w:p>
        </w:tc>
        <w:tc>
          <w:tcPr>
            <w:tcW w:w="895" w:type="dxa"/>
            <w:vMerge w:val="continue"/>
            <w:vAlign w:val="center"/>
          </w:tcPr>
          <w:p w14:paraId="1B929E53">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p>
        </w:tc>
        <w:tc>
          <w:tcPr>
            <w:tcW w:w="945" w:type="dxa"/>
            <w:vAlign w:val="center"/>
          </w:tcPr>
          <w:p w14:paraId="1E70E94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54.75</w:t>
            </w:r>
          </w:p>
        </w:tc>
        <w:tc>
          <w:tcPr>
            <w:tcW w:w="776" w:type="dxa"/>
            <w:vAlign w:val="center"/>
          </w:tcPr>
          <w:p w14:paraId="51801CB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10.95</w:t>
            </w:r>
          </w:p>
        </w:tc>
        <w:tc>
          <w:tcPr>
            <w:tcW w:w="888" w:type="dxa"/>
            <w:vAlign w:val="center"/>
          </w:tcPr>
          <w:p w14:paraId="3ADBCEF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10.95</w:t>
            </w:r>
          </w:p>
        </w:tc>
        <w:tc>
          <w:tcPr>
            <w:tcW w:w="792" w:type="dxa"/>
            <w:vAlign w:val="center"/>
          </w:tcPr>
          <w:p w14:paraId="7E12C6E9">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5.475</w:t>
            </w:r>
          </w:p>
        </w:tc>
        <w:tc>
          <w:tcPr>
            <w:tcW w:w="781" w:type="dxa"/>
            <w:vAlign w:val="center"/>
          </w:tcPr>
          <w:p w14:paraId="72EC2C3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16.425</w:t>
            </w:r>
          </w:p>
        </w:tc>
        <w:tc>
          <w:tcPr>
            <w:tcW w:w="818" w:type="dxa"/>
            <w:vAlign w:val="center"/>
          </w:tcPr>
          <w:p w14:paraId="46F98A7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0.5475</w:t>
            </w:r>
          </w:p>
        </w:tc>
      </w:tr>
      <w:tr w14:paraId="224BFE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548" w:hRule="atLeast"/>
          <w:jc w:val="center"/>
        </w:trPr>
        <w:tc>
          <w:tcPr>
            <w:tcW w:w="522" w:type="dxa"/>
            <w:vMerge w:val="continue"/>
            <w:vAlign w:val="center"/>
          </w:tcPr>
          <w:p w14:paraId="1CCB167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rPr>
            </w:pPr>
          </w:p>
        </w:tc>
        <w:tc>
          <w:tcPr>
            <w:tcW w:w="2258" w:type="dxa"/>
            <w:gridSpan w:val="2"/>
            <w:vAlign w:val="center"/>
          </w:tcPr>
          <w:p w14:paraId="661C14E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削</w:t>
            </w:r>
            <w:r>
              <w:rPr>
                <w:rFonts w:hint="default" w:ascii="Times New Roman" w:hAnsi="Times New Roman" w:cs="Times New Roman"/>
                <w:color w:val="000000" w:themeColor="text1"/>
                <w:highlight w:val="none"/>
                <w:u w:val="none" w:color="auto"/>
                <w14:textFill>
                  <w14:solidFill>
                    <w14:schemeClr w14:val="tx1"/>
                  </w14:solidFill>
                </w14:textFill>
              </w:rPr>
              <w:t>减量（t/a）</w:t>
            </w:r>
          </w:p>
        </w:tc>
        <w:tc>
          <w:tcPr>
            <w:tcW w:w="895" w:type="dxa"/>
            <w:vAlign w:val="center"/>
          </w:tcPr>
          <w:p w14:paraId="18A111D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w:t>
            </w:r>
          </w:p>
        </w:tc>
        <w:tc>
          <w:tcPr>
            <w:tcW w:w="945" w:type="dxa"/>
            <w:vAlign w:val="center"/>
          </w:tcPr>
          <w:p w14:paraId="7676AC37">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492.75</w:t>
            </w:r>
          </w:p>
        </w:tc>
        <w:tc>
          <w:tcPr>
            <w:tcW w:w="776" w:type="dxa"/>
            <w:vAlign w:val="center"/>
          </w:tcPr>
          <w:p w14:paraId="6429BC1A">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372.3</w:t>
            </w:r>
          </w:p>
        </w:tc>
        <w:tc>
          <w:tcPr>
            <w:tcW w:w="888" w:type="dxa"/>
            <w:vAlign w:val="center"/>
          </w:tcPr>
          <w:p w14:paraId="36C77CA6">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427.05</w:t>
            </w:r>
          </w:p>
        </w:tc>
        <w:tc>
          <w:tcPr>
            <w:tcW w:w="792" w:type="dxa"/>
            <w:vAlign w:val="center"/>
          </w:tcPr>
          <w:p w14:paraId="0EAD4D60">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43.8</w:t>
            </w:r>
          </w:p>
        </w:tc>
        <w:tc>
          <w:tcPr>
            <w:tcW w:w="781" w:type="dxa"/>
            <w:vAlign w:val="center"/>
          </w:tcPr>
          <w:p w14:paraId="3001567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60.225</w:t>
            </w:r>
          </w:p>
        </w:tc>
        <w:tc>
          <w:tcPr>
            <w:tcW w:w="818" w:type="dxa"/>
            <w:vAlign w:val="center"/>
          </w:tcPr>
          <w:p w14:paraId="0FD310C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8.2125</w:t>
            </w:r>
          </w:p>
        </w:tc>
      </w:tr>
    </w:tbl>
    <w:p w14:paraId="0C16A606">
      <w:pPr>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br w:type="page"/>
      </w:r>
    </w:p>
    <w:p w14:paraId="1DA58A34">
      <w:pPr>
        <w:pStyle w:val="194"/>
        <w:spacing w:line="240" w:lineRule="auto"/>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eastAsia="zh-CN"/>
        </w:rPr>
        <w:t>表</w:t>
      </w:r>
      <w:r>
        <w:rPr>
          <w:rFonts w:hint="default" w:ascii="Times New Roman" w:hAnsi="Times New Roman" w:cs="Times New Roman"/>
          <w:color w:val="auto"/>
          <w:highlight w:val="none"/>
          <w:u w:val="none" w:color="auto"/>
          <w:lang w:val="en-US" w:eastAsia="zh-CN"/>
        </w:rPr>
        <w:t>9.2-2总量控制指标表</w:t>
      </w:r>
    </w:p>
    <w:tbl>
      <w:tblPr>
        <w:tblStyle w:val="76"/>
        <w:tblW w:w="475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252"/>
        <w:gridCol w:w="4406"/>
      </w:tblGrid>
      <w:tr w14:paraId="5C9A8A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4252" w:type="dxa"/>
            <w:tcBorders>
              <w:tl2br w:val="nil"/>
              <w:tr2bl w:val="nil"/>
            </w:tcBorders>
            <w:shd w:val="clear" w:color="auto" w:fill="auto"/>
            <w:tcMar>
              <w:top w:w="15" w:type="dxa"/>
              <w:left w:w="15" w:type="dxa"/>
              <w:right w:w="15" w:type="dxa"/>
            </w:tcMar>
            <w:vAlign w:val="center"/>
          </w:tcPr>
          <w:p w14:paraId="7E96F06B">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总量控制因子</w:t>
            </w:r>
          </w:p>
        </w:tc>
        <w:tc>
          <w:tcPr>
            <w:tcW w:w="4407" w:type="dxa"/>
            <w:tcBorders>
              <w:tl2br w:val="nil"/>
              <w:tr2bl w:val="nil"/>
            </w:tcBorders>
            <w:shd w:val="clear" w:color="auto" w:fill="auto"/>
            <w:tcMar>
              <w:top w:w="15" w:type="dxa"/>
              <w:left w:w="15" w:type="dxa"/>
              <w:right w:w="15" w:type="dxa"/>
            </w:tcMar>
            <w:vAlign w:val="center"/>
          </w:tcPr>
          <w:p w14:paraId="014B40EF">
            <w:pPr>
              <w:pStyle w:val="192"/>
              <w:keepNext w:val="0"/>
              <w:keepLines w:val="0"/>
              <w:suppressLineNumbers w:val="0"/>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本项目</w:t>
            </w:r>
            <w:r>
              <w:rPr>
                <w:rFonts w:hint="default" w:ascii="Times New Roman" w:hAnsi="Times New Roman" w:cs="Times New Roman"/>
                <w:b/>
                <w:color w:val="auto"/>
                <w:highlight w:val="none"/>
                <w:u w:val="none" w:color="auto"/>
                <w:lang w:val="en-US" w:eastAsia="zh-CN"/>
              </w:rPr>
              <w:t>直接</w:t>
            </w:r>
            <w:r>
              <w:rPr>
                <w:rFonts w:hint="default" w:ascii="Times New Roman" w:hAnsi="Times New Roman" w:cs="Times New Roman"/>
                <w:b/>
                <w:color w:val="auto"/>
                <w:highlight w:val="none"/>
                <w:u w:val="none" w:color="auto"/>
                <w:lang w:eastAsia="zh-CN"/>
              </w:rPr>
              <w:t>排入外环境的总量</w:t>
            </w:r>
            <w:r>
              <w:rPr>
                <w:rFonts w:hint="default" w:ascii="Times New Roman" w:hAnsi="Times New Roman" w:cs="Times New Roman"/>
                <w:b/>
                <w:color w:val="auto"/>
                <w:highlight w:val="none"/>
                <w:u w:val="none" w:color="auto"/>
              </w:rPr>
              <w:t>t/a</w:t>
            </w:r>
          </w:p>
        </w:tc>
      </w:tr>
      <w:tr w14:paraId="608D64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4252" w:type="dxa"/>
            <w:tcBorders>
              <w:tl2br w:val="nil"/>
              <w:tr2bl w:val="nil"/>
            </w:tcBorders>
            <w:shd w:val="clear" w:color="auto" w:fill="auto"/>
            <w:tcMar>
              <w:top w:w="15" w:type="dxa"/>
              <w:left w:w="15" w:type="dxa"/>
              <w:right w:w="15" w:type="dxa"/>
            </w:tcMar>
            <w:vAlign w:val="center"/>
          </w:tcPr>
          <w:p w14:paraId="35281462">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CODcr</w:t>
            </w:r>
          </w:p>
        </w:tc>
        <w:tc>
          <w:tcPr>
            <w:tcW w:w="4407" w:type="dxa"/>
            <w:tcBorders>
              <w:tl2br w:val="nil"/>
              <w:tr2bl w:val="nil"/>
            </w:tcBorders>
            <w:shd w:val="clear" w:color="auto" w:fill="auto"/>
            <w:tcMar>
              <w:top w:w="15" w:type="dxa"/>
              <w:left w:w="15" w:type="dxa"/>
              <w:right w:w="15" w:type="dxa"/>
            </w:tcMar>
            <w:vAlign w:val="center"/>
          </w:tcPr>
          <w:p w14:paraId="3537565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54.75</w:t>
            </w:r>
          </w:p>
        </w:tc>
      </w:tr>
      <w:tr w14:paraId="38CE5A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4252" w:type="dxa"/>
            <w:tcBorders>
              <w:tl2br w:val="nil"/>
              <w:tr2bl w:val="nil"/>
            </w:tcBorders>
            <w:shd w:val="clear" w:color="auto" w:fill="auto"/>
            <w:tcMar>
              <w:top w:w="15" w:type="dxa"/>
              <w:left w:w="15" w:type="dxa"/>
              <w:right w:w="15" w:type="dxa"/>
            </w:tcMar>
            <w:vAlign w:val="center"/>
          </w:tcPr>
          <w:p w14:paraId="01575E9A">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NH</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-N</w:t>
            </w:r>
          </w:p>
        </w:tc>
        <w:tc>
          <w:tcPr>
            <w:tcW w:w="4407" w:type="dxa"/>
            <w:tcBorders>
              <w:tl2br w:val="nil"/>
              <w:tr2bl w:val="nil"/>
            </w:tcBorders>
            <w:shd w:val="clear" w:color="auto" w:fill="auto"/>
            <w:tcMar>
              <w:top w:w="15" w:type="dxa"/>
              <w:left w:w="15" w:type="dxa"/>
              <w:right w:w="15" w:type="dxa"/>
            </w:tcMar>
            <w:vAlign w:val="center"/>
          </w:tcPr>
          <w:p w14:paraId="2C7E88AC">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5.475</w:t>
            </w:r>
          </w:p>
        </w:tc>
      </w:tr>
      <w:tr w14:paraId="6CECC7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4252" w:type="dxa"/>
            <w:tcBorders>
              <w:tl2br w:val="nil"/>
              <w:tr2bl w:val="nil"/>
            </w:tcBorders>
            <w:shd w:val="clear" w:color="auto" w:fill="auto"/>
            <w:tcMar>
              <w:top w:w="15" w:type="dxa"/>
              <w:left w:w="15" w:type="dxa"/>
              <w:right w:w="15" w:type="dxa"/>
            </w:tcMar>
            <w:vAlign w:val="center"/>
          </w:tcPr>
          <w:p w14:paraId="38B92841">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TN</w:t>
            </w:r>
          </w:p>
        </w:tc>
        <w:tc>
          <w:tcPr>
            <w:tcW w:w="4407" w:type="dxa"/>
            <w:tcBorders>
              <w:tl2br w:val="nil"/>
              <w:tr2bl w:val="nil"/>
            </w:tcBorders>
            <w:shd w:val="clear" w:color="auto" w:fill="auto"/>
            <w:tcMar>
              <w:top w:w="15" w:type="dxa"/>
              <w:left w:w="15" w:type="dxa"/>
              <w:right w:w="15" w:type="dxa"/>
            </w:tcMar>
            <w:vAlign w:val="center"/>
          </w:tcPr>
          <w:p w14:paraId="3D5915E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16.425</w:t>
            </w:r>
          </w:p>
        </w:tc>
      </w:tr>
      <w:tr w14:paraId="58507C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4252" w:type="dxa"/>
            <w:tcBorders>
              <w:tl2br w:val="nil"/>
              <w:tr2bl w:val="nil"/>
            </w:tcBorders>
            <w:shd w:val="clear" w:color="auto" w:fill="auto"/>
            <w:tcMar>
              <w:top w:w="15" w:type="dxa"/>
              <w:left w:w="15" w:type="dxa"/>
              <w:right w:w="15" w:type="dxa"/>
            </w:tcMar>
            <w:vAlign w:val="center"/>
          </w:tcPr>
          <w:p w14:paraId="1B90983A">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TP</w:t>
            </w:r>
          </w:p>
        </w:tc>
        <w:tc>
          <w:tcPr>
            <w:tcW w:w="4407" w:type="dxa"/>
            <w:tcBorders>
              <w:tl2br w:val="nil"/>
              <w:tr2bl w:val="nil"/>
            </w:tcBorders>
            <w:shd w:val="clear" w:color="auto" w:fill="auto"/>
            <w:tcMar>
              <w:top w:w="15" w:type="dxa"/>
              <w:left w:w="15" w:type="dxa"/>
              <w:right w:w="15" w:type="dxa"/>
            </w:tcMar>
            <w:vAlign w:val="center"/>
          </w:tcPr>
          <w:p w14:paraId="1DC73586">
            <w:pPr>
              <w:pStyle w:val="192"/>
              <w:keepNext w:val="0"/>
              <w:keepLines w:val="0"/>
              <w:suppressLineNumbers w:val="0"/>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0.5475</w:t>
            </w:r>
          </w:p>
        </w:tc>
      </w:tr>
    </w:tbl>
    <w:p w14:paraId="1C8B9CE4">
      <w:pPr>
        <w:ind w:left="0" w:leftChars="0" w:firstLine="0" w:firstLineChars="0"/>
        <w:rPr>
          <w:rFonts w:hint="default" w:ascii="Times New Roman" w:hAnsi="Times New Roman" w:cs="Times New Roman"/>
          <w:color w:val="auto"/>
          <w:highlight w:val="none"/>
          <w:u w:val="none" w:color="auto"/>
          <w:lang w:val="en-US" w:eastAsia="zh-CN"/>
        </w:rPr>
      </w:pPr>
      <w:bookmarkStart w:id="186" w:name="bookmark53"/>
      <w:bookmarkEnd w:id="186"/>
      <w:r>
        <w:rPr>
          <w:rFonts w:hint="default" w:ascii="Times New Roman" w:hAnsi="Times New Roman" w:cs="Times New Roman"/>
          <w:color w:val="auto"/>
          <w:highlight w:val="none"/>
          <w:u w:val="none" w:color="auto"/>
          <w:lang w:val="en-US" w:eastAsia="zh-CN"/>
        </w:rPr>
        <w:t>由上表可知：</w:t>
      </w:r>
    </w:p>
    <w:p w14:paraId="64931FB4">
      <w:pPr>
        <w:ind w:left="0" w:leftChars="0" w:firstLine="480" w:firstLineChars="20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本项目实施后直接排入外环境的总量为 COD：54.75t/a，NH</w:t>
      </w:r>
      <w:r>
        <w:rPr>
          <w:rFonts w:hint="default" w:ascii="Times New Roman" w:hAnsi="Times New Roman" w:cs="Times New Roman"/>
          <w:color w:val="auto"/>
          <w:highlight w:val="none"/>
          <w:u w:val="none" w:color="auto"/>
          <w:vertAlign w:val="subscript"/>
          <w:lang w:val="en-US" w:eastAsia="zh-CN"/>
        </w:rPr>
        <w:t>3</w:t>
      </w:r>
      <w:r>
        <w:rPr>
          <w:rFonts w:hint="default" w:ascii="Times New Roman" w:hAnsi="Times New Roman" w:cs="Times New Roman"/>
          <w:color w:val="auto"/>
          <w:highlight w:val="none"/>
          <w:u w:val="none" w:color="auto"/>
          <w:lang w:val="en-US" w:eastAsia="zh-CN"/>
        </w:rPr>
        <w:t>-N：5.475t/a，</w:t>
      </w:r>
    </w:p>
    <w:p w14:paraId="38F39840">
      <w:pPr>
        <w:ind w:left="0" w:leftChars="0" w:firstLine="0" w:firstLine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总氮：16.475t/a，总磷：0.5475t/a；</w:t>
      </w:r>
    </w:p>
    <w:p w14:paraId="434E6D8E">
      <w:pPr>
        <w:ind w:left="0" w:leftChars="0" w:firstLine="480" w:firstLineChars="200"/>
        <w:rPr>
          <w:rFonts w:hint="default" w:ascii="Times New Roman" w:hAnsi="Times New Roman" w:cs="Times New Roman"/>
          <w:color w:val="FF0000"/>
          <w:highlight w:val="none"/>
          <w:u w:val="none" w:color="auto"/>
          <w:lang w:val="en-US" w:eastAsia="zh-CN"/>
        </w:rPr>
      </w:pPr>
      <w:r>
        <w:rPr>
          <w:rFonts w:hint="default" w:ascii="Times New Roman" w:hAnsi="Times New Roman" w:cs="Times New Roman"/>
          <w:color w:val="FF0000"/>
          <w:highlight w:val="none"/>
          <w:u w:val="none" w:color="auto"/>
          <w:lang w:val="en-US" w:eastAsia="zh-CN"/>
        </w:rPr>
        <w:br w:type="page"/>
      </w:r>
    </w:p>
    <w:p w14:paraId="07E47DF2">
      <w:pPr>
        <w:pStyle w:val="2"/>
        <w:numPr>
          <w:ilvl w:val="0"/>
          <w:numId w:val="0"/>
        </w:numPr>
        <w:ind w:leftChars="0"/>
        <w:rPr>
          <w:rFonts w:hint="default" w:ascii="Times New Roman" w:hAnsi="Times New Roman" w:cs="Times New Roman"/>
          <w:color w:val="auto"/>
          <w:highlight w:val="none"/>
          <w:u w:val="none" w:color="auto"/>
        </w:rPr>
      </w:pPr>
      <w:bookmarkStart w:id="187" w:name="_Toc31571"/>
      <w:r>
        <w:rPr>
          <w:rFonts w:hint="default" w:ascii="Times New Roman" w:hAnsi="Times New Roman" w:cs="Times New Roman"/>
          <w:color w:val="auto"/>
          <w:highlight w:val="none"/>
          <w:u w:val="none" w:color="auto"/>
          <w:lang w:val="en-US" w:eastAsia="zh-CN"/>
        </w:rPr>
        <w:t xml:space="preserve">10 </w:t>
      </w:r>
      <w:r>
        <w:rPr>
          <w:rFonts w:hint="default" w:ascii="Times New Roman" w:hAnsi="Times New Roman" w:cs="Times New Roman"/>
          <w:color w:val="auto"/>
          <w:highlight w:val="none"/>
          <w:u w:val="none" w:color="auto"/>
        </w:rPr>
        <w:t>环境管理与监测计划</w:t>
      </w:r>
      <w:bookmarkEnd w:id="187"/>
    </w:p>
    <w:p w14:paraId="3F3ABFFC">
      <w:pPr>
        <w:pStyle w:val="3"/>
        <w:numPr>
          <w:ilvl w:val="1"/>
          <w:numId w:val="0"/>
        </w:numPr>
        <w:ind w:leftChars="0"/>
        <w:rPr>
          <w:rFonts w:hint="default" w:ascii="Times New Roman" w:hAnsi="Times New Roman" w:cs="Times New Roman"/>
          <w:color w:val="auto"/>
          <w:highlight w:val="none"/>
          <w:u w:val="none" w:color="auto"/>
        </w:rPr>
      </w:pPr>
      <w:bookmarkStart w:id="188" w:name="_Toc20179"/>
      <w:r>
        <w:rPr>
          <w:rFonts w:hint="default" w:ascii="Times New Roman" w:hAnsi="Times New Roman" w:cs="Times New Roman"/>
          <w:color w:val="auto"/>
          <w:highlight w:val="none"/>
          <w:u w:val="none" w:color="auto"/>
          <w:lang w:val="en-US" w:eastAsia="zh-CN"/>
        </w:rPr>
        <w:t xml:space="preserve">10.1 </w:t>
      </w:r>
      <w:r>
        <w:rPr>
          <w:rFonts w:hint="default" w:ascii="Times New Roman" w:hAnsi="Times New Roman" w:cs="Times New Roman"/>
          <w:color w:val="auto"/>
          <w:highlight w:val="none"/>
          <w:u w:val="none" w:color="auto"/>
        </w:rPr>
        <w:t>环境管理基本任务</w:t>
      </w:r>
      <w:bookmarkEnd w:id="188"/>
    </w:p>
    <w:p w14:paraId="1D223B1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本工程建设单位为</w:t>
      </w:r>
      <w:r>
        <w:rPr>
          <w:rFonts w:hint="default" w:ascii="Times New Roman" w:hAnsi="Times New Roman" w:cs="Times New Roman"/>
          <w:color w:val="auto"/>
          <w:highlight w:val="none"/>
          <w:u w:val="none" w:color="auto"/>
          <w:lang w:eastAsia="zh-CN"/>
        </w:rPr>
        <w:t>大通湖产业发展中心</w:t>
      </w:r>
      <w:r>
        <w:rPr>
          <w:rFonts w:hint="default" w:ascii="Times New Roman" w:hAnsi="Times New Roman" w:cs="Times New Roman"/>
          <w:color w:val="auto"/>
          <w:highlight w:val="none"/>
          <w:u w:val="none" w:color="auto"/>
        </w:rPr>
        <w:t>，公司负责制定项目环保工作计划，协调各主管部门及建设单位之间的环境管理工作，指导建设单位执行各项管理措施；为施工现场的监督、管理机构，负责环境保护计划和设计阶段环境管理，负责施工期环境行动的实施与管理。另外为了控制污染物排放量，避免污染物对环境质量的损害，建设单位需要加强计划、生产、技术、质量、设备、劳动、财务等方面的管理，把环境管理渗透到整个企业管理中，将环境管理</w:t>
      </w:r>
      <w:r>
        <w:rPr>
          <w:rFonts w:hint="default" w:ascii="Times New Roman" w:hAnsi="Times New Roman" w:cs="Times New Roman"/>
          <w:color w:val="auto"/>
          <w:highlight w:val="none"/>
          <w:u w:val="none" w:color="auto"/>
          <w:lang w:val="en-US" w:eastAsia="zh-CN"/>
        </w:rPr>
        <w:t>融</w:t>
      </w:r>
      <w:r>
        <w:rPr>
          <w:rFonts w:hint="default" w:ascii="Times New Roman" w:hAnsi="Times New Roman" w:cs="Times New Roman"/>
          <w:color w:val="auto"/>
          <w:highlight w:val="none"/>
          <w:u w:val="none" w:color="auto"/>
        </w:rPr>
        <w:t>合在一起，以减少从生产过程中各环节排出的污染物。并建立环境污染管理系统、制度、环境规划、协调发展生产保护环境的关系，使生产管理系统、制度、环境污染规划协调生产与保护环境的关系，使生产目标与环境目标统一起来，经济效益与环境效益统一起来。</w:t>
      </w:r>
    </w:p>
    <w:p w14:paraId="7A0A0850">
      <w:pPr>
        <w:pStyle w:val="3"/>
        <w:numPr>
          <w:ilvl w:val="1"/>
          <w:numId w:val="0"/>
        </w:numPr>
        <w:ind w:leftChars="0"/>
        <w:rPr>
          <w:rFonts w:hint="default" w:ascii="Times New Roman" w:hAnsi="Times New Roman" w:cs="Times New Roman"/>
          <w:color w:val="auto"/>
          <w:highlight w:val="none"/>
          <w:u w:val="none" w:color="auto"/>
        </w:rPr>
      </w:pPr>
      <w:bookmarkStart w:id="189" w:name="_Toc8152"/>
      <w:r>
        <w:rPr>
          <w:rFonts w:hint="default" w:ascii="Times New Roman" w:hAnsi="Times New Roman" w:cs="Times New Roman"/>
          <w:color w:val="auto"/>
          <w:highlight w:val="none"/>
          <w:u w:val="none" w:color="auto"/>
          <w:lang w:val="en-US" w:eastAsia="zh-CN"/>
        </w:rPr>
        <w:t xml:space="preserve">10.2 </w:t>
      </w:r>
      <w:r>
        <w:rPr>
          <w:rFonts w:hint="default" w:ascii="Times New Roman" w:hAnsi="Times New Roman" w:cs="Times New Roman"/>
          <w:color w:val="auto"/>
          <w:highlight w:val="none"/>
          <w:u w:val="none" w:color="auto"/>
        </w:rPr>
        <w:t>环境管理机构</w:t>
      </w:r>
      <w:bookmarkEnd w:id="189"/>
    </w:p>
    <w:p w14:paraId="1FB182EF">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国家有关环境保护法规的要求和本项目生产的实际需要，建议建设单位在设置组织机构时，考虑设置专门的环保管理机构：环保处（科），配备专职环保管理人员1~2名。环保管理人员应有熟悉企业排污状况、具备一定清洁生产知识、责任心强和组织协调能力强的人员担任，以利于监督管理，负责全厂的环境保护管理工作，发现问题能及时解决并向上级环保主管部门报告，其主要职责如下：</w:t>
      </w:r>
    </w:p>
    <w:p w14:paraId="5A1C556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（1）宣传、贯彻和执行环境保护政策、法律法规及环境保护标准。开展环境保护宣传、教育、培训等专业知识普及工作；</w:t>
      </w:r>
    </w:p>
    <w:p w14:paraId="20D0FF4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（2）编制并组织实施环境保护规划和计划，并监督执行，负责日常环境保护的管理工作；</w:t>
      </w:r>
    </w:p>
    <w:p w14:paraId="50FE318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（3）领导并组织企业的环境监测工作，建立监测台帐和档案，做好环境统计，使企业领导、上级部门及时掌握污染治理动态；</w:t>
      </w:r>
    </w:p>
    <w:p w14:paraId="0AE54FB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（4）建立建全环境保护与劳动安全管理制度，监督工程施工期、运行期和服务期满后环保措施的有效实施；</w:t>
      </w:r>
    </w:p>
    <w:p w14:paraId="2A4656C5">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5）为保证工程环保设施的正常运转，减少或防范污染事故，制定污染治理设备设施操作规程的检查、维修计划，检查、记录污染治理设施运行及检修情况，并定期检查操作人员的操作技能，在实际工作中检验各项操作规范的可行性；</w:t>
      </w:r>
    </w:p>
    <w:p w14:paraId="6611E28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（6）检查各环境保护设施的运行情况、负责污染事故性排放的处理和调查。</w:t>
      </w:r>
    </w:p>
    <w:p w14:paraId="633B5902">
      <w:pPr>
        <w:pStyle w:val="3"/>
        <w:numPr>
          <w:ilvl w:val="1"/>
          <w:numId w:val="0"/>
        </w:numPr>
        <w:ind w:leftChars="0"/>
        <w:rPr>
          <w:rFonts w:hint="default" w:ascii="Times New Roman" w:hAnsi="Times New Roman" w:cs="Times New Roman"/>
          <w:color w:val="auto"/>
          <w:highlight w:val="none"/>
          <w:u w:val="none" w:color="auto"/>
        </w:rPr>
      </w:pPr>
      <w:bookmarkStart w:id="190" w:name="_Toc13739"/>
      <w:r>
        <w:rPr>
          <w:rFonts w:hint="default" w:ascii="Times New Roman" w:hAnsi="Times New Roman" w:cs="Times New Roman"/>
          <w:color w:val="auto"/>
          <w:highlight w:val="none"/>
          <w:u w:val="none" w:color="auto"/>
          <w:lang w:val="en-US" w:eastAsia="zh-CN"/>
        </w:rPr>
        <w:t xml:space="preserve">10.3 </w:t>
      </w:r>
      <w:r>
        <w:rPr>
          <w:rFonts w:hint="default" w:ascii="Times New Roman" w:hAnsi="Times New Roman" w:cs="Times New Roman"/>
          <w:color w:val="auto"/>
          <w:highlight w:val="none"/>
          <w:u w:val="none" w:color="auto"/>
        </w:rPr>
        <w:t>环境管理制度</w:t>
      </w:r>
      <w:bookmarkEnd w:id="190"/>
      <w:r>
        <w:rPr>
          <w:rFonts w:hint="default" w:ascii="Times New Roman" w:hAnsi="Times New Roman" w:cs="Times New Roman"/>
          <w:color w:val="auto"/>
          <w:highlight w:val="none"/>
          <w:u w:val="none" w:color="auto"/>
        </w:rPr>
        <w:t xml:space="preserve"> </w:t>
      </w:r>
    </w:p>
    <w:p w14:paraId="2A2E48AB">
      <w:pPr>
        <w:pStyle w:val="4"/>
        <w:numPr>
          <w:ilvl w:val="2"/>
          <w:numId w:val="0"/>
        </w:numPr>
        <w:ind w:leftChars="0"/>
        <w:rPr>
          <w:rFonts w:hint="default" w:ascii="Times New Roman" w:hAnsi="Times New Roman" w:cs="Times New Roman"/>
          <w:color w:val="auto"/>
          <w:highlight w:val="none"/>
          <w:u w:val="none" w:color="auto"/>
        </w:rPr>
      </w:pPr>
      <w:bookmarkStart w:id="191" w:name="_Toc2514"/>
      <w:r>
        <w:rPr>
          <w:rFonts w:hint="default" w:ascii="Times New Roman" w:hAnsi="Times New Roman" w:cs="Times New Roman"/>
          <w:color w:val="auto"/>
          <w:highlight w:val="none"/>
          <w:u w:val="none" w:color="auto"/>
          <w:lang w:val="en-US" w:eastAsia="zh-CN"/>
        </w:rPr>
        <w:t xml:space="preserve">10.3.1 </w:t>
      </w:r>
      <w:r>
        <w:rPr>
          <w:rFonts w:hint="default" w:ascii="Times New Roman" w:hAnsi="Times New Roman" w:cs="Times New Roman"/>
          <w:color w:val="auto"/>
          <w:highlight w:val="none"/>
          <w:u w:val="none" w:color="auto"/>
        </w:rPr>
        <w:t>环境管理体系</w:t>
      </w:r>
      <w:bookmarkEnd w:id="191"/>
      <w:r>
        <w:rPr>
          <w:rFonts w:hint="default" w:ascii="Times New Roman" w:hAnsi="Times New Roman" w:cs="Times New Roman"/>
          <w:color w:val="auto"/>
          <w:highlight w:val="none"/>
          <w:u w:val="none" w:color="auto"/>
        </w:rPr>
        <w:t xml:space="preserve"> </w:t>
      </w:r>
    </w:p>
    <w:p w14:paraId="4BC854B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项目建成后，按照国际标准的要求建立环境管理体系，以便全面系统的对污染物进行控制，进一步提高能源资源的利用率，及时了解有关环保法律法规及其他要求，更好地遵守法律法规及各项制度。</w:t>
      </w:r>
    </w:p>
    <w:p w14:paraId="58CA1044">
      <w:pPr>
        <w:pStyle w:val="4"/>
        <w:numPr>
          <w:ilvl w:val="2"/>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bookmarkStart w:id="192" w:name="_Toc16154"/>
      <w:r>
        <w:rPr>
          <w:rFonts w:hint="default" w:ascii="Times New Roman" w:hAnsi="Times New Roman" w:cs="Times New Roman"/>
          <w:color w:val="auto"/>
          <w:highlight w:val="none"/>
          <w:u w:val="none" w:color="auto"/>
          <w:lang w:val="en-US" w:eastAsia="zh-CN"/>
        </w:rPr>
        <w:t>10.3.2</w:t>
      </w:r>
      <w:r>
        <w:rPr>
          <w:rFonts w:hint="default" w:ascii="Times New Roman" w:hAnsi="Times New Roman" w:cs="Times New Roman"/>
          <w:color w:val="auto"/>
          <w:highlight w:val="none"/>
          <w:u w:val="none" w:color="auto"/>
        </w:rPr>
        <w:t>排污许可制</w:t>
      </w:r>
      <w:r>
        <w:rPr>
          <w:rFonts w:hint="default" w:ascii="Times New Roman" w:hAnsi="Times New Roman" w:cs="Times New Roman"/>
          <w:color w:val="000000" w:themeColor="text1"/>
          <w:highlight w:val="none"/>
          <w:u w:val="none" w:color="auto"/>
          <w14:textFill>
            <w14:solidFill>
              <w14:schemeClr w14:val="tx1"/>
            </w14:solidFill>
          </w14:textFill>
        </w:rPr>
        <w:t>度</w:t>
      </w:r>
      <w:bookmarkEnd w:id="192"/>
    </w:p>
    <w:p w14:paraId="492B84B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根据《关于印发</w:t>
      </w:r>
      <w:r>
        <w:rPr>
          <w:rFonts w:hint="default" w:ascii="Times New Roman" w:hAnsi="Times New Roman" w:cs="Times New Roman"/>
          <w:color w:val="000000" w:themeColor="text1"/>
          <w:highlight w:val="none"/>
          <w:u w:val="wave" w:color="auto"/>
          <w14:textFill>
            <w14:solidFill>
              <w14:schemeClr w14:val="tx1"/>
            </w14:solidFill>
          </w14:textFill>
        </w:rPr>
        <w:t>&lt;</w:t>
      </w:r>
      <w:r>
        <w:rPr>
          <w:rFonts w:hint="eastAsia" w:cs="Times New Roman"/>
          <w:color w:val="000000" w:themeColor="text1"/>
          <w:highlight w:val="none"/>
          <w:u w:val="wave" w:color="auto"/>
          <w:lang w:val="en-US" w:eastAsia="zh-CN"/>
          <w14:textFill>
            <w14:solidFill>
              <w14:schemeClr w14:val="tx1"/>
            </w14:solidFill>
          </w14:textFill>
        </w:rPr>
        <w:t>全面实行</w:t>
      </w:r>
      <w:r>
        <w:rPr>
          <w:rFonts w:hint="default" w:ascii="Times New Roman" w:hAnsi="Times New Roman" w:cs="Times New Roman"/>
          <w:color w:val="000000" w:themeColor="text1"/>
          <w:highlight w:val="none"/>
          <w:u w:val="wave" w:color="auto"/>
          <w14:textFill>
            <w14:solidFill>
              <w14:schemeClr w14:val="tx1"/>
            </w14:solidFill>
          </w14:textFill>
        </w:rPr>
        <w:t>排污许可证</w:t>
      </w:r>
      <w:r>
        <w:rPr>
          <w:rFonts w:hint="eastAsia" w:cs="Times New Roman"/>
          <w:color w:val="000000" w:themeColor="text1"/>
          <w:highlight w:val="none"/>
          <w:u w:val="wave" w:color="auto"/>
          <w:lang w:val="en-US" w:eastAsia="zh-CN"/>
          <w14:textFill>
            <w14:solidFill>
              <w14:schemeClr w14:val="tx1"/>
            </w14:solidFill>
          </w14:textFill>
        </w:rPr>
        <w:t>制实施方案</w:t>
      </w:r>
      <w:r>
        <w:rPr>
          <w:rFonts w:hint="default" w:ascii="Times New Roman" w:hAnsi="Times New Roman" w:cs="Times New Roman"/>
          <w:color w:val="000000" w:themeColor="text1"/>
          <w:highlight w:val="none"/>
          <w:u w:val="wave" w:color="auto"/>
          <w14:textFill>
            <w14:solidFill>
              <w14:schemeClr w14:val="tx1"/>
            </w14:solidFill>
          </w14:textFill>
        </w:rPr>
        <w:t>&gt;的通知》（环</w:t>
      </w:r>
      <w:r>
        <w:rPr>
          <w:rFonts w:hint="eastAsia" w:cs="Times New Roman"/>
          <w:color w:val="000000" w:themeColor="text1"/>
          <w:highlight w:val="none"/>
          <w:u w:val="wave" w:color="auto"/>
          <w:lang w:val="en-US" w:eastAsia="zh-CN"/>
          <w14:textFill>
            <w14:solidFill>
              <w14:schemeClr w14:val="tx1"/>
            </w14:solidFill>
          </w14:textFill>
        </w:rPr>
        <w:t>环评</w:t>
      </w:r>
      <w:r>
        <w:rPr>
          <w:rFonts w:hint="default" w:ascii="Times New Roman" w:hAnsi="Times New Roman" w:cs="Times New Roman"/>
          <w:color w:val="000000" w:themeColor="text1"/>
          <w:highlight w:val="none"/>
          <w:u w:val="wave" w:color="auto"/>
          <w14:textFill>
            <w14:solidFill>
              <w14:schemeClr w14:val="tx1"/>
            </w14:solidFill>
          </w14:textFill>
        </w:rPr>
        <w:t>[2</w:t>
      </w:r>
      <w:r>
        <w:rPr>
          <w:rFonts w:hint="eastAsia" w:cs="Times New Roman"/>
          <w:color w:val="000000" w:themeColor="text1"/>
          <w:highlight w:val="none"/>
          <w:u w:val="wave" w:color="auto"/>
          <w:lang w:val="en-US" w:eastAsia="zh-CN"/>
          <w14:textFill>
            <w14:solidFill>
              <w14:schemeClr w14:val="tx1"/>
            </w14:solidFill>
          </w14:textFill>
        </w:rPr>
        <w:t>024</w:t>
      </w:r>
      <w:r>
        <w:rPr>
          <w:rFonts w:hint="default" w:ascii="Times New Roman" w:hAnsi="Times New Roman" w:cs="Times New Roman"/>
          <w:color w:val="000000" w:themeColor="text1"/>
          <w:highlight w:val="none"/>
          <w:u w:val="wave" w:color="auto"/>
          <w14:textFill>
            <w14:solidFill>
              <w14:schemeClr w14:val="tx1"/>
            </w14:solidFill>
          </w14:textFill>
        </w:rPr>
        <w:t>]</w:t>
      </w:r>
      <w:r>
        <w:rPr>
          <w:rFonts w:hint="eastAsia" w:cs="Times New Roman"/>
          <w:color w:val="000000" w:themeColor="text1"/>
          <w:highlight w:val="none"/>
          <w:u w:val="wave" w:color="auto"/>
          <w:lang w:val="en-US" w:eastAsia="zh-CN"/>
          <w14:textFill>
            <w14:solidFill>
              <w14:schemeClr w14:val="tx1"/>
            </w14:solidFill>
          </w14:textFill>
        </w:rPr>
        <w:t>79</w:t>
      </w:r>
      <w:r>
        <w:rPr>
          <w:rFonts w:hint="default" w:ascii="Times New Roman" w:hAnsi="Times New Roman" w:cs="Times New Roman"/>
          <w:color w:val="000000" w:themeColor="text1"/>
          <w:highlight w:val="none"/>
          <w:u w:val="wave" w:color="auto"/>
          <w14:textFill>
            <w14:solidFill>
              <w14:schemeClr w14:val="tx1"/>
            </w14:solidFill>
          </w14:textFill>
        </w:rPr>
        <w:t>号）、《排污许可管理办法》（部令第</w:t>
      </w:r>
      <w:r>
        <w:rPr>
          <w:rFonts w:hint="eastAsia" w:cs="Times New Roman"/>
          <w:color w:val="000000" w:themeColor="text1"/>
          <w:highlight w:val="none"/>
          <w:u w:val="wave" w:color="auto"/>
          <w:lang w:val="en-US" w:eastAsia="zh-CN"/>
          <w14:textFill>
            <w14:solidFill>
              <w14:schemeClr w14:val="tx1"/>
            </w14:solidFill>
          </w14:textFill>
        </w:rPr>
        <w:t>32</w:t>
      </w:r>
      <w:r>
        <w:rPr>
          <w:rFonts w:hint="default" w:ascii="Times New Roman" w:hAnsi="Times New Roman" w:cs="Times New Roman"/>
          <w:color w:val="000000" w:themeColor="text1"/>
          <w:highlight w:val="none"/>
          <w:u w:val="wave" w:color="auto"/>
          <w14:textFill>
            <w14:solidFill>
              <w14:schemeClr w14:val="tx1"/>
            </w14:solidFill>
          </w14:textFill>
        </w:rPr>
        <w:t>号）</w:t>
      </w:r>
      <w:r>
        <w:rPr>
          <w:rFonts w:hint="default" w:ascii="Times New Roman" w:hAnsi="Times New Roman" w:cs="Times New Roman"/>
          <w:color w:val="000000" w:themeColor="text1"/>
          <w:highlight w:val="none"/>
          <w:u w:val="none" w:color="auto"/>
          <w14:textFill>
            <w14:solidFill>
              <w14:schemeClr w14:val="tx1"/>
            </w14:solidFill>
          </w14:textFill>
        </w:rPr>
        <w:t>，国家对在生产经营过程中排放废气、废水、产生环境噪声污染和固体废物的行为实行许可证管理规定</w:t>
      </w:r>
      <w:r>
        <w:rPr>
          <w:rFonts w:hint="default" w:ascii="Times New Roman" w:hAnsi="Times New Roman" w:cs="Times New Roman"/>
          <w:color w:val="auto"/>
          <w:highlight w:val="none"/>
          <w:u w:val="none" w:color="auto"/>
        </w:rPr>
        <w:t xml:space="preserve">，本项目建成后需按照环水体[2016]186 号文要求持证排污、按证排污，严格执行排污许可制度。  </w:t>
      </w:r>
    </w:p>
    <w:p w14:paraId="78EAA098">
      <w:pPr>
        <w:pStyle w:val="189"/>
        <w:ind w:left="0" w:leftChars="0" w:firstLine="42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属于污水处理项目，于《固定污染源排污许可分类管理名录》（2019年版）中的“四十一、水的生产和供应业，”项目属于“工业废水集中处理场所”，属于重点管理。提标改造后项目建设单位应按照《排污许可证申请与核发技术规范 水处理（试行）》（HJ978-2018）、《排污许可证申请与核发技术规范 总则》（HJ942-2018）等在规定时限内重新填报排污许可信息，具体的填报内容及要求按照《固定污染源排污登记工作指南（试行）》相关规定执行相关要求。</w:t>
      </w:r>
    </w:p>
    <w:p w14:paraId="4C9EA6C7">
      <w:pPr>
        <w:pStyle w:val="4"/>
        <w:numPr>
          <w:ilvl w:val="2"/>
          <w:numId w:val="0"/>
        </w:numPr>
        <w:ind w:leftChars="0"/>
        <w:rPr>
          <w:rFonts w:hint="default" w:ascii="Times New Roman" w:hAnsi="Times New Roman" w:cs="Times New Roman"/>
          <w:color w:val="auto"/>
          <w:highlight w:val="none"/>
          <w:u w:val="none" w:color="auto"/>
        </w:rPr>
      </w:pPr>
      <w:bookmarkStart w:id="193" w:name="_Toc10331"/>
      <w:r>
        <w:rPr>
          <w:rFonts w:hint="default" w:ascii="Times New Roman" w:hAnsi="Times New Roman" w:cs="Times New Roman"/>
          <w:color w:val="auto"/>
          <w:highlight w:val="none"/>
          <w:u w:val="none" w:color="auto"/>
          <w:lang w:val="en-US" w:eastAsia="zh-CN"/>
        </w:rPr>
        <w:t xml:space="preserve">10.3.3 </w:t>
      </w:r>
      <w:r>
        <w:rPr>
          <w:rFonts w:hint="default" w:ascii="Times New Roman" w:hAnsi="Times New Roman" w:cs="Times New Roman"/>
          <w:color w:val="auto"/>
          <w:highlight w:val="none"/>
          <w:u w:val="none" w:color="auto"/>
        </w:rPr>
        <w:t>报告制度</w:t>
      </w:r>
      <w:bookmarkEnd w:id="193"/>
      <w:r>
        <w:rPr>
          <w:rFonts w:hint="default" w:ascii="Times New Roman" w:hAnsi="Times New Roman" w:cs="Times New Roman"/>
          <w:color w:val="auto"/>
          <w:highlight w:val="none"/>
          <w:u w:val="none" w:color="auto"/>
        </w:rPr>
        <w:t xml:space="preserve"> </w:t>
      </w:r>
    </w:p>
    <w:p w14:paraId="28BAE56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按《建设项目环境保护管理条例》、《建设项目竣工环境保护验收暂行办法》（国环规环评[2017]4 号），本项目在正式投产前，应编制“环境保护设施竣工验收报告”，自主验收合格后，方可正式投入</w:t>
      </w:r>
      <w:r>
        <w:rPr>
          <w:rFonts w:hint="default" w:ascii="Times New Roman" w:hAnsi="Times New Roman" w:cs="Times New Roman"/>
          <w:color w:val="auto"/>
          <w:highlight w:val="none"/>
          <w:u w:val="none" w:color="auto"/>
          <w:lang w:val="en-US" w:eastAsia="zh-CN"/>
        </w:rPr>
        <w:t>运营</w:t>
      </w:r>
      <w:r>
        <w:rPr>
          <w:rFonts w:hint="default" w:ascii="Times New Roman" w:hAnsi="Times New Roman" w:cs="Times New Roman"/>
          <w:color w:val="auto"/>
          <w:highlight w:val="none"/>
          <w:u w:val="none" w:color="auto"/>
        </w:rPr>
        <w:t xml:space="preserve">。 </w:t>
      </w:r>
    </w:p>
    <w:p w14:paraId="1B70E68A">
      <w:pPr>
        <w:pStyle w:val="4"/>
        <w:numPr>
          <w:ilvl w:val="2"/>
          <w:numId w:val="0"/>
        </w:numPr>
        <w:ind w:leftChars="0"/>
        <w:rPr>
          <w:rFonts w:hint="default" w:ascii="Times New Roman" w:hAnsi="Times New Roman" w:cs="Times New Roman"/>
          <w:color w:val="auto"/>
          <w:highlight w:val="none"/>
          <w:u w:val="none" w:color="auto"/>
        </w:rPr>
      </w:pPr>
      <w:bookmarkStart w:id="194" w:name="_Toc2619"/>
      <w:r>
        <w:rPr>
          <w:rFonts w:hint="default" w:ascii="Times New Roman" w:hAnsi="Times New Roman" w:cs="Times New Roman"/>
          <w:color w:val="auto"/>
          <w:highlight w:val="none"/>
          <w:u w:val="none" w:color="auto"/>
          <w:lang w:val="en-US" w:eastAsia="zh-CN"/>
        </w:rPr>
        <w:t xml:space="preserve">10.3.4 </w:t>
      </w:r>
      <w:r>
        <w:rPr>
          <w:rFonts w:hint="default" w:ascii="Times New Roman" w:hAnsi="Times New Roman" w:cs="Times New Roman"/>
          <w:color w:val="auto"/>
          <w:highlight w:val="none"/>
          <w:u w:val="none" w:color="auto"/>
        </w:rPr>
        <w:t>污染处理设施的管理制度</w:t>
      </w:r>
      <w:bookmarkEnd w:id="194"/>
      <w:r>
        <w:rPr>
          <w:rFonts w:hint="default" w:ascii="Times New Roman" w:hAnsi="Times New Roman" w:cs="Times New Roman"/>
          <w:color w:val="auto"/>
          <w:highlight w:val="none"/>
          <w:u w:val="none" w:color="auto"/>
        </w:rPr>
        <w:t xml:space="preserve"> </w:t>
      </w:r>
    </w:p>
    <w:p w14:paraId="2B705AFC">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项目建成</w:t>
      </w:r>
      <w:r>
        <w:rPr>
          <w:rFonts w:hint="default" w:ascii="Times New Roman" w:hAnsi="Times New Roman" w:cs="Times New Roman"/>
          <w:color w:val="auto"/>
          <w:highlight w:val="none"/>
          <w:u w:val="none" w:color="auto"/>
          <w:lang w:val="en-US" w:eastAsia="zh-CN"/>
        </w:rPr>
        <w:t>运营</w:t>
      </w:r>
      <w:r>
        <w:rPr>
          <w:rFonts w:hint="default" w:ascii="Times New Roman" w:hAnsi="Times New Roman" w:cs="Times New Roman"/>
          <w:color w:val="auto"/>
          <w:highlight w:val="none"/>
          <w:u w:val="none" w:color="auto"/>
        </w:rPr>
        <w:t xml:space="preserve">后，产生的污染物必须经治理达标后方可排放。单位法人要确保污染治理设施能长期、稳定、有效地运行，不得擅自拆除或者闲置污染处理设施，不得故意不正常使用污染处理设施。污染处理设施的管理必须与生产经营活动一起纳入企业日常管理工作的范畴，落实责任人、操作人员、维修人员、运行经费、设备的备品备件、化学药品和其他原辅材料。同时要建立岗位责任制、制定操作规程、建立管理台帐。 </w:t>
      </w:r>
    </w:p>
    <w:p w14:paraId="1D5E9891">
      <w:pPr>
        <w:pStyle w:val="4"/>
        <w:numPr>
          <w:ilvl w:val="2"/>
          <w:numId w:val="0"/>
        </w:numPr>
        <w:ind w:leftChars="0"/>
        <w:rPr>
          <w:rFonts w:hint="default" w:ascii="Times New Roman" w:hAnsi="Times New Roman" w:cs="Times New Roman"/>
          <w:color w:val="auto"/>
          <w:highlight w:val="none"/>
          <w:u w:val="none" w:color="auto"/>
        </w:rPr>
      </w:pPr>
      <w:bookmarkStart w:id="195" w:name="_Toc8416"/>
      <w:r>
        <w:rPr>
          <w:rFonts w:hint="default" w:ascii="Times New Roman" w:hAnsi="Times New Roman" w:cs="Times New Roman"/>
          <w:color w:val="auto"/>
          <w:highlight w:val="none"/>
          <w:u w:val="none" w:color="auto"/>
          <w:lang w:val="en-US" w:eastAsia="zh-CN"/>
        </w:rPr>
        <w:t xml:space="preserve">10.3.5 </w:t>
      </w:r>
      <w:r>
        <w:rPr>
          <w:rFonts w:hint="default" w:ascii="Times New Roman" w:hAnsi="Times New Roman" w:cs="Times New Roman"/>
          <w:color w:val="auto"/>
          <w:highlight w:val="none"/>
          <w:u w:val="none" w:color="auto"/>
        </w:rPr>
        <w:t>信息公开制度</w:t>
      </w:r>
      <w:bookmarkEnd w:id="195"/>
      <w:r>
        <w:rPr>
          <w:rFonts w:hint="default" w:ascii="Times New Roman" w:hAnsi="Times New Roman" w:cs="Times New Roman"/>
          <w:color w:val="auto"/>
          <w:highlight w:val="none"/>
          <w:u w:val="none" w:color="auto"/>
        </w:rPr>
        <w:t xml:space="preserve"> </w:t>
      </w:r>
    </w:p>
    <w:p w14:paraId="2A612296">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本项目建成后，应建立健全环境信息公开制度，及时、完整、准确的按照《企业事业单位环境信息公开办法》（环保部第31号令）等法律法规及技术规范要求，向社会及时公开污染防治设施的建设、运行情况，排放污染物名称、排放方式、排放浓度和总量、超标排放情况和整改情况等信息。 </w:t>
      </w:r>
    </w:p>
    <w:p w14:paraId="5DB707AF">
      <w:pPr>
        <w:pStyle w:val="4"/>
        <w:numPr>
          <w:ilvl w:val="2"/>
          <w:numId w:val="0"/>
        </w:numPr>
        <w:ind w:leftChars="0"/>
        <w:rPr>
          <w:rFonts w:hint="default" w:ascii="Times New Roman" w:hAnsi="Times New Roman" w:cs="Times New Roman"/>
          <w:color w:val="auto"/>
          <w:highlight w:val="none"/>
          <w:u w:val="none" w:color="auto"/>
        </w:rPr>
      </w:pPr>
      <w:bookmarkStart w:id="196" w:name="_Toc10386"/>
      <w:r>
        <w:rPr>
          <w:rFonts w:hint="default" w:ascii="Times New Roman" w:hAnsi="Times New Roman" w:cs="Times New Roman"/>
          <w:color w:val="auto"/>
          <w:highlight w:val="none"/>
          <w:u w:val="none" w:color="auto"/>
          <w:lang w:val="en-US" w:eastAsia="zh-CN"/>
        </w:rPr>
        <w:t xml:space="preserve">10.3.6 </w:t>
      </w:r>
      <w:r>
        <w:rPr>
          <w:rFonts w:hint="default" w:ascii="Times New Roman" w:hAnsi="Times New Roman" w:cs="Times New Roman"/>
          <w:color w:val="auto"/>
          <w:highlight w:val="none"/>
          <w:u w:val="none" w:color="auto"/>
        </w:rPr>
        <w:t>奖惩制度</w:t>
      </w:r>
      <w:bookmarkEnd w:id="196"/>
      <w:r>
        <w:rPr>
          <w:rFonts w:hint="default" w:ascii="Times New Roman" w:hAnsi="Times New Roman" w:cs="Times New Roman"/>
          <w:color w:val="auto"/>
          <w:highlight w:val="none"/>
          <w:u w:val="none" w:color="auto"/>
        </w:rPr>
        <w:t xml:space="preserve"> </w:t>
      </w:r>
    </w:p>
    <w:p w14:paraId="24D749D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企业应设置环境保护奖惩制度，对爱护环保设施，节能降耗，改善环境者实行奖励；对不按环保要求管理，造成环保设施损坏、环境污染和资历源、 能源浪费者予以处罚。</w:t>
      </w:r>
    </w:p>
    <w:p w14:paraId="1E58CED1">
      <w:pPr>
        <w:pStyle w:val="189"/>
        <w:rPr>
          <w:rFonts w:hint="default" w:ascii="Times New Roman" w:hAnsi="Times New Roman" w:cs="Times New Roman"/>
          <w:color w:val="FF0000"/>
          <w:highlight w:val="none"/>
          <w:u w:val="none" w:color="auto"/>
        </w:rPr>
        <w:sectPr>
          <w:footerReference r:id="rId19"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312" w:charSpace="0"/>
        </w:sectPr>
      </w:pPr>
    </w:p>
    <w:p w14:paraId="67640E74">
      <w:pPr>
        <w:pStyle w:val="3"/>
        <w:numPr>
          <w:ilvl w:val="1"/>
          <w:numId w:val="0"/>
        </w:numPr>
        <w:ind w:leftChars="0"/>
        <w:rPr>
          <w:rFonts w:hint="default" w:ascii="Times New Roman" w:hAnsi="Times New Roman" w:cs="Times New Roman"/>
          <w:color w:val="auto"/>
          <w:highlight w:val="none"/>
          <w:u w:val="none" w:color="auto"/>
        </w:rPr>
      </w:pPr>
      <w:bookmarkStart w:id="197" w:name="_Toc22328"/>
      <w:r>
        <w:rPr>
          <w:rFonts w:hint="default" w:ascii="Times New Roman" w:hAnsi="Times New Roman" w:cs="Times New Roman"/>
          <w:color w:val="auto"/>
          <w:highlight w:val="none"/>
          <w:u w:val="none" w:color="auto"/>
          <w:lang w:val="en-US" w:eastAsia="zh-CN"/>
        </w:rPr>
        <w:t xml:space="preserve">10.4 </w:t>
      </w:r>
      <w:r>
        <w:rPr>
          <w:rFonts w:hint="default" w:ascii="Times New Roman" w:hAnsi="Times New Roman" w:cs="Times New Roman"/>
          <w:color w:val="auto"/>
          <w:highlight w:val="none"/>
          <w:u w:val="none" w:color="auto"/>
        </w:rPr>
        <w:t>污染物排放清单</w:t>
      </w:r>
      <w:bookmarkEnd w:id="197"/>
    </w:p>
    <w:p w14:paraId="22F0845E">
      <w:pPr>
        <w:pStyle w:val="4"/>
        <w:numPr>
          <w:ilvl w:val="2"/>
          <w:numId w:val="0"/>
        </w:numPr>
        <w:ind w:leftChars="0"/>
        <w:rPr>
          <w:rFonts w:hint="default" w:ascii="Times New Roman" w:hAnsi="Times New Roman" w:cs="Times New Roman"/>
          <w:color w:val="auto"/>
          <w:highlight w:val="none"/>
          <w:u w:val="none" w:color="auto"/>
        </w:rPr>
      </w:pPr>
      <w:bookmarkStart w:id="198" w:name="_Toc3996"/>
      <w:r>
        <w:rPr>
          <w:rFonts w:hint="default" w:ascii="Times New Roman" w:hAnsi="Times New Roman" w:cs="Times New Roman"/>
          <w:color w:val="auto"/>
          <w:highlight w:val="none"/>
          <w:u w:val="none" w:color="auto"/>
          <w:lang w:val="en-US" w:eastAsia="zh-CN"/>
        </w:rPr>
        <w:t>10.4.1</w:t>
      </w:r>
      <w:r>
        <w:rPr>
          <w:rFonts w:hint="default" w:ascii="Times New Roman" w:hAnsi="Times New Roman" w:cs="Times New Roman"/>
          <w:color w:val="auto"/>
          <w:highlight w:val="none"/>
          <w:u w:val="none" w:color="auto"/>
        </w:rPr>
        <w:t>项目拟采取的环境保护措施及预期治理效果</w:t>
      </w:r>
      <w:bookmarkEnd w:id="198"/>
    </w:p>
    <w:p w14:paraId="188F91F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本项目为</w:t>
      </w:r>
      <w:r>
        <w:rPr>
          <w:rFonts w:hint="default" w:ascii="Times New Roman" w:hAnsi="Times New Roman" w:cs="Times New Roman"/>
          <w:color w:val="auto"/>
          <w:highlight w:val="none"/>
          <w:u w:val="none" w:color="auto"/>
          <w:lang w:eastAsia="zh-CN"/>
        </w:rPr>
        <w:t>大通湖工业园污水处理厂提质改造建设项目</w:t>
      </w:r>
      <w:r>
        <w:rPr>
          <w:rFonts w:hint="default" w:ascii="Times New Roman" w:hAnsi="Times New Roman" w:cs="Times New Roman"/>
          <w:color w:val="auto"/>
          <w:highlight w:val="none"/>
          <w:u w:val="none" w:color="auto"/>
        </w:rPr>
        <w:t>。污水处理工程建设规模为</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000m</w:t>
      </w:r>
      <w:r>
        <w:rPr>
          <w:rFonts w:hint="default" w:ascii="Times New Roman" w:hAnsi="Times New Roman" w:cs="Times New Roman"/>
          <w:color w:val="auto"/>
          <w:highlight w:val="none"/>
          <w:u w:val="none" w:color="auto"/>
          <w:vertAlign w:val="superscript"/>
        </w:rPr>
        <w:t>3</w:t>
      </w:r>
      <w:r>
        <w:rPr>
          <w:rFonts w:hint="default" w:ascii="Times New Roman" w:hAnsi="Times New Roman" w:cs="Times New Roman"/>
          <w:color w:val="auto"/>
          <w:highlight w:val="none"/>
          <w:u w:val="none" w:color="auto"/>
        </w:rPr>
        <w:t>/d。本项目建成后，运营期产生的主要污染物包括：处理后的尾水；污水处理厂运行过程中产生的恶臭污染物；各种污水泵、风机、空压机等机械设备运行噪声；污水处理过程中产生的栅渣、污泥和厂区生活垃圾</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在线监测废液等危险废物</w:t>
      </w:r>
      <w:r>
        <w:rPr>
          <w:rFonts w:hint="default" w:ascii="Times New Roman" w:hAnsi="Times New Roman" w:cs="Times New Roman"/>
          <w:color w:val="auto"/>
          <w:highlight w:val="none"/>
          <w:u w:val="none" w:color="auto"/>
        </w:rPr>
        <w:t>。</w:t>
      </w:r>
    </w:p>
    <w:p w14:paraId="114D953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为最大程度降低本项目运营期间对周围环境造成的影响，本项目采取的环境保护措施如下：</w:t>
      </w:r>
    </w:p>
    <w:p w14:paraId="62632E3B">
      <w:pPr>
        <w:pStyle w:val="194"/>
        <w:spacing w:line="240" w:lineRule="auto"/>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10</w:t>
      </w:r>
      <w:r>
        <w:rPr>
          <w:rFonts w:hint="default" w:ascii="Times New Roman" w:hAnsi="Times New Roman" w:cs="Times New Roman"/>
          <w:color w:val="auto"/>
          <w:highlight w:val="none"/>
          <w:u w:val="none" w:color="auto"/>
        </w:rPr>
        <w:t>.4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项目营运期采取的环境保护措施及预期治理效果</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13"/>
        <w:gridCol w:w="1523"/>
        <w:gridCol w:w="2554"/>
        <w:gridCol w:w="5349"/>
        <w:gridCol w:w="3879"/>
      </w:tblGrid>
      <w:tr w14:paraId="2B079C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13" w:type="dxa"/>
            <w:vAlign w:val="center"/>
          </w:tcPr>
          <w:p w14:paraId="10172F41">
            <w:pPr>
              <w:pStyle w:val="192"/>
              <w:keepNext w:val="0"/>
              <w:keepLines w:val="0"/>
              <w:suppressLineNumbers w:val="0"/>
              <w:adjustRightInd/>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类型</w:t>
            </w:r>
          </w:p>
        </w:tc>
        <w:tc>
          <w:tcPr>
            <w:tcW w:w="1523" w:type="dxa"/>
            <w:vAlign w:val="center"/>
          </w:tcPr>
          <w:p w14:paraId="2B52A45F">
            <w:pPr>
              <w:pStyle w:val="192"/>
              <w:keepNext w:val="0"/>
              <w:keepLines w:val="0"/>
              <w:suppressLineNumbers w:val="0"/>
              <w:adjustRightInd/>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排放源</w:t>
            </w:r>
          </w:p>
        </w:tc>
        <w:tc>
          <w:tcPr>
            <w:tcW w:w="2554" w:type="dxa"/>
            <w:vAlign w:val="center"/>
          </w:tcPr>
          <w:p w14:paraId="74B871AB">
            <w:pPr>
              <w:pStyle w:val="192"/>
              <w:keepNext w:val="0"/>
              <w:keepLines w:val="0"/>
              <w:suppressLineNumbers w:val="0"/>
              <w:adjustRightInd/>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污染物名称</w:t>
            </w:r>
          </w:p>
        </w:tc>
        <w:tc>
          <w:tcPr>
            <w:tcW w:w="5349" w:type="dxa"/>
            <w:vAlign w:val="center"/>
          </w:tcPr>
          <w:p w14:paraId="3BA6871E">
            <w:pPr>
              <w:pStyle w:val="192"/>
              <w:keepNext w:val="0"/>
              <w:keepLines w:val="0"/>
              <w:suppressLineNumbers w:val="0"/>
              <w:adjustRightInd/>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防治措施</w:t>
            </w:r>
          </w:p>
        </w:tc>
        <w:tc>
          <w:tcPr>
            <w:tcW w:w="3879" w:type="dxa"/>
            <w:vAlign w:val="center"/>
          </w:tcPr>
          <w:p w14:paraId="5C00805F">
            <w:pPr>
              <w:pStyle w:val="192"/>
              <w:keepNext w:val="0"/>
              <w:keepLines w:val="0"/>
              <w:suppressLineNumbers w:val="0"/>
              <w:adjustRightInd/>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预期处理效果</w:t>
            </w:r>
          </w:p>
        </w:tc>
      </w:tr>
      <w:tr w14:paraId="3609AE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1" w:hRule="atLeast"/>
          <w:jc w:val="center"/>
        </w:trPr>
        <w:tc>
          <w:tcPr>
            <w:tcW w:w="913" w:type="dxa"/>
            <w:vMerge w:val="restart"/>
            <w:vAlign w:val="center"/>
          </w:tcPr>
          <w:p w14:paraId="0D4961D0">
            <w:pPr>
              <w:pStyle w:val="192"/>
              <w:keepNext w:val="0"/>
              <w:keepLines w:val="0"/>
              <w:suppressLineNumbers w:val="0"/>
              <w:adjustRightInd/>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大气污染物</w:t>
            </w:r>
          </w:p>
        </w:tc>
        <w:tc>
          <w:tcPr>
            <w:tcW w:w="1523" w:type="dxa"/>
            <w:vMerge w:val="restart"/>
            <w:vAlign w:val="center"/>
          </w:tcPr>
          <w:p w14:paraId="18DCFEFC">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污水处理区</w:t>
            </w:r>
          </w:p>
        </w:tc>
        <w:tc>
          <w:tcPr>
            <w:tcW w:w="2554" w:type="dxa"/>
            <w:vAlign w:val="center"/>
          </w:tcPr>
          <w:p w14:paraId="4A55976C">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无组织氨、硫化氢</w:t>
            </w:r>
          </w:p>
        </w:tc>
        <w:tc>
          <w:tcPr>
            <w:tcW w:w="5349" w:type="dxa"/>
            <w:vAlign w:val="center"/>
          </w:tcPr>
          <w:p w14:paraId="4AFB0477">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主要产臭源</w:t>
            </w:r>
            <w:r>
              <w:rPr>
                <w:rFonts w:hint="default" w:ascii="Times New Roman" w:hAnsi="Times New Roman" w:cs="Times New Roman"/>
                <w:color w:val="auto"/>
                <w:highlight w:val="none"/>
                <w:u w:val="none" w:color="auto"/>
                <w:lang w:val="en-US" w:eastAsia="zh-CN"/>
              </w:rPr>
              <w:t>加盖密闭，</w:t>
            </w:r>
            <w:r>
              <w:rPr>
                <w:rFonts w:hint="default" w:ascii="Times New Roman" w:hAnsi="Times New Roman" w:cs="Times New Roman"/>
                <w:color w:val="auto"/>
                <w:highlight w:val="none"/>
                <w:u w:val="none" w:color="auto"/>
              </w:rPr>
              <w:t>加强绿化</w:t>
            </w:r>
            <w:r>
              <w:rPr>
                <w:rFonts w:hint="default" w:ascii="Times New Roman" w:hAnsi="Times New Roman" w:cs="Times New Roman"/>
                <w:color w:val="auto"/>
                <w:highlight w:val="none"/>
                <w:u w:val="none" w:color="auto"/>
                <w:lang w:eastAsia="zh-CN"/>
              </w:rPr>
              <w:t>，喷洒除臭药剂</w:t>
            </w:r>
          </w:p>
        </w:tc>
        <w:tc>
          <w:tcPr>
            <w:tcW w:w="3879" w:type="dxa"/>
            <w:vAlign w:val="center"/>
          </w:tcPr>
          <w:p w14:paraId="6208D28A">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cs="Times New Roman"/>
                <w:color w:val="auto"/>
                <w:highlight w:val="none"/>
                <w:u w:val="none" w:color="auto"/>
              </w:rPr>
              <w:t>中二级标准</w:t>
            </w:r>
          </w:p>
        </w:tc>
      </w:tr>
      <w:tr w14:paraId="3EF700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1" w:hRule="atLeast"/>
          <w:jc w:val="center"/>
        </w:trPr>
        <w:tc>
          <w:tcPr>
            <w:tcW w:w="913" w:type="dxa"/>
            <w:vMerge w:val="continue"/>
            <w:vAlign w:val="center"/>
          </w:tcPr>
          <w:p w14:paraId="038D4724">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rPr>
            </w:pPr>
          </w:p>
        </w:tc>
        <w:tc>
          <w:tcPr>
            <w:tcW w:w="1523" w:type="dxa"/>
            <w:vMerge w:val="continue"/>
            <w:vAlign w:val="center"/>
          </w:tcPr>
          <w:p w14:paraId="1CF2C1BD">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rPr>
            </w:pPr>
          </w:p>
        </w:tc>
        <w:tc>
          <w:tcPr>
            <w:tcW w:w="2554" w:type="dxa"/>
            <w:vAlign w:val="center"/>
          </w:tcPr>
          <w:p w14:paraId="48482BD2">
            <w:pPr>
              <w:pStyle w:val="192"/>
              <w:keepNext w:val="0"/>
              <w:keepLines w:val="0"/>
              <w:suppressLineNumbers w:val="0"/>
              <w:adjustRightInd/>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有组织</w:t>
            </w:r>
            <w:r>
              <w:rPr>
                <w:rFonts w:hint="default" w:ascii="Times New Roman" w:hAnsi="Times New Roman" w:cs="Times New Roman"/>
                <w:color w:val="auto"/>
                <w:highlight w:val="none"/>
                <w:u w:val="none" w:color="auto"/>
              </w:rPr>
              <w:t>氨、硫化氢</w:t>
            </w:r>
          </w:p>
        </w:tc>
        <w:tc>
          <w:tcPr>
            <w:tcW w:w="5349" w:type="dxa"/>
            <w:vAlign w:val="center"/>
          </w:tcPr>
          <w:p w14:paraId="30F98D5F">
            <w:pPr>
              <w:pStyle w:val="192"/>
              <w:keepNext w:val="0"/>
              <w:keepLines w:val="0"/>
              <w:suppressLineNumbers w:val="0"/>
              <w:adjustRightInd/>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主要产臭源</w:t>
            </w:r>
            <w:r>
              <w:rPr>
                <w:rFonts w:hint="default" w:ascii="Times New Roman" w:hAnsi="Times New Roman" w:cs="Times New Roman"/>
                <w:color w:val="auto"/>
                <w:highlight w:val="none"/>
                <w:u w:val="none" w:color="auto"/>
                <w:lang w:val="en-US" w:eastAsia="zh-CN"/>
              </w:rPr>
              <w:t>加盖密闭经负压收集至生物除臭塔处理后通过15m高排气筒排放</w:t>
            </w:r>
          </w:p>
        </w:tc>
        <w:tc>
          <w:tcPr>
            <w:tcW w:w="3879" w:type="dxa"/>
            <w:vAlign w:val="center"/>
          </w:tcPr>
          <w:p w14:paraId="2644E9FF">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《恶臭污染物排放标准》（GB14554-93）</w:t>
            </w:r>
          </w:p>
        </w:tc>
      </w:tr>
      <w:tr w14:paraId="3EC723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913" w:type="dxa"/>
            <w:vMerge w:val="continue"/>
            <w:vAlign w:val="center"/>
          </w:tcPr>
          <w:p w14:paraId="44D09CB5">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rPr>
            </w:pPr>
          </w:p>
        </w:tc>
        <w:tc>
          <w:tcPr>
            <w:tcW w:w="1523" w:type="dxa"/>
            <w:vAlign w:val="center"/>
          </w:tcPr>
          <w:p w14:paraId="711D61FA">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食堂</w:t>
            </w:r>
          </w:p>
        </w:tc>
        <w:tc>
          <w:tcPr>
            <w:tcW w:w="2554" w:type="dxa"/>
            <w:vAlign w:val="center"/>
          </w:tcPr>
          <w:p w14:paraId="69D9EDA6">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食堂油烟</w:t>
            </w:r>
          </w:p>
        </w:tc>
        <w:tc>
          <w:tcPr>
            <w:tcW w:w="5349" w:type="dxa"/>
            <w:vAlign w:val="center"/>
          </w:tcPr>
          <w:p w14:paraId="58202BC9">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rPr>
              <w:t>油烟净化装置处理后通过专用油烟管道引至屋顶排放</w:t>
            </w:r>
          </w:p>
        </w:tc>
        <w:tc>
          <w:tcPr>
            <w:tcW w:w="3879" w:type="dxa"/>
            <w:vAlign w:val="center"/>
          </w:tcPr>
          <w:p w14:paraId="35DB32C7">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《饮食业油烟排放标准》(GB18483-2001)</w:t>
            </w:r>
          </w:p>
        </w:tc>
      </w:tr>
      <w:tr w14:paraId="464935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restart"/>
            <w:vAlign w:val="center"/>
          </w:tcPr>
          <w:p w14:paraId="7997B2F0">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水污</w:t>
            </w:r>
          </w:p>
          <w:p w14:paraId="041B414C">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染物</w:t>
            </w:r>
          </w:p>
        </w:tc>
        <w:tc>
          <w:tcPr>
            <w:tcW w:w="1523" w:type="dxa"/>
            <w:vAlign w:val="center"/>
          </w:tcPr>
          <w:p w14:paraId="7CD1AD65">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自身生活污水及生产废水</w:t>
            </w:r>
          </w:p>
        </w:tc>
        <w:tc>
          <w:tcPr>
            <w:tcW w:w="2554" w:type="dxa"/>
            <w:vMerge w:val="restart"/>
            <w:vAlign w:val="center"/>
          </w:tcPr>
          <w:p w14:paraId="59ED6B9C">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pH、COD、五日生化需氧量、氨氮、总氮、总磷</w:t>
            </w:r>
          </w:p>
        </w:tc>
        <w:tc>
          <w:tcPr>
            <w:tcW w:w="5349" w:type="dxa"/>
            <w:vAlign w:val="center"/>
          </w:tcPr>
          <w:p w14:paraId="5A6E9D6B">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生活污水经隔油池、化粪池处理后</w:t>
            </w:r>
            <w:r>
              <w:rPr>
                <w:rFonts w:hint="default" w:ascii="Times New Roman" w:hAnsi="Times New Roman" w:cs="Times New Roman"/>
                <w:color w:val="auto"/>
                <w:highlight w:val="none"/>
                <w:u w:val="none" w:color="auto"/>
                <w:lang w:val="en-US" w:eastAsia="zh-CN"/>
              </w:rPr>
              <w:t>与自身生产废水</w:t>
            </w:r>
            <w:r>
              <w:rPr>
                <w:rFonts w:hint="default" w:ascii="Times New Roman" w:hAnsi="Times New Roman" w:cs="Times New Roman"/>
                <w:color w:val="auto"/>
                <w:highlight w:val="none"/>
                <w:u w:val="none" w:color="auto"/>
              </w:rPr>
              <w:t>一同进入一体化泵站集水井，与进厂污水一同处理</w:t>
            </w:r>
          </w:p>
        </w:tc>
        <w:tc>
          <w:tcPr>
            <w:tcW w:w="3879" w:type="dxa"/>
            <w:vMerge w:val="restart"/>
            <w:vAlign w:val="center"/>
          </w:tcPr>
          <w:p w14:paraId="35A8789F">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lang w:eastAsia="zh-CN"/>
              </w:rPr>
              <w:t>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eastAsia="宋体" w:cs="Times New Roman"/>
                <w:color w:val="auto"/>
                <w:highlight w:val="none"/>
                <w:u w:val="none" w:color="auto"/>
                <w:lang w:eastAsia="zh-CN"/>
              </w:rPr>
              <w:t>一级A标准</w:t>
            </w:r>
          </w:p>
        </w:tc>
      </w:tr>
      <w:tr w14:paraId="6E0AD4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continue"/>
            <w:vAlign w:val="center"/>
          </w:tcPr>
          <w:p w14:paraId="3306D55A">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1523" w:type="dxa"/>
            <w:vAlign w:val="center"/>
          </w:tcPr>
          <w:p w14:paraId="54B7F097">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厂区尾水</w:t>
            </w:r>
            <w:r>
              <w:rPr>
                <w:rFonts w:hint="default" w:ascii="Times New Roman" w:hAnsi="Times New Roman" w:cs="Times New Roman"/>
                <w:color w:val="auto"/>
                <w:highlight w:val="none"/>
                <w:u w:val="none" w:color="auto"/>
                <w:lang w:eastAsia="zh-CN"/>
              </w:rPr>
              <w:t>、</w:t>
            </w:r>
          </w:p>
        </w:tc>
        <w:tc>
          <w:tcPr>
            <w:tcW w:w="2554" w:type="dxa"/>
            <w:vMerge w:val="continue"/>
            <w:vAlign w:val="center"/>
          </w:tcPr>
          <w:p w14:paraId="0E76C7C7">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5349" w:type="dxa"/>
            <w:vAlign w:val="center"/>
          </w:tcPr>
          <w:p w14:paraId="25BCD0AC">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废水处理工艺采取 “一体化泵站+调节均质+水解酸化+AAO生化+混凝沉淀+精密过滤+接触消毒”，设计规模为</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000m</w:t>
            </w:r>
            <w:r>
              <w:rPr>
                <w:rFonts w:hint="default" w:ascii="Times New Roman" w:hAnsi="Times New Roman" w:cs="Times New Roman"/>
                <w:color w:val="auto"/>
                <w:highlight w:val="none"/>
                <w:u w:val="none" w:color="auto"/>
                <w:vertAlign w:val="superscript"/>
              </w:rPr>
              <w:t>3</w:t>
            </w:r>
            <w:r>
              <w:rPr>
                <w:rFonts w:hint="default" w:ascii="Times New Roman" w:hAnsi="Times New Roman" w:cs="Times New Roman"/>
                <w:color w:val="auto"/>
                <w:highlight w:val="none"/>
                <w:u w:val="none" w:color="auto"/>
              </w:rPr>
              <w:t>/d</w:t>
            </w:r>
          </w:p>
        </w:tc>
        <w:tc>
          <w:tcPr>
            <w:tcW w:w="3879" w:type="dxa"/>
            <w:vMerge w:val="continue"/>
            <w:vAlign w:val="center"/>
          </w:tcPr>
          <w:p w14:paraId="3B36E1AD">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p>
        </w:tc>
      </w:tr>
      <w:tr w14:paraId="721FCF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restart"/>
            <w:vAlign w:val="center"/>
          </w:tcPr>
          <w:p w14:paraId="779EE15C">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固体</w:t>
            </w:r>
          </w:p>
          <w:p w14:paraId="2278F34A">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废物</w:t>
            </w:r>
          </w:p>
        </w:tc>
        <w:tc>
          <w:tcPr>
            <w:tcW w:w="1523" w:type="dxa"/>
            <w:vAlign w:val="center"/>
          </w:tcPr>
          <w:p w14:paraId="066D6141">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生活区</w:t>
            </w:r>
          </w:p>
        </w:tc>
        <w:tc>
          <w:tcPr>
            <w:tcW w:w="2554" w:type="dxa"/>
            <w:vAlign w:val="center"/>
          </w:tcPr>
          <w:p w14:paraId="150F1B06">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生活垃圾</w:t>
            </w:r>
          </w:p>
        </w:tc>
        <w:tc>
          <w:tcPr>
            <w:tcW w:w="5349" w:type="dxa"/>
            <w:vAlign w:val="center"/>
          </w:tcPr>
          <w:p w14:paraId="25D37893">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环卫部门处理</w:t>
            </w:r>
          </w:p>
        </w:tc>
        <w:tc>
          <w:tcPr>
            <w:tcW w:w="3879" w:type="dxa"/>
            <w:vMerge w:val="restart"/>
            <w:vAlign w:val="center"/>
          </w:tcPr>
          <w:p w14:paraId="536A9C4C">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定期清运</w:t>
            </w:r>
          </w:p>
        </w:tc>
      </w:tr>
      <w:tr w14:paraId="37050B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continue"/>
            <w:vAlign w:val="center"/>
          </w:tcPr>
          <w:p w14:paraId="107FC904">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1523" w:type="dxa"/>
            <w:vMerge w:val="restart"/>
            <w:vAlign w:val="center"/>
          </w:tcPr>
          <w:p w14:paraId="23AE93B0">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w:t>
            </w:r>
          </w:p>
        </w:tc>
        <w:tc>
          <w:tcPr>
            <w:tcW w:w="2554" w:type="dxa"/>
            <w:vAlign w:val="center"/>
          </w:tcPr>
          <w:p w14:paraId="05656655">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格栅渣、沉砂</w:t>
            </w:r>
          </w:p>
        </w:tc>
        <w:tc>
          <w:tcPr>
            <w:tcW w:w="5349" w:type="dxa"/>
            <w:vAlign w:val="center"/>
          </w:tcPr>
          <w:p w14:paraId="42E88616">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环卫部门处理</w:t>
            </w:r>
          </w:p>
        </w:tc>
        <w:tc>
          <w:tcPr>
            <w:tcW w:w="3879" w:type="dxa"/>
            <w:vMerge w:val="continue"/>
            <w:vAlign w:val="center"/>
          </w:tcPr>
          <w:p w14:paraId="48699149">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r>
      <w:tr w14:paraId="37C509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continue"/>
            <w:vAlign w:val="center"/>
          </w:tcPr>
          <w:p w14:paraId="60DDE2F4">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1523" w:type="dxa"/>
            <w:vMerge w:val="continue"/>
            <w:vAlign w:val="center"/>
          </w:tcPr>
          <w:p w14:paraId="750F3275">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2554" w:type="dxa"/>
            <w:vAlign w:val="center"/>
          </w:tcPr>
          <w:p w14:paraId="60D974A1">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污泥</w:t>
            </w:r>
          </w:p>
        </w:tc>
        <w:tc>
          <w:tcPr>
            <w:tcW w:w="5349" w:type="dxa"/>
            <w:vAlign w:val="center"/>
          </w:tcPr>
          <w:p w14:paraId="3B7EDAC3">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eastAsia="zh-CN"/>
              </w:rPr>
              <w:t>污泥脱水（</w:t>
            </w:r>
            <w:r>
              <w:rPr>
                <w:rFonts w:hint="default" w:ascii="Times New Roman" w:hAnsi="Times New Roman" w:cs="Times New Roman"/>
                <w:color w:val="auto"/>
                <w:highlight w:val="none"/>
                <w:u w:val="none" w:color="auto"/>
                <w:lang w:val="en-US" w:eastAsia="zh-CN"/>
              </w:rPr>
              <w:t>含水率≤60%</w:t>
            </w:r>
            <w:r>
              <w:rPr>
                <w:rFonts w:hint="default" w:ascii="Times New Roman" w:hAnsi="Times New Roman" w:cs="Times New Roman"/>
                <w:color w:val="auto"/>
                <w:highlight w:val="none"/>
                <w:u w:val="none" w:color="auto"/>
                <w:lang w:eastAsia="zh-CN"/>
              </w:rPr>
              <w:t>）后暂存于污泥脱水间，委托益阳海螺环保科技有限责任公司进行处置</w:t>
            </w:r>
          </w:p>
        </w:tc>
        <w:tc>
          <w:tcPr>
            <w:tcW w:w="3879" w:type="dxa"/>
            <w:vAlign w:val="center"/>
          </w:tcPr>
          <w:p w14:paraId="7B71DFCF">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合理处置</w:t>
            </w:r>
          </w:p>
        </w:tc>
      </w:tr>
      <w:tr w14:paraId="7CC903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continue"/>
            <w:vAlign w:val="center"/>
          </w:tcPr>
          <w:p w14:paraId="0CB3E872">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1523" w:type="dxa"/>
            <w:vAlign w:val="center"/>
          </w:tcPr>
          <w:p w14:paraId="0BD7B042">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日常运维</w:t>
            </w:r>
          </w:p>
        </w:tc>
        <w:tc>
          <w:tcPr>
            <w:tcW w:w="2554" w:type="dxa"/>
            <w:vAlign w:val="center"/>
          </w:tcPr>
          <w:p w14:paraId="454D686C">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废矿物油、废含油抹布及手套、在线监测废液、化验室废液、沾染性废物</w:t>
            </w:r>
          </w:p>
        </w:tc>
        <w:tc>
          <w:tcPr>
            <w:tcW w:w="5349" w:type="dxa"/>
            <w:vAlign w:val="center"/>
          </w:tcPr>
          <w:p w14:paraId="53FC6E25">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分</w:t>
            </w:r>
            <w:r>
              <w:rPr>
                <w:rFonts w:hint="default" w:ascii="Times New Roman" w:hAnsi="Times New Roman" w:cs="Times New Roman"/>
                <w:color w:val="auto"/>
                <w:highlight w:val="none"/>
                <w:u w:val="none" w:color="auto"/>
                <w:lang w:eastAsia="zh-CN"/>
              </w:rPr>
              <w:t>类收集后，暂存于危废间，委托有相应危废处置资质的单位进行处置</w:t>
            </w:r>
          </w:p>
        </w:tc>
        <w:tc>
          <w:tcPr>
            <w:tcW w:w="3879" w:type="dxa"/>
            <w:vAlign w:val="center"/>
          </w:tcPr>
          <w:p w14:paraId="5EA4DFB1">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安全处置</w:t>
            </w:r>
          </w:p>
        </w:tc>
      </w:tr>
      <w:tr w14:paraId="4A414C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Align w:val="center"/>
          </w:tcPr>
          <w:p w14:paraId="51A46524">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噪声</w:t>
            </w:r>
          </w:p>
        </w:tc>
        <w:tc>
          <w:tcPr>
            <w:tcW w:w="1523" w:type="dxa"/>
            <w:vAlign w:val="center"/>
          </w:tcPr>
          <w:p w14:paraId="381FC990">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设备</w:t>
            </w:r>
          </w:p>
        </w:tc>
        <w:tc>
          <w:tcPr>
            <w:tcW w:w="2554" w:type="dxa"/>
            <w:vAlign w:val="center"/>
          </w:tcPr>
          <w:p w14:paraId="53F8A2B0">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设备噪声</w:t>
            </w:r>
          </w:p>
        </w:tc>
        <w:tc>
          <w:tcPr>
            <w:tcW w:w="5349" w:type="dxa"/>
            <w:vAlign w:val="center"/>
          </w:tcPr>
          <w:p w14:paraId="651D8197">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选取低噪声设备，设备隔声减振、墙体隔声</w:t>
            </w:r>
          </w:p>
        </w:tc>
        <w:tc>
          <w:tcPr>
            <w:tcW w:w="3879" w:type="dxa"/>
            <w:vAlign w:val="center"/>
          </w:tcPr>
          <w:p w14:paraId="235150A8">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满足《工业企业厂界环境噪声排放标准》（GB12348-2008）相应</w:t>
            </w:r>
            <w:r>
              <w:rPr>
                <w:rFonts w:hint="default" w:ascii="Times New Roman" w:hAnsi="Times New Roman" w:cs="Times New Roman"/>
                <w:color w:val="auto"/>
                <w:highlight w:val="none"/>
                <w:u w:val="none" w:color="auto"/>
                <w:lang w:val="en-US" w:eastAsia="zh-CN"/>
              </w:rPr>
              <w:t>3类</w:t>
            </w:r>
            <w:r>
              <w:rPr>
                <w:rFonts w:hint="default" w:ascii="Times New Roman" w:hAnsi="Times New Roman" w:cs="Times New Roman"/>
                <w:color w:val="auto"/>
                <w:highlight w:val="none"/>
                <w:u w:val="none" w:color="auto"/>
              </w:rPr>
              <w:t>标准要求</w:t>
            </w:r>
          </w:p>
        </w:tc>
      </w:tr>
    </w:tbl>
    <w:p w14:paraId="62A129A9">
      <w:pPr>
        <w:pStyle w:val="189"/>
        <w:rPr>
          <w:rFonts w:hint="default" w:ascii="Times New Roman" w:hAnsi="Times New Roman" w:cs="Times New Roman"/>
          <w:color w:val="FF0000"/>
          <w:highlight w:val="none"/>
          <w:u w:val="none" w:color="auto"/>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326" w:charSpace="0"/>
        </w:sectPr>
      </w:pPr>
    </w:p>
    <w:p w14:paraId="2BAE9194">
      <w:pPr>
        <w:pStyle w:val="4"/>
        <w:numPr>
          <w:ilvl w:val="2"/>
          <w:numId w:val="0"/>
        </w:numPr>
        <w:ind w:leftChars="0"/>
        <w:rPr>
          <w:rFonts w:hint="default" w:ascii="Times New Roman" w:hAnsi="Times New Roman" w:cs="Times New Roman"/>
          <w:color w:val="auto"/>
          <w:highlight w:val="none"/>
          <w:u w:val="none" w:color="auto"/>
        </w:rPr>
      </w:pPr>
      <w:bookmarkStart w:id="199" w:name="_Toc2912"/>
      <w:r>
        <w:rPr>
          <w:rFonts w:hint="default" w:ascii="Times New Roman" w:hAnsi="Times New Roman" w:cs="Times New Roman"/>
          <w:color w:val="auto"/>
          <w:highlight w:val="none"/>
          <w:u w:val="none" w:color="auto"/>
          <w:lang w:val="en-US" w:eastAsia="zh-CN"/>
        </w:rPr>
        <w:t>10.4.2</w:t>
      </w:r>
      <w:r>
        <w:rPr>
          <w:rFonts w:hint="default" w:ascii="Times New Roman" w:hAnsi="Times New Roman" w:cs="Times New Roman"/>
          <w:color w:val="auto"/>
          <w:highlight w:val="none"/>
          <w:u w:val="none" w:color="auto"/>
        </w:rPr>
        <w:t>污染物排放清单</w:t>
      </w:r>
      <w:bookmarkEnd w:id="199"/>
    </w:p>
    <w:p w14:paraId="2AF02DAD">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lang w:val="en-US" w:eastAsia="zh-CN"/>
        </w:rPr>
        <w:t>10</w:t>
      </w:r>
      <w:r>
        <w:rPr>
          <w:rFonts w:hint="default" w:ascii="Times New Roman" w:hAnsi="Times New Roman" w:cs="Times New Roman"/>
          <w:color w:val="auto"/>
          <w:highlight w:val="none"/>
          <w:u w:val="none" w:color="auto"/>
        </w:rPr>
        <w:t>.4</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2</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项目营运期污染物排放清单</w:t>
      </w:r>
    </w:p>
    <w:tbl>
      <w:tblPr>
        <w:tblStyle w:val="76"/>
        <w:tblW w:w="90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48"/>
        <w:gridCol w:w="670"/>
        <w:gridCol w:w="728"/>
        <w:gridCol w:w="1781"/>
        <w:gridCol w:w="1046"/>
        <w:gridCol w:w="1140"/>
        <w:gridCol w:w="2704"/>
      </w:tblGrid>
      <w:tr w14:paraId="2EDD85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09" w:hRule="atLeast"/>
          <w:tblHeader/>
          <w:jc w:val="center"/>
        </w:trPr>
        <w:tc>
          <w:tcPr>
            <w:tcW w:w="948" w:type="dxa"/>
            <w:tcBorders>
              <w:tl2br w:val="nil"/>
              <w:tr2bl w:val="nil"/>
            </w:tcBorders>
            <w:vAlign w:val="center"/>
          </w:tcPr>
          <w:p w14:paraId="5D2478C4">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污染物</w:t>
            </w:r>
          </w:p>
        </w:tc>
        <w:tc>
          <w:tcPr>
            <w:tcW w:w="1398" w:type="dxa"/>
            <w:gridSpan w:val="2"/>
            <w:tcBorders>
              <w:tl2br w:val="nil"/>
              <w:tr2bl w:val="nil"/>
            </w:tcBorders>
            <w:vAlign w:val="center"/>
          </w:tcPr>
          <w:p w14:paraId="17F6FF8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排放源</w:t>
            </w:r>
          </w:p>
        </w:tc>
        <w:tc>
          <w:tcPr>
            <w:tcW w:w="1781" w:type="dxa"/>
            <w:tcBorders>
              <w:tl2br w:val="nil"/>
              <w:tr2bl w:val="nil"/>
            </w:tcBorders>
            <w:vAlign w:val="center"/>
          </w:tcPr>
          <w:p w14:paraId="6411205B">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主要污染</w:t>
            </w:r>
          </w:p>
          <w:p w14:paraId="41CD3B39">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因子</w:t>
            </w:r>
          </w:p>
        </w:tc>
        <w:tc>
          <w:tcPr>
            <w:tcW w:w="1046" w:type="dxa"/>
            <w:tcBorders>
              <w:tl2br w:val="nil"/>
              <w:tr2bl w:val="nil"/>
            </w:tcBorders>
            <w:vAlign w:val="center"/>
          </w:tcPr>
          <w:p w14:paraId="5BAE3108">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产生量</w:t>
            </w:r>
          </w:p>
        </w:tc>
        <w:tc>
          <w:tcPr>
            <w:tcW w:w="1140" w:type="dxa"/>
            <w:tcBorders>
              <w:tl2br w:val="nil"/>
              <w:tr2bl w:val="nil"/>
            </w:tcBorders>
            <w:vAlign w:val="center"/>
          </w:tcPr>
          <w:p w14:paraId="5D6F0720">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排放量</w:t>
            </w:r>
          </w:p>
        </w:tc>
        <w:tc>
          <w:tcPr>
            <w:tcW w:w="2704" w:type="dxa"/>
            <w:tcBorders>
              <w:tl2br w:val="nil"/>
              <w:tr2bl w:val="nil"/>
            </w:tcBorders>
            <w:vAlign w:val="center"/>
          </w:tcPr>
          <w:p w14:paraId="7112E8E1">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防治措施及</w:t>
            </w:r>
          </w:p>
          <w:p w14:paraId="61BAA993">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b/>
                <w:color w:val="FF0000"/>
                <w:kern w:val="2"/>
                <w:sz w:val="21"/>
                <w:szCs w:val="21"/>
                <w:highlight w:val="none"/>
              </w:rPr>
            </w:pPr>
            <w:r>
              <w:rPr>
                <w:rFonts w:hint="default" w:ascii="Times New Roman" w:hAnsi="Times New Roman" w:eastAsia="宋体" w:cs="Times New Roman"/>
                <w:b/>
                <w:color w:val="auto"/>
                <w:kern w:val="2"/>
                <w:sz w:val="21"/>
                <w:szCs w:val="21"/>
                <w:highlight w:val="none"/>
              </w:rPr>
              <w:t>排放去向</w:t>
            </w:r>
          </w:p>
        </w:tc>
      </w:tr>
      <w:tr w14:paraId="4AF35F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948" w:type="dxa"/>
            <w:vMerge w:val="restart"/>
            <w:tcBorders>
              <w:tl2br w:val="nil"/>
              <w:tr2bl w:val="nil"/>
            </w:tcBorders>
            <w:vAlign w:val="center"/>
          </w:tcPr>
          <w:p w14:paraId="14402930">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废水</w:t>
            </w:r>
          </w:p>
        </w:tc>
        <w:tc>
          <w:tcPr>
            <w:tcW w:w="1398" w:type="dxa"/>
            <w:gridSpan w:val="2"/>
            <w:vMerge w:val="restart"/>
            <w:tcBorders>
              <w:tl2br w:val="nil"/>
              <w:tr2bl w:val="nil"/>
            </w:tcBorders>
            <w:vAlign w:val="center"/>
          </w:tcPr>
          <w:p w14:paraId="33D74FF1">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highlight w:val="none"/>
                <w:lang w:val="en-US" w:eastAsia="zh-CN"/>
              </w:rPr>
            </w:pPr>
            <w:r>
              <w:rPr>
                <w:rFonts w:hint="default" w:ascii="Times New Roman" w:hAnsi="Times New Roman" w:eastAsia="宋体" w:cs="Times New Roman"/>
                <w:color w:val="auto"/>
                <w:kern w:val="2"/>
                <w:sz w:val="21"/>
                <w:highlight w:val="none"/>
                <w:lang w:val="en-US" w:eastAsia="zh-CN"/>
              </w:rPr>
              <w:t>总排口</w:t>
            </w:r>
          </w:p>
        </w:tc>
        <w:tc>
          <w:tcPr>
            <w:tcW w:w="1781" w:type="dxa"/>
            <w:tcBorders>
              <w:tl2br w:val="nil"/>
              <w:tr2bl w:val="nil"/>
            </w:tcBorders>
            <w:vAlign w:val="center"/>
          </w:tcPr>
          <w:p w14:paraId="5F194C74">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废水量</w:t>
            </w:r>
          </w:p>
        </w:tc>
        <w:tc>
          <w:tcPr>
            <w:tcW w:w="1046" w:type="dxa"/>
            <w:tcBorders>
              <w:tl2br w:val="nil"/>
              <w:tr2bl w:val="nil"/>
            </w:tcBorders>
            <w:vAlign w:val="center"/>
          </w:tcPr>
          <w:p w14:paraId="42C56ADB">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109.5万</w:t>
            </w:r>
          </w:p>
        </w:tc>
        <w:tc>
          <w:tcPr>
            <w:tcW w:w="1140" w:type="dxa"/>
            <w:tcBorders>
              <w:tl2br w:val="nil"/>
              <w:tr2bl w:val="nil"/>
            </w:tcBorders>
            <w:vAlign w:val="center"/>
          </w:tcPr>
          <w:p w14:paraId="5E99590B">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109.5万</w:t>
            </w:r>
          </w:p>
        </w:tc>
        <w:tc>
          <w:tcPr>
            <w:tcW w:w="2704" w:type="dxa"/>
            <w:vMerge w:val="restart"/>
            <w:tcBorders>
              <w:tl2br w:val="nil"/>
              <w:tr2bl w:val="nil"/>
            </w:tcBorders>
            <w:vAlign w:val="center"/>
          </w:tcPr>
          <w:p w14:paraId="6CF36F6F">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污水处理工艺采用“一体化泵站+调节均质+水解酸化+AAO生化+混凝沉淀+精密过滤+接触消毒”，园区企业废水经本污水处理站处理后达到达到《城镇污水处理厂污染物排放标准》</w:t>
            </w:r>
            <w:r>
              <w:rPr>
                <w:rFonts w:hint="eastAsia" w:cs="Times New Roman"/>
                <w:color w:val="auto"/>
                <w:kern w:val="2"/>
                <w:sz w:val="21"/>
                <w:szCs w:val="21"/>
                <w:highlight w:val="none"/>
                <w:lang w:val="en-US" w:eastAsia="zh-CN"/>
              </w:rPr>
              <w:t>（GB18918-2002）修改单</w:t>
            </w:r>
            <w:r>
              <w:rPr>
                <w:rFonts w:hint="default" w:ascii="Times New Roman" w:hAnsi="Times New Roman" w:eastAsia="宋体" w:cs="Times New Roman"/>
                <w:color w:val="auto"/>
                <w:kern w:val="2"/>
                <w:sz w:val="21"/>
                <w:szCs w:val="21"/>
                <w:highlight w:val="none"/>
                <w:lang w:val="en-US" w:eastAsia="zh-CN"/>
              </w:rPr>
              <w:t>一级A标准后经机排二十渠排入老三运河，最后进入漉湖。</w:t>
            </w:r>
          </w:p>
        </w:tc>
      </w:tr>
      <w:tr w14:paraId="1EF66D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948" w:type="dxa"/>
            <w:vMerge w:val="continue"/>
            <w:tcBorders>
              <w:tl2br w:val="nil"/>
              <w:tr2bl w:val="nil"/>
            </w:tcBorders>
            <w:vAlign w:val="center"/>
          </w:tcPr>
          <w:p w14:paraId="649E821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398" w:type="dxa"/>
            <w:gridSpan w:val="2"/>
            <w:vMerge w:val="continue"/>
            <w:tcBorders>
              <w:tl2br w:val="nil"/>
              <w:tr2bl w:val="nil"/>
            </w:tcBorders>
            <w:vAlign w:val="center"/>
          </w:tcPr>
          <w:p w14:paraId="5E77E992">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781" w:type="dxa"/>
            <w:tcBorders>
              <w:tl2br w:val="nil"/>
              <w:tr2bl w:val="nil"/>
            </w:tcBorders>
            <w:vAlign w:val="center"/>
          </w:tcPr>
          <w:p w14:paraId="4FB80FC8">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COD</w:t>
            </w:r>
          </w:p>
        </w:tc>
        <w:tc>
          <w:tcPr>
            <w:tcW w:w="1046" w:type="dxa"/>
            <w:tcBorders>
              <w:tl2br w:val="nil"/>
              <w:tr2bl w:val="nil"/>
            </w:tcBorders>
            <w:vAlign w:val="center"/>
          </w:tcPr>
          <w:p w14:paraId="4C404AAF">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547.5</w:t>
            </w:r>
          </w:p>
        </w:tc>
        <w:tc>
          <w:tcPr>
            <w:tcW w:w="1140" w:type="dxa"/>
            <w:tcBorders>
              <w:tl2br w:val="nil"/>
              <w:tr2bl w:val="nil"/>
            </w:tcBorders>
            <w:vAlign w:val="center"/>
          </w:tcPr>
          <w:p w14:paraId="6FB1DF58">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54.75</w:t>
            </w:r>
          </w:p>
        </w:tc>
        <w:tc>
          <w:tcPr>
            <w:tcW w:w="2704" w:type="dxa"/>
            <w:vMerge w:val="continue"/>
            <w:tcBorders>
              <w:tl2br w:val="nil"/>
              <w:tr2bl w:val="nil"/>
            </w:tcBorders>
            <w:vAlign w:val="center"/>
          </w:tcPr>
          <w:p w14:paraId="4DF52A59">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7DF30B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948" w:type="dxa"/>
            <w:vMerge w:val="continue"/>
            <w:tcBorders>
              <w:tl2br w:val="nil"/>
              <w:tr2bl w:val="nil"/>
            </w:tcBorders>
            <w:vAlign w:val="center"/>
          </w:tcPr>
          <w:p w14:paraId="3F51230F">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398" w:type="dxa"/>
            <w:gridSpan w:val="2"/>
            <w:vMerge w:val="continue"/>
            <w:tcBorders>
              <w:tl2br w:val="nil"/>
              <w:tr2bl w:val="nil"/>
            </w:tcBorders>
            <w:vAlign w:val="center"/>
          </w:tcPr>
          <w:p w14:paraId="08274A2C">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781" w:type="dxa"/>
            <w:tcBorders>
              <w:tl2br w:val="nil"/>
              <w:tr2bl w:val="nil"/>
            </w:tcBorders>
            <w:vAlign w:val="center"/>
          </w:tcPr>
          <w:p w14:paraId="22113A25">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氨氮</w:t>
            </w:r>
          </w:p>
        </w:tc>
        <w:tc>
          <w:tcPr>
            <w:tcW w:w="1046" w:type="dxa"/>
            <w:tcBorders>
              <w:tl2br w:val="nil"/>
              <w:tr2bl w:val="nil"/>
            </w:tcBorders>
            <w:vAlign w:val="center"/>
          </w:tcPr>
          <w:p w14:paraId="77877E03">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rPr>
              <w:t>49.275</w:t>
            </w:r>
          </w:p>
        </w:tc>
        <w:tc>
          <w:tcPr>
            <w:tcW w:w="1140" w:type="dxa"/>
            <w:tcBorders>
              <w:tl2br w:val="nil"/>
              <w:tr2bl w:val="nil"/>
            </w:tcBorders>
            <w:vAlign w:val="center"/>
          </w:tcPr>
          <w:p w14:paraId="6D9E57C8">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5.475</w:t>
            </w:r>
          </w:p>
        </w:tc>
        <w:tc>
          <w:tcPr>
            <w:tcW w:w="2704" w:type="dxa"/>
            <w:vMerge w:val="continue"/>
            <w:tcBorders>
              <w:tl2br w:val="nil"/>
              <w:tr2bl w:val="nil"/>
            </w:tcBorders>
            <w:vAlign w:val="center"/>
          </w:tcPr>
          <w:p w14:paraId="11C3AF78">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553D6E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948" w:type="dxa"/>
            <w:vMerge w:val="continue"/>
            <w:tcBorders>
              <w:tl2br w:val="nil"/>
              <w:tr2bl w:val="nil"/>
            </w:tcBorders>
            <w:vAlign w:val="center"/>
          </w:tcPr>
          <w:p w14:paraId="13C8189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398" w:type="dxa"/>
            <w:gridSpan w:val="2"/>
            <w:vMerge w:val="continue"/>
            <w:tcBorders>
              <w:tl2br w:val="nil"/>
              <w:tr2bl w:val="nil"/>
            </w:tcBorders>
            <w:vAlign w:val="center"/>
          </w:tcPr>
          <w:p w14:paraId="01E81CF7">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781" w:type="dxa"/>
            <w:tcBorders>
              <w:tl2br w:val="nil"/>
              <w:tr2bl w:val="nil"/>
            </w:tcBorders>
            <w:vAlign w:val="center"/>
          </w:tcPr>
          <w:p w14:paraId="625E5BB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总氮</w:t>
            </w:r>
          </w:p>
        </w:tc>
        <w:tc>
          <w:tcPr>
            <w:tcW w:w="1046" w:type="dxa"/>
            <w:tcBorders>
              <w:tl2br w:val="nil"/>
              <w:tr2bl w:val="nil"/>
            </w:tcBorders>
            <w:vAlign w:val="center"/>
          </w:tcPr>
          <w:p w14:paraId="160C8F98">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76.65</w:t>
            </w:r>
          </w:p>
        </w:tc>
        <w:tc>
          <w:tcPr>
            <w:tcW w:w="1140" w:type="dxa"/>
            <w:tcBorders>
              <w:tl2br w:val="nil"/>
              <w:tr2bl w:val="nil"/>
            </w:tcBorders>
            <w:vAlign w:val="center"/>
          </w:tcPr>
          <w:p w14:paraId="134FF0F2">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16.425</w:t>
            </w:r>
          </w:p>
        </w:tc>
        <w:tc>
          <w:tcPr>
            <w:tcW w:w="2704" w:type="dxa"/>
            <w:vMerge w:val="continue"/>
            <w:tcBorders>
              <w:tl2br w:val="nil"/>
              <w:tr2bl w:val="nil"/>
            </w:tcBorders>
            <w:vAlign w:val="center"/>
          </w:tcPr>
          <w:p w14:paraId="04F1CEFE">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671188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948" w:type="dxa"/>
            <w:vMerge w:val="continue"/>
            <w:tcBorders>
              <w:tl2br w:val="nil"/>
              <w:tr2bl w:val="nil"/>
            </w:tcBorders>
            <w:vAlign w:val="center"/>
          </w:tcPr>
          <w:p w14:paraId="5B3725F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398" w:type="dxa"/>
            <w:gridSpan w:val="2"/>
            <w:vMerge w:val="continue"/>
            <w:tcBorders>
              <w:tl2br w:val="nil"/>
              <w:tr2bl w:val="nil"/>
            </w:tcBorders>
            <w:vAlign w:val="center"/>
          </w:tcPr>
          <w:p w14:paraId="7242F360">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781" w:type="dxa"/>
            <w:tcBorders>
              <w:tl2br w:val="nil"/>
              <w:tr2bl w:val="nil"/>
            </w:tcBorders>
            <w:vAlign w:val="center"/>
          </w:tcPr>
          <w:p w14:paraId="7ED6967B">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总磷</w:t>
            </w:r>
          </w:p>
        </w:tc>
        <w:tc>
          <w:tcPr>
            <w:tcW w:w="1046" w:type="dxa"/>
            <w:tcBorders>
              <w:tl2br w:val="nil"/>
              <w:tr2bl w:val="nil"/>
            </w:tcBorders>
            <w:vAlign w:val="center"/>
          </w:tcPr>
          <w:p w14:paraId="5282875E">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8.76</w:t>
            </w:r>
          </w:p>
        </w:tc>
        <w:tc>
          <w:tcPr>
            <w:tcW w:w="1140" w:type="dxa"/>
            <w:tcBorders>
              <w:tl2br w:val="nil"/>
              <w:tr2bl w:val="nil"/>
            </w:tcBorders>
            <w:vAlign w:val="center"/>
          </w:tcPr>
          <w:p w14:paraId="6ED1C3E0">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0.5475</w:t>
            </w:r>
          </w:p>
        </w:tc>
        <w:tc>
          <w:tcPr>
            <w:tcW w:w="2704" w:type="dxa"/>
            <w:vMerge w:val="continue"/>
            <w:tcBorders>
              <w:tl2br w:val="nil"/>
              <w:tr2bl w:val="nil"/>
            </w:tcBorders>
            <w:vAlign w:val="center"/>
          </w:tcPr>
          <w:p w14:paraId="61252914">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030C69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948" w:type="dxa"/>
            <w:vMerge w:val="restart"/>
            <w:tcBorders>
              <w:tl2br w:val="nil"/>
              <w:tr2bl w:val="nil"/>
            </w:tcBorders>
            <w:vAlign w:val="center"/>
          </w:tcPr>
          <w:p w14:paraId="3E9A7CEC">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废气</w:t>
            </w:r>
          </w:p>
        </w:tc>
        <w:tc>
          <w:tcPr>
            <w:tcW w:w="670" w:type="dxa"/>
            <w:vMerge w:val="restart"/>
            <w:tcBorders>
              <w:tl2br w:val="nil"/>
              <w:tr2bl w:val="nil"/>
            </w:tcBorders>
            <w:vAlign w:val="center"/>
          </w:tcPr>
          <w:p w14:paraId="2E607E2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有组织废气</w:t>
            </w:r>
          </w:p>
        </w:tc>
        <w:tc>
          <w:tcPr>
            <w:tcW w:w="728" w:type="dxa"/>
            <w:vMerge w:val="restart"/>
            <w:tcBorders>
              <w:tl2br w:val="nil"/>
              <w:tr2bl w:val="nil"/>
            </w:tcBorders>
            <w:vAlign w:val="center"/>
          </w:tcPr>
          <w:p w14:paraId="0CC100E7">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生物除臭</w:t>
            </w:r>
          </w:p>
        </w:tc>
        <w:tc>
          <w:tcPr>
            <w:tcW w:w="1781" w:type="dxa"/>
            <w:tcBorders>
              <w:tl2br w:val="nil"/>
              <w:tr2bl w:val="nil"/>
            </w:tcBorders>
            <w:vAlign w:val="center"/>
          </w:tcPr>
          <w:p w14:paraId="0B4383FE">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废气量</w:t>
            </w:r>
          </w:p>
        </w:tc>
        <w:tc>
          <w:tcPr>
            <w:tcW w:w="1046" w:type="dxa"/>
            <w:tcBorders>
              <w:tl2br w:val="nil"/>
              <w:tr2bl w:val="nil"/>
            </w:tcBorders>
            <w:vAlign w:val="center"/>
          </w:tcPr>
          <w:p w14:paraId="4285CAA1">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10000m</w:t>
            </w:r>
            <w:r>
              <w:rPr>
                <w:rFonts w:hint="default" w:ascii="Times New Roman" w:hAnsi="Times New Roman" w:eastAsia="宋体" w:cs="Times New Roman"/>
                <w:color w:val="auto"/>
                <w:kern w:val="2"/>
                <w:sz w:val="21"/>
                <w:szCs w:val="21"/>
                <w:highlight w:val="none"/>
                <w:vertAlign w:val="superscript"/>
                <w:lang w:val="en-US" w:eastAsia="zh-CN"/>
              </w:rPr>
              <w:t>3</w:t>
            </w:r>
            <w:r>
              <w:rPr>
                <w:rFonts w:hint="default" w:ascii="Times New Roman" w:hAnsi="Times New Roman" w:eastAsia="宋体" w:cs="Times New Roman"/>
                <w:color w:val="auto"/>
                <w:kern w:val="2"/>
                <w:sz w:val="21"/>
                <w:szCs w:val="21"/>
                <w:highlight w:val="none"/>
                <w:lang w:val="en-US" w:eastAsia="zh-CN"/>
              </w:rPr>
              <w:t>/h</w:t>
            </w:r>
          </w:p>
        </w:tc>
        <w:tc>
          <w:tcPr>
            <w:tcW w:w="1140" w:type="dxa"/>
            <w:tcBorders>
              <w:tl2br w:val="nil"/>
              <w:tr2bl w:val="nil"/>
            </w:tcBorders>
            <w:vAlign w:val="center"/>
          </w:tcPr>
          <w:p w14:paraId="58D0AD22">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10000m</w:t>
            </w:r>
            <w:r>
              <w:rPr>
                <w:rFonts w:hint="default" w:ascii="Times New Roman" w:hAnsi="Times New Roman" w:eastAsia="宋体" w:cs="Times New Roman"/>
                <w:color w:val="auto"/>
                <w:kern w:val="2"/>
                <w:sz w:val="21"/>
                <w:szCs w:val="21"/>
                <w:highlight w:val="none"/>
                <w:vertAlign w:val="superscript"/>
                <w:lang w:val="en-US" w:eastAsia="zh-CN"/>
              </w:rPr>
              <w:t>3</w:t>
            </w:r>
            <w:r>
              <w:rPr>
                <w:rFonts w:hint="default" w:ascii="Times New Roman" w:hAnsi="Times New Roman" w:eastAsia="宋体" w:cs="Times New Roman"/>
                <w:color w:val="auto"/>
                <w:kern w:val="2"/>
                <w:sz w:val="21"/>
                <w:szCs w:val="21"/>
                <w:highlight w:val="none"/>
                <w:lang w:val="en-US" w:eastAsia="zh-CN"/>
              </w:rPr>
              <w:t>/h</w:t>
            </w:r>
          </w:p>
        </w:tc>
        <w:tc>
          <w:tcPr>
            <w:tcW w:w="2704" w:type="dxa"/>
            <w:vMerge w:val="restart"/>
            <w:tcBorders>
              <w:tl2br w:val="nil"/>
              <w:tr2bl w:val="nil"/>
            </w:tcBorders>
            <w:vAlign w:val="center"/>
          </w:tcPr>
          <w:p w14:paraId="412F9507">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主要恶臭产生单元密闭加盖后通过负压收集至生物除臭塔处理后通过15m高排气筒排放</w:t>
            </w:r>
          </w:p>
        </w:tc>
      </w:tr>
      <w:tr w14:paraId="52D03B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48" w:type="dxa"/>
            <w:vMerge w:val="continue"/>
            <w:tcBorders>
              <w:tl2br w:val="nil"/>
              <w:tr2bl w:val="nil"/>
            </w:tcBorders>
            <w:vAlign w:val="center"/>
          </w:tcPr>
          <w:p w14:paraId="0D33218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670" w:type="dxa"/>
            <w:vMerge w:val="continue"/>
            <w:tcBorders>
              <w:tl2br w:val="nil"/>
              <w:tr2bl w:val="nil"/>
            </w:tcBorders>
            <w:vAlign w:val="center"/>
          </w:tcPr>
          <w:p w14:paraId="66F9DDE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728" w:type="dxa"/>
            <w:vMerge w:val="continue"/>
            <w:tcBorders>
              <w:tl2br w:val="nil"/>
              <w:tr2bl w:val="nil"/>
            </w:tcBorders>
            <w:vAlign w:val="center"/>
          </w:tcPr>
          <w:p w14:paraId="77C17402">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p>
        </w:tc>
        <w:tc>
          <w:tcPr>
            <w:tcW w:w="1781" w:type="dxa"/>
            <w:tcBorders>
              <w:tl2br w:val="nil"/>
              <w:tr2bl w:val="nil"/>
            </w:tcBorders>
            <w:vAlign w:val="center"/>
          </w:tcPr>
          <w:p w14:paraId="7B6B5761">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NH</w:t>
            </w:r>
            <w:r>
              <w:rPr>
                <w:rFonts w:hint="default" w:ascii="Times New Roman" w:hAnsi="Times New Roman" w:eastAsia="宋体" w:cs="Times New Roman"/>
                <w:color w:val="auto"/>
                <w:kern w:val="2"/>
                <w:sz w:val="21"/>
                <w:szCs w:val="21"/>
                <w:highlight w:val="none"/>
                <w:vertAlign w:val="subscript"/>
                <w:lang w:val="en-US" w:eastAsia="zh-CN"/>
              </w:rPr>
              <w:t>3</w:t>
            </w:r>
          </w:p>
        </w:tc>
        <w:tc>
          <w:tcPr>
            <w:tcW w:w="1046" w:type="dxa"/>
            <w:tcBorders>
              <w:tl2br w:val="nil"/>
              <w:tr2bl w:val="nil"/>
            </w:tcBorders>
            <w:vAlign w:val="center"/>
          </w:tcPr>
          <w:p w14:paraId="66CBDE79">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1.038</w:t>
            </w:r>
          </w:p>
        </w:tc>
        <w:tc>
          <w:tcPr>
            <w:tcW w:w="1140" w:type="dxa"/>
            <w:tcBorders>
              <w:tl2br w:val="nil"/>
              <w:tr2bl w:val="nil"/>
            </w:tcBorders>
            <w:vAlign w:val="center"/>
          </w:tcPr>
          <w:p w14:paraId="0BD9CF5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1038</w:t>
            </w:r>
          </w:p>
        </w:tc>
        <w:tc>
          <w:tcPr>
            <w:tcW w:w="2704" w:type="dxa"/>
            <w:vMerge w:val="continue"/>
            <w:tcBorders>
              <w:tl2br w:val="nil"/>
              <w:tr2bl w:val="nil"/>
            </w:tcBorders>
            <w:vAlign w:val="center"/>
          </w:tcPr>
          <w:p w14:paraId="6C41856A">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76F6D4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948" w:type="dxa"/>
            <w:vMerge w:val="continue"/>
            <w:tcBorders>
              <w:tl2br w:val="nil"/>
              <w:tr2bl w:val="nil"/>
            </w:tcBorders>
            <w:vAlign w:val="center"/>
          </w:tcPr>
          <w:p w14:paraId="2D8860D4">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670" w:type="dxa"/>
            <w:vMerge w:val="continue"/>
            <w:tcBorders>
              <w:tl2br w:val="nil"/>
              <w:tr2bl w:val="nil"/>
            </w:tcBorders>
            <w:vAlign w:val="center"/>
          </w:tcPr>
          <w:p w14:paraId="5B32FF59">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728" w:type="dxa"/>
            <w:vMerge w:val="continue"/>
            <w:tcBorders>
              <w:tl2br w:val="nil"/>
              <w:tr2bl w:val="nil"/>
            </w:tcBorders>
            <w:vAlign w:val="center"/>
          </w:tcPr>
          <w:p w14:paraId="35CC685A">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rPr>
            </w:pPr>
          </w:p>
        </w:tc>
        <w:tc>
          <w:tcPr>
            <w:tcW w:w="1781" w:type="dxa"/>
            <w:tcBorders>
              <w:tl2br w:val="nil"/>
              <w:tr2bl w:val="nil"/>
            </w:tcBorders>
            <w:vAlign w:val="center"/>
          </w:tcPr>
          <w:p w14:paraId="5DF1CF73">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H</w:t>
            </w:r>
            <w:r>
              <w:rPr>
                <w:rFonts w:hint="default" w:ascii="Times New Roman" w:hAnsi="Times New Roman" w:eastAsia="宋体" w:cs="Times New Roman"/>
                <w:color w:val="auto"/>
                <w:kern w:val="2"/>
                <w:sz w:val="21"/>
                <w:szCs w:val="21"/>
                <w:highlight w:val="none"/>
                <w:vertAlign w:val="subscript"/>
                <w:lang w:val="en-US" w:eastAsia="zh-CN"/>
              </w:rPr>
              <w:t>2</w:t>
            </w:r>
            <w:r>
              <w:rPr>
                <w:rFonts w:hint="default" w:ascii="Times New Roman" w:hAnsi="Times New Roman" w:eastAsia="宋体" w:cs="Times New Roman"/>
                <w:color w:val="auto"/>
                <w:kern w:val="2"/>
                <w:sz w:val="21"/>
                <w:szCs w:val="21"/>
                <w:highlight w:val="none"/>
                <w:lang w:val="en-US" w:eastAsia="zh-CN"/>
              </w:rPr>
              <w:t>S</w:t>
            </w:r>
          </w:p>
        </w:tc>
        <w:tc>
          <w:tcPr>
            <w:tcW w:w="1046" w:type="dxa"/>
            <w:tcBorders>
              <w:tl2br w:val="nil"/>
              <w:tr2bl w:val="nil"/>
            </w:tcBorders>
            <w:vAlign w:val="center"/>
          </w:tcPr>
          <w:p w14:paraId="4BC5E661">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0.0402</w:t>
            </w:r>
          </w:p>
        </w:tc>
        <w:tc>
          <w:tcPr>
            <w:tcW w:w="1140" w:type="dxa"/>
            <w:tcBorders>
              <w:tl2br w:val="nil"/>
              <w:tr2bl w:val="nil"/>
            </w:tcBorders>
            <w:vAlign w:val="center"/>
          </w:tcPr>
          <w:p w14:paraId="47A62BA6">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highlight w:val="none"/>
              </w:rPr>
            </w:pP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40</w:t>
            </w:r>
          </w:p>
        </w:tc>
        <w:tc>
          <w:tcPr>
            <w:tcW w:w="2704" w:type="dxa"/>
            <w:vMerge w:val="continue"/>
            <w:tcBorders>
              <w:tl2br w:val="nil"/>
              <w:tr2bl w:val="nil"/>
            </w:tcBorders>
            <w:vAlign w:val="center"/>
          </w:tcPr>
          <w:p w14:paraId="7784C357">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397223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948" w:type="dxa"/>
            <w:vMerge w:val="continue"/>
            <w:tcBorders>
              <w:tl2br w:val="nil"/>
              <w:tr2bl w:val="nil"/>
            </w:tcBorders>
            <w:vAlign w:val="center"/>
          </w:tcPr>
          <w:p w14:paraId="4E144FF0">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398" w:type="dxa"/>
            <w:gridSpan w:val="2"/>
            <w:vMerge w:val="restart"/>
            <w:tcBorders>
              <w:tl2br w:val="nil"/>
              <w:tr2bl w:val="nil"/>
            </w:tcBorders>
            <w:vAlign w:val="center"/>
          </w:tcPr>
          <w:p w14:paraId="4B2A42C5">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无组织废气</w:t>
            </w:r>
          </w:p>
        </w:tc>
        <w:tc>
          <w:tcPr>
            <w:tcW w:w="1781" w:type="dxa"/>
            <w:tcBorders>
              <w:tl2br w:val="nil"/>
              <w:tr2bl w:val="nil"/>
            </w:tcBorders>
            <w:vAlign w:val="center"/>
          </w:tcPr>
          <w:p w14:paraId="673E92C1">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NH</w:t>
            </w:r>
            <w:r>
              <w:rPr>
                <w:rFonts w:hint="default" w:ascii="Times New Roman" w:hAnsi="Times New Roman" w:eastAsia="宋体" w:cs="Times New Roman"/>
                <w:color w:val="auto"/>
                <w:kern w:val="2"/>
                <w:sz w:val="21"/>
                <w:szCs w:val="21"/>
                <w:highlight w:val="none"/>
                <w:vertAlign w:val="subscript"/>
                <w:lang w:val="en-US" w:eastAsia="zh-CN"/>
              </w:rPr>
              <w:t>3</w:t>
            </w:r>
          </w:p>
        </w:tc>
        <w:tc>
          <w:tcPr>
            <w:tcW w:w="1046" w:type="dxa"/>
            <w:tcBorders>
              <w:tl2br w:val="nil"/>
              <w:tr2bl w:val="nil"/>
            </w:tcBorders>
            <w:vAlign w:val="center"/>
          </w:tcPr>
          <w:p w14:paraId="77B4C2FC">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11534</w:t>
            </w:r>
          </w:p>
        </w:tc>
        <w:tc>
          <w:tcPr>
            <w:tcW w:w="1140" w:type="dxa"/>
            <w:tcBorders>
              <w:tl2br w:val="nil"/>
              <w:tr2bl w:val="nil"/>
            </w:tcBorders>
            <w:vAlign w:val="center"/>
          </w:tcPr>
          <w:p w14:paraId="37A593EE">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cs="Times New Roman"/>
                <w:color w:val="000000" w:themeColor="text1"/>
                <w:highlight w:val="none"/>
                <w:u w:val="none" w:color="auto"/>
                <w14:textFill>
                  <w14:solidFill>
                    <w14:schemeClr w14:val="tx1"/>
                  </w14:solidFill>
                </w14:textFill>
              </w:rPr>
              <w:t>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11534</w:t>
            </w:r>
          </w:p>
        </w:tc>
        <w:tc>
          <w:tcPr>
            <w:tcW w:w="2704" w:type="dxa"/>
            <w:vMerge w:val="restart"/>
            <w:tcBorders>
              <w:tl2br w:val="nil"/>
              <w:tr2bl w:val="nil"/>
            </w:tcBorders>
            <w:vAlign w:val="center"/>
          </w:tcPr>
          <w:p w14:paraId="632BC35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主要产臭源均加盖密封，加强绿化</w:t>
            </w:r>
          </w:p>
        </w:tc>
      </w:tr>
      <w:tr w14:paraId="05680F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948" w:type="dxa"/>
            <w:vMerge w:val="continue"/>
            <w:tcBorders>
              <w:tl2br w:val="nil"/>
              <w:tr2bl w:val="nil"/>
            </w:tcBorders>
            <w:vAlign w:val="center"/>
          </w:tcPr>
          <w:p w14:paraId="1F93484A">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398" w:type="dxa"/>
            <w:gridSpan w:val="2"/>
            <w:vMerge w:val="continue"/>
            <w:tcBorders>
              <w:tl2br w:val="nil"/>
              <w:tr2bl w:val="nil"/>
            </w:tcBorders>
            <w:vAlign w:val="center"/>
          </w:tcPr>
          <w:p w14:paraId="0604821B">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p>
        </w:tc>
        <w:tc>
          <w:tcPr>
            <w:tcW w:w="1781" w:type="dxa"/>
            <w:tcBorders>
              <w:tl2br w:val="nil"/>
              <w:tr2bl w:val="nil"/>
            </w:tcBorders>
            <w:vAlign w:val="center"/>
          </w:tcPr>
          <w:p w14:paraId="6C1B9B04">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H</w:t>
            </w:r>
            <w:r>
              <w:rPr>
                <w:rFonts w:hint="default" w:ascii="Times New Roman" w:hAnsi="Times New Roman" w:eastAsia="宋体" w:cs="Times New Roman"/>
                <w:color w:val="auto"/>
                <w:kern w:val="2"/>
                <w:sz w:val="21"/>
                <w:szCs w:val="21"/>
                <w:highlight w:val="none"/>
                <w:vertAlign w:val="subscript"/>
                <w:lang w:val="en-US" w:eastAsia="zh-CN"/>
              </w:rPr>
              <w:t>2</w:t>
            </w:r>
            <w:r>
              <w:rPr>
                <w:rFonts w:hint="default" w:ascii="Times New Roman" w:hAnsi="Times New Roman" w:eastAsia="宋体" w:cs="Times New Roman"/>
                <w:color w:val="auto"/>
                <w:kern w:val="2"/>
                <w:sz w:val="21"/>
                <w:szCs w:val="21"/>
                <w:highlight w:val="none"/>
                <w:lang w:val="en-US" w:eastAsia="zh-CN"/>
              </w:rPr>
              <w:t>S</w:t>
            </w:r>
          </w:p>
        </w:tc>
        <w:tc>
          <w:tcPr>
            <w:tcW w:w="1046" w:type="dxa"/>
            <w:tcBorders>
              <w:tl2br w:val="nil"/>
              <w:tr2bl w:val="nil"/>
            </w:tcBorders>
            <w:vAlign w:val="center"/>
          </w:tcPr>
          <w:p w14:paraId="056E94E7">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4468</w:t>
            </w:r>
          </w:p>
        </w:tc>
        <w:tc>
          <w:tcPr>
            <w:tcW w:w="1140" w:type="dxa"/>
            <w:tcBorders>
              <w:tl2br w:val="nil"/>
              <w:tr2bl w:val="nil"/>
            </w:tcBorders>
            <w:vAlign w:val="center"/>
          </w:tcPr>
          <w:p w14:paraId="71B35605">
            <w:pPr>
              <w:pStyle w:val="19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cs="Times New Roman"/>
                <w:color w:val="000000" w:themeColor="text1"/>
                <w:highlight w:val="none"/>
                <w:u w:val="none" w:color="auto"/>
                <w14:textFill>
                  <w14:solidFill>
                    <w14:schemeClr w14:val="tx1"/>
                  </w14:solidFill>
                </w14:textFill>
              </w:rPr>
              <w:t>0.00</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4468</w:t>
            </w:r>
          </w:p>
        </w:tc>
        <w:tc>
          <w:tcPr>
            <w:tcW w:w="2704" w:type="dxa"/>
            <w:vMerge w:val="continue"/>
            <w:tcBorders>
              <w:tl2br w:val="nil"/>
              <w:tr2bl w:val="nil"/>
            </w:tcBorders>
            <w:vAlign w:val="center"/>
          </w:tcPr>
          <w:p w14:paraId="29B8DA88">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r>
      <w:tr w14:paraId="4D2B07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948" w:type="dxa"/>
            <w:vMerge w:val="continue"/>
            <w:tcBorders>
              <w:tl2br w:val="nil"/>
              <w:tr2bl w:val="nil"/>
            </w:tcBorders>
            <w:vAlign w:val="center"/>
          </w:tcPr>
          <w:p w14:paraId="69E2A7F9">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398" w:type="dxa"/>
            <w:gridSpan w:val="2"/>
            <w:tcBorders>
              <w:tl2br w:val="nil"/>
              <w:tr2bl w:val="nil"/>
            </w:tcBorders>
            <w:vAlign w:val="center"/>
          </w:tcPr>
          <w:p w14:paraId="714A3E84">
            <w:pPr>
              <w:keepNext w:val="0"/>
              <w:keepLines w:val="0"/>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食堂油烟</w:t>
            </w:r>
          </w:p>
        </w:tc>
        <w:tc>
          <w:tcPr>
            <w:tcW w:w="1781" w:type="dxa"/>
            <w:tcBorders>
              <w:tl2br w:val="nil"/>
              <w:tr2bl w:val="nil"/>
            </w:tcBorders>
            <w:vAlign w:val="center"/>
          </w:tcPr>
          <w:p w14:paraId="10A0AA7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食堂油烟</w:t>
            </w:r>
          </w:p>
        </w:tc>
        <w:tc>
          <w:tcPr>
            <w:tcW w:w="1046" w:type="dxa"/>
            <w:tcBorders>
              <w:tl2br w:val="nil"/>
              <w:tr2bl w:val="nil"/>
            </w:tcBorders>
            <w:vAlign w:val="center"/>
          </w:tcPr>
          <w:p w14:paraId="07BFE26F">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3.5</w:t>
            </w:r>
            <w:r>
              <w:rPr>
                <w:rFonts w:hint="default" w:ascii="Times New Roman" w:hAnsi="Times New Roman" w:eastAsia="宋体" w:cs="Times New Roman"/>
                <w:color w:val="auto"/>
                <w:kern w:val="2"/>
                <w:sz w:val="21"/>
                <w:szCs w:val="21"/>
                <w:highlight w:val="none"/>
              </w:rPr>
              <w:t>kg/a</w:t>
            </w:r>
          </w:p>
        </w:tc>
        <w:tc>
          <w:tcPr>
            <w:tcW w:w="1140" w:type="dxa"/>
            <w:tcBorders>
              <w:tl2br w:val="nil"/>
              <w:tr2bl w:val="nil"/>
            </w:tcBorders>
            <w:vAlign w:val="center"/>
          </w:tcPr>
          <w:p w14:paraId="7F1DF8EB">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0.876</w:t>
            </w:r>
            <w:r>
              <w:rPr>
                <w:rFonts w:hint="default" w:ascii="Times New Roman" w:hAnsi="Times New Roman" w:eastAsia="宋体" w:cs="Times New Roman"/>
                <w:color w:val="auto"/>
                <w:kern w:val="2"/>
                <w:sz w:val="21"/>
                <w:szCs w:val="21"/>
                <w:highlight w:val="none"/>
              </w:rPr>
              <w:t xml:space="preserve"> kg/a</w:t>
            </w:r>
          </w:p>
        </w:tc>
        <w:tc>
          <w:tcPr>
            <w:tcW w:w="2704" w:type="dxa"/>
            <w:tcBorders>
              <w:tl2br w:val="nil"/>
              <w:tr2bl w:val="nil"/>
            </w:tcBorders>
            <w:vAlign w:val="center"/>
          </w:tcPr>
          <w:p w14:paraId="3EA0728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油烟</w:t>
            </w:r>
            <w:r>
              <w:rPr>
                <w:rFonts w:hint="default" w:ascii="Times New Roman" w:hAnsi="Times New Roman" w:eastAsia="宋体" w:cs="Times New Roman"/>
                <w:color w:val="auto"/>
                <w:kern w:val="2"/>
                <w:sz w:val="21"/>
                <w:szCs w:val="21"/>
                <w:highlight w:val="none"/>
                <w:lang w:eastAsia="zh-CN"/>
              </w:rPr>
              <w:t>净化</w:t>
            </w:r>
            <w:r>
              <w:rPr>
                <w:rFonts w:hint="default" w:ascii="Times New Roman" w:hAnsi="Times New Roman" w:eastAsia="宋体" w:cs="Times New Roman"/>
                <w:color w:val="auto"/>
                <w:kern w:val="2"/>
                <w:sz w:val="21"/>
                <w:szCs w:val="21"/>
                <w:highlight w:val="none"/>
              </w:rPr>
              <w:t>装置</w:t>
            </w:r>
            <w:r>
              <w:rPr>
                <w:rFonts w:hint="default" w:ascii="Times New Roman" w:hAnsi="Times New Roman" w:eastAsia="宋体" w:cs="Times New Roman"/>
                <w:color w:val="auto"/>
                <w:kern w:val="2"/>
                <w:sz w:val="21"/>
                <w:szCs w:val="21"/>
                <w:highlight w:val="none"/>
                <w:lang w:val="en-US" w:eastAsia="zh-CN"/>
              </w:rPr>
              <w:t>处理后通过专用油烟管道引至屋顶排放</w:t>
            </w:r>
          </w:p>
        </w:tc>
      </w:tr>
      <w:tr w14:paraId="7D684C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948" w:type="dxa"/>
            <w:vMerge w:val="restart"/>
            <w:tcBorders>
              <w:tl2br w:val="nil"/>
              <w:tr2bl w:val="nil"/>
            </w:tcBorders>
            <w:vAlign w:val="center"/>
          </w:tcPr>
          <w:p w14:paraId="755BB390">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固体</w:t>
            </w:r>
          </w:p>
          <w:p w14:paraId="18D78E01">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废物</w:t>
            </w:r>
          </w:p>
        </w:tc>
        <w:tc>
          <w:tcPr>
            <w:tcW w:w="1398" w:type="dxa"/>
            <w:gridSpan w:val="2"/>
            <w:tcBorders>
              <w:tl2br w:val="nil"/>
              <w:tr2bl w:val="nil"/>
            </w:tcBorders>
            <w:vAlign w:val="center"/>
          </w:tcPr>
          <w:p w14:paraId="4DAA20BE">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生活垃圾</w:t>
            </w:r>
          </w:p>
        </w:tc>
        <w:tc>
          <w:tcPr>
            <w:tcW w:w="1781" w:type="dxa"/>
            <w:tcBorders>
              <w:tl2br w:val="nil"/>
              <w:tr2bl w:val="nil"/>
            </w:tcBorders>
            <w:vAlign w:val="center"/>
          </w:tcPr>
          <w:p w14:paraId="6B54962D">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生活垃圾</w:t>
            </w:r>
          </w:p>
        </w:tc>
        <w:tc>
          <w:tcPr>
            <w:tcW w:w="1046" w:type="dxa"/>
            <w:tcBorders>
              <w:tl2br w:val="nil"/>
              <w:tr2bl w:val="nil"/>
            </w:tcBorders>
            <w:vAlign w:val="center"/>
          </w:tcPr>
          <w:p w14:paraId="3167E5E3">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5.84</w:t>
            </w:r>
          </w:p>
        </w:tc>
        <w:tc>
          <w:tcPr>
            <w:tcW w:w="1140" w:type="dxa"/>
            <w:tcBorders>
              <w:tl2br w:val="nil"/>
              <w:tr2bl w:val="nil"/>
            </w:tcBorders>
            <w:vAlign w:val="center"/>
          </w:tcPr>
          <w:p w14:paraId="4E64ED94">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704" w:type="dxa"/>
            <w:vMerge w:val="restart"/>
            <w:tcBorders>
              <w:tl2br w:val="nil"/>
              <w:tr2bl w:val="nil"/>
            </w:tcBorders>
            <w:vAlign w:val="center"/>
          </w:tcPr>
          <w:p w14:paraId="2BA909C3">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分类收集后，暂存于厂区内垃圾收集点，由当地环卫部门定期清运处理</w:t>
            </w:r>
          </w:p>
        </w:tc>
      </w:tr>
      <w:tr w14:paraId="46D222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48" w:type="dxa"/>
            <w:vMerge w:val="continue"/>
            <w:tcBorders>
              <w:tl2br w:val="nil"/>
              <w:tr2bl w:val="nil"/>
            </w:tcBorders>
            <w:vAlign w:val="center"/>
          </w:tcPr>
          <w:p w14:paraId="274DAC3C">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398" w:type="dxa"/>
            <w:gridSpan w:val="2"/>
            <w:vMerge w:val="restart"/>
            <w:tcBorders>
              <w:tl2br w:val="nil"/>
              <w:tr2bl w:val="nil"/>
            </w:tcBorders>
            <w:vAlign w:val="center"/>
          </w:tcPr>
          <w:p w14:paraId="74A7D1D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一般固废</w:t>
            </w:r>
          </w:p>
        </w:tc>
        <w:tc>
          <w:tcPr>
            <w:tcW w:w="1781" w:type="dxa"/>
            <w:tcBorders>
              <w:tl2br w:val="nil"/>
              <w:tr2bl w:val="nil"/>
            </w:tcBorders>
            <w:vAlign w:val="center"/>
          </w:tcPr>
          <w:p w14:paraId="58FAD9E5">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栅渣</w:t>
            </w:r>
          </w:p>
        </w:tc>
        <w:tc>
          <w:tcPr>
            <w:tcW w:w="1046" w:type="dxa"/>
            <w:tcBorders>
              <w:tl2br w:val="nil"/>
              <w:tr2bl w:val="nil"/>
            </w:tcBorders>
            <w:vAlign w:val="center"/>
          </w:tcPr>
          <w:p w14:paraId="52E89C5E">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73.584</w:t>
            </w:r>
          </w:p>
        </w:tc>
        <w:tc>
          <w:tcPr>
            <w:tcW w:w="1140" w:type="dxa"/>
            <w:tcBorders>
              <w:tl2br w:val="nil"/>
              <w:tr2bl w:val="nil"/>
            </w:tcBorders>
            <w:vAlign w:val="center"/>
          </w:tcPr>
          <w:p w14:paraId="4D10B498">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0</w:t>
            </w:r>
          </w:p>
        </w:tc>
        <w:tc>
          <w:tcPr>
            <w:tcW w:w="2704" w:type="dxa"/>
            <w:vMerge w:val="continue"/>
            <w:tcBorders>
              <w:tl2br w:val="nil"/>
              <w:tr2bl w:val="nil"/>
            </w:tcBorders>
            <w:vAlign w:val="center"/>
          </w:tcPr>
          <w:p w14:paraId="4A8926E2">
            <w:pPr>
              <w:keepNext w:val="0"/>
              <w:keepLines w:val="0"/>
              <w:widowControl w:val="0"/>
              <w:suppressLineNumbers w:val="0"/>
              <w:snapToGrid/>
              <w:spacing w:before="0" w:beforeAutospacing="0" w:after="0" w:afterAutospacing="0"/>
              <w:ind w:left="0" w:right="0"/>
              <w:jc w:val="center"/>
              <w:rPr>
                <w:rFonts w:hint="default" w:ascii="Times New Roman" w:hAnsi="Times New Roman" w:eastAsia="宋体" w:cs="Times New Roman"/>
                <w:color w:val="FF0000"/>
                <w:kern w:val="2"/>
                <w:sz w:val="21"/>
                <w:szCs w:val="21"/>
                <w:highlight w:val="none"/>
                <w:lang w:val="en-US" w:eastAsia="zh-CN" w:bidi="ar-SA"/>
              </w:rPr>
            </w:pPr>
          </w:p>
        </w:tc>
      </w:tr>
      <w:tr w14:paraId="7D560F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948" w:type="dxa"/>
            <w:vMerge w:val="continue"/>
            <w:tcBorders>
              <w:tl2br w:val="nil"/>
              <w:tr2bl w:val="nil"/>
            </w:tcBorders>
            <w:vAlign w:val="center"/>
          </w:tcPr>
          <w:p w14:paraId="61C9FC7D">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398" w:type="dxa"/>
            <w:gridSpan w:val="2"/>
            <w:vMerge w:val="continue"/>
            <w:tcBorders>
              <w:tl2br w:val="nil"/>
              <w:tr2bl w:val="nil"/>
            </w:tcBorders>
            <w:vAlign w:val="center"/>
          </w:tcPr>
          <w:p w14:paraId="7976910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781" w:type="dxa"/>
            <w:tcBorders>
              <w:tl2br w:val="nil"/>
              <w:tr2bl w:val="nil"/>
            </w:tcBorders>
            <w:vAlign w:val="center"/>
          </w:tcPr>
          <w:p w14:paraId="4B5F9E71">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沉砂</w:t>
            </w:r>
          </w:p>
        </w:tc>
        <w:tc>
          <w:tcPr>
            <w:tcW w:w="1046" w:type="dxa"/>
            <w:tcBorders>
              <w:tl2br w:val="nil"/>
              <w:tr2bl w:val="nil"/>
            </w:tcBorders>
            <w:vAlign w:val="center"/>
          </w:tcPr>
          <w:p w14:paraId="121BCB7C">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49.275</w:t>
            </w:r>
          </w:p>
        </w:tc>
        <w:tc>
          <w:tcPr>
            <w:tcW w:w="1140" w:type="dxa"/>
            <w:tcBorders>
              <w:tl2br w:val="nil"/>
              <w:tr2bl w:val="nil"/>
            </w:tcBorders>
            <w:vAlign w:val="center"/>
          </w:tcPr>
          <w:p w14:paraId="17BD6738">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0</w:t>
            </w:r>
          </w:p>
        </w:tc>
        <w:tc>
          <w:tcPr>
            <w:tcW w:w="2704" w:type="dxa"/>
            <w:vMerge w:val="continue"/>
            <w:tcBorders>
              <w:tl2br w:val="nil"/>
              <w:tr2bl w:val="nil"/>
            </w:tcBorders>
            <w:vAlign w:val="center"/>
          </w:tcPr>
          <w:p w14:paraId="0108AADA">
            <w:pPr>
              <w:keepNext w:val="0"/>
              <w:keepLines w:val="0"/>
              <w:widowControl w:val="0"/>
              <w:suppressLineNumbers w:val="0"/>
              <w:snapToGrid/>
              <w:spacing w:before="0" w:beforeAutospacing="0" w:after="0" w:afterAutospacing="0"/>
              <w:ind w:left="0" w:right="0"/>
              <w:jc w:val="center"/>
              <w:rPr>
                <w:rFonts w:hint="default" w:ascii="Times New Roman" w:hAnsi="Times New Roman" w:eastAsia="宋体" w:cs="Times New Roman"/>
                <w:color w:val="FF0000"/>
                <w:kern w:val="2"/>
                <w:sz w:val="21"/>
                <w:szCs w:val="21"/>
                <w:highlight w:val="none"/>
                <w:lang w:val="en-US" w:eastAsia="zh-CN" w:bidi="ar-SA"/>
              </w:rPr>
            </w:pPr>
          </w:p>
        </w:tc>
      </w:tr>
      <w:tr w14:paraId="12B97B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948" w:type="dxa"/>
            <w:vMerge w:val="continue"/>
            <w:tcBorders>
              <w:tl2br w:val="nil"/>
              <w:tr2bl w:val="nil"/>
            </w:tcBorders>
            <w:vAlign w:val="center"/>
          </w:tcPr>
          <w:p w14:paraId="6E28083A">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398" w:type="dxa"/>
            <w:gridSpan w:val="2"/>
            <w:vMerge w:val="continue"/>
            <w:tcBorders>
              <w:tl2br w:val="nil"/>
              <w:tr2bl w:val="nil"/>
            </w:tcBorders>
            <w:vAlign w:val="center"/>
          </w:tcPr>
          <w:p w14:paraId="26515AF3">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p>
        </w:tc>
        <w:tc>
          <w:tcPr>
            <w:tcW w:w="1781" w:type="dxa"/>
            <w:tcBorders>
              <w:tl2br w:val="nil"/>
              <w:tr2bl w:val="nil"/>
            </w:tcBorders>
            <w:vAlign w:val="center"/>
          </w:tcPr>
          <w:p w14:paraId="05A82D13">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污泥</w:t>
            </w:r>
          </w:p>
        </w:tc>
        <w:tc>
          <w:tcPr>
            <w:tcW w:w="1046" w:type="dxa"/>
            <w:tcBorders>
              <w:tl2br w:val="nil"/>
              <w:tr2bl w:val="nil"/>
            </w:tcBorders>
            <w:vAlign w:val="center"/>
          </w:tcPr>
          <w:p w14:paraId="24280C3C">
            <w:pPr>
              <w:keepNext w:val="0"/>
              <w:keepLines w:val="0"/>
              <w:suppressLineNumbers w:val="0"/>
              <w:autoSpaceDE/>
              <w:autoSpaceDN/>
              <w:adjustRightInd/>
              <w:spacing w:before="0" w:beforeAutospacing="0" w:after="0" w:afterAutospacing="0" w:line="240" w:lineRule="auto"/>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930.75</w:t>
            </w:r>
          </w:p>
        </w:tc>
        <w:tc>
          <w:tcPr>
            <w:tcW w:w="1140" w:type="dxa"/>
            <w:tcBorders>
              <w:tl2br w:val="nil"/>
              <w:tr2bl w:val="nil"/>
            </w:tcBorders>
            <w:vAlign w:val="center"/>
          </w:tcPr>
          <w:p w14:paraId="64ABE994">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0</w:t>
            </w:r>
          </w:p>
        </w:tc>
        <w:tc>
          <w:tcPr>
            <w:tcW w:w="2704" w:type="dxa"/>
            <w:tcBorders>
              <w:tl2br w:val="nil"/>
              <w:tr2bl w:val="nil"/>
            </w:tcBorders>
            <w:vAlign w:val="center"/>
          </w:tcPr>
          <w:p w14:paraId="55EAEE21">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污泥脱水后</w:t>
            </w:r>
            <w:r>
              <w:rPr>
                <w:rFonts w:hint="default" w:ascii="Times New Roman" w:hAnsi="Times New Roman" w:eastAsia="宋体" w:cs="Times New Roman"/>
                <w:color w:val="auto"/>
                <w:kern w:val="2"/>
                <w:sz w:val="21"/>
                <w:szCs w:val="21"/>
                <w:highlight w:val="none"/>
                <w:lang w:eastAsia="zh-CN"/>
              </w:rPr>
              <w:t>暂存于污泥脱水间，委托益阳海螺环保科技有限责任公司进行处置</w:t>
            </w:r>
          </w:p>
        </w:tc>
      </w:tr>
      <w:tr w14:paraId="228446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948" w:type="dxa"/>
            <w:vMerge w:val="continue"/>
            <w:tcBorders>
              <w:tl2br w:val="nil"/>
              <w:tr2bl w:val="nil"/>
            </w:tcBorders>
            <w:vAlign w:val="center"/>
          </w:tcPr>
          <w:p w14:paraId="36CCD0C1">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398" w:type="dxa"/>
            <w:gridSpan w:val="2"/>
            <w:vMerge w:val="restart"/>
            <w:tcBorders>
              <w:tl2br w:val="nil"/>
              <w:tr2bl w:val="nil"/>
            </w:tcBorders>
            <w:vAlign w:val="center"/>
          </w:tcPr>
          <w:p w14:paraId="71D5CA5A">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highlight w:val="none"/>
                <w:lang w:val="en-US" w:eastAsia="zh-CN"/>
              </w:rPr>
            </w:pPr>
            <w:r>
              <w:rPr>
                <w:rFonts w:hint="default" w:ascii="Times New Roman" w:hAnsi="Times New Roman" w:eastAsia="宋体" w:cs="Times New Roman"/>
                <w:color w:val="auto"/>
                <w:kern w:val="2"/>
                <w:sz w:val="21"/>
                <w:highlight w:val="none"/>
                <w:lang w:val="en-US" w:eastAsia="zh-CN"/>
              </w:rPr>
              <w:t>危险废物</w:t>
            </w:r>
          </w:p>
        </w:tc>
        <w:tc>
          <w:tcPr>
            <w:tcW w:w="1781" w:type="dxa"/>
            <w:tcBorders>
              <w:tl2br w:val="nil"/>
              <w:tr2bl w:val="nil"/>
            </w:tcBorders>
            <w:vAlign w:val="center"/>
          </w:tcPr>
          <w:p w14:paraId="46194557">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废矿物油</w:t>
            </w:r>
          </w:p>
        </w:tc>
        <w:tc>
          <w:tcPr>
            <w:tcW w:w="1046" w:type="dxa"/>
            <w:tcBorders>
              <w:tl2br w:val="nil"/>
              <w:tr2bl w:val="nil"/>
            </w:tcBorders>
            <w:vAlign w:val="center"/>
          </w:tcPr>
          <w:p w14:paraId="03985E9D">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0.1</w:t>
            </w:r>
          </w:p>
        </w:tc>
        <w:tc>
          <w:tcPr>
            <w:tcW w:w="1140" w:type="dxa"/>
            <w:tcBorders>
              <w:tl2br w:val="nil"/>
              <w:tr2bl w:val="nil"/>
            </w:tcBorders>
            <w:vAlign w:val="center"/>
          </w:tcPr>
          <w:p w14:paraId="171F115E">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704" w:type="dxa"/>
            <w:vMerge w:val="restart"/>
            <w:tcBorders>
              <w:tl2br w:val="nil"/>
              <w:tr2bl w:val="nil"/>
            </w:tcBorders>
            <w:vAlign w:val="center"/>
          </w:tcPr>
          <w:p w14:paraId="62F574D3">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highlight w:val="none"/>
              </w:rPr>
            </w:pPr>
            <w:r>
              <w:rPr>
                <w:rFonts w:hint="default" w:ascii="Times New Roman" w:hAnsi="Times New Roman" w:eastAsia="宋体" w:cs="Times New Roman"/>
                <w:color w:val="auto"/>
                <w:kern w:val="2"/>
                <w:sz w:val="21"/>
                <w:highlight w:val="none"/>
                <w:lang w:val="en-US" w:eastAsia="zh-CN"/>
              </w:rPr>
              <w:t>分类</w:t>
            </w:r>
            <w:r>
              <w:rPr>
                <w:rFonts w:hint="default" w:ascii="Times New Roman" w:hAnsi="Times New Roman" w:eastAsia="宋体" w:cs="Times New Roman"/>
                <w:color w:val="auto"/>
                <w:kern w:val="2"/>
                <w:sz w:val="21"/>
                <w:highlight w:val="none"/>
              </w:rPr>
              <w:t>收集后，暂存于危废间，委托有相应危废处置资质的单位进行处置</w:t>
            </w:r>
          </w:p>
        </w:tc>
      </w:tr>
      <w:tr w14:paraId="2A4807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948" w:type="dxa"/>
            <w:vMerge w:val="continue"/>
            <w:tcBorders>
              <w:tl2br w:val="nil"/>
              <w:tr2bl w:val="nil"/>
            </w:tcBorders>
            <w:vAlign w:val="center"/>
          </w:tcPr>
          <w:p w14:paraId="49C8AAA7">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398" w:type="dxa"/>
            <w:gridSpan w:val="2"/>
            <w:vMerge w:val="continue"/>
            <w:tcBorders>
              <w:tl2br w:val="nil"/>
              <w:tr2bl w:val="nil"/>
            </w:tcBorders>
            <w:vAlign w:val="center"/>
          </w:tcPr>
          <w:p w14:paraId="4FDA12BE">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highlight w:val="none"/>
              </w:rPr>
            </w:pPr>
          </w:p>
        </w:tc>
        <w:tc>
          <w:tcPr>
            <w:tcW w:w="1781" w:type="dxa"/>
            <w:tcBorders>
              <w:tl2br w:val="nil"/>
              <w:tr2bl w:val="nil"/>
            </w:tcBorders>
            <w:vAlign w:val="center"/>
          </w:tcPr>
          <w:p w14:paraId="0915D73C">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废含油抹布及手套</w:t>
            </w:r>
          </w:p>
        </w:tc>
        <w:tc>
          <w:tcPr>
            <w:tcW w:w="1046" w:type="dxa"/>
            <w:tcBorders>
              <w:tl2br w:val="nil"/>
              <w:tr2bl w:val="nil"/>
            </w:tcBorders>
            <w:vAlign w:val="center"/>
          </w:tcPr>
          <w:p w14:paraId="405DD33C">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0.01</w:t>
            </w:r>
          </w:p>
        </w:tc>
        <w:tc>
          <w:tcPr>
            <w:tcW w:w="1140" w:type="dxa"/>
            <w:tcBorders>
              <w:tl2br w:val="nil"/>
              <w:tr2bl w:val="nil"/>
            </w:tcBorders>
            <w:vAlign w:val="center"/>
          </w:tcPr>
          <w:p w14:paraId="489DD962">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704" w:type="dxa"/>
            <w:vMerge w:val="continue"/>
            <w:tcBorders>
              <w:tl2br w:val="nil"/>
              <w:tr2bl w:val="nil"/>
            </w:tcBorders>
            <w:vAlign w:val="center"/>
          </w:tcPr>
          <w:p w14:paraId="05FCCD0B">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highlight w:val="none"/>
              </w:rPr>
            </w:pPr>
          </w:p>
        </w:tc>
      </w:tr>
      <w:tr w14:paraId="2BD98D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948" w:type="dxa"/>
            <w:vMerge w:val="continue"/>
            <w:tcBorders>
              <w:tl2br w:val="nil"/>
              <w:tr2bl w:val="nil"/>
            </w:tcBorders>
            <w:vAlign w:val="center"/>
          </w:tcPr>
          <w:p w14:paraId="770D5412">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398" w:type="dxa"/>
            <w:gridSpan w:val="2"/>
            <w:vMerge w:val="continue"/>
            <w:tcBorders>
              <w:tl2br w:val="nil"/>
              <w:tr2bl w:val="nil"/>
            </w:tcBorders>
            <w:vAlign w:val="center"/>
          </w:tcPr>
          <w:p w14:paraId="11E8B9CB">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highlight w:val="none"/>
              </w:rPr>
            </w:pPr>
          </w:p>
        </w:tc>
        <w:tc>
          <w:tcPr>
            <w:tcW w:w="1781" w:type="dxa"/>
            <w:tcBorders>
              <w:tl2br w:val="nil"/>
              <w:tr2bl w:val="nil"/>
            </w:tcBorders>
            <w:vAlign w:val="center"/>
          </w:tcPr>
          <w:p w14:paraId="211A66E4">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在线监测废液</w:t>
            </w:r>
          </w:p>
        </w:tc>
        <w:tc>
          <w:tcPr>
            <w:tcW w:w="1046" w:type="dxa"/>
            <w:tcBorders>
              <w:tl2br w:val="nil"/>
              <w:tr2bl w:val="nil"/>
            </w:tcBorders>
            <w:vAlign w:val="center"/>
          </w:tcPr>
          <w:p w14:paraId="418276FA">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auto"/>
                <w:highlight w:val="none"/>
                <w:u w:val="none" w:color="auto"/>
                <w:lang w:val="en-US" w:eastAsia="zh-CN"/>
              </w:rPr>
              <w:t>2.4</w:t>
            </w:r>
          </w:p>
        </w:tc>
        <w:tc>
          <w:tcPr>
            <w:tcW w:w="1140" w:type="dxa"/>
            <w:tcBorders>
              <w:tl2br w:val="nil"/>
              <w:tr2bl w:val="nil"/>
            </w:tcBorders>
            <w:vAlign w:val="center"/>
          </w:tcPr>
          <w:p w14:paraId="2827352B">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704" w:type="dxa"/>
            <w:vMerge w:val="continue"/>
            <w:tcBorders>
              <w:tl2br w:val="nil"/>
              <w:tr2bl w:val="nil"/>
            </w:tcBorders>
            <w:vAlign w:val="center"/>
          </w:tcPr>
          <w:p w14:paraId="40280D23">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highlight w:val="none"/>
              </w:rPr>
            </w:pPr>
          </w:p>
        </w:tc>
      </w:tr>
      <w:tr w14:paraId="439659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948" w:type="dxa"/>
            <w:vMerge w:val="continue"/>
            <w:tcBorders>
              <w:tl2br w:val="nil"/>
              <w:tr2bl w:val="nil"/>
            </w:tcBorders>
            <w:vAlign w:val="center"/>
          </w:tcPr>
          <w:p w14:paraId="07FE119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398" w:type="dxa"/>
            <w:gridSpan w:val="2"/>
            <w:vMerge w:val="continue"/>
            <w:tcBorders>
              <w:tl2br w:val="nil"/>
              <w:tr2bl w:val="nil"/>
            </w:tcBorders>
            <w:vAlign w:val="center"/>
          </w:tcPr>
          <w:p w14:paraId="5B4E61A8">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highlight w:val="none"/>
              </w:rPr>
            </w:pPr>
          </w:p>
        </w:tc>
        <w:tc>
          <w:tcPr>
            <w:tcW w:w="1781" w:type="dxa"/>
            <w:tcBorders>
              <w:tl2br w:val="nil"/>
              <w:tr2bl w:val="nil"/>
            </w:tcBorders>
            <w:vAlign w:val="center"/>
          </w:tcPr>
          <w:p w14:paraId="15D541D3">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化验室废液</w:t>
            </w:r>
          </w:p>
        </w:tc>
        <w:tc>
          <w:tcPr>
            <w:tcW w:w="1046" w:type="dxa"/>
            <w:tcBorders>
              <w:tl2br w:val="nil"/>
              <w:tr2bl w:val="nil"/>
            </w:tcBorders>
            <w:vAlign w:val="center"/>
          </w:tcPr>
          <w:p w14:paraId="75AB8AB0">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auto"/>
                <w:highlight w:val="none"/>
                <w:u w:val="none" w:color="auto"/>
                <w:lang w:val="en-US" w:eastAsia="zh-CN"/>
              </w:rPr>
              <w:t>0.3</w:t>
            </w:r>
          </w:p>
        </w:tc>
        <w:tc>
          <w:tcPr>
            <w:tcW w:w="1140" w:type="dxa"/>
            <w:tcBorders>
              <w:tl2br w:val="nil"/>
              <w:tr2bl w:val="nil"/>
            </w:tcBorders>
            <w:vAlign w:val="center"/>
          </w:tcPr>
          <w:p w14:paraId="78298B4A">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704" w:type="dxa"/>
            <w:vMerge w:val="continue"/>
            <w:tcBorders>
              <w:tl2br w:val="nil"/>
              <w:tr2bl w:val="nil"/>
            </w:tcBorders>
            <w:vAlign w:val="center"/>
          </w:tcPr>
          <w:p w14:paraId="2B00E633">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highlight w:val="none"/>
              </w:rPr>
            </w:pPr>
          </w:p>
        </w:tc>
      </w:tr>
      <w:tr w14:paraId="13D3A7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948" w:type="dxa"/>
            <w:vMerge w:val="continue"/>
            <w:tcBorders>
              <w:tl2br w:val="nil"/>
              <w:tr2bl w:val="nil"/>
            </w:tcBorders>
            <w:vAlign w:val="center"/>
          </w:tcPr>
          <w:p w14:paraId="364D3546">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szCs w:val="21"/>
                <w:highlight w:val="none"/>
              </w:rPr>
            </w:pPr>
          </w:p>
        </w:tc>
        <w:tc>
          <w:tcPr>
            <w:tcW w:w="1398" w:type="dxa"/>
            <w:gridSpan w:val="2"/>
            <w:vMerge w:val="continue"/>
            <w:tcBorders>
              <w:tl2br w:val="nil"/>
              <w:tr2bl w:val="nil"/>
            </w:tcBorders>
            <w:vAlign w:val="center"/>
          </w:tcPr>
          <w:p w14:paraId="426EF953">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FF0000"/>
                <w:kern w:val="2"/>
                <w:sz w:val="21"/>
                <w:highlight w:val="none"/>
              </w:rPr>
            </w:pPr>
          </w:p>
        </w:tc>
        <w:tc>
          <w:tcPr>
            <w:tcW w:w="1781" w:type="dxa"/>
            <w:tcBorders>
              <w:tl2br w:val="nil"/>
              <w:tr2bl w:val="nil"/>
            </w:tcBorders>
            <w:vAlign w:val="center"/>
          </w:tcPr>
          <w:p w14:paraId="7AB5290C">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沾染性废物</w:t>
            </w:r>
          </w:p>
        </w:tc>
        <w:tc>
          <w:tcPr>
            <w:tcW w:w="1046" w:type="dxa"/>
            <w:tcBorders>
              <w:tl2br w:val="nil"/>
              <w:tr2bl w:val="nil"/>
            </w:tcBorders>
            <w:vAlign w:val="center"/>
          </w:tcPr>
          <w:p w14:paraId="5D7B806A">
            <w:pPr>
              <w:pStyle w:val="15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auto"/>
                <w:highlight w:val="none"/>
                <w:u w:val="none" w:color="auto"/>
                <w:lang w:val="en-US" w:eastAsia="zh-CN"/>
              </w:rPr>
              <w:t>0.15</w:t>
            </w:r>
          </w:p>
        </w:tc>
        <w:tc>
          <w:tcPr>
            <w:tcW w:w="1140" w:type="dxa"/>
            <w:tcBorders>
              <w:tl2br w:val="nil"/>
              <w:tr2bl w:val="nil"/>
            </w:tcBorders>
            <w:vAlign w:val="center"/>
          </w:tcPr>
          <w:p w14:paraId="282D8968">
            <w:pPr>
              <w:keepNext w:val="0"/>
              <w:keepLines w:val="0"/>
              <w:suppressLineNumbers w:val="0"/>
              <w:autoSpaceDE/>
              <w:autoSpaceDN/>
              <w:adjustRightInd/>
              <w:spacing w:before="0" w:beforeAutospacing="0" w:after="0" w:afterAutospacing="0" w:line="240" w:lineRule="auto"/>
              <w:ind w:left="-50" w:right="-5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w:t>
            </w:r>
          </w:p>
        </w:tc>
        <w:tc>
          <w:tcPr>
            <w:tcW w:w="2704" w:type="dxa"/>
            <w:vMerge w:val="continue"/>
            <w:tcBorders>
              <w:tl2br w:val="nil"/>
              <w:tr2bl w:val="nil"/>
            </w:tcBorders>
            <w:vAlign w:val="center"/>
          </w:tcPr>
          <w:p w14:paraId="6788B320">
            <w:pPr>
              <w:keepNext w:val="0"/>
              <w:keepLines w:val="0"/>
              <w:suppressLineNumbers w:val="0"/>
              <w:autoSpaceDE/>
              <w:autoSpaceDN/>
              <w:adjustRightInd/>
              <w:spacing w:before="0" w:beforeAutospacing="0" w:after="0" w:afterAutospacing="0" w:line="240" w:lineRule="auto"/>
              <w:ind w:left="-50" w:right="-50" w:firstLine="0" w:firstLineChars="0"/>
              <w:jc w:val="center"/>
              <w:textAlignment w:val="baseline"/>
              <w:rPr>
                <w:rFonts w:hint="default" w:ascii="Times New Roman" w:hAnsi="Times New Roman" w:eastAsia="宋体" w:cs="Times New Roman"/>
                <w:color w:val="FF0000"/>
                <w:kern w:val="2"/>
                <w:sz w:val="21"/>
                <w:highlight w:val="none"/>
              </w:rPr>
            </w:pPr>
          </w:p>
        </w:tc>
      </w:tr>
    </w:tbl>
    <w:p w14:paraId="7DA3DFF1">
      <w:pPr>
        <w:pStyle w:val="3"/>
        <w:numPr>
          <w:ilvl w:val="1"/>
          <w:numId w:val="0"/>
        </w:numPr>
        <w:ind w:leftChars="0"/>
        <w:rPr>
          <w:rFonts w:hint="default" w:ascii="Times New Roman" w:hAnsi="Times New Roman" w:cs="Times New Roman"/>
          <w:color w:val="auto"/>
          <w:highlight w:val="none"/>
          <w:u w:val="none" w:color="auto"/>
        </w:rPr>
      </w:pPr>
      <w:bookmarkStart w:id="200" w:name="_Toc4210"/>
      <w:r>
        <w:rPr>
          <w:rFonts w:hint="default" w:ascii="Times New Roman" w:hAnsi="Times New Roman" w:cs="Times New Roman"/>
          <w:color w:val="auto"/>
          <w:highlight w:val="none"/>
          <w:u w:val="none" w:color="auto"/>
          <w:lang w:val="en-US" w:eastAsia="zh-CN"/>
        </w:rPr>
        <w:t xml:space="preserve">10.5 </w:t>
      </w:r>
      <w:r>
        <w:rPr>
          <w:rFonts w:hint="default" w:ascii="Times New Roman" w:hAnsi="Times New Roman" w:cs="Times New Roman"/>
          <w:color w:val="auto"/>
          <w:highlight w:val="none"/>
          <w:u w:val="none" w:color="auto"/>
        </w:rPr>
        <w:t>环境监测</w:t>
      </w:r>
      <w:bookmarkEnd w:id="200"/>
    </w:p>
    <w:p w14:paraId="4BE1ECC5">
      <w:pPr>
        <w:pStyle w:val="189"/>
        <w:outlineLvl w:val="2"/>
        <w:rPr>
          <w:rFonts w:hint="default" w:ascii="Times New Roman" w:hAnsi="Times New Roman" w:cs="Times New Roman"/>
          <w:b/>
          <w:bCs/>
          <w:color w:val="000000" w:themeColor="text1"/>
          <w:sz w:val="28"/>
          <w:szCs w:val="28"/>
          <w:highlight w:val="none"/>
          <w:u w:val="none" w:color="auto"/>
          <w:lang w:val="en-US" w:eastAsia="zh-CN"/>
          <w14:textFill>
            <w14:solidFill>
              <w14:schemeClr w14:val="tx1"/>
            </w14:solidFill>
          </w14:textFill>
        </w:rPr>
      </w:pPr>
      <w:bookmarkStart w:id="201" w:name="bookmark58"/>
      <w:bookmarkEnd w:id="201"/>
      <w:bookmarkStart w:id="202" w:name="_Toc24294"/>
      <w:bookmarkStart w:id="203" w:name="_Toc30289"/>
      <w:r>
        <w:rPr>
          <w:rFonts w:hint="default" w:ascii="Times New Roman" w:hAnsi="Times New Roman" w:cs="Times New Roman"/>
          <w:b/>
          <w:bCs/>
          <w:color w:val="000000" w:themeColor="text1"/>
          <w:sz w:val="28"/>
          <w:szCs w:val="28"/>
          <w:highlight w:val="none"/>
          <w:u w:val="none" w:color="auto"/>
          <w:lang w:val="en-US" w:eastAsia="zh-CN"/>
          <w14:textFill>
            <w14:solidFill>
              <w14:schemeClr w14:val="tx1"/>
            </w14:solidFill>
          </w14:textFill>
        </w:rPr>
        <w:t xml:space="preserve">10.5.1 </w:t>
      </w:r>
      <w:bookmarkEnd w:id="202"/>
      <w:r>
        <w:rPr>
          <w:rFonts w:hint="eastAsia" w:cs="Times New Roman"/>
          <w:b/>
          <w:bCs/>
          <w:color w:val="000000" w:themeColor="text1"/>
          <w:sz w:val="28"/>
          <w:szCs w:val="28"/>
          <w:highlight w:val="none"/>
          <w:u w:val="none" w:color="auto"/>
          <w:lang w:val="en-US" w:eastAsia="zh-CN"/>
          <w14:textFill>
            <w14:solidFill>
              <w14:schemeClr w14:val="tx1"/>
            </w14:solidFill>
          </w14:textFill>
        </w:rPr>
        <w:t>污染源监测计划</w:t>
      </w:r>
    </w:p>
    <w:p w14:paraId="6673281D">
      <w:pPr>
        <w:pStyle w:val="189"/>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根据《排污许可证申请与核发技术规范 水处理（试行）》（HJ978-2018），工业</w:t>
      </w:r>
    </w:p>
    <w:p w14:paraId="5847E994">
      <w:pPr>
        <w:pStyle w:val="189"/>
        <w:ind w:left="0" w:leftChars="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废水集中处理厂进水流量、化学需氧量、氨氮应采用自动监测，进水总管自动监测数据</w:t>
      </w:r>
    </w:p>
    <w:p w14:paraId="6EF905B8">
      <w:pPr>
        <w:pStyle w:val="189"/>
        <w:ind w:left="0" w:leftChars="0" w:firstLine="0" w:firstLineChars="0"/>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须与地方生态环境主管部门污染源自动监控系统平台联网，总磷、总氮应每日监测</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p>
    <w:p w14:paraId="1928569C">
      <w:pPr>
        <w:pStyle w:val="189"/>
        <w:ind w:left="0" w:leftChars="0" w:firstLine="42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建设单位应根据《排污单位自行监测技术指南—总则》</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HJ819-2017</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《排污许可证申请与核发技术规范水处理（试行）》（HJ978-2018）、《排污单位自行监测技术指南 水处理》（HJ1083</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2020</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14:textFill>
            <w14:solidFill>
              <w14:schemeClr w14:val="tx1"/>
            </w14:solidFill>
          </w14:textFill>
        </w:rPr>
        <w:t>相关要求制定监测方案、设置监测设施、开展自行监测、</w:t>
      </w:r>
    </w:p>
    <w:p w14:paraId="53685D6D">
      <w:pPr>
        <w:pStyle w:val="189"/>
        <w:ind w:left="0" w:leftChars="0" w:firstLine="0" w:firstLineChars="0"/>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做好监测质量保证与质量控制、记录和保存监测数据</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p>
    <w:p w14:paraId="2B071B20">
      <w:pPr>
        <w:pStyle w:val="189"/>
        <w:ind w:left="0" w:leftChars="0" w:firstLine="420" w:firstLineChars="0"/>
        <w:rPr>
          <w:rFonts w:hint="default" w:ascii="Times New Roman" w:hAnsi="Times New Roman" w:cs="Times New Roman"/>
          <w:color w:val="000000" w:themeColor="text1"/>
          <w:highlight w:val="none"/>
          <w:u w:val="none" w:color="auto"/>
          <w:lang w:val="en-US"/>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项目建成</w:t>
      </w:r>
      <w:r>
        <w:rPr>
          <w:rFonts w:hint="default" w:ascii="Times New Roman" w:hAnsi="Times New Roman" w:cs="Times New Roman"/>
          <w:color w:val="000000" w:themeColor="text1"/>
          <w:highlight w:val="none"/>
          <w:u w:val="none" w:color="auto"/>
          <w:lang w:eastAsia="zh-CN"/>
          <w14:textFill>
            <w14:solidFill>
              <w14:schemeClr w14:val="tx1"/>
            </w14:solidFill>
          </w14:textFill>
        </w:rPr>
        <w:t>后，运营期监测计划内容见表</w:t>
      </w:r>
      <w:r>
        <w:rPr>
          <w:rFonts w:hint="eastAsia" w:cs="Times New Roman"/>
          <w:color w:val="000000" w:themeColor="text1"/>
          <w:highlight w:val="none"/>
          <w:u w:val="none" w:color="auto"/>
          <w:lang w:val="en-US" w:eastAsia="zh-CN"/>
          <w14:textFill>
            <w14:solidFill>
              <w14:schemeClr w14:val="tx1"/>
            </w14:solidFill>
          </w14:textFill>
        </w:rPr>
        <w:t>10.5-1。</w:t>
      </w:r>
    </w:p>
    <w:p w14:paraId="1A4A3E77">
      <w:pPr>
        <w:pStyle w:val="194"/>
        <w:spacing w:line="240" w:lineRule="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 xml:space="preserve">表 </w:t>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14:textFill>
            <w14:solidFill>
              <w14:schemeClr w14:val="tx1"/>
            </w14:solidFill>
          </w14:textFill>
        </w:rPr>
        <w:t>1</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0.</w:t>
      </w:r>
      <w:r>
        <w:rPr>
          <w:rFonts w:hint="default" w:ascii="Times New Roman" w:hAnsi="Times New Roman" w:cs="Times New Roman"/>
          <w:color w:val="000000" w:themeColor="text1"/>
          <w:highlight w:val="none"/>
          <w:u w:val="none" w:color="auto"/>
          <w14:textFill>
            <w14:solidFill>
              <w14:schemeClr w14:val="tx1"/>
            </w14:solidFill>
          </w14:textFill>
        </w:rPr>
        <w:t>5</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noBreakHyphen/>
      </w:r>
      <w:r>
        <w:rPr>
          <w:rFonts w:hint="default" w:ascii="Times New Roman" w:hAnsi="Times New Roman" w:cs="Times New Roman"/>
          <w:color w:val="000000" w:themeColor="text1"/>
          <w:highlight w:val="none"/>
          <w:u w:val="none" w:color="auto"/>
          <w14:textFill>
            <w14:solidFill>
              <w14:schemeClr w14:val="tx1"/>
            </w14:solidFill>
          </w14:textFill>
        </w:rPr>
        <w:fldChar w:fldCharType="begin"/>
      </w:r>
      <w:r>
        <w:rPr>
          <w:rFonts w:hint="default" w:ascii="Times New Roman" w:hAnsi="Times New Roman" w:cs="Times New Roman"/>
          <w:color w:val="000000" w:themeColor="text1"/>
          <w:highlight w:val="none"/>
          <w:u w:val="none" w:color="auto"/>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u w:val="none" w:color="auto"/>
          <w14:textFill>
            <w14:solidFill>
              <w14:schemeClr w14:val="tx1"/>
            </w14:solidFill>
          </w14:textFill>
        </w:rPr>
        <w:fldChar w:fldCharType="separate"/>
      </w:r>
      <w:r>
        <w:rPr>
          <w:rFonts w:hint="default" w:ascii="Times New Roman" w:hAnsi="Times New Roman" w:cs="Times New Roman"/>
          <w:color w:val="000000" w:themeColor="text1"/>
          <w:highlight w:val="none"/>
          <w:u w:val="none" w:color="auto"/>
          <w14:textFill>
            <w14:solidFill>
              <w14:schemeClr w14:val="tx1"/>
            </w14:solidFill>
          </w14:textFill>
        </w:rPr>
        <w:t>1</w:t>
      </w:r>
      <w:r>
        <w:rPr>
          <w:rFonts w:hint="default" w:ascii="Times New Roman" w:hAnsi="Times New Roman" w:cs="Times New Roman"/>
          <w:color w:val="000000" w:themeColor="text1"/>
          <w:highlight w:val="none"/>
          <w:u w:val="none" w:color="auto"/>
          <w14:textFill>
            <w14:solidFill>
              <w14:schemeClr w14:val="tx1"/>
            </w14:solidFill>
          </w14:textFill>
        </w:rPr>
        <w:fldChar w:fldCharType="end"/>
      </w:r>
      <w:r>
        <w:rPr>
          <w:rFonts w:hint="default" w:ascii="Times New Roman" w:hAnsi="Times New Roman" w:cs="Times New Roman"/>
          <w:color w:val="000000" w:themeColor="text1"/>
          <w:highlight w:val="none"/>
          <w:u w:val="none" w:color="auto"/>
          <w14:textFill>
            <w14:solidFill>
              <w14:schemeClr w14:val="tx1"/>
            </w14:solidFill>
          </w14:textFill>
        </w:rPr>
        <w:t xml:space="preserve">  营运期</w:t>
      </w:r>
      <w:r>
        <w:rPr>
          <w:rFonts w:hint="eastAsia" w:cs="Times New Roman"/>
          <w:color w:val="000000" w:themeColor="text1"/>
          <w:highlight w:val="none"/>
          <w:u w:val="none" w:color="auto"/>
          <w:lang w:val="en-US" w:eastAsia="zh-CN"/>
          <w14:textFill>
            <w14:solidFill>
              <w14:schemeClr w14:val="tx1"/>
            </w14:solidFill>
          </w14:textFill>
        </w:rPr>
        <w:t>污染源</w:t>
      </w:r>
      <w:r>
        <w:rPr>
          <w:rFonts w:hint="default" w:ascii="Times New Roman" w:hAnsi="Times New Roman" w:cs="Times New Roman"/>
          <w:color w:val="000000" w:themeColor="text1"/>
          <w:highlight w:val="none"/>
          <w:u w:val="none" w:color="auto"/>
          <w14:textFill>
            <w14:solidFill>
              <w14:schemeClr w14:val="tx1"/>
            </w14:solidFill>
          </w14:textFill>
        </w:rPr>
        <w:t>监测计划</w:t>
      </w:r>
    </w:p>
    <w:tbl>
      <w:tblPr>
        <w:tblStyle w:val="76"/>
        <w:tblW w:w="527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88"/>
        <w:gridCol w:w="1619"/>
        <w:gridCol w:w="2978"/>
        <w:gridCol w:w="1652"/>
        <w:gridCol w:w="2664"/>
      </w:tblGrid>
      <w:tr w14:paraId="1C81EE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9" w:hRule="atLeast"/>
          <w:jc w:val="center"/>
        </w:trPr>
        <w:tc>
          <w:tcPr>
            <w:tcW w:w="686" w:type="dxa"/>
            <w:vAlign w:val="center"/>
          </w:tcPr>
          <w:p w14:paraId="732D8831">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项目</w:t>
            </w:r>
          </w:p>
        </w:tc>
        <w:tc>
          <w:tcPr>
            <w:tcW w:w="1614" w:type="dxa"/>
            <w:vAlign w:val="center"/>
          </w:tcPr>
          <w:p w14:paraId="61EB0894">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监测点</w:t>
            </w:r>
          </w:p>
        </w:tc>
        <w:tc>
          <w:tcPr>
            <w:tcW w:w="2968" w:type="dxa"/>
            <w:vAlign w:val="center"/>
          </w:tcPr>
          <w:p w14:paraId="640FDDB7">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监测因子</w:t>
            </w:r>
          </w:p>
        </w:tc>
        <w:tc>
          <w:tcPr>
            <w:tcW w:w="1647" w:type="dxa"/>
            <w:vAlign w:val="center"/>
          </w:tcPr>
          <w:p w14:paraId="4BE54516">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监测频率</w:t>
            </w:r>
          </w:p>
        </w:tc>
        <w:tc>
          <w:tcPr>
            <w:tcW w:w="2655" w:type="dxa"/>
            <w:vAlign w:val="center"/>
          </w:tcPr>
          <w:p w14:paraId="3A6E11E8">
            <w:pPr>
              <w:pStyle w:val="192"/>
              <w:keepNext w:val="0"/>
              <w:keepLines w:val="0"/>
              <w:suppressLineNumbers w:val="0"/>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备注</w:t>
            </w:r>
          </w:p>
        </w:tc>
      </w:tr>
      <w:tr w14:paraId="590365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426" w:hRule="atLeast"/>
          <w:jc w:val="center"/>
        </w:trPr>
        <w:tc>
          <w:tcPr>
            <w:tcW w:w="686" w:type="dxa"/>
            <w:vMerge w:val="restart"/>
            <w:vAlign w:val="center"/>
          </w:tcPr>
          <w:p w14:paraId="21EEFE4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废水</w:t>
            </w:r>
          </w:p>
        </w:tc>
        <w:tc>
          <w:tcPr>
            <w:tcW w:w="1614" w:type="dxa"/>
            <w:vMerge w:val="restart"/>
            <w:vAlign w:val="center"/>
          </w:tcPr>
          <w:p w14:paraId="1988AE78">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进水总管</w:t>
            </w:r>
          </w:p>
        </w:tc>
        <w:tc>
          <w:tcPr>
            <w:tcW w:w="2968" w:type="dxa"/>
            <w:vAlign w:val="center"/>
          </w:tcPr>
          <w:p w14:paraId="3610A26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流量、COD、氨氮</w:t>
            </w:r>
          </w:p>
        </w:tc>
        <w:tc>
          <w:tcPr>
            <w:tcW w:w="1647" w:type="dxa"/>
            <w:vAlign w:val="center"/>
          </w:tcPr>
          <w:p w14:paraId="7158437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自动监测</w:t>
            </w:r>
          </w:p>
        </w:tc>
        <w:tc>
          <w:tcPr>
            <w:tcW w:w="2655" w:type="dxa"/>
            <w:vMerge w:val="restart"/>
            <w:vAlign w:val="center"/>
          </w:tcPr>
          <w:p w14:paraId="2C30582E">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《排污单位自行监测技术指南</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u w:val="none" w:color="auto"/>
                <w:lang w:eastAsia="zh-CN"/>
                <w14:textFill>
                  <w14:solidFill>
                    <w14:schemeClr w14:val="tx1"/>
                  </w14:solidFill>
                </w14:textFill>
              </w:rPr>
              <w:t>水处理</w:t>
            </w:r>
            <w:r>
              <w:rPr>
                <w:rFonts w:hint="default" w:ascii="Times New Roman" w:hAnsi="Times New Roman" w:cs="Times New Roman"/>
                <w:color w:val="000000" w:themeColor="text1"/>
                <w:highlight w:val="none"/>
                <w:u w:val="none" w:color="auto"/>
                <w14:textFill>
                  <w14:solidFill>
                    <w14:schemeClr w14:val="tx1"/>
                  </w14:solidFill>
                </w14:textFill>
              </w:rPr>
              <w:t>》（HJ108</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-2020</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p>
        </w:tc>
      </w:tr>
      <w:tr w14:paraId="56F351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6" w:hRule="atLeast"/>
          <w:jc w:val="center"/>
        </w:trPr>
        <w:tc>
          <w:tcPr>
            <w:tcW w:w="686" w:type="dxa"/>
            <w:vMerge w:val="continue"/>
            <w:vAlign w:val="center"/>
          </w:tcPr>
          <w:p w14:paraId="14DB6C7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614" w:type="dxa"/>
            <w:vMerge w:val="continue"/>
            <w:vAlign w:val="center"/>
          </w:tcPr>
          <w:p w14:paraId="384AE31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2968" w:type="dxa"/>
            <w:vAlign w:val="center"/>
          </w:tcPr>
          <w:p w14:paraId="72630CA1">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总磷、总氮</w:t>
            </w:r>
          </w:p>
        </w:tc>
        <w:tc>
          <w:tcPr>
            <w:tcW w:w="1647" w:type="dxa"/>
            <w:vAlign w:val="center"/>
          </w:tcPr>
          <w:p w14:paraId="2B89B43E">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日</w:t>
            </w:r>
          </w:p>
        </w:tc>
        <w:tc>
          <w:tcPr>
            <w:tcW w:w="2655" w:type="dxa"/>
            <w:vMerge w:val="continue"/>
            <w:vAlign w:val="center"/>
          </w:tcPr>
          <w:p w14:paraId="19FE2B3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r>
      <w:tr w14:paraId="4B808F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90" w:hRule="atLeast"/>
          <w:jc w:val="center"/>
        </w:trPr>
        <w:tc>
          <w:tcPr>
            <w:tcW w:w="686" w:type="dxa"/>
            <w:vMerge w:val="continue"/>
            <w:vAlign w:val="center"/>
          </w:tcPr>
          <w:p w14:paraId="66B41DF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614" w:type="dxa"/>
            <w:vMerge w:val="restart"/>
            <w:vAlign w:val="center"/>
          </w:tcPr>
          <w:p w14:paraId="678FA485">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总排放口</w:t>
            </w:r>
          </w:p>
        </w:tc>
        <w:tc>
          <w:tcPr>
            <w:tcW w:w="2968" w:type="dxa"/>
            <w:vAlign w:val="center"/>
          </w:tcPr>
          <w:p w14:paraId="259D462B">
            <w:pPr>
              <w:pStyle w:val="19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流量</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pH值、水温、</w:t>
            </w:r>
            <w:r>
              <w:rPr>
                <w:rFonts w:hint="default" w:ascii="Times New Roman" w:hAnsi="Times New Roman" w:cs="Times New Roman"/>
                <w:color w:val="000000" w:themeColor="text1"/>
                <w:highlight w:val="none"/>
                <w:u w:val="none" w:color="auto"/>
                <w:lang w:eastAsia="zh-CN"/>
                <w14:textFill>
                  <w14:solidFill>
                    <w14:schemeClr w14:val="tx1"/>
                  </w14:solidFill>
                </w14:textFill>
              </w:rPr>
              <w:t>化学需氧量、氨氮、总磷、总氮</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b</w:t>
            </w:r>
          </w:p>
        </w:tc>
        <w:tc>
          <w:tcPr>
            <w:tcW w:w="1647" w:type="dxa"/>
            <w:vAlign w:val="center"/>
          </w:tcPr>
          <w:p w14:paraId="3FF70413">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自动监测</w:t>
            </w:r>
          </w:p>
        </w:tc>
        <w:tc>
          <w:tcPr>
            <w:tcW w:w="2655" w:type="dxa"/>
            <w:vMerge w:val="continue"/>
            <w:vAlign w:val="center"/>
          </w:tcPr>
          <w:p w14:paraId="7BC81E44">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p>
        </w:tc>
      </w:tr>
      <w:tr w14:paraId="6BE3C8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94" w:hRule="atLeast"/>
          <w:jc w:val="center"/>
        </w:trPr>
        <w:tc>
          <w:tcPr>
            <w:tcW w:w="686" w:type="dxa"/>
            <w:vMerge w:val="continue"/>
            <w:vAlign w:val="center"/>
          </w:tcPr>
          <w:p w14:paraId="5B55816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p>
        </w:tc>
        <w:tc>
          <w:tcPr>
            <w:tcW w:w="1614" w:type="dxa"/>
            <w:vMerge w:val="continue"/>
            <w:vAlign w:val="center"/>
          </w:tcPr>
          <w:p w14:paraId="37055114">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p>
        </w:tc>
        <w:tc>
          <w:tcPr>
            <w:tcW w:w="2968" w:type="dxa"/>
            <w:vAlign w:val="center"/>
          </w:tcPr>
          <w:p w14:paraId="76B2BD4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总铬、总镉、总汞、总铅、总砷、六价铬</w:t>
            </w:r>
          </w:p>
        </w:tc>
        <w:tc>
          <w:tcPr>
            <w:tcW w:w="1647" w:type="dxa"/>
            <w:vAlign w:val="center"/>
          </w:tcPr>
          <w:p w14:paraId="334CAD42">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月</w:t>
            </w:r>
          </w:p>
        </w:tc>
        <w:tc>
          <w:tcPr>
            <w:tcW w:w="2655" w:type="dxa"/>
            <w:vMerge w:val="continue"/>
            <w:vAlign w:val="center"/>
          </w:tcPr>
          <w:p w14:paraId="093FB95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p>
        </w:tc>
      </w:tr>
      <w:tr w14:paraId="0273DE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jc w:val="center"/>
        </w:trPr>
        <w:tc>
          <w:tcPr>
            <w:tcW w:w="686" w:type="dxa"/>
            <w:vMerge w:val="continue"/>
            <w:vAlign w:val="center"/>
          </w:tcPr>
          <w:p w14:paraId="65DCE5D0">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p>
        </w:tc>
        <w:tc>
          <w:tcPr>
            <w:tcW w:w="1614" w:type="dxa"/>
            <w:vMerge w:val="continue"/>
            <w:vAlign w:val="center"/>
          </w:tcPr>
          <w:p w14:paraId="25D4EC7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p>
        </w:tc>
        <w:tc>
          <w:tcPr>
            <w:tcW w:w="2968" w:type="dxa"/>
            <w:vAlign w:val="center"/>
          </w:tcPr>
          <w:p w14:paraId="7E61001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BOD</w:t>
            </w:r>
            <w:r>
              <w:rPr>
                <w:rFonts w:hint="default" w:ascii="Times New Roman" w:hAnsi="Times New Roman" w:cs="Times New Roman"/>
                <w:color w:val="000000" w:themeColor="text1"/>
                <w:highlight w:val="none"/>
                <w:u w:val="none" w:color="auto"/>
                <w:vertAlign w:val="subscript"/>
                <w:lang w:val="en-US" w:eastAsia="zh-CN"/>
                <w14:textFill>
                  <w14:solidFill>
                    <w14:schemeClr w14:val="tx1"/>
                  </w14:solidFill>
                </w14:textFill>
              </w:rPr>
              <w:t>5</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、石油类</w:t>
            </w:r>
          </w:p>
        </w:tc>
        <w:tc>
          <w:tcPr>
            <w:tcW w:w="1647" w:type="dxa"/>
            <w:vAlign w:val="center"/>
          </w:tcPr>
          <w:p w14:paraId="7EB17ED3">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auto"/>
                <w:highlight w:val="none"/>
                <w:u w:val="none" w:color="auto"/>
                <w:lang w:val="en-US" w:eastAsia="zh-CN"/>
              </w:rPr>
              <w:t>月</w:t>
            </w:r>
          </w:p>
        </w:tc>
        <w:tc>
          <w:tcPr>
            <w:tcW w:w="2655" w:type="dxa"/>
            <w:vMerge w:val="continue"/>
            <w:vAlign w:val="center"/>
          </w:tcPr>
          <w:p w14:paraId="2A8ACE97">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p>
        </w:tc>
      </w:tr>
      <w:tr w14:paraId="2069FE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jc w:val="center"/>
        </w:trPr>
        <w:tc>
          <w:tcPr>
            <w:tcW w:w="686" w:type="dxa"/>
            <w:vMerge w:val="continue"/>
            <w:vAlign w:val="center"/>
          </w:tcPr>
          <w:p w14:paraId="09668EE5">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p>
        </w:tc>
        <w:tc>
          <w:tcPr>
            <w:tcW w:w="1614" w:type="dxa"/>
            <w:vMerge w:val="continue"/>
            <w:vAlign w:val="center"/>
          </w:tcPr>
          <w:p w14:paraId="56ECCEAA">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p>
        </w:tc>
        <w:tc>
          <w:tcPr>
            <w:tcW w:w="2968" w:type="dxa"/>
            <w:vAlign w:val="center"/>
          </w:tcPr>
          <w:p w14:paraId="6DF1322F">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SS、色度</w:t>
            </w:r>
          </w:p>
        </w:tc>
        <w:tc>
          <w:tcPr>
            <w:tcW w:w="1647" w:type="dxa"/>
            <w:vAlign w:val="center"/>
          </w:tcPr>
          <w:p w14:paraId="2A5C78B4">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auto"/>
                <w:highlight w:val="none"/>
                <w:u w:val="none" w:color="auto"/>
                <w:lang w:val="en-US" w:eastAsia="zh-CN"/>
              </w:rPr>
              <w:t>日</w:t>
            </w:r>
          </w:p>
        </w:tc>
        <w:tc>
          <w:tcPr>
            <w:tcW w:w="2655" w:type="dxa"/>
            <w:vMerge w:val="continue"/>
            <w:vAlign w:val="center"/>
          </w:tcPr>
          <w:p w14:paraId="581B0053">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p>
        </w:tc>
      </w:tr>
      <w:tr w14:paraId="7ABF5B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jc w:val="center"/>
        </w:trPr>
        <w:tc>
          <w:tcPr>
            <w:tcW w:w="686" w:type="dxa"/>
            <w:vMerge w:val="continue"/>
            <w:vAlign w:val="center"/>
          </w:tcPr>
          <w:p w14:paraId="625DF36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p>
        </w:tc>
        <w:tc>
          <w:tcPr>
            <w:tcW w:w="1614" w:type="dxa"/>
            <w:vAlign w:val="center"/>
          </w:tcPr>
          <w:p w14:paraId="18BE4EA9">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eastAsia" w:cs="Times New Roman"/>
                <w:color w:val="000000" w:themeColor="text1"/>
                <w:highlight w:val="none"/>
                <w:u w:val="wave" w:color="auto"/>
                <w:lang w:val="en-US" w:eastAsia="zh-CN"/>
                <w14:textFill>
                  <w14:solidFill>
                    <w14:schemeClr w14:val="tx1"/>
                  </w14:solidFill>
                </w14:textFill>
              </w:rPr>
              <w:t>雨水排放口</w:t>
            </w:r>
          </w:p>
        </w:tc>
        <w:tc>
          <w:tcPr>
            <w:tcW w:w="2968" w:type="dxa"/>
            <w:vAlign w:val="center"/>
          </w:tcPr>
          <w:p w14:paraId="07272776">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pH值、化学需氧量、氨氮、悬浮物</w:t>
            </w:r>
          </w:p>
        </w:tc>
        <w:tc>
          <w:tcPr>
            <w:tcW w:w="1647" w:type="dxa"/>
            <w:vAlign w:val="center"/>
          </w:tcPr>
          <w:p w14:paraId="46DF4D6B">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eastAsia" w:cs="Times New Roman"/>
                <w:color w:val="000000" w:themeColor="text1"/>
                <w:highlight w:val="none"/>
                <w:u w:val="wave" w:color="auto"/>
                <w:lang w:val="en-US" w:eastAsia="zh-CN"/>
                <w14:textFill>
                  <w14:solidFill>
                    <w14:schemeClr w14:val="tx1"/>
                  </w14:solidFill>
                </w14:textFill>
              </w:rPr>
              <w:t>月</w:t>
            </w:r>
            <w:r>
              <w:rPr>
                <w:rFonts w:hint="eastAsia" w:cs="Times New Roman"/>
                <w:color w:val="000000" w:themeColor="text1"/>
                <w:highlight w:val="none"/>
                <w:u w:val="wave" w:color="auto"/>
                <w:vertAlign w:val="superscript"/>
                <w:lang w:val="en-US" w:eastAsia="zh-CN"/>
                <w14:textFill>
                  <w14:solidFill>
                    <w14:schemeClr w14:val="tx1"/>
                  </w14:solidFill>
                </w14:textFill>
              </w:rPr>
              <w:t>b</w:t>
            </w:r>
          </w:p>
        </w:tc>
        <w:tc>
          <w:tcPr>
            <w:tcW w:w="2655" w:type="dxa"/>
            <w:vMerge w:val="continue"/>
            <w:vAlign w:val="center"/>
          </w:tcPr>
          <w:p w14:paraId="3398383D">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p>
        </w:tc>
      </w:tr>
      <w:tr w14:paraId="4A4308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jc w:val="center"/>
        </w:trPr>
        <w:tc>
          <w:tcPr>
            <w:tcW w:w="686" w:type="dxa"/>
            <w:vMerge w:val="restart"/>
            <w:vAlign w:val="center"/>
          </w:tcPr>
          <w:p w14:paraId="149AB8A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废气</w:t>
            </w:r>
          </w:p>
        </w:tc>
        <w:tc>
          <w:tcPr>
            <w:tcW w:w="1614" w:type="dxa"/>
            <w:vAlign w:val="center"/>
          </w:tcPr>
          <w:p w14:paraId="74C0FD83">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wave" w:color="auto"/>
                <w:lang w:val="en-US" w:eastAsia="zh-CN"/>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DA001排气筒</w:t>
            </w:r>
          </w:p>
        </w:tc>
        <w:tc>
          <w:tcPr>
            <w:tcW w:w="2968" w:type="dxa"/>
            <w:vAlign w:val="center"/>
          </w:tcPr>
          <w:p w14:paraId="18A9AF6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臭气浓度、NH</w:t>
            </w:r>
            <w:r>
              <w:rPr>
                <w:rFonts w:hint="default" w:ascii="Times New Roman" w:hAnsi="Times New Roman" w:cs="Times New Roman"/>
                <w:color w:val="000000" w:themeColor="text1"/>
                <w:sz w:val="15"/>
                <w:szCs w:val="15"/>
                <w:highlight w:val="none"/>
                <w:u w:val="wave" w:color="auto"/>
                <w14:textFill>
                  <w14:solidFill>
                    <w14:schemeClr w14:val="tx1"/>
                  </w14:solidFill>
                </w14:textFill>
              </w:rPr>
              <w:t>3</w:t>
            </w:r>
            <w:r>
              <w:rPr>
                <w:rFonts w:hint="default" w:ascii="Times New Roman" w:hAnsi="Times New Roman" w:cs="Times New Roman"/>
                <w:color w:val="000000" w:themeColor="text1"/>
                <w:highlight w:val="none"/>
                <w:u w:val="wave" w:color="auto"/>
                <w14:textFill>
                  <w14:solidFill>
                    <w14:schemeClr w14:val="tx1"/>
                  </w14:solidFill>
                </w14:textFill>
              </w:rPr>
              <w:t>、H</w:t>
            </w:r>
            <w:r>
              <w:rPr>
                <w:rFonts w:hint="default" w:ascii="Times New Roman" w:hAnsi="Times New Roman" w:cs="Times New Roman"/>
                <w:color w:val="000000" w:themeColor="text1"/>
                <w:sz w:val="15"/>
                <w:szCs w:val="15"/>
                <w:highlight w:val="none"/>
                <w:u w:val="wave" w:color="auto"/>
                <w14:textFill>
                  <w14:solidFill>
                    <w14:schemeClr w14:val="tx1"/>
                  </w14:solidFill>
                </w14:textFill>
              </w:rPr>
              <w:t>2</w:t>
            </w:r>
            <w:r>
              <w:rPr>
                <w:rFonts w:hint="default" w:ascii="Times New Roman" w:hAnsi="Times New Roman" w:cs="Times New Roman"/>
                <w:color w:val="000000" w:themeColor="text1"/>
                <w:highlight w:val="none"/>
                <w:u w:val="wave" w:color="auto"/>
                <w14:textFill>
                  <w14:solidFill>
                    <w14:schemeClr w14:val="tx1"/>
                  </w14:solidFill>
                </w14:textFill>
              </w:rPr>
              <w:t>S</w:t>
            </w:r>
          </w:p>
        </w:tc>
        <w:tc>
          <w:tcPr>
            <w:tcW w:w="1647" w:type="dxa"/>
            <w:vAlign w:val="center"/>
          </w:tcPr>
          <w:p w14:paraId="0984CBCE">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半年</w:t>
            </w:r>
          </w:p>
        </w:tc>
        <w:tc>
          <w:tcPr>
            <w:tcW w:w="2655" w:type="dxa"/>
            <w:vMerge w:val="restart"/>
            <w:vAlign w:val="center"/>
          </w:tcPr>
          <w:p w14:paraId="18150BFE">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《排污单位自行监测技术指南</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u w:val="none" w:color="auto"/>
                <w:lang w:eastAsia="zh-CN"/>
                <w14:textFill>
                  <w14:solidFill>
                    <w14:schemeClr w14:val="tx1"/>
                  </w14:solidFill>
                </w14:textFill>
              </w:rPr>
              <w:t>水处理</w:t>
            </w:r>
            <w:r>
              <w:rPr>
                <w:rFonts w:hint="default" w:ascii="Times New Roman" w:hAnsi="Times New Roman" w:cs="Times New Roman"/>
                <w:color w:val="000000" w:themeColor="text1"/>
                <w:highlight w:val="none"/>
                <w:u w:val="none" w:color="auto"/>
                <w14:textFill>
                  <w14:solidFill>
                    <w14:schemeClr w14:val="tx1"/>
                  </w14:solidFill>
                </w14:textFill>
              </w:rPr>
              <w:t>》（HJ108</w: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-2020</w:t>
            </w:r>
            <w:r>
              <w:rPr>
                <w:rFonts w:hint="default" w:ascii="Times New Roman" w:hAnsi="Times New Roman" w:cs="Times New Roman"/>
                <w:color w:val="000000" w:themeColor="text1"/>
                <w:highlight w:val="none"/>
                <w:u w:val="none" w:color="auto"/>
                <w:lang w:eastAsia="zh-CN"/>
                <w14:textFill>
                  <w14:solidFill>
                    <w14:schemeClr w14:val="tx1"/>
                  </w14:solidFill>
                </w14:textFill>
              </w:rPr>
              <w:t>）</w:t>
            </w:r>
          </w:p>
        </w:tc>
      </w:tr>
      <w:tr w14:paraId="4F3195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jc w:val="center"/>
        </w:trPr>
        <w:tc>
          <w:tcPr>
            <w:tcW w:w="686" w:type="dxa"/>
            <w:vMerge w:val="continue"/>
            <w:vAlign w:val="center"/>
          </w:tcPr>
          <w:p w14:paraId="52B81AAD">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614" w:type="dxa"/>
            <w:vAlign w:val="center"/>
          </w:tcPr>
          <w:p w14:paraId="0B224756">
            <w:pPr>
              <w:pStyle w:val="192"/>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厂界</w:t>
            </w:r>
          </w:p>
        </w:tc>
        <w:tc>
          <w:tcPr>
            <w:tcW w:w="2968" w:type="dxa"/>
            <w:vAlign w:val="center"/>
          </w:tcPr>
          <w:p w14:paraId="202680CF">
            <w:pPr>
              <w:pStyle w:val="192"/>
              <w:keepNext w:val="0"/>
              <w:keepLines w:val="0"/>
              <w:suppressLineNumbers w:val="0"/>
              <w:spacing w:before="0" w:beforeAutospacing="0" w:after="0" w:afterAutospacing="0"/>
              <w:ind w:left="0" w:right="0" w:firstLine="0" w:firstLine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臭气浓度、NH</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、H</w:t>
            </w:r>
            <w:r>
              <w:rPr>
                <w:rFonts w:hint="default" w:ascii="Times New Roman" w:hAnsi="Times New Roman" w:cs="Times New Roman"/>
                <w:color w:val="000000" w:themeColor="text1"/>
                <w:sz w:val="15"/>
                <w:szCs w:val="15"/>
                <w:highlight w:val="none"/>
                <w:u w:val="none" w:color="auto"/>
                <w14:textFill>
                  <w14:solidFill>
                    <w14:schemeClr w14:val="tx1"/>
                  </w14:solidFill>
                </w14:textFill>
              </w:rPr>
              <w:t>2</w:t>
            </w:r>
            <w:r>
              <w:rPr>
                <w:rFonts w:hint="default" w:ascii="Times New Roman" w:hAnsi="Times New Roman" w:cs="Times New Roman"/>
                <w:color w:val="000000" w:themeColor="text1"/>
                <w:highlight w:val="none"/>
                <w:u w:val="none" w:color="auto"/>
                <w14:textFill>
                  <w14:solidFill>
                    <w14:schemeClr w14:val="tx1"/>
                  </w14:solidFill>
                </w14:textFill>
              </w:rPr>
              <w:t>S</w:t>
            </w:r>
          </w:p>
        </w:tc>
        <w:tc>
          <w:tcPr>
            <w:tcW w:w="1647" w:type="dxa"/>
            <w:vAlign w:val="center"/>
          </w:tcPr>
          <w:p w14:paraId="13E1E952">
            <w:pPr>
              <w:pStyle w:val="19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半年</w:t>
            </w:r>
          </w:p>
        </w:tc>
        <w:tc>
          <w:tcPr>
            <w:tcW w:w="2655" w:type="dxa"/>
            <w:vMerge w:val="continue"/>
            <w:vAlign w:val="center"/>
          </w:tcPr>
          <w:p w14:paraId="43CFA72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none" w:color="auto"/>
                <w:lang w:val="en-US" w:eastAsia="zh-CN" w:bidi="ar-SA"/>
                <w14:textFill>
                  <w14:solidFill>
                    <w14:schemeClr w14:val="tx1"/>
                  </w14:solidFill>
                </w14:textFill>
              </w:rPr>
            </w:pPr>
          </w:p>
        </w:tc>
      </w:tr>
      <w:tr w14:paraId="1BDB58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73" w:hRule="atLeast"/>
          <w:jc w:val="center"/>
        </w:trPr>
        <w:tc>
          <w:tcPr>
            <w:tcW w:w="686" w:type="dxa"/>
            <w:vMerge w:val="continue"/>
            <w:vAlign w:val="center"/>
          </w:tcPr>
          <w:p w14:paraId="7EA45A82">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tc>
        <w:tc>
          <w:tcPr>
            <w:tcW w:w="1614" w:type="dxa"/>
            <w:vAlign w:val="center"/>
          </w:tcPr>
          <w:p w14:paraId="5D0F5926">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厂区甲烷体积浓度最高处</w:t>
            </w:r>
          </w:p>
        </w:tc>
        <w:tc>
          <w:tcPr>
            <w:tcW w:w="2968" w:type="dxa"/>
            <w:vAlign w:val="center"/>
          </w:tcPr>
          <w:p w14:paraId="10DD3390">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甲烷</w:t>
            </w:r>
          </w:p>
        </w:tc>
        <w:tc>
          <w:tcPr>
            <w:tcW w:w="1647" w:type="dxa"/>
            <w:vAlign w:val="center"/>
          </w:tcPr>
          <w:p w14:paraId="4A53E6A7">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年</w:t>
            </w:r>
          </w:p>
        </w:tc>
        <w:tc>
          <w:tcPr>
            <w:tcW w:w="2655" w:type="dxa"/>
            <w:vMerge w:val="continue"/>
            <w:shd w:val="clear" w:color="auto" w:fill="auto"/>
            <w:vAlign w:val="center"/>
          </w:tcPr>
          <w:p w14:paraId="44BB0B8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1"/>
                <w:szCs w:val="21"/>
                <w:highlight w:val="none"/>
                <w:u w:val="none" w:color="auto"/>
                <w:lang w:val="en-US" w:eastAsia="zh-CN" w:bidi="ar-SA"/>
                <w14:textFill>
                  <w14:solidFill>
                    <w14:schemeClr w14:val="tx1"/>
                  </w14:solidFill>
                </w14:textFill>
              </w:rPr>
            </w:pPr>
          </w:p>
        </w:tc>
      </w:tr>
      <w:tr w14:paraId="1A20FD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jc w:val="center"/>
        </w:trPr>
        <w:tc>
          <w:tcPr>
            <w:tcW w:w="686" w:type="dxa"/>
            <w:vAlign w:val="center"/>
          </w:tcPr>
          <w:p w14:paraId="2CD17CF9">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噪声</w:t>
            </w:r>
          </w:p>
        </w:tc>
        <w:tc>
          <w:tcPr>
            <w:tcW w:w="1614" w:type="dxa"/>
            <w:vAlign w:val="center"/>
          </w:tcPr>
          <w:p w14:paraId="7B66B274">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厂界</w:t>
            </w:r>
          </w:p>
        </w:tc>
        <w:tc>
          <w:tcPr>
            <w:tcW w:w="2968" w:type="dxa"/>
            <w:vAlign w:val="center"/>
          </w:tcPr>
          <w:p w14:paraId="2B124D11">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等效连续 A 声级</w:t>
            </w:r>
          </w:p>
        </w:tc>
        <w:tc>
          <w:tcPr>
            <w:tcW w:w="1647" w:type="dxa"/>
            <w:vAlign w:val="center"/>
          </w:tcPr>
          <w:p w14:paraId="6CD92EF0">
            <w:pPr>
              <w:pStyle w:val="19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季度</w:t>
            </w:r>
          </w:p>
        </w:tc>
        <w:tc>
          <w:tcPr>
            <w:tcW w:w="2655" w:type="dxa"/>
            <w:vAlign w:val="center"/>
          </w:tcPr>
          <w:p w14:paraId="6F7CEDEA">
            <w:pPr>
              <w:pStyle w:val="192"/>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w:t>
            </w:r>
          </w:p>
        </w:tc>
      </w:tr>
      <w:tr w14:paraId="65701C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25" w:hRule="atLeast"/>
          <w:jc w:val="center"/>
        </w:trPr>
        <w:tc>
          <w:tcPr>
            <w:tcW w:w="9570" w:type="dxa"/>
            <w:gridSpan w:val="5"/>
            <w:vAlign w:val="center"/>
          </w:tcPr>
          <w:p w14:paraId="6259FC8D">
            <w:pPr>
              <w:pStyle w:val="192"/>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none" w:color="auto"/>
                <w:lang w:eastAsia="zh-CN"/>
                <w14:textFill>
                  <w14:solidFill>
                    <w14:schemeClr w14:val="tx1"/>
                  </w14:solidFill>
                </w14:textFill>
              </w:rPr>
              <w:t>总氮</w:t>
            </w:r>
            <w:r>
              <w:rPr>
                <w:rFonts w:hint="default" w:ascii="Times New Roman" w:hAnsi="Times New Roman" w:cs="Times New Roman"/>
                <w:color w:val="000000" w:themeColor="text1"/>
                <w:highlight w:val="none"/>
                <w:u w:val="none" w:color="auto"/>
                <w:vertAlign w:val="superscript"/>
                <w:lang w:val="en-US" w:eastAsia="zh-CN"/>
                <w14:textFill>
                  <w14:solidFill>
                    <w14:schemeClr w14:val="tx1"/>
                  </w14:solidFill>
                </w14:textFill>
              </w:rPr>
              <w:t>b</w:t>
            </w:r>
            <w:r>
              <w:rPr>
                <w:rFonts w:hint="default" w:ascii="Times New Roman" w:hAnsi="Times New Roman" w:cs="Times New Roman"/>
                <w:color w:val="000000" w:themeColor="text1"/>
                <w:highlight w:val="none"/>
                <w:u w:val="none" w:color="auto"/>
                <w:lang w:eastAsia="zh-CN"/>
                <w14:textFill>
                  <w14:solidFill>
                    <w14:schemeClr w14:val="tx1"/>
                  </w14:solidFill>
                </w14:textFill>
              </w:rPr>
              <w:t>：总氮自动监测技术规范发布实施前，按日监测</w:t>
            </w:r>
          </w:p>
          <w:p w14:paraId="6676119B">
            <w:pPr>
              <w:pStyle w:val="192"/>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highlight w:val="none"/>
                <w:u w:val="none" w:color="auto"/>
                <w:lang w:eastAsia="zh-CN"/>
                <w14:textFill>
                  <w14:solidFill>
                    <w14:schemeClr w14:val="tx1"/>
                  </w14:solidFill>
                </w14:textFill>
              </w:rPr>
            </w:pPr>
            <w:r>
              <w:rPr>
                <w:rFonts w:hint="default" w:ascii="Times New Roman" w:hAnsi="Times New Roman" w:cs="Times New Roman"/>
                <w:color w:val="000000" w:themeColor="text1"/>
                <w:highlight w:val="none"/>
                <w:u w:val="wave" w:color="auto"/>
                <w:lang w:eastAsia="zh-CN"/>
                <w14:textFill>
                  <w14:solidFill>
                    <w14:schemeClr w14:val="tx1"/>
                  </w14:solidFill>
                </w14:textFill>
              </w:rPr>
              <w:t>b：雨水排放口有流动水排放时按月监测。如监测一年无异常情况，可放宽至每季度开展一次监测</w:t>
            </w:r>
          </w:p>
        </w:tc>
      </w:tr>
    </w:tbl>
    <w:p w14:paraId="0CC32FE1">
      <w:pPr>
        <w:pStyle w:val="189"/>
        <w:ind w:left="0" w:leftChars="0" w:firstLine="562" w:firstLineChars="200"/>
        <w:outlineLvl w:val="2"/>
        <w:rPr>
          <w:rFonts w:hint="default" w:ascii="Times New Roman" w:hAnsi="Times New Roman" w:cs="Times New Roman"/>
          <w:b/>
          <w:bCs/>
          <w:color w:val="000000" w:themeColor="text1"/>
          <w:sz w:val="28"/>
          <w:szCs w:val="28"/>
          <w:highlight w:val="none"/>
          <w:u w:val="wave" w:color="auto"/>
          <w:lang w:val="en-US" w:eastAsia="zh-CN"/>
          <w14:textFill>
            <w14:solidFill>
              <w14:schemeClr w14:val="tx1"/>
            </w14:solidFill>
          </w14:textFill>
        </w:rPr>
      </w:pPr>
      <w:bookmarkStart w:id="204" w:name="_Toc4228"/>
      <w:r>
        <w:rPr>
          <w:rFonts w:hint="default" w:ascii="Times New Roman" w:hAnsi="Times New Roman" w:cs="Times New Roman"/>
          <w:b/>
          <w:bCs/>
          <w:color w:val="000000" w:themeColor="text1"/>
          <w:sz w:val="28"/>
          <w:szCs w:val="28"/>
          <w:highlight w:val="none"/>
          <w:u w:val="wave" w:color="auto"/>
          <w:lang w:val="en-US" w:eastAsia="zh-CN"/>
          <w14:textFill>
            <w14:solidFill>
              <w14:schemeClr w14:val="tx1"/>
            </w14:solidFill>
          </w14:textFill>
        </w:rPr>
        <w:t xml:space="preserve">10.5.2 </w:t>
      </w:r>
      <w:r>
        <w:rPr>
          <w:rFonts w:hint="eastAsia" w:ascii="Times New Roman" w:hAnsi="Times New Roman" w:cs="Times New Roman"/>
          <w:b/>
          <w:bCs/>
          <w:color w:val="000000" w:themeColor="text1"/>
          <w:sz w:val="28"/>
          <w:szCs w:val="28"/>
          <w:highlight w:val="none"/>
          <w:u w:val="wave" w:color="auto"/>
          <w:lang w:val="en-US" w:eastAsia="zh-CN"/>
          <w14:textFill>
            <w14:solidFill>
              <w14:schemeClr w14:val="tx1"/>
            </w14:solidFill>
          </w14:textFill>
        </w:rPr>
        <w:t>环境质量</w:t>
      </w:r>
      <w:r>
        <w:rPr>
          <w:rFonts w:hint="default" w:ascii="Times New Roman" w:hAnsi="Times New Roman" w:cs="Times New Roman"/>
          <w:b/>
          <w:bCs/>
          <w:color w:val="000000" w:themeColor="text1"/>
          <w:sz w:val="28"/>
          <w:szCs w:val="28"/>
          <w:highlight w:val="none"/>
          <w:u w:val="wave" w:color="auto"/>
          <w:lang w:val="en-US" w:eastAsia="zh-CN"/>
          <w14:textFill>
            <w14:solidFill>
              <w14:schemeClr w14:val="tx1"/>
            </w14:solidFill>
          </w14:textFill>
        </w:rPr>
        <w:t>监测</w:t>
      </w:r>
      <w:bookmarkEnd w:id="204"/>
    </w:p>
    <w:p w14:paraId="38B7F27E">
      <w:pPr>
        <w:pStyle w:val="3"/>
        <w:numPr>
          <w:ilvl w:val="1"/>
          <w:numId w:val="0"/>
        </w:numPr>
        <w:rPr>
          <w:rFonts w:hint="default"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highlight w:val="none"/>
          <w:u w:val="none" w:color="auto"/>
          <w:lang w:val="en-US" w:eastAsia="zh-CN" w:bidi="ar-SA"/>
          <w14:textFill>
            <w14:solidFill>
              <w14:schemeClr w14:val="tx1"/>
            </w14:solidFill>
          </w14:textFill>
        </w:rPr>
        <w:tab/>
      </w:r>
      <w:r>
        <w:rPr>
          <w:rFonts w:hint="default"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t>1、环境空气质量监测</w:t>
      </w:r>
    </w:p>
    <w:p w14:paraId="2F532C21">
      <w:pPr>
        <w:pStyle w:val="3"/>
        <w:numPr>
          <w:ilvl w:val="1"/>
          <w:numId w:val="0"/>
        </w:numPr>
        <w:ind w:leftChars="0"/>
        <w:rPr>
          <w:rFonts w:hint="default"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tab/>
      </w:r>
      <w:r>
        <w:rPr>
          <w:rFonts w:hint="default"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t>根据《环境影响评价技术导则 大气环境》（HJ2.2-2018）中“9.1.2二级评价项目按HJ819的要求，提出项目在生产运行阶段的污染源监测计划”。</w:t>
      </w:r>
    </w:p>
    <w:p w14:paraId="0AAB6E50">
      <w:pPr>
        <w:pStyle w:val="3"/>
        <w:numPr>
          <w:ilvl w:val="1"/>
          <w:numId w:val="0"/>
        </w:numPr>
        <w:ind w:leftChars="0"/>
        <w:rPr>
          <w:rFonts w:hint="default"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tab/>
      </w:r>
      <w:r>
        <w:rPr>
          <w:rFonts w:hint="default"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t>本项目大气环境影响二级评价，故只需提出项目在生产运行阶段的污染源监测计划，不需环境空气质量监测计划。</w:t>
      </w:r>
    </w:p>
    <w:p w14:paraId="7588C3AC">
      <w:pPr>
        <w:pStyle w:val="3"/>
        <w:numPr>
          <w:ilvl w:val="1"/>
          <w:numId w:val="0"/>
        </w:numPr>
        <w:ind w:leftChars="0"/>
        <w:rPr>
          <w:rFonts w:hint="default"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tab/>
      </w:r>
      <w:r>
        <w:rPr>
          <w:rFonts w:hint="default"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t>2、地下水环境影响跟踪监测</w:t>
      </w:r>
    </w:p>
    <w:p w14:paraId="7594BA58">
      <w:pPr>
        <w:pStyle w:val="3"/>
        <w:numPr>
          <w:ilvl w:val="1"/>
          <w:numId w:val="0"/>
        </w:numPr>
        <w:ind w:leftChars="0"/>
        <w:rPr>
          <w:rFonts w:hint="eastAsia"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tab/>
      </w:r>
      <w:r>
        <w:rPr>
          <w:rFonts w:hint="default"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t>根据《工业企业土壤和地下水自行监测技术指南（试行）》（HJ 1209-2021）、《环境影响评价技术导则 地下水环境》（HJ610-2016）11.3.2.1，本项目地下水环境影响二级评价，跟踪监测点数量一般不少于3个，至少在建设项目场地及其上、下游布置1个。地下水跟踪监测点详细情况一览表详见表</w:t>
      </w:r>
      <w:r>
        <w:rPr>
          <w:rFonts w:hint="eastAsia"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t>10.5-2。</w:t>
      </w:r>
    </w:p>
    <w:p w14:paraId="24758F4F">
      <w:pPr>
        <w:rPr>
          <w:rFonts w:hint="eastAsia"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wave" w:color="auto"/>
          <w:lang w:val="en-US" w:eastAsia="zh-CN"/>
          <w14:textFill>
            <w14:solidFill>
              <w14:schemeClr w14:val="tx1"/>
            </w14:solidFill>
          </w14:textFill>
        </w:rPr>
        <w:br w:type="page"/>
      </w:r>
    </w:p>
    <w:p w14:paraId="3637E342">
      <w:pPr>
        <w:pStyle w:val="194"/>
        <w:spacing w:line="240" w:lineRule="auto"/>
        <w:rPr>
          <w:rFonts w:hint="eastAsia" w:ascii="Times New Roman" w:hAnsi="Times New Roman" w:cs="Times New Roman" w:eastAsiaTheme="minorEastAsia"/>
          <w:b w:val="0"/>
          <w:bCs w:val="0"/>
          <w:color w:val="000000" w:themeColor="text1"/>
          <w:sz w:val="24"/>
          <w:szCs w:val="24"/>
          <w:highlight w:val="none"/>
          <w:u w:val="wav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u w:val="wave" w:color="auto"/>
          <w:lang w:val="en-US" w:eastAsia="zh-CN"/>
          <w14:textFill>
            <w14:solidFill>
              <w14:schemeClr w14:val="tx1"/>
            </w14:solidFill>
          </w14:textFill>
        </w:rPr>
        <w:t xml:space="preserve">表10.5-2 </w:t>
      </w:r>
      <w:r>
        <w:rPr>
          <w:rFonts w:hint="default" w:ascii="Times New Roman" w:hAnsi="Times New Roman" w:eastAsia="宋体" w:cs="Times New Roman"/>
          <w:color w:val="000000" w:themeColor="text1"/>
          <w:highlight w:val="none"/>
          <w:u w:val="wave" w:color="auto"/>
          <w14:textFill>
            <w14:solidFill>
              <w14:schemeClr w14:val="tx1"/>
            </w14:solidFill>
          </w14:textFill>
        </w:rPr>
        <w:t>地下水跟踪监测点详细情况一览表</w:t>
      </w:r>
    </w:p>
    <w:tbl>
      <w:tblPr>
        <w:tblStyle w:val="7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35"/>
        <w:gridCol w:w="3442"/>
        <w:gridCol w:w="1917"/>
        <w:gridCol w:w="1310"/>
      </w:tblGrid>
      <w:tr w14:paraId="45BCF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9" w:type="pct"/>
            <w:vAlign w:val="center"/>
          </w:tcPr>
          <w:p w14:paraId="4EA0B7AC">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b/>
                <w:bCs/>
                <w:color w:val="000000" w:themeColor="text1"/>
                <w:sz w:val="21"/>
                <w:szCs w:val="21"/>
                <w:u w:val="wave" w:color="auto"/>
                <w14:textFill>
                  <w14:solidFill>
                    <w14:schemeClr w14:val="tx1"/>
                  </w14:solidFill>
                </w14:textFill>
              </w:rPr>
            </w:pPr>
            <w:r>
              <w:rPr>
                <w:rFonts w:hint="default" w:ascii="Times New Roman" w:hAnsi="Times New Roman" w:eastAsia="宋体" w:cs="Times New Roman"/>
                <w:b/>
                <w:bCs/>
                <w:color w:val="000000" w:themeColor="text1"/>
                <w:sz w:val="21"/>
                <w:szCs w:val="21"/>
                <w:u w:val="wave" w:color="auto"/>
                <w14:textFill>
                  <w14:solidFill>
                    <w14:schemeClr w14:val="tx1"/>
                  </w14:solidFill>
                </w14:textFill>
              </w:rPr>
              <w:t>监测地点</w:t>
            </w:r>
          </w:p>
        </w:tc>
        <w:tc>
          <w:tcPr>
            <w:tcW w:w="2023" w:type="pct"/>
            <w:vAlign w:val="center"/>
          </w:tcPr>
          <w:p w14:paraId="7547F24F">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b/>
                <w:bCs/>
                <w:color w:val="000000" w:themeColor="text1"/>
                <w:sz w:val="21"/>
                <w:szCs w:val="21"/>
                <w:u w:val="wave" w:color="auto"/>
                <w14:textFill>
                  <w14:solidFill>
                    <w14:schemeClr w14:val="tx1"/>
                  </w14:solidFill>
                </w14:textFill>
              </w:rPr>
            </w:pPr>
            <w:r>
              <w:rPr>
                <w:rFonts w:hint="default" w:ascii="Times New Roman" w:hAnsi="Times New Roman" w:eastAsia="宋体" w:cs="Times New Roman"/>
                <w:b/>
                <w:bCs/>
                <w:color w:val="000000" w:themeColor="text1"/>
                <w:sz w:val="21"/>
                <w:szCs w:val="21"/>
                <w:u w:val="wave" w:color="auto"/>
                <w14:textFill>
                  <w14:solidFill>
                    <w14:schemeClr w14:val="tx1"/>
                  </w14:solidFill>
                </w14:textFill>
              </w:rPr>
              <w:t>常规监测因子</w:t>
            </w:r>
          </w:p>
        </w:tc>
        <w:tc>
          <w:tcPr>
            <w:tcW w:w="1127" w:type="pct"/>
            <w:vAlign w:val="center"/>
          </w:tcPr>
          <w:p w14:paraId="3DEC1E2D">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b/>
                <w:bCs/>
                <w:color w:val="000000" w:themeColor="text1"/>
                <w:sz w:val="21"/>
                <w:szCs w:val="21"/>
                <w:u w:val="wave" w:color="auto"/>
                <w14:textFill>
                  <w14:solidFill>
                    <w14:schemeClr w14:val="tx1"/>
                  </w14:solidFill>
                </w14:textFill>
              </w:rPr>
            </w:pPr>
            <w:r>
              <w:rPr>
                <w:rFonts w:hint="default" w:ascii="Times New Roman" w:hAnsi="Times New Roman" w:eastAsia="宋体" w:cs="Times New Roman"/>
                <w:b/>
                <w:bCs/>
                <w:color w:val="000000" w:themeColor="text1"/>
                <w:sz w:val="21"/>
                <w:szCs w:val="21"/>
                <w:u w:val="wave" w:color="auto"/>
                <w14:textFill>
                  <w14:solidFill>
                    <w14:schemeClr w14:val="tx1"/>
                  </w14:solidFill>
                </w14:textFill>
              </w:rPr>
              <w:t>执行标准</w:t>
            </w:r>
          </w:p>
        </w:tc>
        <w:tc>
          <w:tcPr>
            <w:tcW w:w="770" w:type="pct"/>
            <w:vAlign w:val="center"/>
          </w:tcPr>
          <w:p w14:paraId="468C94CF">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b/>
                <w:bCs/>
                <w:color w:val="000000" w:themeColor="text1"/>
                <w:sz w:val="21"/>
                <w:szCs w:val="21"/>
                <w:u w:val="wave" w:color="auto"/>
                <w14:textFill>
                  <w14:solidFill>
                    <w14:schemeClr w14:val="tx1"/>
                  </w14:solidFill>
                </w14:textFill>
              </w:rPr>
            </w:pPr>
            <w:r>
              <w:rPr>
                <w:rFonts w:hint="default" w:ascii="Times New Roman" w:hAnsi="Times New Roman" w:eastAsia="宋体" w:cs="Times New Roman"/>
                <w:b/>
                <w:bCs/>
                <w:color w:val="000000" w:themeColor="text1"/>
                <w:sz w:val="21"/>
                <w:szCs w:val="21"/>
                <w:u w:val="wave" w:color="auto"/>
                <w14:textFill>
                  <w14:solidFill>
                    <w14:schemeClr w14:val="tx1"/>
                  </w14:solidFill>
                </w14:textFill>
              </w:rPr>
              <w:t>监测频率</w:t>
            </w:r>
          </w:p>
        </w:tc>
      </w:tr>
      <w:tr w14:paraId="2B864D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9" w:type="pct"/>
            <w:vAlign w:val="center"/>
          </w:tcPr>
          <w:p w14:paraId="59DC1715">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r>
              <w:rPr>
                <w:rFonts w:hint="default" w:ascii="Times New Roman" w:hAnsi="Times New Roman" w:eastAsia="宋体" w:cs="Times New Roman"/>
                <w:color w:val="000000" w:themeColor="text1"/>
                <w:sz w:val="21"/>
                <w:szCs w:val="21"/>
                <w:u w:val="wave" w:color="auto"/>
                <w14:textFill>
                  <w14:solidFill>
                    <w14:schemeClr w14:val="tx1"/>
                  </w14:solidFill>
                </w14:textFill>
              </w:rPr>
              <w:t>D1地下水上游</w:t>
            </w:r>
          </w:p>
          <w:p w14:paraId="6AFABDA3">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r>
              <w:rPr>
                <w:rFonts w:hint="default" w:ascii="Times New Roman" w:hAnsi="Times New Roman" w:eastAsia="宋体" w:cs="Times New Roman"/>
                <w:color w:val="000000" w:themeColor="text1"/>
                <w:sz w:val="21"/>
                <w:szCs w:val="21"/>
                <w:u w:val="wave" w:color="auto"/>
                <w14:textFill>
                  <w14:solidFill>
                    <w14:schemeClr w14:val="tx1"/>
                  </w14:solidFill>
                </w14:textFill>
              </w:rPr>
              <w:t>背景值监测点</w:t>
            </w:r>
          </w:p>
        </w:tc>
        <w:tc>
          <w:tcPr>
            <w:tcW w:w="2023" w:type="pct"/>
            <w:vMerge w:val="restart"/>
            <w:vAlign w:val="center"/>
          </w:tcPr>
          <w:p w14:paraId="79542AA3">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r>
              <w:rPr>
                <w:rFonts w:hint="eastAsia" w:ascii="Times New Roman" w:hAnsi="Times New Roman" w:eastAsia="宋体" w:cs="Times New Roman"/>
                <w:color w:val="000000" w:themeColor="text1"/>
                <w:sz w:val="21"/>
                <w:szCs w:val="21"/>
                <w:u w:val="wave" w:color="auto"/>
                <w14:textFill>
                  <w14:solidFill>
                    <w14:schemeClr w14:val="tx1"/>
                  </w14:solidFill>
                </w14:textFill>
              </w:rPr>
              <w:t>pH、氨氮、硝酸盐、亚硝酸盐、挥发性酚类、总硬度、溶解性总固体、</w:t>
            </w:r>
            <w:r>
              <w:rPr>
                <w:rFonts w:hint="eastAsia" w:ascii="Times New Roman" w:hAnsi="Times New Roman" w:eastAsia="宋体" w:cs="Times New Roman"/>
                <w:color w:val="000000" w:themeColor="text1"/>
                <w:sz w:val="21"/>
                <w:szCs w:val="21"/>
                <w:u w:val="wave" w:color="auto"/>
                <w:lang w:val="en-US" w:eastAsia="zh-CN"/>
                <w14:textFill>
                  <w14:solidFill>
                    <w14:schemeClr w14:val="tx1"/>
                  </w14:solidFill>
                </w14:textFill>
              </w:rPr>
              <w:t>耗氧量</w:t>
            </w:r>
            <w:r>
              <w:rPr>
                <w:rFonts w:hint="eastAsia" w:ascii="Times New Roman" w:hAnsi="Times New Roman" w:eastAsia="宋体" w:cs="Times New Roman"/>
                <w:color w:val="000000" w:themeColor="text1"/>
                <w:sz w:val="21"/>
                <w:szCs w:val="21"/>
                <w:u w:val="wave" w:color="auto"/>
                <w14:textFill>
                  <w14:solidFill>
                    <w14:schemeClr w14:val="tx1"/>
                  </w14:solidFill>
                </w14:textFill>
              </w:rPr>
              <w:t>、石油类</w:t>
            </w:r>
            <w:r>
              <w:rPr>
                <w:rFonts w:hint="eastAsia" w:ascii="Times New Roman" w:hAnsi="Times New Roman" w:eastAsia="宋体" w:cs="Times New Roman"/>
                <w:color w:val="000000" w:themeColor="text1"/>
                <w:sz w:val="21"/>
                <w:szCs w:val="21"/>
                <w:u w:val="wav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u w:val="wave" w:color="auto"/>
                <w14:textFill>
                  <w14:solidFill>
                    <w14:schemeClr w14:val="tx1"/>
                  </w14:solidFill>
                </w14:textFill>
              </w:rPr>
              <w:t>硫酸盐、氯化物、</w:t>
            </w:r>
            <w:r>
              <w:rPr>
                <w:rFonts w:hint="eastAsia" w:ascii="Times New Roman" w:hAnsi="Times New Roman" w:eastAsia="宋体" w:cs="Times New Roman"/>
                <w:color w:val="000000" w:themeColor="text1"/>
                <w:sz w:val="21"/>
                <w:szCs w:val="21"/>
                <w:u w:val="wave" w:color="auto"/>
                <w:lang w:val="en-US" w:eastAsia="zh-CN"/>
                <w14:textFill>
                  <w14:solidFill>
                    <w14:schemeClr w14:val="tx1"/>
                  </w14:solidFill>
                </w14:textFill>
              </w:rPr>
              <w:t>总大肠菌群</w:t>
            </w:r>
          </w:p>
        </w:tc>
        <w:tc>
          <w:tcPr>
            <w:tcW w:w="1127" w:type="pct"/>
            <w:vMerge w:val="restart"/>
            <w:vAlign w:val="center"/>
          </w:tcPr>
          <w:p w14:paraId="7D13D41A">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r>
              <w:rPr>
                <w:rFonts w:hint="default" w:ascii="Times New Roman" w:hAnsi="Times New Roman" w:eastAsia="宋体" w:cs="Times New Roman"/>
                <w:color w:val="000000" w:themeColor="text1"/>
                <w:sz w:val="21"/>
                <w:szCs w:val="21"/>
                <w:u w:val="wave" w:color="auto"/>
                <w14:textFill>
                  <w14:solidFill>
                    <w14:schemeClr w14:val="tx1"/>
                  </w14:solidFill>
                </w14:textFill>
              </w:rPr>
              <w:t>《地下水质量标准》（</w:t>
            </w:r>
            <w:r>
              <w:rPr>
                <w:rFonts w:hint="eastAsia" w:ascii="Times New Roman" w:hAnsi="Times New Roman" w:eastAsia="宋体" w:cs="Times New Roman"/>
                <w:color w:val="000000" w:themeColor="text1"/>
                <w:sz w:val="21"/>
                <w:szCs w:val="21"/>
                <w:u w:val="wave" w:color="auto"/>
                <w:lang w:eastAsia="zh-CN"/>
                <w14:textFill>
                  <w14:solidFill>
                    <w14:schemeClr w14:val="tx1"/>
                  </w14:solidFill>
                </w14:textFill>
              </w:rPr>
              <w:t>GB/T 14848-2017</w:t>
            </w:r>
            <w:r>
              <w:rPr>
                <w:rFonts w:hint="default" w:ascii="Times New Roman" w:hAnsi="Times New Roman" w:eastAsia="宋体" w:cs="Times New Roman"/>
                <w:color w:val="000000" w:themeColor="text1"/>
                <w:sz w:val="21"/>
                <w:szCs w:val="21"/>
                <w:u w:val="wave" w:color="auto"/>
                <w14:textFill>
                  <w14:solidFill>
                    <w14:schemeClr w14:val="tx1"/>
                  </w14:solidFill>
                </w14:textFill>
              </w:rPr>
              <w:t>）Ⅲ类标准</w:t>
            </w:r>
          </w:p>
        </w:tc>
        <w:tc>
          <w:tcPr>
            <w:tcW w:w="770" w:type="pct"/>
            <w:vAlign w:val="center"/>
          </w:tcPr>
          <w:p w14:paraId="2984A68F">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r>
              <w:rPr>
                <w:rFonts w:hint="default" w:ascii="Times New Roman" w:hAnsi="Times New Roman" w:eastAsia="宋体" w:cs="Times New Roman"/>
                <w:color w:val="000000" w:themeColor="text1"/>
                <w:sz w:val="21"/>
                <w:szCs w:val="21"/>
                <w:u w:val="wave" w:color="auto"/>
                <w14:textFill>
                  <w14:solidFill>
                    <w14:schemeClr w14:val="tx1"/>
                  </w14:solidFill>
                </w14:textFill>
              </w:rPr>
              <w:t>1次/年</w:t>
            </w:r>
          </w:p>
        </w:tc>
      </w:tr>
      <w:tr w14:paraId="09416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9" w:type="pct"/>
            <w:vAlign w:val="center"/>
          </w:tcPr>
          <w:p w14:paraId="6FF9E4A2">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r>
              <w:rPr>
                <w:rFonts w:hint="default" w:ascii="Times New Roman" w:hAnsi="Times New Roman" w:eastAsia="宋体" w:cs="Times New Roman"/>
                <w:color w:val="000000" w:themeColor="text1"/>
                <w:sz w:val="21"/>
                <w:szCs w:val="21"/>
                <w:u w:val="wave" w:color="auto"/>
                <w14:textFill>
                  <w14:solidFill>
                    <w14:schemeClr w14:val="tx1"/>
                  </w14:solidFill>
                </w14:textFill>
              </w:rPr>
              <w:t>D2地下</w:t>
            </w:r>
            <w:r>
              <w:rPr>
                <w:rFonts w:hint="eastAsia" w:ascii="Times New Roman" w:hAnsi="Times New Roman" w:eastAsia="宋体" w:cs="Times New Roman"/>
                <w:color w:val="000000" w:themeColor="text1"/>
                <w:sz w:val="21"/>
                <w:szCs w:val="21"/>
                <w:u w:val="wave" w:color="auto"/>
                <w:lang w:val="en-US" w:eastAsia="zh-CN"/>
                <w14:textFill>
                  <w14:solidFill>
                    <w14:schemeClr w14:val="tx1"/>
                  </w14:solidFill>
                </w14:textFill>
              </w:rPr>
              <w:t>水</w:t>
            </w:r>
            <w:r>
              <w:rPr>
                <w:rFonts w:hint="default" w:ascii="Times New Roman" w:hAnsi="Times New Roman" w:eastAsia="宋体" w:cs="Times New Roman"/>
                <w:color w:val="000000" w:themeColor="text1"/>
                <w:sz w:val="21"/>
                <w:szCs w:val="21"/>
                <w:u w:val="wave" w:color="auto"/>
                <w14:textFill>
                  <w14:solidFill>
                    <w14:schemeClr w14:val="tx1"/>
                  </w14:solidFill>
                </w14:textFill>
              </w:rPr>
              <w:t>侧方位</w:t>
            </w:r>
          </w:p>
          <w:p w14:paraId="3234F3AA">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r>
              <w:rPr>
                <w:rFonts w:hint="default" w:ascii="Times New Roman" w:hAnsi="Times New Roman" w:eastAsia="宋体" w:cs="Times New Roman"/>
                <w:color w:val="000000" w:themeColor="text1"/>
                <w:sz w:val="21"/>
                <w:szCs w:val="21"/>
                <w:u w:val="wave" w:color="auto"/>
                <w14:textFill>
                  <w14:solidFill>
                    <w14:schemeClr w14:val="tx1"/>
                  </w14:solidFill>
                </w14:textFill>
              </w:rPr>
              <w:t>背景值监测点</w:t>
            </w:r>
          </w:p>
        </w:tc>
        <w:tc>
          <w:tcPr>
            <w:tcW w:w="2023" w:type="pct"/>
            <w:vMerge w:val="continue"/>
            <w:vAlign w:val="center"/>
          </w:tcPr>
          <w:p w14:paraId="7A875E70">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p>
        </w:tc>
        <w:tc>
          <w:tcPr>
            <w:tcW w:w="1127" w:type="pct"/>
            <w:vMerge w:val="continue"/>
            <w:vAlign w:val="center"/>
          </w:tcPr>
          <w:p w14:paraId="3296C948">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p>
        </w:tc>
        <w:tc>
          <w:tcPr>
            <w:tcW w:w="770" w:type="pct"/>
            <w:vAlign w:val="center"/>
          </w:tcPr>
          <w:p w14:paraId="34ED6E8F">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r>
              <w:rPr>
                <w:rFonts w:hint="default" w:ascii="Times New Roman" w:hAnsi="Times New Roman" w:eastAsia="宋体" w:cs="Times New Roman"/>
                <w:color w:val="000000" w:themeColor="text1"/>
                <w:sz w:val="21"/>
                <w:szCs w:val="21"/>
                <w:u w:val="wave" w:color="auto"/>
                <w14:textFill>
                  <w14:solidFill>
                    <w14:schemeClr w14:val="tx1"/>
                  </w14:solidFill>
                </w14:textFill>
              </w:rPr>
              <w:t>1次/年</w:t>
            </w:r>
          </w:p>
        </w:tc>
      </w:tr>
      <w:tr w14:paraId="44C83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9" w:type="pct"/>
            <w:vAlign w:val="center"/>
          </w:tcPr>
          <w:p w14:paraId="68DFE3A2">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r>
              <w:rPr>
                <w:rFonts w:hint="default" w:ascii="Times New Roman" w:hAnsi="Times New Roman" w:eastAsia="宋体" w:cs="Times New Roman"/>
                <w:color w:val="000000" w:themeColor="text1"/>
                <w:sz w:val="21"/>
                <w:szCs w:val="21"/>
                <w:u w:val="wave" w:color="auto"/>
                <w14:textFill>
                  <w14:solidFill>
                    <w14:schemeClr w14:val="tx1"/>
                  </w14:solidFill>
                </w14:textFill>
              </w:rPr>
              <w:t>D</w:t>
            </w:r>
            <w:r>
              <w:rPr>
                <w:rFonts w:hint="eastAsia" w:ascii="Times New Roman" w:hAnsi="Times New Roman" w:eastAsia="宋体" w:cs="Times New Roman"/>
                <w:color w:val="000000" w:themeColor="text1"/>
                <w:sz w:val="21"/>
                <w:szCs w:val="21"/>
                <w:u w:val="wave" w:color="auto"/>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wave" w:color="auto"/>
                <w14:textFill>
                  <w14:solidFill>
                    <w14:schemeClr w14:val="tx1"/>
                  </w14:solidFill>
                </w14:textFill>
              </w:rPr>
              <w:t>地下水下游</w:t>
            </w:r>
          </w:p>
          <w:p w14:paraId="3AE825B1">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r>
              <w:rPr>
                <w:rFonts w:hint="default" w:ascii="Times New Roman" w:hAnsi="Times New Roman" w:eastAsia="宋体" w:cs="Times New Roman"/>
                <w:color w:val="000000" w:themeColor="text1"/>
                <w:sz w:val="21"/>
                <w:szCs w:val="21"/>
                <w:u w:val="wave" w:color="auto"/>
                <w14:textFill>
                  <w14:solidFill>
                    <w14:schemeClr w14:val="tx1"/>
                  </w14:solidFill>
                </w14:textFill>
              </w:rPr>
              <w:t>污染扩散监测点</w:t>
            </w:r>
          </w:p>
        </w:tc>
        <w:tc>
          <w:tcPr>
            <w:tcW w:w="2023" w:type="pct"/>
            <w:vMerge w:val="continue"/>
            <w:vAlign w:val="center"/>
          </w:tcPr>
          <w:p w14:paraId="50A039C6">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p>
        </w:tc>
        <w:tc>
          <w:tcPr>
            <w:tcW w:w="1127" w:type="pct"/>
            <w:vMerge w:val="continue"/>
            <w:vAlign w:val="center"/>
          </w:tcPr>
          <w:p w14:paraId="123FC7BB">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p>
        </w:tc>
        <w:tc>
          <w:tcPr>
            <w:tcW w:w="770" w:type="pct"/>
            <w:vAlign w:val="center"/>
          </w:tcPr>
          <w:p w14:paraId="7D8385FB">
            <w:pPr>
              <w:keepNext w:val="0"/>
              <w:keepLines w:val="0"/>
              <w:widowControl w:val="0"/>
              <w:suppressLineNumbers w:val="0"/>
              <w:autoSpaceDE/>
              <w:autoSpaceDN/>
              <w:adjustRightInd/>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sz w:val="21"/>
                <w:szCs w:val="21"/>
                <w:u w:val="wave" w:color="auto"/>
                <w14:textFill>
                  <w14:solidFill>
                    <w14:schemeClr w14:val="tx1"/>
                  </w14:solidFill>
                </w14:textFill>
              </w:rPr>
            </w:pPr>
            <w:r>
              <w:rPr>
                <w:rFonts w:hint="default" w:ascii="Times New Roman" w:hAnsi="Times New Roman" w:eastAsia="宋体" w:cs="Times New Roman"/>
                <w:color w:val="000000" w:themeColor="text1"/>
                <w:sz w:val="21"/>
                <w:szCs w:val="21"/>
                <w:u w:val="wave" w:color="auto"/>
                <w14:textFill>
                  <w14:solidFill>
                    <w14:schemeClr w14:val="tx1"/>
                  </w14:solidFill>
                </w14:textFill>
              </w:rPr>
              <w:t>1次/年</w:t>
            </w:r>
          </w:p>
        </w:tc>
      </w:tr>
    </w:tbl>
    <w:p w14:paraId="41282AE8">
      <w:pPr>
        <w:pStyle w:val="3"/>
        <w:numPr>
          <w:ilvl w:val="1"/>
          <w:numId w:val="0"/>
        </w:numPr>
        <w:ind w:leftChars="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10.6 </w:t>
      </w:r>
      <w:r>
        <w:rPr>
          <w:rFonts w:hint="default" w:ascii="Times New Roman" w:hAnsi="Times New Roman" w:cs="Times New Roman"/>
          <w:color w:val="000000" w:themeColor="text1"/>
          <w:highlight w:val="none"/>
          <w:u w:val="wave" w:color="auto"/>
          <w14:textFill>
            <w14:solidFill>
              <w14:schemeClr w14:val="tx1"/>
            </w14:solidFill>
          </w14:textFill>
        </w:rPr>
        <w:t>排污口规范化管理</w:t>
      </w:r>
      <w:bookmarkEnd w:id="203"/>
    </w:p>
    <w:p w14:paraId="511C5ADF">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 xml:space="preserve">根据《排污口规范化整治技术要求(试行)》（环监[1996]470 号），项目建设的同时应进行排污口规范化工作，以促进企业加强经营管理和污染治理，实现污染物排放的科学化、定量化管理。排污口规范化整治应遵循便于采集样品，便于计量监测，便于日常现场监督检查的原则。 </w:t>
      </w:r>
    </w:p>
    <w:p w14:paraId="6D275AA9">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根据国家标准《环境保护图形标志—排放口（源）》和国家环保总局《排污口规范化整治要求（试行）》的技术要求，企业所有排污口必须按照“便于采样，便于计量监测，便于日常现场监督检查”的原则和规范化要求，设置排污口标志牌，标志牌应设置在排污口（采样点）附近且醒目处，高度为标志牌上缘离地面2米，排污口附近</w:t>
      </w:r>
      <w:r>
        <w:rPr>
          <w:rFonts w:hint="eastAsia" w:cs="Times New Roman"/>
          <w:color w:val="000000" w:themeColor="text1"/>
          <w:highlight w:val="none"/>
          <w:u w:val="wave" w:color="auto"/>
          <w:lang w:val="en-US" w:eastAsia="zh-CN"/>
          <w14:textFill>
            <w14:solidFill>
              <w14:schemeClr w14:val="tx1"/>
            </w14:solidFill>
          </w14:textFill>
        </w:rPr>
        <w:t>1</w:t>
      </w:r>
      <w:r>
        <w:rPr>
          <w:rFonts w:hint="default" w:ascii="Times New Roman" w:hAnsi="Times New Roman" w:cs="Times New Roman"/>
          <w:color w:val="000000" w:themeColor="text1"/>
          <w:highlight w:val="none"/>
          <w:u w:val="wave" w:color="auto"/>
          <w14:textFill>
            <w14:solidFill>
              <w14:schemeClr w14:val="tx1"/>
            </w14:solidFill>
          </w14:textFill>
        </w:rPr>
        <w:t>米范围内有建筑物的，设平面式标志牌，无建筑物的设立式标志牌。规范化排污口的有关设置（如力形标志牌、计量装置、监控装置等）属环保设施，排污单位必须负责日常的维护保养，任何单位和个人不得擅自拆除。</w:t>
      </w:r>
    </w:p>
    <w:p w14:paraId="19C20271">
      <w:pPr>
        <w:pStyle w:val="194"/>
        <w:spacing w:line="240" w:lineRule="auto"/>
        <w:rPr>
          <w:rFonts w:hint="default" w:ascii="Times New Roman" w:hAnsi="Times New Roman" w:cs="Times New Roman"/>
          <w:i w:val="0"/>
          <w:iCs w:val="0"/>
          <w:color w:val="000000" w:themeColor="text1"/>
          <w:highlight w:val="none"/>
          <w:u w:val="wave" w:color="auto"/>
          <w14:textFill>
            <w14:solidFill>
              <w14:schemeClr w14:val="tx1"/>
            </w14:solidFill>
          </w14:textFill>
        </w:rPr>
      </w:pPr>
      <w:r>
        <w:rPr>
          <w:rFonts w:hint="default" w:ascii="Times New Roman" w:hAnsi="Times New Roman" w:cs="Times New Roman"/>
          <w:i w:val="0"/>
          <w:iCs w:val="0"/>
          <w:color w:val="000000" w:themeColor="text1"/>
          <w:highlight w:val="none"/>
          <w:u w:val="wave" w:color="auto"/>
          <w14:textFill>
            <w14:solidFill>
              <w14:schemeClr w14:val="tx1"/>
            </w14:solidFill>
          </w14:textFill>
        </w:rPr>
        <w:t xml:space="preserve">表 </w:t>
      </w:r>
      <w:r>
        <w:rPr>
          <w:rFonts w:hint="default" w:ascii="Times New Roman" w:hAnsi="Times New Roman" w:cs="Times New Roman"/>
          <w:i w:val="0"/>
          <w:iCs w:val="0"/>
          <w:color w:val="000000" w:themeColor="text1"/>
          <w:highlight w:val="none"/>
          <w:u w:val="wave" w:color="auto"/>
          <w14:textFill>
            <w14:solidFill>
              <w14:schemeClr w14:val="tx1"/>
            </w14:solidFill>
          </w14:textFill>
        </w:rPr>
        <w:fldChar w:fldCharType="begin"/>
      </w:r>
      <w:r>
        <w:rPr>
          <w:rFonts w:hint="default" w:ascii="Times New Roman" w:hAnsi="Times New Roman" w:cs="Times New Roman"/>
          <w:i w:val="0"/>
          <w:iCs w:val="0"/>
          <w:color w:val="000000" w:themeColor="text1"/>
          <w:highlight w:val="none"/>
          <w:u w:val="wave" w:color="auto"/>
          <w14:textFill>
            <w14:solidFill>
              <w14:schemeClr w14:val="tx1"/>
            </w14:solidFill>
          </w14:textFill>
        </w:rPr>
        <w:instrText xml:space="preserve"> STYLEREF 2 \s </w:instrText>
      </w:r>
      <w:r>
        <w:rPr>
          <w:rFonts w:hint="default" w:ascii="Times New Roman" w:hAnsi="Times New Roman" w:cs="Times New Roman"/>
          <w:i w:val="0"/>
          <w:iCs w:val="0"/>
          <w:color w:val="000000" w:themeColor="text1"/>
          <w:highlight w:val="none"/>
          <w:u w:val="wave" w:color="auto"/>
          <w14:textFill>
            <w14:solidFill>
              <w14:schemeClr w14:val="tx1"/>
            </w14:solidFill>
          </w14:textFill>
        </w:rPr>
        <w:fldChar w:fldCharType="separate"/>
      </w:r>
      <w:r>
        <w:rPr>
          <w:rFonts w:hint="default" w:ascii="Times New Roman" w:hAnsi="Times New Roman" w:cs="Times New Roman"/>
          <w:i w:val="0"/>
          <w:iCs w:val="0"/>
          <w:color w:val="000000" w:themeColor="text1"/>
          <w:highlight w:val="none"/>
          <w:u w:val="wave" w:color="auto"/>
          <w:lang w:val="en-US" w:eastAsia="zh-CN"/>
          <w14:textFill>
            <w14:solidFill>
              <w14:schemeClr w14:val="tx1"/>
            </w14:solidFill>
          </w14:textFill>
        </w:rPr>
        <w:t>10</w:t>
      </w:r>
      <w:r>
        <w:rPr>
          <w:rFonts w:hint="default" w:ascii="Times New Roman" w:hAnsi="Times New Roman" w:cs="Times New Roman"/>
          <w:i w:val="0"/>
          <w:iCs w:val="0"/>
          <w:color w:val="000000" w:themeColor="text1"/>
          <w:highlight w:val="none"/>
          <w:u w:val="wave" w:color="auto"/>
          <w14:textFill>
            <w14:solidFill>
              <w14:schemeClr w14:val="tx1"/>
            </w14:solidFill>
          </w14:textFill>
        </w:rPr>
        <w:t>.6</w:t>
      </w:r>
      <w:r>
        <w:rPr>
          <w:rFonts w:hint="default" w:ascii="Times New Roman" w:hAnsi="Times New Roman" w:cs="Times New Roman"/>
          <w:i w:val="0"/>
          <w:iCs w:val="0"/>
          <w:color w:val="000000" w:themeColor="text1"/>
          <w:highlight w:val="none"/>
          <w:u w:val="wave" w:color="auto"/>
          <w14:textFill>
            <w14:solidFill>
              <w14:schemeClr w14:val="tx1"/>
            </w14:solidFill>
          </w14:textFill>
        </w:rPr>
        <w:fldChar w:fldCharType="end"/>
      </w:r>
      <w:r>
        <w:rPr>
          <w:rFonts w:hint="default" w:ascii="Times New Roman" w:hAnsi="Times New Roman" w:cs="Times New Roman"/>
          <w:i w:val="0"/>
          <w:iCs w:val="0"/>
          <w:color w:val="000000" w:themeColor="text1"/>
          <w:highlight w:val="none"/>
          <w:u w:val="wave" w:color="auto"/>
          <w14:textFill>
            <w14:solidFill>
              <w14:schemeClr w14:val="tx1"/>
            </w14:solidFill>
          </w14:textFill>
        </w:rPr>
        <w:noBreakHyphen/>
      </w:r>
      <w:r>
        <w:rPr>
          <w:rFonts w:hint="default" w:ascii="Times New Roman" w:hAnsi="Times New Roman" w:cs="Times New Roman"/>
          <w:i w:val="0"/>
          <w:iCs w:val="0"/>
          <w:color w:val="000000" w:themeColor="text1"/>
          <w:highlight w:val="none"/>
          <w:u w:val="wave" w:color="auto"/>
          <w14:textFill>
            <w14:solidFill>
              <w14:schemeClr w14:val="tx1"/>
            </w14:solidFill>
          </w14:textFill>
        </w:rPr>
        <w:fldChar w:fldCharType="begin"/>
      </w:r>
      <w:r>
        <w:rPr>
          <w:rFonts w:hint="default" w:ascii="Times New Roman" w:hAnsi="Times New Roman" w:cs="Times New Roman"/>
          <w:i w:val="0"/>
          <w:iCs w:val="0"/>
          <w:color w:val="000000" w:themeColor="text1"/>
          <w:highlight w:val="none"/>
          <w:u w:val="wave" w:color="auto"/>
          <w14:textFill>
            <w14:solidFill>
              <w14:schemeClr w14:val="tx1"/>
            </w14:solidFill>
          </w14:textFill>
        </w:rPr>
        <w:instrText xml:space="preserve"> SEQ 表 \* ARABIC \s 2 </w:instrText>
      </w:r>
      <w:r>
        <w:rPr>
          <w:rFonts w:hint="default" w:ascii="Times New Roman" w:hAnsi="Times New Roman" w:cs="Times New Roman"/>
          <w:i w:val="0"/>
          <w:iCs w:val="0"/>
          <w:color w:val="000000" w:themeColor="text1"/>
          <w:highlight w:val="none"/>
          <w:u w:val="wave" w:color="auto"/>
          <w14:textFill>
            <w14:solidFill>
              <w14:schemeClr w14:val="tx1"/>
            </w14:solidFill>
          </w14:textFill>
        </w:rPr>
        <w:fldChar w:fldCharType="separate"/>
      </w:r>
      <w:r>
        <w:rPr>
          <w:rFonts w:hint="default" w:ascii="Times New Roman" w:hAnsi="Times New Roman" w:cs="Times New Roman"/>
          <w:i w:val="0"/>
          <w:iCs w:val="0"/>
          <w:color w:val="000000" w:themeColor="text1"/>
          <w:highlight w:val="none"/>
          <w:u w:val="wave" w:color="auto"/>
          <w14:textFill>
            <w14:solidFill>
              <w14:schemeClr w14:val="tx1"/>
            </w14:solidFill>
          </w14:textFill>
        </w:rPr>
        <w:t>1</w:t>
      </w:r>
      <w:r>
        <w:rPr>
          <w:rFonts w:hint="default" w:ascii="Times New Roman" w:hAnsi="Times New Roman" w:cs="Times New Roman"/>
          <w:i w:val="0"/>
          <w:iCs w:val="0"/>
          <w:color w:val="000000" w:themeColor="text1"/>
          <w:highlight w:val="none"/>
          <w:u w:val="wave" w:color="auto"/>
          <w14:textFill>
            <w14:solidFill>
              <w14:schemeClr w14:val="tx1"/>
            </w14:solidFill>
          </w14:textFill>
        </w:rPr>
        <w:fldChar w:fldCharType="end"/>
      </w:r>
      <w:r>
        <w:rPr>
          <w:rFonts w:hint="default" w:ascii="Times New Roman" w:hAnsi="Times New Roman" w:cs="Times New Roman"/>
          <w:i w:val="0"/>
          <w:iCs w:val="0"/>
          <w:color w:val="000000" w:themeColor="text1"/>
          <w:highlight w:val="none"/>
          <w:u w:val="wave" w:color="auto"/>
          <w14:textFill>
            <w14:solidFill>
              <w14:schemeClr w14:val="tx1"/>
            </w14:solidFill>
          </w14:textFill>
        </w:rPr>
        <w:t xml:space="preserve"> 环境保护图形标志</w:t>
      </w:r>
    </w:p>
    <w:tbl>
      <w:tblPr>
        <w:tblStyle w:val="76"/>
        <w:tblW w:w="514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74"/>
        <w:gridCol w:w="2419"/>
        <w:gridCol w:w="2305"/>
        <w:gridCol w:w="2425"/>
        <w:gridCol w:w="1545"/>
      </w:tblGrid>
      <w:tr w14:paraId="4C2407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672" w:type="dxa"/>
            <w:vAlign w:val="center"/>
          </w:tcPr>
          <w:p w14:paraId="15B6A12A">
            <w:pPr>
              <w:pStyle w:val="192"/>
              <w:keepNext w:val="0"/>
              <w:keepLines w:val="0"/>
              <w:suppressLineNumbers w:val="0"/>
              <w:spacing w:before="0" w:beforeAutospacing="0" w:after="0" w:afterAutospacing="0"/>
              <w:ind w:left="0" w:right="0"/>
              <w:rPr>
                <w:rFonts w:hint="default" w:ascii="Times New Roman" w:hAnsi="Times New Roman" w:cs="Times New Roman"/>
                <w:b/>
                <w:bCs/>
                <w:i w:val="0"/>
                <w:iCs w:val="0"/>
                <w:color w:val="000000" w:themeColor="text1"/>
                <w:highlight w:val="none"/>
                <w:u w:val="wave" w:color="auto"/>
                <w14:textFill>
                  <w14:solidFill>
                    <w14:schemeClr w14:val="tx1"/>
                  </w14:solidFill>
                </w14:textFill>
              </w:rPr>
            </w:pPr>
            <w:r>
              <w:rPr>
                <w:rFonts w:hint="default" w:ascii="Times New Roman" w:hAnsi="Times New Roman" w:cs="Times New Roman"/>
                <w:b/>
                <w:bCs/>
                <w:i w:val="0"/>
                <w:iCs w:val="0"/>
                <w:color w:val="000000" w:themeColor="text1"/>
                <w:highlight w:val="none"/>
                <w:u w:val="wave" w:color="auto"/>
                <w14:textFill>
                  <w14:solidFill>
                    <w14:schemeClr w14:val="tx1"/>
                  </w14:solidFill>
                </w14:textFill>
              </w:rPr>
              <w:t>序号</w:t>
            </w:r>
          </w:p>
        </w:tc>
        <w:tc>
          <w:tcPr>
            <w:tcW w:w="2411" w:type="dxa"/>
            <w:vAlign w:val="center"/>
          </w:tcPr>
          <w:p w14:paraId="75F55BE3">
            <w:pPr>
              <w:pStyle w:val="192"/>
              <w:keepNext w:val="0"/>
              <w:keepLines w:val="0"/>
              <w:suppressLineNumbers w:val="0"/>
              <w:spacing w:before="0" w:beforeAutospacing="0" w:after="0" w:afterAutospacing="0"/>
              <w:ind w:left="0" w:right="0"/>
              <w:rPr>
                <w:rFonts w:hint="default" w:ascii="Times New Roman" w:hAnsi="Times New Roman" w:cs="Times New Roman"/>
                <w:b/>
                <w:bCs/>
                <w:i w:val="0"/>
                <w:iCs w:val="0"/>
                <w:color w:val="000000" w:themeColor="text1"/>
                <w:highlight w:val="none"/>
                <w:u w:val="wave" w:color="auto"/>
                <w14:textFill>
                  <w14:solidFill>
                    <w14:schemeClr w14:val="tx1"/>
                  </w14:solidFill>
                </w14:textFill>
              </w:rPr>
            </w:pPr>
            <w:r>
              <w:rPr>
                <w:rFonts w:hint="default" w:ascii="Times New Roman" w:hAnsi="Times New Roman" w:cs="Times New Roman"/>
                <w:b/>
                <w:bCs/>
                <w:i w:val="0"/>
                <w:iCs w:val="0"/>
                <w:color w:val="000000" w:themeColor="text1"/>
                <w:highlight w:val="none"/>
                <w:u w:val="wave" w:color="auto"/>
                <w14:textFill>
                  <w14:solidFill>
                    <w14:schemeClr w14:val="tx1"/>
                  </w14:solidFill>
                </w14:textFill>
              </w:rPr>
              <w:t>提示</w:t>
            </w:r>
            <w:r>
              <w:rPr>
                <w:rFonts w:hint="eastAsia" w:cs="Times New Roman"/>
                <w:b/>
                <w:bCs/>
                <w:i w:val="0"/>
                <w:iCs w:val="0"/>
                <w:color w:val="000000" w:themeColor="text1"/>
                <w:highlight w:val="none"/>
                <w:u w:val="wave" w:color="auto"/>
                <w:lang w:val="en-US" w:eastAsia="zh-CN"/>
                <w14:textFill>
                  <w14:solidFill>
                    <w14:schemeClr w14:val="tx1"/>
                  </w14:solidFill>
                </w14:textFill>
              </w:rPr>
              <w:t>标志</w:t>
            </w:r>
            <w:r>
              <w:rPr>
                <w:rFonts w:hint="default" w:ascii="Times New Roman" w:hAnsi="Times New Roman" w:cs="Times New Roman"/>
                <w:b/>
                <w:bCs/>
                <w:i w:val="0"/>
                <w:iCs w:val="0"/>
                <w:color w:val="000000" w:themeColor="text1"/>
                <w:highlight w:val="none"/>
                <w:u w:val="wave" w:color="auto"/>
                <w14:textFill>
                  <w14:solidFill>
                    <w14:schemeClr w14:val="tx1"/>
                  </w14:solidFill>
                </w14:textFill>
              </w:rPr>
              <w:t>图形</w:t>
            </w:r>
          </w:p>
        </w:tc>
        <w:tc>
          <w:tcPr>
            <w:tcW w:w="2297" w:type="dxa"/>
            <w:vAlign w:val="center"/>
          </w:tcPr>
          <w:p w14:paraId="13AC8C94">
            <w:pPr>
              <w:pStyle w:val="192"/>
              <w:keepNext w:val="0"/>
              <w:keepLines w:val="0"/>
              <w:suppressLineNumbers w:val="0"/>
              <w:spacing w:before="0" w:beforeAutospacing="0" w:after="0" w:afterAutospacing="0"/>
              <w:ind w:left="0" w:right="0"/>
              <w:rPr>
                <w:rFonts w:hint="eastAsia" w:ascii="Times New Roman" w:hAnsi="Times New Roman" w:eastAsia="宋体" w:cs="Times New Roman"/>
                <w:b/>
                <w:bCs/>
                <w:i w:val="0"/>
                <w:iCs w:val="0"/>
                <w:color w:val="000000" w:themeColor="text1"/>
                <w:highlight w:val="none"/>
                <w:u w:val="wave" w:color="auto"/>
                <w:lang w:eastAsia="zh-CN"/>
                <w14:textFill>
                  <w14:solidFill>
                    <w14:schemeClr w14:val="tx1"/>
                  </w14:solidFill>
                </w14:textFill>
              </w:rPr>
            </w:pPr>
            <w:r>
              <w:rPr>
                <w:rFonts w:hint="eastAsia" w:cs="Times New Roman"/>
                <w:b/>
                <w:bCs/>
                <w:i w:val="0"/>
                <w:iCs w:val="0"/>
                <w:color w:val="000000" w:themeColor="text1"/>
                <w:highlight w:val="none"/>
                <w:u w:val="wave" w:color="auto"/>
                <w:lang w:val="en-US" w:eastAsia="zh-CN"/>
                <w14:textFill>
                  <w14:solidFill>
                    <w14:schemeClr w14:val="tx1"/>
                  </w14:solidFill>
                </w14:textFill>
              </w:rPr>
              <w:t>名称</w:t>
            </w:r>
          </w:p>
        </w:tc>
        <w:tc>
          <w:tcPr>
            <w:tcW w:w="2417" w:type="dxa"/>
            <w:vAlign w:val="center"/>
          </w:tcPr>
          <w:p w14:paraId="0F126CDB">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i w:val="0"/>
                <w:iCs w:val="0"/>
                <w:color w:val="000000" w:themeColor="text1"/>
                <w:highlight w:val="none"/>
                <w:u w:val="wave" w:color="auto"/>
                <w14:textFill>
                  <w14:solidFill>
                    <w14:schemeClr w14:val="tx1"/>
                  </w14:solidFill>
                </w14:textFill>
              </w:rPr>
            </w:pPr>
            <w:r>
              <w:rPr>
                <w:rFonts w:hint="default" w:ascii="Times New Roman" w:hAnsi="Times New Roman" w:cs="Times New Roman"/>
                <w:b/>
                <w:bCs/>
                <w:i w:val="0"/>
                <w:iCs w:val="0"/>
                <w:color w:val="000000" w:themeColor="text1"/>
                <w:highlight w:val="none"/>
                <w:u w:val="wave" w:color="auto"/>
                <w14:textFill>
                  <w14:solidFill>
                    <w14:schemeClr w14:val="tx1"/>
                  </w14:solidFill>
                </w14:textFill>
              </w:rPr>
              <w:t>警告图形标志</w:t>
            </w:r>
          </w:p>
        </w:tc>
        <w:tc>
          <w:tcPr>
            <w:tcW w:w="1540" w:type="dxa"/>
            <w:vAlign w:val="center"/>
          </w:tcPr>
          <w:p w14:paraId="08F1D3E0">
            <w:pPr>
              <w:pStyle w:val="192"/>
              <w:keepNext w:val="0"/>
              <w:keepLines w:val="0"/>
              <w:suppressLineNumbers w:val="0"/>
              <w:spacing w:before="0" w:beforeAutospacing="0" w:after="0" w:afterAutospacing="0"/>
              <w:ind w:left="0" w:right="0"/>
              <w:rPr>
                <w:rFonts w:hint="eastAsia" w:ascii="Times New Roman" w:hAnsi="Times New Roman" w:eastAsia="宋体" w:cs="Times New Roman"/>
                <w:b/>
                <w:bCs/>
                <w:i w:val="0"/>
                <w:iCs w:val="0"/>
                <w:color w:val="000000" w:themeColor="text1"/>
                <w:highlight w:val="none"/>
                <w:u w:val="wave" w:color="auto"/>
                <w:lang w:eastAsia="zh-CN"/>
                <w14:textFill>
                  <w14:solidFill>
                    <w14:schemeClr w14:val="tx1"/>
                  </w14:solidFill>
                </w14:textFill>
              </w:rPr>
            </w:pPr>
            <w:r>
              <w:rPr>
                <w:rFonts w:hint="eastAsia" w:cs="Times New Roman"/>
                <w:b/>
                <w:bCs/>
                <w:i w:val="0"/>
                <w:iCs w:val="0"/>
                <w:color w:val="000000" w:themeColor="text1"/>
                <w:highlight w:val="none"/>
                <w:u w:val="wave" w:color="auto"/>
                <w:lang w:val="en-US" w:eastAsia="zh-CN"/>
                <w14:textFill>
                  <w14:solidFill>
                    <w14:schemeClr w14:val="tx1"/>
                  </w14:solidFill>
                </w14:textFill>
              </w:rPr>
              <w:t>说明</w:t>
            </w:r>
          </w:p>
        </w:tc>
      </w:tr>
      <w:tr w14:paraId="6DD522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672" w:type="dxa"/>
            <w:vAlign w:val="center"/>
          </w:tcPr>
          <w:p w14:paraId="3029060D">
            <w:pPr>
              <w:pStyle w:val="192"/>
              <w:keepNext w:val="0"/>
              <w:keepLines w:val="0"/>
              <w:suppressLineNumbers w:val="0"/>
              <w:spacing w:before="0" w:beforeAutospacing="0" w:after="0" w:afterAutospacing="0"/>
              <w:ind w:left="0" w:right="0"/>
              <w:rPr>
                <w:rFonts w:hint="default" w:ascii="Times New Roman" w:hAnsi="Times New Roman" w:cs="Times New Roman"/>
                <w:i w:val="0"/>
                <w:iCs w:val="0"/>
                <w:color w:val="000000" w:themeColor="text1"/>
                <w:highlight w:val="none"/>
                <w:u w:val="wave" w:color="auto"/>
                <w14:textFill>
                  <w14:solidFill>
                    <w14:schemeClr w14:val="tx1"/>
                  </w14:solidFill>
                </w14:textFill>
              </w:rPr>
            </w:pPr>
            <w:r>
              <w:rPr>
                <w:rFonts w:hint="default" w:ascii="Times New Roman" w:hAnsi="Times New Roman" w:cs="Times New Roman"/>
                <w:i w:val="0"/>
                <w:iCs w:val="0"/>
                <w:color w:val="000000" w:themeColor="text1"/>
                <w:highlight w:val="none"/>
                <w:u w:val="wave" w:color="auto"/>
                <w14:textFill>
                  <w14:solidFill>
                    <w14:schemeClr w14:val="tx1"/>
                  </w14:solidFill>
                </w14:textFill>
              </w:rPr>
              <w:t>1</w:t>
            </w:r>
          </w:p>
        </w:tc>
        <w:tc>
          <w:tcPr>
            <w:tcW w:w="2411" w:type="dxa"/>
            <w:vAlign w:val="center"/>
          </w:tcPr>
          <w:p w14:paraId="42D2C43E">
            <w:pPr>
              <w:pStyle w:val="192"/>
              <w:keepNext w:val="0"/>
              <w:keepLines w:val="0"/>
              <w:suppressLineNumbers w:val="0"/>
              <w:spacing w:before="0" w:beforeAutospacing="0" w:after="0" w:afterAutospacing="0"/>
              <w:ind w:left="0" w:right="0"/>
              <w:rPr>
                <w:rFonts w:hint="default" w:ascii="Times New Roman" w:hAnsi="Times New Roman" w:cs="Times New Roman"/>
                <w:i w:val="0"/>
                <w:iCs w:val="0"/>
                <w:color w:val="000000" w:themeColor="text1"/>
                <w:highlight w:val="none"/>
                <w:u w:val="wave" w:color="auto"/>
                <w14:textFill>
                  <w14:solidFill>
                    <w14:schemeClr w14:val="tx1"/>
                  </w14:solidFill>
                </w14:textFill>
              </w:rPr>
            </w:pPr>
            <w:r>
              <w:rPr>
                <w:rFonts w:hint="default"/>
                <w:color w:val="000000" w:themeColor="text1"/>
                <w:u w:val="wave" w:color="auto"/>
                <w14:textFill>
                  <w14:solidFill>
                    <w14:schemeClr w14:val="tx1"/>
                  </w14:solidFill>
                </w14:textFill>
              </w:rPr>
              <w:drawing>
                <wp:inline distT="0" distB="0" distL="114300" distR="114300">
                  <wp:extent cx="1259840" cy="1259840"/>
                  <wp:effectExtent l="0" t="0" r="6985" b="69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3"/>
                          <a:stretch>
                            <a:fillRect/>
                          </a:stretch>
                        </pic:blipFill>
                        <pic:spPr>
                          <a:xfrm>
                            <a:off x="0" y="0"/>
                            <a:ext cx="1259840" cy="1259840"/>
                          </a:xfrm>
                          <a:prstGeom prst="rect">
                            <a:avLst/>
                          </a:prstGeom>
                          <a:noFill/>
                          <a:ln>
                            <a:noFill/>
                          </a:ln>
                        </pic:spPr>
                      </pic:pic>
                    </a:graphicData>
                  </a:graphic>
                </wp:inline>
              </w:drawing>
            </w:r>
          </w:p>
        </w:tc>
        <w:tc>
          <w:tcPr>
            <w:tcW w:w="2297" w:type="dxa"/>
            <w:vAlign w:val="center"/>
          </w:tcPr>
          <w:p w14:paraId="467EAC71">
            <w:pPr>
              <w:pStyle w:val="192"/>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themeColor="text1"/>
                <w:highlight w:val="none"/>
                <w:u w:val="wave" w:color="auto"/>
                <w:lang w:val="en-US" w:eastAsia="zh-CN"/>
                <w14:textFill>
                  <w14:solidFill>
                    <w14:schemeClr w14:val="tx1"/>
                  </w14:solidFill>
                </w14:textFill>
              </w:rPr>
            </w:pPr>
            <w:r>
              <w:rPr>
                <w:rFonts w:hint="eastAsia" w:cs="Times New Roman"/>
                <w:i w:val="0"/>
                <w:iCs w:val="0"/>
                <w:color w:val="000000" w:themeColor="text1"/>
                <w:highlight w:val="none"/>
                <w:u w:val="wave" w:color="auto"/>
                <w:lang w:val="en-US" w:eastAsia="zh-CN"/>
                <w14:textFill>
                  <w14:solidFill>
                    <w14:schemeClr w14:val="tx1"/>
                  </w14:solidFill>
                </w14:textFill>
              </w:rPr>
              <w:t>污水排放口</w:t>
            </w:r>
          </w:p>
        </w:tc>
        <w:tc>
          <w:tcPr>
            <w:tcW w:w="2417" w:type="dxa"/>
            <w:vAlign w:val="center"/>
          </w:tcPr>
          <w:p w14:paraId="170D8E0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i w:val="0"/>
                <w:iCs w:val="0"/>
                <w:color w:val="000000" w:themeColor="text1"/>
                <w:highlight w:val="none"/>
                <w:u w:val="wave" w:color="auto"/>
                <w14:textFill>
                  <w14:solidFill>
                    <w14:schemeClr w14:val="tx1"/>
                  </w14:solidFill>
                </w14:textFill>
              </w:rPr>
            </w:pPr>
            <w:r>
              <w:rPr>
                <w:rFonts w:hint="default"/>
                <w:color w:val="000000" w:themeColor="text1"/>
                <w:u w:val="wave" w:color="auto"/>
                <w14:textFill>
                  <w14:solidFill>
                    <w14:schemeClr w14:val="tx1"/>
                  </w14:solidFill>
                </w14:textFill>
              </w:rPr>
              <w:drawing>
                <wp:inline distT="0" distB="0" distL="114300" distR="114300">
                  <wp:extent cx="1424305" cy="1259840"/>
                  <wp:effectExtent l="0" t="0" r="4445" b="698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4"/>
                          <a:stretch>
                            <a:fillRect/>
                          </a:stretch>
                        </pic:blipFill>
                        <pic:spPr>
                          <a:xfrm>
                            <a:off x="0" y="0"/>
                            <a:ext cx="1424305" cy="1259840"/>
                          </a:xfrm>
                          <a:prstGeom prst="rect">
                            <a:avLst/>
                          </a:prstGeom>
                          <a:noFill/>
                          <a:ln>
                            <a:noFill/>
                          </a:ln>
                        </pic:spPr>
                      </pic:pic>
                    </a:graphicData>
                  </a:graphic>
                </wp:inline>
              </w:drawing>
            </w:r>
          </w:p>
        </w:tc>
        <w:tc>
          <w:tcPr>
            <w:tcW w:w="1540" w:type="dxa"/>
            <w:vAlign w:val="center"/>
          </w:tcPr>
          <w:p w14:paraId="1D8B69AE">
            <w:pPr>
              <w:pStyle w:val="192"/>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themeColor="text1"/>
                <w:highlight w:val="none"/>
                <w:u w:val="wave" w:color="auto"/>
                <w:lang w:val="en-US" w:eastAsia="zh-CN"/>
                <w14:textFill>
                  <w14:solidFill>
                    <w14:schemeClr w14:val="tx1"/>
                  </w14:solidFill>
                </w14:textFill>
              </w:rPr>
            </w:pPr>
            <w:r>
              <w:rPr>
                <w:rFonts w:hint="eastAsia" w:cs="Times New Roman"/>
                <w:i w:val="0"/>
                <w:iCs w:val="0"/>
                <w:color w:val="000000" w:themeColor="text1"/>
                <w:highlight w:val="none"/>
                <w:u w:val="wave" w:color="auto"/>
                <w:lang w:val="en-US" w:eastAsia="zh-CN"/>
                <w14:textFill>
                  <w14:solidFill>
                    <w14:schemeClr w14:val="tx1"/>
                  </w14:solidFill>
                </w14:textFill>
              </w:rPr>
              <w:t>当心污水排放口</w:t>
            </w:r>
          </w:p>
        </w:tc>
      </w:tr>
      <w:tr w14:paraId="4DB872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672" w:type="dxa"/>
            <w:vAlign w:val="center"/>
          </w:tcPr>
          <w:p w14:paraId="7CF016B4">
            <w:pPr>
              <w:pStyle w:val="19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000000" w:themeColor="text1"/>
                <w:highlight w:val="none"/>
                <w:u w:val="wave" w:color="auto"/>
                <w:lang w:eastAsia="zh-CN"/>
                <w14:textFill>
                  <w14:solidFill>
                    <w14:schemeClr w14:val="tx1"/>
                  </w14:solidFill>
                </w14:textFill>
              </w:rPr>
            </w:pPr>
            <w:r>
              <w:rPr>
                <w:rFonts w:hint="eastAsia" w:cs="Times New Roman"/>
                <w:color w:val="000000" w:themeColor="text1"/>
                <w:highlight w:val="none"/>
                <w:u w:val="wave" w:color="auto"/>
                <w:lang w:val="en-US" w:eastAsia="zh-CN"/>
                <w14:textFill>
                  <w14:solidFill>
                    <w14:schemeClr w14:val="tx1"/>
                  </w14:solidFill>
                </w14:textFill>
              </w:rPr>
              <w:t>2</w:t>
            </w:r>
          </w:p>
        </w:tc>
        <w:tc>
          <w:tcPr>
            <w:tcW w:w="2411" w:type="dxa"/>
            <w:vAlign w:val="center"/>
          </w:tcPr>
          <w:p w14:paraId="1F6276FA">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color w:val="000000" w:themeColor="text1"/>
                <w:u w:val="wave" w:color="auto"/>
                <w14:textFill>
                  <w14:solidFill>
                    <w14:schemeClr w14:val="tx1"/>
                  </w14:solidFill>
                </w14:textFill>
              </w:rPr>
              <w:drawing>
                <wp:inline distT="0" distB="0" distL="114300" distR="114300">
                  <wp:extent cx="1259840" cy="1259840"/>
                  <wp:effectExtent l="0" t="0" r="698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5"/>
                          <a:stretch>
                            <a:fillRect/>
                          </a:stretch>
                        </pic:blipFill>
                        <pic:spPr>
                          <a:xfrm>
                            <a:off x="0" y="0"/>
                            <a:ext cx="1259840" cy="1259840"/>
                          </a:xfrm>
                          <a:prstGeom prst="rect">
                            <a:avLst/>
                          </a:prstGeom>
                          <a:noFill/>
                          <a:ln>
                            <a:noFill/>
                          </a:ln>
                        </pic:spPr>
                      </pic:pic>
                    </a:graphicData>
                  </a:graphic>
                </wp:inline>
              </w:drawing>
            </w:r>
          </w:p>
        </w:tc>
        <w:tc>
          <w:tcPr>
            <w:tcW w:w="2297" w:type="dxa"/>
            <w:vAlign w:val="center"/>
          </w:tcPr>
          <w:p w14:paraId="4C2F7FD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eastAsia" w:cs="Times New Roman"/>
                <w:color w:val="000000" w:themeColor="text1"/>
                <w:highlight w:val="none"/>
                <w:u w:val="wave" w:color="auto"/>
                <w:lang w:val="en-US" w:eastAsia="zh-CN"/>
                <w14:textFill>
                  <w14:solidFill>
                    <w14:schemeClr w14:val="tx1"/>
                  </w14:solidFill>
                </w14:textFill>
              </w:rPr>
              <w:t>废气排放口</w:t>
            </w:r>
          </w:p>
        </w:tc>
        <w:tc>
          <w:tcPr>
            <w:tcW w:w="2417" w:type="dxa"/>
            <w:vAlign w:val="center"/>
          </w:tcPr>
          <w:p w14:paraId="0FDDF27E">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default"/>
                <w:color w:val="000000" w:themeColor="text1"/>
                <w:u w:val="wave" w:color="auto"/>
                <w14:textFill>
                  <w14:solidFill>
                    <w14:schemeClr w14:val="tx1"/>
                  </w14:solidFill>
                </w14:textFill>
              </w:rPr>
              <w:drawing>
                <wp:inline distT="0" distB="0" distL="114300" distR="114300">
                  <wp:extent cx="1433195" cy="1259840"/>
                  <wp:effectExtent l="0" t="0" r="5080" b="698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46"/>
                          <a:stretch>
                            <a:fillRect/>
                          </a:stretch>
                        </pic:blipFill>
                        <pic:spPr>
                          <a:xfrm>
                            <a:off x="0" y="0"/>
                            <a:ext cx="1433195" cy="1259840"/>
                          </a:xfrm>
                          <a:prstGeom prst="rect">
                            <a:avLst/>
                          </a:prstGeom>
                          <a:noFill/>
                          <a:ln>
                            <a:noFill/>
                          </a:ln>
                        </pic:spPr>
                      </pic:pic>
                    </a:graphicData>
                  </a:graphic>
                </wp:inline>
              </w:drawing>
            </w:r>
          </w:p>
        </w:tc>
        <w:tc>
          <w:tcPr>
            <w:tcW w:w="1540" w:type="dxa"/>
            <w:vAlign w:val="center"/>
          </w:tcPr>
          <w:p w14:paraId="580AE66D">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eastAsia" w:cs="Times New Roman"/>
                <w:color w:val="000000" w:themeColor="text1"/>
                <w:highlight w:val="none"/>
                <w:u w:val="wave" w:color="auto"/>
                <w:lang w:val="en-US" w:eastAsia="zh-CN"/>
                <w14:textFill>
                  <w14:solidFill>
                    <w14:schemeClr w14:val="tx1"/>
                  </w14:solidFill>
                </w14:textFill>
              </w:rPr>
              <w:t>当心废气排放口</w:t>
            </w:r>
          </w:p>
        </w:tc>
      </w:tr>
      <w:tr w14:paraId="20689F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672" w:type="dxa"/>
            <w:vAlign w:val="center"/>
          </w:tcPr>
          <w:p w14:paraId="340DFC4E">
            <w:pPr>
              <w:pStyle w:val="19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000000" w:themeColor="text1"/>
                <w:highlight w:val="none"/>
                <w:u w:val="wave" w:color="auto"/>
                <w:lang w:val="en-US" w:eastAsia="zh-CN"/>
                <w14:textFill>
                  <w14:solidFill>
                    <w14:schemeClr w14:val="tx1"/>
                  </w14:solidFill>
                </w14:textFill>
              </w:rPr>
            </w:pPr>
            <w:bookmarkStart w:id="205" w:name="_Toc3709"/>
            <w:r>
              <w:rPr>
                <w:rFonts w:hint="eastAsia" w:cs="Times New Roman"/>
                <w:color w:val="000000" w:themeColor="text1"/>
                <w:highlight w:val="none"/>
                <w:u w:val="wave" w:color="auto"/>
                <w:lang w:val="en-US" w:eastAsia="zh-CN"/>
                <w14:textFill>
                  <w14:solidFill>
                    <w14:schemeClr w14:val="tx1"/>
                  </w14:solidFill>
                </w14:textFill>
              </w:rPr>
              <w:t>3</w:t>
            </w:r>
          </w:p>
        </w:tc>
        <w:tc>
          <w:tcPr>
            <w:tcW w:w="2411" w:type="dxa"/>
            <w:vAlign w:val="center"/>
          </w:tcPr>
          <w:p w14:paraId="1C8C0D0F">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color w:val="000000" w:themeColor="text1"/>
                <w:u w:val="wave" w:color="auto"/>
                <w14:textFill>
                  <w14:solidFill>
                    <w14:schemeClr w14:val="tx1"/>
                  </w14:solidFill>
                </w14:textFill>
              </w:rPr>
              <w:drawing>
                <wp:inline distT="0" distB="0" distL="114300" distR="114300">
                  <wp:extent cx="1259840" cy="1259840"/>
                  <wp:effectExtent l="0" t="0" r="6985" b="698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7"/>
                          <a:stretch>
                            <a:fillRect/>
                          </a:stretch>
                        </pic:blipFill>
                        <pic:spPr>
                          <a:xfrm>
                            <a:off x="0" y="0"/>
                            <a:ext cx="1259840" cy="1259840"/>
                          </a:xfrm>
                          <a:prstGeom prst="rect">
                            <a:avLst/>
                          </a:prstGeom>
                          <a:noFill/>
                          <a:ln>
                            <a:noFill/>
                          </a:ln>
                        </pic:spPr>
                      </pic:pic>
                    </a:graphicData>
                  </a:graphic>
                </wp:inline>
              </w:drawing>
            </w:r>
          </w:p>
        </w:tc>
        <w:tc>
          <w:tcPr>
            <w:tcW w:w="2297" w:type="dxa"/>
            <w:vAlign w:val="center"/>
          </w:tcPr>
          <w:p w14:paraId="4B8BB1C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highlight w:val="none"/>
                <w:u w:val="wave" w:color="auto"/>
                <w:lang w:val="en-US" w:eastAsia="zh-CN"/>
                <w14:textFill>
                  <w14:solidFill>
                    <w14:schemeClr w14:val="tx1"/>
                  </w14:solidFill>
                </w14:textFill>
              </w:rPr>
            </w:pPr>
            <w:r>
              <w:rPr>
                <w:rFonts w:hint="eastAsia" w:cs="Times New Roman"/>
                <w:color w:val="000000" w:themeColor="text1"/>
                <w:highlight w:val="none"/>
                <w:u w:val="wave" w:color="auto"/>
                <w:lang w:val="en-US" w:eastAsia="zh-CN"/>
                <w14:textFill>
                  <w14:solidFill>
                    <w14:schemeClr w14:val="tx1"/>
                  </w14:solidFill>
                </w14:textFill>
              </w:rPr>
              <w:t>噪声排放口</w:t>
            </w:r>
          </w:p>
        </w:tc>
        <w:tc>
          <w:tcPr>
            <w:tcW w:w="2417" w:type="dxa"/>
            <w:vAlign w:val="center"/>
          </w:tcPr>
          <w:p w14:paraId="57367FF6">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color w:val="000000" w:themeColor="text1"/>
                <w:u w:val="wave" w:color="auto"/>
                <w14:textFill>
                  <w14:solidFill>
                    <w14:schemeClr w14:val="tx1"/>
                  </w14:solidFill>
                </w14:textFill>
              </w:rPr>
              <w:drawing>
                <wp:inline distT="0" distB="0" distL="114300" distR="114300">
                  <wp:extent cx="1404620" cy="1259840"/>
                  <wp:effectExtent l="0" t="0" r="5080" b="698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48"/>
                          <a:stretch>
                            <a:fillRect/>
                          </a:stretch>
                        </pic:blipFill>
                        <pic:spPr>
                          <a:xfrm>
                            <a:off x="0" y="0"/>
                            <a:ext cx="1404620" cy="1259840"/>
                          </a:xfrm>
                          <a:prstGeom prst="rect">
                            <a:avLst/>
                          </a:prstGeom>
                          <a:noFill/>
                          <a:ln>
                            <a:noFill/>
                          </a:ln>
                        </pic:spPr>
                      </pic:pic>
                    </a:graphicData>
                  </a:graphic>
                </wp:inline>
              </w:drawing>
            </w:r>
          </w:p>
        </w:tc>
        <w:tc>
          <w:tcPr>
            <w:tcW w:w="1540" w:type="dxa"/>
            <w:vAlign w:val="center"/>
          </w:tcPr>
          <w:p w14:paraId="338BB77C">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000000" w:themeColor="text1"/>
                <w:highlight w:val="none"/>
                <w:u w:val="wave" w:color="auto"/>
                <w14:textFill>
                  <w14:solidFill>
                    <w14:schemeClr w14:val="tx1"/>
                  </w14:solidFill>
                </w14:textFill>
              </w:rPr>
            </w:pPr>
            <w:r>
              <w:rPr>
                <w:rFonts w:hint="eastAsia" w:cs="Times New Roman"/>
                <w:color w:val="000000" w:themeColor="text1"/>
                <w:highlight w:val="none"/>
                <w:u w:val="wave" w:color="auto"/>
                <w:lang w:val="en-US" w:eastAsia="zh-CN"/>
                <w14:textFill>
                  <w14:solidFill>
                    <w14:schemeClr w14:val="tx1"/>
                  </w14:solidFill>
                </w14:textFill>
              </w:rPr>
              <w:t>当心噪声排放口</w:t>
            </w:r>
          </w:p>
        </w:tc>
      </w:tr>
    </w:tbl>
    <w:p w14:paraId="39AC307B">
      <w:pPr>
        <w:pStyle w:val="3"/>
        <w:numPr>
          <w:ilvl w:val="1"/>
          <w:numId w:val="0"/>
        </w:numPr>
        <w:ind w:leftChars="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mc:AlternateContent>
          <mc:Choice Requires="wps">
            <w:drawing>
              <wp:anchor distT="0" distB="0" distL="114300" distR="114300" simplePos="0" relativeHeight="251663360" behindDoc="1" locked="0" layoutInCell="0" allowOverlap="1">
                <wp:simplePos x="0" y="0"/>
                <wp:positionH relativeFrom="page">
                  <wp:posOffset>3627120</wp:posOffset>
                </wp:positionH>
                <wp:positionV relativeFrom="page">
                  <wp:posOffset>9912350</wp:posOffset>
                </wp:positionV>
                <wp:extent cx="304800" cy="127000"/>
                <wp:effectExtent l="0" t="0" r="0" b="0"/>
                <wp:wrapNone/>
                <wp:docPr id="173" name="矩形 173"/>
                <wp:cNvGraphicFramePr/>
                <a:graphic xmlns:a="http://schemas.openxmlformats.org/drawingml/2006/main">
                  <a:graphicData uri="http://schemas.microsoft.com/office/word/2010/wordprocessingShape">
                    <wps:wsp>
                      <wps:cNvSpPr/>
                      <wps:spPr>
                        <a:xfrm>
                          <a:off x="0" y="0"/>
                          <a:ext cx="304800" cy="127000"/>
                        </a:xfrm>
                        <a:prstGeom prst="rect">
                          <a:avLst/>
                        </a:prstGeom>
                        <a:noFill/>
                        <a:ln>
                          <a:noFill/>
                        </a:ln>
                      </wps:spPr>
                      <wps:txbx>
                        <w:txbxContent>
                          <w:p w14:paraId="2BC971B3">
                            <w:pPr>
                              <w:widowControl/>
                              <w:autoSpaceDE/>
                              <w:autoSpaceDN/>
                              <w:adjustRightInd/>
                              <w:spacing w:line="200" w:lineRule="atLeast"/>
                              <w:ind w:firstLine="480"/>
                              <w:rPr>
                                <w:rFonts w:eastAsia="Times New Roman"/>
                              </w:rPr>
                            </w:pPr>
                            <w:r>
                              <w:rPr>
                                <w:rFonts w:eastAsia="Times New Roman"/>
                              </w:rPr>
                              <w:drawing>
                                <wp:inline distT="0" distB="0" distL="114300" distR="114300">
                                  <wp:extent cx="301625" cy="130810"/>
                                  <wp:effectExtent l="0" t="0" r="0" b="0"/>
                                  <wp:docPr id="1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5"/>
                                          <pic:cNvPicPr>
                                            <a:picLocks noChangeAspect="1"/>
                                          </pic:cNvPicPr>
                                        </pic:nvPicPr>
                                        <pic:blipFill>
                                          <a:blip r:embed="rId49"/>
                                          <a:stretch>
                                            <a:fillRect/>
                                          </a:stretch>
                                        </pic:blipFill>
                                        <pic:spPr>
                                          <a:xfrm>
                                            <a:off x="0" y="0"/>
                                            <a:ext cx="301625" cy="130810"/>
                                          </a:xfrm>
                                          <a:prstGeom prst="rect">
                                            <a:avLst/>
                                          </a:prstGeom>
                                          <a:noFill/>
                                          <a:ln>
                                            <a:noFill/>
                                          </a:ln>
                                        </pic:spPr>
                                      </pic:pic>
                                    </a:graphicData>
                                  </a:graphic>
                                </wp:inline>
                              </w:drawing>
                            </w:r>
                          </w:p>
                          <w:p w14:paraId="25B4DD33">
                            <w:pPr>
                              <w:ind w:firstLine="480"/>
                              <w:rPr>
                                <w:rFonts w:eastAsia="Times New Roman"/>
                              </w:rPr>
                            </w:pPr>
                          </w:p>
                        </w:txbxContent>
                      </wps:txbx>
                      <wps:bodyPr lIns="0" tIns="0" rIns="0" bIns="0" upright="1"/>
                    </wps:wsp>
                  </a:graphicData>
                </a:graphic>
              </wp:anchor>
            </w:drawing>
          </mc:Choice>
          <mc:Fallback>
            <w:pict>
              <v:rect id="_x0000_s1026" o:spid="_x0000_s1026" o:spt="1" style="position:absolute;left:0pt;margin-left:285.6pt;margin-top:780.5pt;height:10pt;width:24pt;mso-position-horizontal-relative:page;mso-position-vertical-relative:page;z-index:-251653120;mso-width-relative:page;mso-height-relative:page;" filled="f" stroked="f" coordsize="21600,21600" o:allowincell="f" o:gfxdata="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soLM9oAAAANAQAADwAAAAAAAAABACAAAAAiAAAAZHJzL2Rvd25yZXYueG1sUEsBAhQAFAAAAAgA&#10;h07iQCz2uQyxAQAAaAMAAA4AAAAAAAAAAQAgAAAAKQEAAGRycy9lMm9Eb2MueG1sUEsFBgAAAAAG&#10;AAYAWQEAAEwFAAAAAA==&#10;">
                <v:fill on="f" focussize="0,0"/>
                <v:stroke on="f"/>
                <v:imagedata o:title=""/>
                <o:lock v:ext="edit" aspectratio="f"/>
                <v:textbox inset="0mm,0mm,0mm,0mm">
                  <w:txbxContent>
                    <w:p w14:paraId="2BC971B3">
                      <w:pPr>
                        <w:widowControl/>
                        <w:autoSpaceDE/>
                        <w:autoSpaceDN/>
                        <w:adjustRightInd/>
                        <w:spacing w:line="200" w:lineRule="atLeast"/>
                        <w:ind w:firstLine="480"/>
                        <w:rPr>
                          <w:rFonts w:eastAsia="Times New Roman"/>
                        </w:rPr>
                      </w:pPr>
                      <w:r>
                        <w:rPr>
                          <w:rFonts w:eastAsia="Times New Roman"/>
                        </w:rPr>
                        <w:drawing>
                          <wp:inline distT="0" distB="0" distL="114300" distR="114300">
                            <wp:extent cx="301625" cy="130810"/>
                            <wp:effectExtent l="0" t="0" r="0" b="0"/>
                            <wp:docPr id="1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5"/>
                                    <pic:cNvPicPr>
                                      <a:picLocks noChangeAspect="1"/>
                                    </pic:cNvPicPr>
                                  </pic:nvPicPr>
                                  <pic:blipFill>
                                    <a:blip r:embed="rId49"/>
                                    <a:stretch>
                                      <a:fillRect/>
                                    </a:stretch>
                                  </pic:blipFill>
                                  <pic:spPr>
                                    <a:xfrm>
                                      <a:off x="0" y="0"/>
                                      <a:ext cx="301625" cy="130810"/>
                                    </a:xfrm>
                                    <a:prstGeom prst="rect">
                                      <a:avLst/>
                                    </a:prstGeom>
                                    <a:noFill/>
                                    <a:ln>
                                      <a:noFill/>
                                    </a:ln>
                                  </pic:spPr>
                                </pic:pic>
                              </a:graphicData>
                            </a:graphic>
                          </wp:inline>
                        </w:drawing>
                      </w:r>
                    </w:p>
                    <w:p w14:paraId="25B4DD33">
                      <w:pPr>
                        <w:ind w:firstLine="480"/>
                        <w:rPr>
                          <w:rFonts w:eastAsia="Times New Roman"/>
                        </w:rPr>
                      </w:pPr>
                    </w:p>
                  </w:txbxContent>
                </v:textbox>
              </v:rect>
            </w:pict>
          </mc:Fallback>
        </mc:AlternateContent>
      </w:r>
      <w:r>
        <w:rPr>
          <w:rFonts w:hint="default" w:ascii="Times New Roman" w:hAnsi="Times New Roman" w:cs="Times New Roman"/>
          <w:color w:val="000000" w:themeColor="text1"/>
          <w:highlight w:val="none"/>
          <w:u w:val="none" w:color="auto"/>
          <w:lang w:val="en-US" w:eastAsia="zh-CN"/>
          <w14:textFill>
            <w14:solidFill>
              <w14:schemeClr w14:val="tx1"/>
            </w14:solidFill>
          </w14:textFill>
        </w:rPr>
        <w:t xml:space="preserve">10.7 </w:t>
      </w:r>
      <w:r>
        <w:rPr>
          <w:rFonts w:hint="default" w:ascii="Times New Roman" w:hAnsi="Times New Roman" w:cs="Times New Roman"/>
          <w:color w:val="000000" w:themeColor="text1"/>
          <w:highlight w:val="none"/>
          <w:u w:val="none" w:color="auto"/>
          <w14:textFill>
            <w14:solidFill>
              <w14:schemeClr w14:val="tx1"/>
            </w14:solidFill>
          </w14:textFill>
        </w:rPr>
        <w:t>环境保护竣工验收要求</w:t>
      </w:r>
      <w:bookmarkEnd w:id="205"/>
    </w:p>
    <w:p w14:paraId="7824F971">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000000" w:themeColor="text1"/>
          <w:highlight w:val="none"/>
          <w:u w:val="none" w:color="auto"/>
          <w14:textFill>
            <w14:solidFill>
              <w14:schemeClr w14:val="tx1"/>
            </w14:solidFill>
          </w14:textFill>
        </w:rPr>
        <w:t>本工程环境保护措施验收内容见下表，各项环保措施必须和主体工程一道通过竣工</w:t>
      </w:r>
      <w:r>
        <w:rPr>
          <w:rFonts w:hint="default" w:ascii="Times New Roman" w:hAnsi="Times New Roman" w:cs="Times New Roman"/>
          <w:color w:val="auto"/>
          <w:highlight w:val="none"/>
          <w:u w:val="none" w:color="auto"/>
        </w:rPr>
        <w:t>验收后，污水处理厂方可运行。</w:t>
      </w:r>
    </w:p>
    <w:p w14:paraId="439A3EAC">
      <w:pPr>
        <w:pStyle w:val="194"/>
        <w:spacing w:line="240" w:lineRule="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 xml:space="preserve">表 </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STYLEREF 2 \s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lang w:val="en-US" w:eastAsia="zh-CN"/>
        </w:rPr>
        <w:t>0</w:t>
      </w:r>
      <w:r>
        <w:rPr>
          <w:rFonts w:hint="default" w:ascii="Times New Roman" w:hAnsi="Times New Roman" w:cs="Times New Roman"/>
          <w:color w:val="auto"/>
          <w:highlight w:val="none"/>
          <w:u w:val="none" w:color="auto"/>
        </w:rPr>
        <w:t>.7</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noBreakHyphen/>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SEQ 表 \* ARABIC \s 2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1</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 xml:space="preserve">  项目竣工环保验收一览表</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96"/>
        <w:gridCol w:w="995"/>
        <w:gridCol w:w="1668"/>
        <w:gridCol w:w="3494"/>
        <w:gridCol w:w="2533"/>
      </w:tblGrid>
      <w:tr w14:paraId="0F6789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13" w:type="dxa"/>
            <w:vAlign w:val="center"/>
          </w:tcPr>
          <w:p w14:paraId="4690CF19">
            <w:pPr>
              <w:pStyle w:val="192"/>
              <w:keepNext w:val="0"/>
              <w:keepLines w:val="0"/>
              <w:suppressLineNumbers w:val="0"/>
              <w:adjustRightInd/>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类型</w:t>
            </w:r>
          </w:p>
        </w:tc>
        <w:tc>
          <w:tcPr>
            <w:tcW w:w="1523" w:type="dxa"/>
            <w:vAlign w:val="center"/>
          </w:tcPr>
          <w:p w14:paraId="32B37938">
            <w:pPr>
              <w:pStyle w:val="192"/>
              <w:keepNext w:val="0"/>
              <w:keepLines w:val="0"/>
              <w:suppressLineNumbers w:val="0"/>
              <w:adjustRightInd/>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排放源</w:t>
            </w:r>
          </w:p>
        </w:tc>
        <w:tc>
          <w:tcPr>
            <w:tcW w:w="2554" w:type="dxa"/>
            <w:vAlign w:val="center"/>
          </w:tcPr>
          <w:p w14:paraId="028D8F19">
            <w:pPr>
              <w:pStyle w:val="192"/>
              <w:keepNext w:val="0"/>
              <w:keepLines w:val="0"/>
              <w:suppressLineNumbers w:val="0"/>
              <w:adjustRightInd/>
              <w:spacing w:before="0" w:beforeAutospacing="0" w:after="0" w:afterAutospacing="0"/>
              <w:ind w:left="0" w:right="0"/>
              <w:rPr>
                <w:rFonts w:hint="default" w:ascii="Times New Roman" w:hAnsi="Times New Roman" w:cs="Times New Roman"/>
                <w:b/>
                <w:color w:val="auto"/>
                <w:highlight w:val="none"/>
                <w:u w:val="none" w:color="auto"/>
              </w:rPr>
            </w:pPr>
            <w:r>
              <w:rPr>
                <w:rFonts w:hint="default" w:ascii="Times New Roman" w:hAnsi="Times New Roman" w:cs="Times New Roman"/>
                <w:b/>
                <w:color w:val="auto"/>
                <w:highlight w:val="none"/>
                <w:u w:val="none" w:color="auto"/>
              </w:rPr>
              <w:t>污染物名称</w:t>
            </w:r>
          </w:p>
        </w:tc>
        <w:tc>
          <w:tcPr>
            <w:tcW w:w="5349" w:type="dxa"/>
            <w:vAlign w:val="center"/>
          </w:tcPr>
          <w:p w14:paraId="5AA762A0">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验收内容</w:t>
            </w:r>
          </w:p>
        </w:tc>
        <w:tc>
          <w:tcPr>
            <w:tcW w:w="3879" w:type="dxa"/>
            <w:vAlign w:val="center"/>
          </w:tcPr>
          <w:p w14:paraId="1D63AE4B">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b/>
                <w:color w:val="auto"/>
                <w:highlight w:val="none"/>
                <w:u w:val="none" w:color="auto"/>
                <w:lang w:val="en-US" w:eastAsia="zh-CN"/>
              </w:rPr>
            </w:pPr>
            <w:r>
              <w:rPr>
                <w:rFonts w:hint="default" w:ascii="Times New Roman" w:hAnsi="Times New Roman" w:cs="Times New Roman"/>
                <w:b/>
                <w:color w:val="auto"/>
                <w:highlight w:val="none"/>
                <w:u w:val="none" w:color="auto"/>
                <w:lang w:val="en-US" w:eastAsia="zh-CN"/>
              </w:rPr>
              <w:t>验收标准</w:t>
            </w:r>
          </w:p>
        </w:tc>
      </w:tr>
      <w:tr w14:paraId="449816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1" w:hRule="atLeast"/>
          <w:jc w:val="center"/>
        </w:trPr>
        <w:tc>
          <w:tcPr>
            <w:tcW w:w="913" w:type="dxa"/>
            <w:vMerge w:val="restart"/>
            <w:vAlign w:val="center"/>
          </w:tcPr>
          <w:p w14:paraId="4448ED6E">
            <w:pPr>
              <w:pStyle w:val="192"/>
              <w:keepNext w:val="0"/>
              <w:keepLines w:val="0"/>
              <w:suppressLineNumbers w:val="0"/>
              <w:adjustRightInd/>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大气污染物</w:t>
            </w:r>
          </w:p>
        </w:tc>
        <w:tc>
          <w:tcPr>
            <w:tcW w:w="1523" w:type="dxa"/>
            <w:vMerge w:val="restart"/>
            <w:vAlign w:val="center"/>
          </w:tcPr>
          <w:p w14:paraId="7078C641">
            <w:pPr>
              <w:pStyle w:val="192"/>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污水处理区</w:t>
            </w:r>
          </w:p>
        </w:tc>
        <w:tc>
          <w:tcPr>
            <w:tcW w:w="2554" w:type="dxa"/>
            <w:vAlign w:val="center"/>
          </w:tcPr>
          <w:p w14:paraId="035B51C0">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无组织氨、硫化氢</w:t>
            </w:r>
          </w:p>
        </w:tc>
        <w:tc>
          <w:tcPr>
            <w:tcW w:w="5349" w:type="dxa"/>
            <w:vAlign w:val="center"/>
          </w:tcPr>
          <w:p w14:paraId="540730DD">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主要产臭源</w:t>
            </w:r>
            <w:r>
              <w:rPr>
                <w:rFonts w:hint="default" w:ascii="Times New Roman" w:hAnsi="Times New Roman" w:cs="Times New Roman"/>
                <w:color w:val="auto"/>
                <w:highlight w:val="none"/>
                <w:u w:val="none" w:color="auto"/>
                <w:lang w:val="en-US" w:eastAsia="zh-CN"/>
              </w:rPr>
              <w:t>加盖密闭，</w:t>
            </w:r>
            <w:r>
              <w:rPr>
                <w:rFonts w:hint="default" w:ascii="Times New Roman" w:hAnsi="Times New Roman" w:cs="Times New Roman"/>
                <w:color w:val="auto"/>
                <w:highlight w:val="none"/>
                <w:u w:val="none" w:color="auto"/>
              </w:rPr>
              <w:t>加强绿化</w:t>
            </w:r>
            <w:r>
              <w:rPr>
                <w:rFonts w:hint="default" w:ascii="Times New Roman" w:hAnsi="Times New Roman" w:cs="Times New Roman"/>
                <w:color w:val="auto"/>
                <w:highlight w:val="none"/>
                <w:u w:val="none" w:color="auto"/>
                <w:lang w:eastAsia="zh-CN"/>
              </w:rPr>
              <w:t>，喷洒除臭药剂</w:t>
            </w:r>
          </w:p>
        </w:tc>
        <w:tc>
          <w:tcPr>
            <w:tcW w:w="3879" w:type="dxa"/>
            <w:vAlign w:val="center"/>
          </w:tcPr>
          <w:p w14:paraId="7362E6B8">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cs="Times New Roman"/>
                <w:color w:val="auto"/>
                <w:highlight w:val="none"/>
                <w:u w:val="none" w:color="auto"/>
              </w:rPr>
              <w:t>中二级标准</w:t>
            </w:r>
          </w:p>
        </w:tc>
      </w:tr>
      <w:tr w14:paraId="4D3DEE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1" w:hRule="atLeast"/>
          <w:jc w:val="center"/>
        </w:trPr>
        <w:tc>
          <w:tcPr>
            <w:tcW w:w="913" w:type="dxa"/>
            <w:vMerge w:val="continue"/>
            <w:vAlign w:val="center"/>
          </w:tcPr>
          <w:p w14:paraId="6F236EE9">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rPr>
            </w:pPr>
          </w:p>
        </w:tc>
        <w:tc>
          <w:tcPr>
            <w:tcW w:w="1523" w:type="dxa"/>
            <w:vMerge w:val="continue"/>
            <w:vAlign w:val="center"/>
          </w:tcPr>
          <w:p w14:paraId="1967EF8F">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rPr>
            </w:pPr>
          </w:p>
        </w:tc>
        <w:tc>
          <w:tcPr>
            <w:tcW w:w="2554" w:type="dxa"/>
            <w:vAlign w:val="center"/>
          </w:tcPr>
          <w:p w14:paraId="5A038952">
            <w:pPr>
              <w:pStyle w:val="192"/>
              <w:keepNext w:val="0"/>
              <w:keepLines w:val="0"/>
              <w:suppressLineNumbers w:val="0"/>
              <w:adjustRightInd/>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有组织</w:t>
            </w:r>
            <w:r>
              <w:rPr>
                <w:rFonts w:hint="default" w:ascii="Times New Roman" w:hAnsi="Times New Roman" w:cs="Times New Roman"/>
                <w:color w:val="auto"/>
                <w:highlight w:val="none"/>
                <w:u w:val="none" w:color="auto"/>
              </w:rPr>
              <w:t>氨、硫化氢</w:t>
            </w:r>
          </w:p>
        </w:tc>
        <w:tc>
          <w:tcPr>
            <w:tcW w:w="5349" w:type="dxa"/>
            <w:vAlign w:val="center"/>
          </w:tcPr>
          <w:p w14:paraId="657E654B">
            <w:pPr>
              <w:pStyle w:val="192"/>
              <w:keepNext w:val="0"/>
              <w:keepLines w:val="0"/>
              <w:suppressLineNumbers w:val="0"/>
              <w:adjustRightInd/>
              <w:spacing w:before="0" w:beforeAutospacing="0" w:after="0" w:afterAutospacing="0"/>
              <w:ind w:left="0" w:leftChars="0" w:right="0" w:righ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主要产臭源</w:t>
            </w:r>
            <w:r>
              <w:rPr>
                <w:rFonts w:hint="default" w:ascii="Times New Roman" w:hAnsi="Times New Roman" w:cs="Times New Roman"/>
                <w:color w:val="auto"/>
                <w:highlight w:val="none"/>
                <w:u w:val="none" w:color="auto"/>
                <w:lang w:val="en-US" w:eastAsia="zh-CN"/>
              </w:rPr>
              <w:t>加盖密闭经负压收集至生物除臭塔处理后通过15m高排气筒排放</w:t>
            </w:r>
          </w:p>
        </w:tc>
        <w:tc>
          <w:tcPr>
            <w:tcW w:w="3879" w:type="dxa"/>
            <w:vAlign w:val="center"/>
          </w:tcPr>
          <w:p w14:paraId="51ACEC13">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《恶臭污染物排放标准》（GB14554-93）</w:t>
            </w:r>
          </w:p>
        </w:tc>
      </w:tr>
      <w:tr w14:paraId="089033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913" w:type="dxa"/>
            <w:vMerge w:val="continue"/>
            <w:vAlign w:val="center"/>
          </w:tcPr>
          <w:p w14:paraId="10FD2FF4">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rPr>
            </w:pPr>
          </w:p>
        </w:tc>
        <w:tc>
          <w:tcPr>
            <w:tcW w:w="1523" w:type="dxa"/>
            <w:vAlign w:val="center"/>
          </w:tcPr>
          <w:p w14:paraId="46911AFE">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食堂</w:t>
            </w:r>
          </w:p>
        </w:tc>
        <w:tc>
          <w:tcPr>
            <w:tcW w:w="2554" w:type="dxa"/>
            <w:vAlign w:val="center"/>
          </w:tcPr>
          <w:p w14:paraId="0099510D">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食堂油烟</w:t>
            </w:r>
          </w:p>
        </w:tc>
        <w:tc>
          <w:tcPr>
            <w:tcW w:w="5349" w:type="dxa"/>
            <w:vAlign w:val="center"/>
          </w:tcPr>
          <w:p w14:paraId="15D172A0">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rPr>
              <w:t>油烟净化装置处理后通过专用油烟管道引至屋顶排放</w:t>
            </w:r>
          </w:p>
        </w:tc>
        <w:tc>
          <w:tcPr>
            <w:tcW w:w="3879" w:type="dxa"/>
            <w:vAlign w:val="center"/>
          </w:tcPr>
          <w:p w14:paraId="19490B54">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《饮食业油烟排放标准》(GB18483-2001)</w:t>
            </w:r>
          </w:p>
        </w:tc>
      </w:tr>
      <w:tr w14:paraId="4A7DBF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restart"/>
            <w:vAlign w:val="center"/>
          </w:tcPr>
          <w:p w14:paraId="1B5C95E8">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水污</w:t>
            </w:r>
          </w:p>
          <w:p w14:paraId="57138F91">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染物</w:t>
            </w:r>
          </w:p>
        </w:tc>
        <w:tc>
          <w:tcPr>
            <w:tcW w:w="1523" w:type="dxa"/>
            <w:vAlign w:val="center"/>
          </w:tcPr>
          <w:p w14:paraId="6C232B4D">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自身生活污水及生产废水</w:t>
            </w:r>
          </w:p>
        </w:tc>
        <w:tc>
          <w:tcPr>
            <w:tcW w:w="2554" w:type="dxa"/>
            <w:vMerge w:val="restart"/>
            <w:vAlign w:val="center"/>
          </w:tcPr>
          <w:p w14:paraId="7CB371E5">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pH、COD、五日生化需氧量、氨氮、总氮、总磷</w:t>
            </w:r>
          </w:p>
        </w:tc>
        <w:tc>
          <w:tcPr>
            <w:tcW w:w="5349" w:type="dxa"/>
            <w:vAlign w:val="center"/>
          </w:tcPr>
          <w:p w14:paraId="172522A7">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生活污水经隔油池、化粪池处理后</w:t>
            </w:r>
            <w:r>
              <w:rPr>
                <w:rFonts w:hint="default" w:ascii="Times New Roman" w:hAnsi="Times New Roman" w:cs="Times New Roman"/>
                <w:color w:val="auto"/>
                <w:highlight w:val="none"/>
                <w:u w:val="none" w:color="auto"/>
                <w:lang w:val="en-US" w:eastAsia="zh-CN"/>
              </w:rPr>
              <w:t>与自身生产废水</w:t>
            </w:r>
            <w:r>
              <w:rPr>
                <w:rFonts w:hint="default" w:ascii="Times New Roman" w:hAnsi="Times New Roman" w:cs="Times New Roman"/>
                <w:color w:val="auto"/>
                <w:highlight w:val="none"/>
                <w:u w:val="none" w:color="auto"/>
              </w:rPr>
              <w:t>一同进入一体化泵站集水井，与进厂污水一同处理</w:t>
            </w:r>
          </w:p>
        </w:tc>
        <w:tc>
          <w:tcPr>
            <w:tcW w:w="3879" w:type="dxa"/>
            <w:vMerge w:val="restart"/>
            <w:vAlign w:val="center"/>
          </w:tcPr>
          <w:p w14:paraId="5651ABF7">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lang w:eastAsia="zh-CN"/>
              </w:rPr>
              <w:t>城镇污水处理厂污染物排放标准》</w:t>
            </w:r>
            <w:r>
              <w:rPr>
                <w:rFonts w:hint="eastAsia" w:cs="Times New Roman"/>
                <w:color w:val="auto"/>
                <w:highlight w:val="none"/>
                <w:u w:val="none" w:color="auto"/>
                <w:lang w:eastAsia="zh-CN"/>
              </w:rPr>
              <w:t>（GB18918-2002）修改单</w:t>
            </w:r>
            <w:r>
              <w:rPr>
                <w:rFonts w:hint="default" w:ascii="Times New Roman" w:hAnsi="Times New Roman" w:eastAsia="宋体" w:cs="Times New Roman"/>
                <w:color w:val="auto"/>
                <w:highlight w:val="none"/>
                <w:u w:val="none" w:color="auto"/>
                <w:lang w:eastAsia="zh-CN"/>
              </w:rPr>
              <w:t>一级A标准</w:t>
            </w:r>
          </w:p>
        </w:tc>
      </w:tr>
      <w:tr w14:paraId="39C3E7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continue"/>
            <w:vAlign w:val="center"/>
          </w:tcPr>
          <w:p w14:paraId="4CF7B022">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1523" w:type="dxa"/>
            <w:vAlign w:val="center"/>
          </w:tcPr>
          <w:p w14:paraId="694FEB28">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厂区尾水</w:t>
            </w:r>
            <w:r>
              <w:rPr>
                <w:rFonts w:hint="default" w:ascii="Times New Roman" w:hAnsi="Times New Roman" w:cs="Times New Roman"/>
                <w:color w:val="auto"/>
                <w:highlight w:val="none"/>
                <w:u w:val="none" w:color="auto"/>
                <w:lang w:eastAsia="zh-CN"/>
              </w:rPr>
              <w:t>、</w:t>
            </w:r>
          </w:p>
        </w:tc>
        <w:tc>
          <w:tcPr>
            <w:tcW w:w="2554" w:type="dxa"/>
            <w:vMerge w:val="continue"/>
            <w:vAlign w:val="center"/>
          </w:tcPr>
          <w:p w14:paraId="13C8D8DE">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5349" w:type="dxa"/>
            <w:vAlign w:val="center"/>
          </w:tcPr>
          <w:p w14:paraId="460F6EDA">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废水处理工艺采取 “一体化泵站+调节均质+水解酸化+AAO生化+混凝沉淀+精密过滤+接触消毒”，设计规模为</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000m</w:t>
            </w:r>
            <w:r>
              <w:rPr>
                <w:rFonts w:hint="default" w:ascii="Times New Roman" w:hAnsi="Times New Roman" w:cs="Times New Roman"/>
                <w:color w:val="auto"/>
                <w:highlight w:val="none"/>
                <w:u w:val="none" w:color="auto"/>
                <w:vertAlign w:val="superscript"/>
              </w:rPr>
              <w:t>3</w:t>
            </w:r>
            <w:r>
              <w:rPr>
                <w:rFonts w:hint="default" w:ascii="Times New Roman" w:hAnsi="Times New Roman" w:cs="Times New Roman"/>
                <w:color w:val="auto"/>
                <w:highlight w:val="none"/>
                <w:u w:val="none" w:color="auto"/>
              </w:rPr>
              <w:t>/d</w:t>
            </w:r>
          </w:p>
        </w:tc>
        <w:tc>
          <w:tcPr>
            <w:tcW w:w="3879" w:type="dxa"/>
            <w:vMerge w:val="continue"/>
            <w:vAlign w:val="center"/>
          </w:tcPr>
          <w:p w14:paraId="264ACC4B">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p>
        </w:tc>
      </w:tr>
      <w:tr w14:paraId="781803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restart"/>
            <w:vAlign w:val="center"/>
          </w:tcPr>
          <w:p w14:paraId="05795FDE">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固体</w:t>
            </w:r>
          </w:p>
          <w:p w14:paraId="3565F547">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废物</w:t>
            </w:r>
          </w:p>
        </w:tc>
        <w:tc>
          <w:tcPr>
            <w:tcW w:w="1523" w:type="dxa"/>
            <w:vAlign w:val="center"/>
          </w:tcPr>
          <w:p w14:paraId="017C97BC">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生活区</w:t>
            </w:r>
          </w:p>
        </w:tc>
        <w:tc>
          <w:tcPr>
            <w:tcW w:w="2554" w:type="dxa"/>
            <w:vAlign w:val="center"/>
          </w:tcPr>
          <w:p w14:paraId="6B5BDF27">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生活垃圾</w:t>
            </w:r>
          </w:p>
        </w:tc>
        <w:tc>
          <w:tcPr>
            <w:tcW w:w="5349" w:type="dxa"/>
            <w:vAlign w:val="center"/>
          </w:tcPr>
          <w:p w14:paraId="2700125C">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kern w:val="2"/>
                <w:sz w:val="21"/>
                <w:szCs w:val="21"/>
                <w:highlight w:val="none"/>
                <w:lang w:val="en-US" w:eastAsia="zh-CN"/>
              </w:rPr>
              <w:t>垃圾收集点</w:t>
            </w:r>
          </w:p>
        </w:tc>
        <w:tc>
          <w:tcPr>
            <w:tcW w:w="3879" w:type="dxa"/>
            <w:vMerge w:val="restart"/>
            <w:vAlign w:val="center"/>
          </w:tcPr>
          <w:p w14:paraId="139A3BD3">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交由环卫部门定期清运</w:t>
            </w:r>
          </w:p>
        </w:tc>
      </w:tr>
      <w:tr w14:paraId="52D214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continue"/>
            <w:vAlign w:val="center"/>
          </w:tcPr>
          <w:p w14:paraId="12A50AB6">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1523" w:type="dxa"/>
            <w:vMerge w:val="restart"/>
            <w:vAlign w:val="center"/>
          </w:tcPr>
          <w:p w14:paraId="08997D29">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污水处理</w:t>
            </w:r>
          </w:p>
        </w:tc>
        <w:tc>
          <w:tcPr>
            <w:tcW w:w="2554" w:type="dxa"/>
            <w:vAlign w:val="center"/>
          </w:tcPr>
          <w:p w14:paraId="3BB82948">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格栅渣、沉砂</w:t>
            </w:r>
          </w:p>
        </w:tc>
        <w:tc>
          <w:tcPr>
            <w:tcW w:w="5349" w:type="dxa"/>
            <w:vAlign w:val="center"/>
          </w:tcPr>
          <w:p w14:paraId="74F33AEA">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kern w:val="2"/>
                <w:sz w:val="21"/>
                <w:szCs w:val="21"/>
                <w:highlight w:val="none"/>
                <w:lang w:val="en-US" w:eastAsia="zh-CN"/>
              </w:rPr>
              <w:t>垃圾收集点</w:t>
            </w:r>
          </w:p>
        </w:tc>
        <w:tc>
          <w:tcPr>
            <w:tcW w:w="3879" w:type="dxa"/>
            <w:vMerge w:val="continue"/>
            <w:vAlign w:val="center"/>
          </w:tcPr>
          <w:p w14:paraId="1EBD7BC1">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r>
      <w:tr w14:paraId="442B4C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continue"/>
            <w:vAlign w:val="center"/>
          </w:tcPr>
          <w:p w14:paraId="3AF683D6">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1523" w:type="dxa"/>
            <w:vMerge w:val="continue"/>
            <w:vAlign w:val="center"/>
          </w:tcPr>
          <w:p w14:paraId="65D0C53D">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2554" w:type="dxa"/>
            <w:vAlign w:val="center"/>
          </w:tcPr>
          <w:p w14:paraId="0098172B">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污泥</w:t>
            </w:r>
          </w:p>
        </w:tc>
        <w:tc>
          <w:tcPr>
            <w:tcW w:w="5349" w:type="dxa"/>
            <w:vAlign w:val="center"/>
          </w:tcPr>
          <w:p w14:paraId="5B04AE58">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eastAsia="zh-CN"/>
              </w:rPr>
              <w:t>污泥脱水（</w:t>
            </w:r>
            <w:r>
              <w:rPr>
                <w:rFonts w:hint="default" w:ascii="Times New Roman" w:hAnsi="Times New Roman" w:cs="Times New Roman"/>
                <w:color w:val="auto"/>
                <w:highlight w:val="none"/>
                <w:u w:val="none" w:color="auto"/>
                <w:lang w:val="en-US" w:eastAsia="zh-CN"/>
              </w:rPr>
              <w:t>含水率≤60%</w:t>
            </w:r>
            <w:r>
              <w:rPr>
                <w:rFonts w:hint="default" w:ascii="Times New Roman" w:hAnsi="Times New Roman" w:cs="Times New Roman"/>
                <w:color w:val="auto"/>
                <w:highlight w:val="none"/>
                <w:u w:val="none" w:color="auto"/>
                <w:lang w:eastAsia="zh-CN"/>
              </w:rPr>
              <w:t>）后暂存于污泥脱水间，委托益阳海螺环保科技有限责任公司进行处置</w:t>
            </w:r>
          </w:p>
        </w:tc>
        <w:tc>
          <w:tcPr>
            <w:tcW w:w="3879" w:type="dxa"/>
            <w:vAlign w:val="center"/>
          </w:tcPr>
          <w:p w14:paraId="35810643">
            <w:pPr>
              <w:pStyle w:val="192"/>
              <w:keepNext w:val="0"/>
              <w:keepLines w:val="0"/>
              <w:suppressLineNumbers w:val="0"/>
              <w:adjustRightInd/>
              <w:spacing w:before="0" w:beforeAutospacing="0" w:after="0" w:afterAutospacing="0"/>
              <w:ind w:left="0" w:right="0"/>
              <w:rPr>
                <w:rFonts w:hint="eastAsia"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《城镇污水厂污染物排放标准》</w:t>
            </w:r>
            <w:r>
              <w:rPr>
                <w:rFonts w:hint="eastAsia" w:cs="Times New Roman"/>
                <w:color w:val="auto"/>
                <w:highlight w:val="none"/>
                <w:u w:val="none" w:color="auto"/>
                <w:lang w:eastAsia="zh-CN"/>
              </w:rPr>
              <w:t>（GB18918-2002）修改单</w:t>
            </w:r>
          </w:p>
        </w:tc>
      </w:tr>
      <w:tr w14:paraId="719B44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Merge w:val="continue"/>
            <w:vAlign w:val="center"/>
          </w:tcPr>
          <w:p w14:paraId="023D6CA5">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p>
        </w:tc>
        <w:tc>
          <w:tcPr>
            <w:tcW w:w="1523" w:type="dxa"/>
            <w:vAlign w:val="center"/>
          </w:tcPr>
          <w:p w14:paraId="1F36443E">
            <w:pPr>
              <w:pStyle w:val="192"/>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日常运维</w:t>
            </w:r>
          </w:p>
        </w:tc>
        <w:tc>
          <w:tcPr>
            <w:tcW w:w="2554" w:type="dxa"/>
            <w:vAlign w:val="center"/>
          </w:tcPr>
          <w:p w14:paraId="7A96DBF4">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废矿物油、废含油抹布及手套、在线监测废液、化验室废液、沾染性废物</w:t>
            </w:r>
          </w:p>
        </w:tc>
        <w:tc>
          <w:tcPr>
            <w:tcW w:w="5349" w:type="dxa"/>
            <w:vAlign w:val="center"/>
          </w:tcPr>
          <w:p w14:paraId="0313ABE9">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分</w:t>
            </w:r>
            <w:r>
              <w:rPr>
                <w:rFonts w:hint="default" w:ascii="Times New Roman" w:hAnsi="Times New Roman" w:cs="Times New Roman"/>
                <w:color w:val="auto"/>
                <w:highlight w:val="none"/>
                <w:u w:val="none" w:color="auto"/>
                <w:lang w:eastAsia="zh-CN"/>
              </w:rPr>
              <w:t>类收集</w:t>
            </w:r>
            <w:r>
              <w:rPr>
                <w:rFonts w:hint="eastAsia" w:cs="Times New Roman"/>
                <w:color w:val="auto"/>
                <w:highlight w:val="none"/>
                <w:u w:val="none" w:color="auto"/>
                <w:lang w:eastAsia="zh-CN"/>
              </w:rPr>
              <w:t>，</w:t>
            </w:r>
            <w:r>
              <w:rPr>
                <w:rFonts w:hint="default" w:ascii="Times New Roman" w:hAnsi="Times New Roman" w:cs="Times New Roman"/>
                <w:color w:val="auto"/>
                <w:highlight w:val="none"/>
                <w:u w:val="none" w:color="auto"/>
                <w:lang w:eastAsia="zh-CN"/>
              </w:rPr>
              <w:t>暂存于危废间，</w:t>
            </w:r>
            <w:r>
              <w:rPr>
                <w:rFonts w:hint="eastAsia" w:cs="Times New Roman"/>
                <w:color w:val="auto"/>
                <w:highlight w:val="none"/>
                <w:u w:val="none" w:color="auto"/>
                <w:lang w:val="en-US" w:eastAsia="zh-CN"/>
              </w:rPr>
              <w:t>分区存放，做好相应标识标牌</w:t>
            </w:r>
            <w:r>
              <w:rPr>
                <w:rFonts w:hint="default" w:ascii="Times New Roman" w:hAnsi="Times New Roman" w:cs="Times New Roman"/>
                <w:color w:val="auto"/>
                <w:highlight w:val="none"/>
                <w:u w:val="none" w:color="auto"/>
                <w:lang w:eastAsia="zh-CN"/>
              </w:rPr>
              <w:t>，</w:t>
            </w:r>
            <w:r>
              <w:rPr>
                <w:rFonts w:hint="eastAsia" w:cs="Times New Roman"/>
                <w:color w:val="auto"/>
                <w:highlight w:val="none"/>
                <w:u w:val="none" w:color="auto"/>
                <w:lang w:val="en-US" w:eastAsia="zh-CN"/>
              </w:rPr>
              <w:t>定期</w:t>
            </w:r>
            <w:r>
              <w:rPr>
                <w:rFonts w:hint="default" w:ascii="Times New Roman" w:hAnsi="Times New Roman" w:cs="Times New Roman"/>
                <w:color w:val="auto"/>
                <w:highlight w:val="none"/>
                <w:u w:val="none" w:color="auto"/>
                <w:lang w:eastAsia="zh-CN"/>
              </w:rPr>
              <w:t>委托有相应危废处置资质的单位进行处置</w:t>
            </w:r>
          </w:p>
        </w:tc>
        <w:tc>
          <w:tcPr>
            <w:tcW w:w="3879" w:type="dxa"/>
            <w:vAlign w:val="center"/>
          </w:tcPr>
          <w:p w14:paraId="51B05077">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rPr>
              <w:t>《危险废物贮存污染控制标准》(GB18597-2</w:t>
            </w:r>
            <w:r>
              <w:rPr>
                <w:rFonts w:hint="default" w:ascii="Times New Roman" w:hAnsi="Times New Roman" w:cs="Times New Roman"/>
                <w:color w:val="auto"/>
                <w:highlight w:val="none"/>
                <w:u w:val="none" w:color="auto"/>
                <w:lang w:val="en-US" w:eastAsia="zh-CN"/>
              </w:rPr>
              <w:t>023</w:t>
            </w:r>
            <w:r>
              <w:rPr>
                <w:rFonts w:hint="default" w:ascii="Times New Roman" w:hAnsi="Times New Roman" w:cs="Times New Roman"/>
                <w:color w:val="auto"/>
                <w:highlight w:val="none"/>
                <w:u w:val="none" w:color="auto"/>
              </w:rPr>
              <w:t>)</w:t>
            </w:r>
          </w:p>
        </w:tc>
      </w:tr>
      <w:tr w14:paraId="46BCD89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13" w:type="dxa"/>
            <w:vAlign w:val="center"/>
          </w:tcPr>
          <w:p w14:paraId="22C1A235">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噪声</w:t>
            </w:r>
          </w:p>
        </w:tc>
        <w:tc>
          <w:tcPr>
            <w:tcW w:w="1523" w:type="dxa"/>
            <w:vAlign w:val="center"/>
          </w:tcPr>
          <w:p w14:paraId="439496D7">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设备</w:t>
            </w:r>
          </w:p>
        </w:tc>
        <w:tc>
          <w:tcPr>
            <w:tcW w:w="2554" w:type="dxa"/>
            <w:vAlign w:val="center"/>
          </w:tcPr>
          <w:p w14:paraId="0FCC8027">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设备噪声</w:t>
            </w:r>
          </w:p>
        </w:tc>
        <w:tc>
          <w:tcPr>
            <w:tcW w:w="5349" w:type="dxa"/>
            <w:vAlign w:val="center"/>
          </w:tcPr>
          <w:p w14:paraId="6FA471CF">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选取低噪声设备，设备隔声减振、墙体隔声</w:t>
            </w:r>
          </w:p>
        </w:tc>
        <w:tc>
          <w:tcPr>
            <w:tcW w:w="3879" w:type="dxa"/>
            <w:vAlign w:val="center"/>
          </w:tcPr>
          <w:p w14:paraId="14001EAC">
            <w:pPr>
              <w:pStyle w:val="192"/>
              <w:keepNext w:val="0"/>
              <w:keepLines w:val="0"/>
              <w:suppressLineNumbers w:val="0"/>
              <w:adjustRightInd/>
              <w:spacing w:before="0" w:beforeAutospacing="0" w:after="0" w:afterAutospacing="0"/>
              <w:ind w:left="0" w:right="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满足《工业企业厂界环境噪声排放标准》（GB12348-2008）相应</w:t>
            </w:r>
            <w:r>
              <w:rPr>
                <w:rFonts w:hint="default" w:ascii="Times New Roman" w:hAnsi="Times New Roman" w:cs="Times New Roman"/>
                <w:color w:val="auto"/>
                <w:highlight w:val="none"/>
                <w:u w:val="none" w:color="auto"/>
                <w:lang w:val="en-US" w:eastAsia="zh-CN"/>
              </w:rPr>
              <w:t>3类</w:t>
            </w:r>
            <w:r>
              <w:rPr>
                <w:rFonts w:hint="default" w:ascii="Times New Roman" w:hAnsi="Times New Roman" w:cs="Times New Roman"/>
                <w:color w:val="auto"/>
                <w:highlight w:val="none"/>
                <w:u w:val="none" w:color="auto"/>
              </w:rPr>
              <w:t>标准要求</w:t>
            </w:r>
          </w:p>
        </w:tc>
      </w:tr>
    </w:tbl>
    <w:p w14:paraId="5D259390">
      <w:pPr>
        <w:pStyle w:val="194"/>
        <w:spacing w:line="240" w:lineRule="auto"/>
        <w:rPr>
          <w:rFonts w:hint="default" w:ascii="Times New Roman" w:hAnsi="Times New Roman" w:cs="Times New Roman"/>
          <w:color w:val="FF0000"/>
          <w:highlight w:val="none"/>
          <w:u w:val="none" w:color="auto"/>
        </w:rPr>
      </w:pPr>
    </w:p>
    <w:p w14:paraId="31716D1F">
      <w:pPr>
        <w:kinsoku w:val="0"/>
        <w:overflowPunct w:val="0"/>
        <w:spacing w:before="4" w:line="10" w:lineRule="exact"/>
        <w:ind w:firstLine="40"/>
        <w:rPr>
          <w:rFonts w:hint="default" w:ascii="Times New Roman" w:hAnsi="Times New Roman" w:eastAsia="Times New Roman" w:cs="Times New Roman"/>
          <w:color w:val="FF0000"/>
          <w:sz w:val="2"/>
          <w:highlight w:val="none"/>
          <w:u w:val="none" w:color="auto"/>
        </w:rPr>
      </w:pPr>
    </w:p>
    <w:p w14:paraId="0EA04468">
      <w:pPr>
        <w:pStyle w:val="96"/>
        <w:rPr>
          <w:rFonts w:hint="default" w:ascii="Times New Roman" w:hAnsi="Times New Roman" w:cs="Times New Roman" w:eastAsiaTheme="minorEastAsia"/>
          <w:color w:val="FF0000"/>
          <w:highlight w:val="none"/>
          <w:u w:val="none" w:color="auto"/>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312" w:charSpace="0"/>
        </w:sectPr>
      </w:pPr>
      <w:bookmarkStart w:id="206" w:name="bookmark54"/>
      <w:bookmarkEnd w:id="206"/>
    </w:p>
    <w:p w14:paraId="51938819">
      <w:pPr>
        <w:pStyle w:val="2"/>
        <w:numPr>
          <w:ilvl w:val="0"/>
          <w:numId w:val="0"/>
        </w:numPr>
        <w:ind w:leftChars="0"/>
        <w:rPr>
          <w:rFonts w:hint="default" w:ascii="Times New Roman" w:hAnsi="Times New Roman" w:cs="Times New Roman"/>
          <w:color w:val="auto"/>
          <w:highlight w:val="none"/>
          <w:u w:val="none" w:color="auto"/>
        </w:rPr>
      </w:pPr>
      <w:bookmarkStart w:id="207" w:name="bookmark60"/>
      <w:bookmarkEnd w:id="207"/>
      <w:bookmarkStart w:id="208" w:name="bookmark64"/>
      <w:bookmarkEnd w:id="208"/>
      <w:bookmarkStart w:id="209" w:name="_Toc11597"/>
      <w:bookmarkStart w:id="210" w:name="_Hlk33550002"/>
      <w:r>
        <w:rPr>
          <w:rFonts w:hint="default" w:ascii="Times New Roman" w:hAnsi="Times New Roman" w:cs="Times New Roman"/>
          <w:color w:val="auto"/>
          <w:highlight w:val="none"/>
          <w:u w:val="none" w:color="auto"/>
          <w:lang w:val="en-US" w:eastAsia="zh-CN"/>
        </w:rPr>
        <w:t xml:space="preserve">11 </w:t>
      </w:r>
      <w:r>
        <w:rPr>
          <w:rFonts w:hint="default" w:ascii="Times New Roman" w:hAnsi="Times New Roman" w:cs="Times New Roman"/>
          <w:color w:val="auto"/>
          <w:highlight w:val="none"/>
          <w:u w:val="none" w:color="auto"/>
        </w:rPr>
        <w:t>环境影响评价结论</w:t>
      </w:r>
      <w:bookmarkEnd w:id="209"/>
    </w:p>
    <w:p w14:paraId="45C4E101">
      <w:pPr>
        <w:pStyle w:val="3"/>
        <w:numPr>
          <w:ilvl w:val="1"/>
          <w:numId w:val="0"/>
        </w:numPr>
        <w:ind w:leftChars="0"/>
        <w:rPr>
          <w:rFonts w:hint="default" w:ascii="Times New Roman" w:hAnsi="Times New Roman" w:cs="Times New Roman"/>
          <w:color w:val="auto"/>
          <w:highlight w:val="none"/>
          <w:u w:val="none" w:color="auto"/>
        </w:rPr>
      </w:pPr>
      <w:bookmarkStart w:id="211" w:name="_Toc23161982"/>
      <w:bookmarkStart w:id="212" w:name="_Toc3282"/>
      <w:r>
        <w:rPr>
          <w:rFonts w:hint="default" w:ascii="Times New Roman" w:hAnsi="Times New Roman" w:cs="Times New Roman"/>
          <w:color w:val="auto"/>
          <w:highlight w:val="none"/>
          <w:u w:val="none" w:color="auto"/>
          <w:lang w:val="en-US" w:eastAsia="zh-CN"/>
        </w:rPr>
        <w:t xml:space="preserve">11.1 </w:t>
      </w:r>
      <w:r>
        <w:rPr>
          <w:rFonts w:hint="default" w:ascii="Times New Roman" w:hAnsi="Times New Roman" w:cs="Times New Roman"/>
          <w:color w:val="auto"/>
          <w:highlight w:val="none"/>
          <w:u w:val="none" w:color="auto"/>
        </w:rPr>
        <w:t>建设项目概况</w:t>
      </w:r>
      <w:bookmarkEnd w:id="211"/>
      <w:bookmarkEnd w:id="212"/>
    </w:p>
    <w:p w14:paraId="3863AAD4">
      <w:pPr>
        <w:pStyle w:val="189"/>
        <w:rPr>
          <w:rFonts w:hint="default" w:ascii="Times New Roman" w:hAnsi="Times New Roman" w:cs="Times New Roman"/>
          <w:color w:val="auto"/>
          <w:highlight w:val="none"/>
          <w:u w:val="none" w:color="auto"/>
        </w:rPr>
      </w:pPr>
      <w:bookmarkStart w:id="213" w:name="_Toc23161983"/>
      <w:r>
        <w:rPr>
          <w:rFonts w:hint="default" w:ascii="Times New Roman" w:hAnsi="Times New Roman" w:cs="Times New Roman"/>
          <w:color w:val="auto"/>
          <w:highlight w:val="none"/>
          <w:u w:val="none" w:color="auto"/>
          <w:lang w:eastAsia="zh-CN"/>
        </w:rPr>
        <w:t>大通湖工业园污水处理厂提质改造建设项目</w:t>
      </w:r>
      <w:r>
        <w:rPr>
          <w:rFonts w:hint="default" w:ascii="Times New Roman" w:hAnsi="Times New Roman" w:cs="Times New Roman"/>
          <w:color w:val="auto"/>
          <w:highlight w:val="none"/>
          <w:u w:val="none" w:color="auto"/>
        </w:rPr>
        <w:t>位于大通湖区工业园内机排二十渠旁，设计规模为</w:t>
      </w:r>
      <w:r>
        <w:rPr>
          <w:rFonts w:hint="default"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000</w:t>
      </w:r>
      <w:r>
        <w:rPr>
          <w:rFonts w:hint="default" w:ascii="Times New Roman" w:hAnsi="Times New Roman" w:cs="Times New Roman"/>
          <w:color w:val="auto"/>
          <w:spacing w:val="-1"/>
          <w:highlight w:val="none"/>
          <w:u w:val="none" w:color="auto"/>
        </w:rPr>
        <w:t>m</w:t>
      </w:r>
      <w:r>
        <w:rPr>
          <w:rFonts w:hint="default" w:ascii="Times New Roman" w:hAnsi="Times New Roman" w:cs="Times New Roman"/>
          <w:color w:val="auto"/>
          <w:position w:val="10"/>
          <w:sz w:val="14"/>
          <w:szCs w:val="14"/>
          <w:highlight w:val="none"/>
          <w:u w:val="none" w:color="auto"/>
        </w:rPr>
        <w:t>3</w:t>
      </w:r>
      <w:r>
        <w:rPr>
          <w:rFonts w:hint="default" w:ascii="Times New Roman" w:hAnsi="Times New Roman" w:cs="Times New Roman"/>
          <w:color w:val="auto"/>
          <w:highlight w:val="none"/>
          <w:u w:val="none" w:color="auto"/>
        </w:rPr>
        <w:t>/d，</w:t>
      </w:r>
      <w:r>
        <w:rPr>
          <w:rFonts w:hint="default" w:ascii="Times New Roman" w:hAnsi="Times New Roman" w:cs="Times New Roman"/>
          <w:color w:val="auto"/>
          <w:highlight w:val="none"/>
          <w:u w:val="none" w:color="auto"/>
          <w:lang w:val="en-US" w:eastAsia="zh-CN"/>
        </w:rPr>
        <w:t>项目总投资8000万元，</w:t>
      </w:r>
      <w:r>
        <w:rPr>
          <w:rFonts w:hint="default" w:ascii="Times New Roman" w:hAnsi="Times New Roman" w:cs="Times New Roman"/>
          <w:color w:val="auto"/>
          <w:highlight w:val="none"/>
          <w:u w:val="none" w:color="auto"/>
        </w:rPr>
        <w:t>废水处理工艺采取</w:t>
      </w:r>
      <w:r>
        <w:rPr>
          <w:rFonts w:hint="default" w:ascii="Times New Roman" w:hAnsi="Times New Roman" w:cs="Times New Roman"/>
          <w:color w:val="auto"/>
          <w:sz w:val="24"/>
          <w:szCs w:val="32"/>
          <w:highlight w:val="none"/>
          <w:u w:val="none" w:color="auto"/>
          <w:lang w:val="en-US" w:eastAsia="zh-CN"/>
        </w:rPr>
        <w:t>“一体化泵站+调节均质+水解酸化+AAO生化+混凝沉淀+精密过滤+接触消毒”</w:t>
      </w:r>
      <w:r>
        <w:rPr>
          <w:rFonts w:hint="default" w:ascii="Times New Roman" w:hAnsi="Times New Roman" w:cs="Times New Roman"/>
          <w:color w:val="auto"/>
          <w:highlight w:val="none"/>
          <w:u w:val="none" w:color="auto"/>
        </w:rPr>
        <w:t>，</w:t>
      </w:r>
      <w:r>
        <w:rPr>
          <w:rFonts w:hint="default" w:ascii="Times New Roman" w:hAnsi="Times New Roman" w:cs="Times New Roman"/>
          <w:color w:val="auto"/>
          <w:sz w:val="24"/>
          <w:szCs w:val="32"/>
          <w:highlight w:val="none"/>
          <w:u w:val="none" w:color="auto"/>
          <w:lang w:val="en-US" w:eastAsia="zh-CN"/>
        </w:rPr>
        <w:t>处理后尾水达到《城镇污水处理厂污染物排放标准》</w:t>
      </w:r>
      <w:r>
        <w:rPr>
          <w:rFonts w:hint="eastAsia" w:cs="Times New Roman"/>
          <w:color w:val="auto"/>
          <w:sz w:val="24"/>
          <w:szCs w:val="32"/>
          <w:highlight w:val="none"/>
          <w:u w:val="none" w:color="auto"/>
          <w:lang w:val="en-US" w:eastAsia="zh-CN"/>
        </w:rPr>
        <w:t>（GB18918-2002）修改单</w:t>
      </w:r>
      <w:r>
        <w:rPr>
          <w:rFonts w:hint="default" w:ascii="Times New Roman" w:hAnsi="Times New Roman" w:cs="Times New Roman"/>
          <w:color w:val="auto"/>
          <w:sz w:val="24"/>
          <w:szCs w:val="32"/>
          <w:highlight w:val="none"/>
          <w:u w:val="none" w:color="auto"/>
          <w:lang w:val="en-US" w:eastAsia="zh-CN"/>
        </w:rPr>
        <w:t>一级 A 标准后排入机排二十渠再入老三运河</w:t>
      </w:r>
      <w:r>
        <w:rPr>
          <w:rFonts w:hint="default" w:ascii="Times New Roman" w:hAnsi="Times New Roman" w:cs="Times New Roman"/>
          <w:color w:val="auto"/>
          <w:highlight w:val="none"/>
          <w:u w:val="none" w:color="auto"/>
        </w:rPr>
        <w:t>。</w:t>
      </w:r>
    </w:p>
    <w:p w14:paraId="49A44EC6">
      <w:pPr>
        <w:pStyle w:val="3"/>
        <w:numPr>
          <w:ilvl w:val="1"/>
          <w:numId w:val="0"/>
        </w:numPr>
        <w:ind w:leftChars="0"/>
        <w:rPr>
          <w:rFonts w:hint="default" w:ascii="Times New Roman" w:hAnsi="Times New Roman" w:cs="Times New Roman"/>
          <w:color w:val="auto"/>
          <w:highlight w:val="none"/>
          <w:u w:val="none" w:color="auto"/>
        </w:rPr>
      </w:pPr>
      <w:bookmarkStart w:id="214" w:name="_Toc9365"/>
      <w:r>
        <w:rPr>
          <w:rFonts w:hint="default" w:ascii="Times New Roman" w:hAnsi="Times New Roman" w:cs="Times New Roman"/>
          <w:color w:val="auto"/>
          <w:highlight w:val="none"/>
          <w:u w:val="none" w:color="auto"/>
          <w:lang w:val="en-US" w:eastAsia="zh-CN"/>
        </w:rPr>
        <w:t xml:space="preserve">11.2 </w:t>
      </w:r>
      <w:r>
        <w:rPr>
          <w:rFonts w:hint="default" w:ascii="Times New Roman" w:hAnsi="Times New Roman" w:cs="Times New Roman"/>
          <w:color w:val="auto"/>
          <w:highlight w:val="none"/>
          <w:u w:val="none" w:color="auto"/>
        </w:rPr>
        <w:t>评价区环境质量现状</w:t>
      </w:r>
      <w:bookmarkEnd w:id="213"/>
      <w:bookmarkEnd w:id="214"/>
    </w:p>
    <w:p w14:paraId="03508065">
      <w:pPr>
        <w:pStyle w:val="4"/>
        <w:numPr>
          <w:ilvl w:val="2"/>
          <w:numId w:val="0"/>
        </w:numPr>
        <w:ind w:leftChars="0"/>
        <w:rPr>
          <w:rFonts w:hint="default" w:ascii="Times New Roman" w:hAnsi="Times New Roman" w:cs="Times New Roman"/>
          <w:color w:val="auto"/>
          <w:highlight w:val="none"/>
          <w:u w:val="none" w:color="auto"/>
        </w:rPr>
      </w:pPr>
      <w:bookmarkStart w:id="215" w:name="_Toc31440"/>
      <w:bookmarkStart w:id="216" w:name="_Toc23161984"/>
      <w:r>
        <w:rPr>
          <w:rFonts w:hint="default" w:ascii="Times New Roman" w:hAnsi="Times New Roman" w:cs="Times New Roman"/>
          <w:color w:val="auto"/>
          <w:highlight w:val="none"/>
          <w:u w:val="none" w:color="auto"/>
          <w:lang w:val="en-US" w:eastAsia="zh-CN"/>
        </w:rPr>
        <w:t xml:space="preserve">11.2.1 </w:t>
      </w:r>
      <w:r>
        <w:rPr>
          <w:rFonts w:hint="default" w:ascii="Times New Roman" w:hAnsi="Times New Roman" w:cs="Times New Roman"/>
          <w:color w:val="auto"/>
          <w:highlight w:val="none"/>
          <w:u w:val="none" w:color="auto"/>
        </w:rPr>
        <w:t>环境空气质量现状</w:t>
      </w:r>
      <w:bookmarkEnd w:id="215"/>
    </w:p>
    <w:p w14:paraId="03D30DFC">
      <w:pPr>
        <w:pStyle w:val="189"/>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kern w:val="2"/>
          <w:sz w:val="24"/>
          <w:szCs w:val="24"/>
          <w:highlight w:val="none"/>
          <w:u w:val="none" w:color="auto"/>
        </w:rPr>
        <w:t>项目所在区2024年环境空气质量各指标中</w:t>
      </w:r>
      <w:r>
        <w:rPr>
          <w:rFonts w:hint="default" w:ascii="Times New Roman" w:hAnsi="Times New Roman" w:eastAsia="宋体" w:cs="Times New Roman"/>
          <w:color w:val="auto"/>
          <w:kern w:val="2"/>
          <w:sz w:val="24"/>
          <w:szCs w:val="24"/>
          <w:highlight w:val="none"/>
          <w:u w:val="none" w:color="auto"/>
          <w:lang w:eastAsia="zh-CN"/>
        </w:rPr>
        <w:t>除</w:t>
      </w:r>
      <w:r>
        <w:rPr>
          <w:rFonts w:hint="default" w:ascii="Times New Roman" w:hAnsi="Times New Roman" w:eastAsia="宋体" w:cs="Times New Roman"/>
          <w:color w:val="auto"/>
          <w:kern w:val="2"/>
          <w:sz w:val="24"/>
          <w:szCs w:val="24"/>
          <w:highlight w:val="none"/>
          <w:u w:val="none" w:color="auto"/>
        </w:rPr>
        <w:t>PM</w:t>
      </w:r>
      <w:r>
        <w:rPr>
          <w:rFonts w:hint="default" w:ascii="Times New Roman" w:hAnsi="Times New Roman" w:eastAsia="宋体" w:cs="Times New Roman"/>
          <w:color w:val="auto"/>
          <w:kern w:val="2"/>
          <w:sz w:val="24"/>
          <w:szCs w:val="24"/>
          <w:highlight w:val="none"/>
          <w:u w:val="none" w:color="auto"/>
          <w:vertAlign w:val="subscript"/>
        </w:rPr>
        <w:t>2.5</w:t>
      </w:r>
      <w:r>
        <w:rPr>
          <w:rFonts w:hint="default" w:ascii="Times New Roman" w:hAnsi="Times New Roman" w:eastAsia="宋体" w:cs="Times New Roman"/>
          <w:color w:val="auto"/>
          <w:kern w:val="2"/>
          <w:sz w:val="24"/>
          <w:szCs w:val="24"/>
          <w:highlight w:val="none"/>
          <w:u w:val="none" w:color="auto"/>
        </w:rPr>
        <w:t>年均浓度</w:t>
      </w:r>
      <w:r>
        <w:rPr>
          <w:rFonts w:hint="default" w:ascii="Times New Roman" w:hAnsi="Times New Roman" w:eastAsia="宋体" w:cs="Times New Roman"/>
          <w:color w:val="auto"/>
          <w:kern w:val="2"/>
          <w:sz w:val="24"/>
          <w:szCs w:val="24"/>
          <w:highlight w:val="none"/>
          <w:u w:val="none" w:color="auto"/>
          <w:lang w:eastAsia="zh-CN"/>
        </w:rPr>
        <w:t>外，</w:t>
      </w:r>
      <w:r>
        <w:rPr>
          <w:rFonts w:hint="default" w:ascii="Times New Roman" w:hAnsi="Times New Roman" w:eastAsia="宋体" w:cs="Times New Roman"/>
          <w:color w:val="auto"/>
          <w:kern w:val="2"/>
          <w:sz w:val="24"/>
          <w:szCs w:val="24"/>
          <w:highlight w:val="none"/>
          <w:u w:val="none" w:color="auto"/>
        </w:rPr>
        <w:t>SO</w:t>
      </w:r>
      <w:r>
        <w:rPr>
          <w:rFonts w:hint="default" w:ascii="Times New Roman" w:hAnsi="Times New Roman" w:eastAsia="宋体" w:cs="Times New Roman"/>
          <w:color w:val="auto"/>
          <w:kern w:val="2"/>
          <w:sz w:val="24"/>
          <w:szCs w:val="24"/>
          <w:highlight w:val="none"/>
          <w:u w:val="none" w:color="auto"/>
          <w:vertAlign w:val="subscript"/>
        </w:rPr>
        <w:t>2</w:t>
      </w:r>
      <w:r>
        <w:rPr>
          <w:rFonts w:hint="default" w:ascii="Times New Roman" w:hAnsi="Times New Roman" w:eastAsia="宋体" w:cs="Times New Roman"/>
          <w:color w:val="auto"/>
          <w:kern w:val="2"/>
          <w:sz w:val="24"/>
          <w:szCs w:val="24"/>
          <w:highlight w:val="none"/>
          <w:u w:val="none" w:color="auto"/>
        </w:rPr>
        <w:t>年均浓度、NO</w:t>
      </w:r>
      <w:r>
        <w:rPr>
          <w:rFonts w:hint="default" w:ascii="Times New Roman" w:hAnsi="Times New Roman" w:eastAsia="宋体" w:cs="Times New Roman"/>
          <w:color w:val="auto"/>
          <w:kern w:val="2"/>
          <w:sz w:val="24"/>
          <w:szCs w:val="24"/>
          <w:highlight w:val="none"/>
          <w:u w:val="none" w:color="auto"/>
          <w:vertAlign w:val="subscript"/>
        </w:rPr>
        <w:t>2</w:t>
      </w:r>
      <w:r>
        <w:rPr>
          <w:rFonts w:hint="default" w:ascii="Times New Roman" w:hAnsi="Times New Roman" w:eastAsia="宋体" w:cs="Times New Roman"/>
          <w:color w:val="auto"/>
          <w:kern w:val="2"/>
          <w:sz w:val="24"/>
          <w:szCs w:val="24"/>
          <w:highlight w:val="none"/>
          <w:u w:val="none" w:color="auto"/>
        </w:rPr>
        <w:t>年均浓度、PM</w:t>
      </w:r>
      <w:r>
        <w:rPr>
          <w:rFonts w:hint="default" w:ascii="Times New Roman" w:hAnsi="Times New Roman" w:eastAsia="宋体" w:cs="Times New Roman"/>
          <w:color w:val="auto"/>
          <w:kern w:val="2"/>
          <w:sz w:val="24"/>
          <w:szCs w:val="24"/>
          <w:highlight w:val="none"/>
          <w:u w:val="none" w:color="auto"/>
          <w:vertAlign w:val="subscript"/>
        </w:rPr>
        <w:t>10</w:t>
      </w:r>
      <w:r>
        <w:rPr>
          <w:rFonts w:hint="default" w:ascii="Times New Roman" w:hAnsi="Times New Roman" w:eastAsia="宋体" w:cs="Times New Roman"/>
          <w:color w:val="auto"/>
          <w:kern w:val="2"/>
          <w:sz w:val="24"/>
          <w:szCs w:val="24"/>
          <w:highlight w:val="none"/>
          <w:u w:val="none" w:color="auto"/>
        </w:rPr>
        <w:t>年均浓度、CO</w:t>
      </w:r>
      <w:r>
        <w:rPr>
          <w:rFonts w:hint="default" w:ascii="Times New Roman" w:hAnsi="Times New Roman" w:eastAsia="宋体" w:cs="Times New Roman"/>
          <w:color w:val="auto"/>
          <w:kern w:val="2"/>
          <w:sz w:val="24"/>
          <w:szCs w:val="24"/>
          <w:highlight w:val="none"/>
          <w:u w:val="none" w:color="auto"/>
          <w:vertAlign w:val="subscript"/>
        </w:rPr>
        <w:t>24</w:t>
      </w:r>
      <w:r>
        <w:rPr>
          <w:rFonts w:hint="default" w:ascii="Times New Roman" w:hAnsi="Times New Roman" w:eastAsia="宋体" w:cs="Times New Roman"/>
          <w:color w:val="auto"/>
          <w:kern w:val="2"/>
          <w:sz w:val="24"/>
          <w:szCs w:val="24"/>
          <w:highlight w:val="none"/>
          <w:u w:val="none" w:color="auto"/>
        </w:rPr>
        <w:t>小时平均第95百分位数浓度、O</w:t>
      </w:r>
      <w:r>
        <w:rPr>
          <w:rFonts w:hint="default" w:ascii="Times New Roman" w:hAnsi="Times New Roman" w:eastAsia="宋体" w:cs="Times New Roman"/>
          <w:color w:val="auto"/>
          <w:kern w:val="2"/>
          <w:sz w:val="24"/>
          <w:szCs w:val="24"/>
          <w:highlight w:val="none"/>
          <w:u w:val="none" w:color="auto"/>
          <w:vertAlign w:val="subscript"/>
        </w:rPr>
        <w:t>3</w:t>
      </w:r>
      <w:r>
        <w:rPr>
          <w:rFonts w:hint="default" w:ascii="Times New Roman" w:hAnsi="Times New Roman" w:eastAsia="宋体" w:cs="Times New Roman"/>
          <w:color w:val="auto"/>
          <w:kern w:val="2"/>
          <w:sz w:val="24"/>
          <w:szCs w:val="24"/>
          <w:highlight w:val="none"/>
          <w:u w:val="none" w:color="auto"/>
          <w:vertAlign w:val="baseline"/>
          <w:lang w:val="en-US" w:eastAsia="zh-CN"/>
        </w:rPr>
        <w:t>-</w:t>
      </w:r>
      <w:r>
        <w:rPr>
          <w:rFonts w:hint="default" w:ascii="Times New Roman" w:hAnsi="Times New Roman" w:eastAsia="宋体" w:cs="Times New Roman"/>
          <w:color w:val="auto"/>
          <w:kern w:val="2"/>
          <w:sz w:val="24"/>
          <w:szCs w:val="24"/>
          <w:highlight w:val="none"/>
          <w:u w:val="none" w:color="auto"/>
        </w:rPr>
        <w:t>8小时平均第90百分位数浓度均能满足《环境空气质量标准》（GB3095-2012）中的二级标准限值，故</w:t>
      </w:r>
      <w:r>
        <w:rPr>
          <w:rFonts w:hint="default" w:ascii="Times New Roman" w:hAnsi="Times New Roman" w:eastAsia="宋体" w:cs="Times New Roman"/>
          <w:color w:val="auto"/>
          <w:kern w:val="2"/>
          <w:sz w:val="24"/>
          <w:szCs w:val="24"/>
          <w:highlight w:val="none"/>
          <w:u w:val="none" w:color="auto"/>
          <w:lang w:eastAsia="zh-CN"/>
        </w:rPr>
        <w:t>项目所在地</w:t>
      </w:r>
      <w:r>
        <w:rPr>
          <w:rFonts w:hint="default" w:ascii="Times New Roman" w:hAnsi="Times New Roman" w:eastAsia="宋体" w:cs="Times New Roman"/>
          <w:color w:val="auto"/>
          <w:kern w:val="2"/>
          <w:sz w:val="24"/>
          <w:szCs w:val="24"/>
          <w:highlight w:val="none"/>
          <w:u w:val="none" w:color="auto"/>
        </w:rPr>
        <w:t>属于</w:t>
      </w:r>
      <w:r>
        <w:rPr>
          <w:rFonts w:hint="default" w:ascii="Times New Roman" w:hAnsi="Times New Roman" w:eastAsia="宋体" w:cs="Times New Roman"/>
          <w:color w:val="auto"/>
          <w:kern w:val="2"/>
          <w:sz w:val="24"/>
          <w:szCs w:val="24"/>
          <w:highlight w:val="none"/>
          <w:u w:val="none" w:color="auto"/>
          <w:lang w:eastAsia="zh-CN"/>
        </w:rPr>
        <w:t>未</w:t>
      </w:r>
      <w:r>
        <w:rPr>
          <w:rFonts w:hint="default" w:ascii="Times New Roman" w:hAnsi="Times New Roman" w:eastAsia="宋体" w:cs="Times New Roman"/>
          <w:color w:val="auto"/>
          <w:kern w:val="2"/>
          <w:sz w:val="24"/>
          <w:szCs w:val="24"/>
          <w:highlight w:val="none"/>
          <w:u w:val="none" w:color="auto"/>
        </w:rPr>
        <w:t>达标区</w:t>
      </w:r>
      <w:r>
        <w:rPr>
          <w:rFonts w:hint="default" w:ascii="Times New Roman" w:hAnsi="Times New Roman" w:cs="Times New Roman"/>
          <w:color w:val="auto"/>
          <w:highlight w:val="none"/>
          <w:u w:val="none" w:color="auto"/>
        </w:rPr>
        <w:t>。</w:t>
      </w:r>
      <w:r>
        <w:rPr>
          <w:rFonts w:hint="default" w:ascii="Times New Roman" w:hAnsi="Times New Roman" w:cs="Times New Roman"/>
          <w:color w:val="auto"/>
          <w:highlight w:val="none"/>
          <w:u w:val="none" w:color="auto"/>
          <w:lang w:eastAsia="zh-CN"/>
        </w:rPr>
        <w:t>通过对项目所在地上风向及下风向</w:t>
      </w:r>
      <w:r>
        <w:rPr>
          <w:rFonts w:hint="default" w:ascii="Times New Roman" w:hAnsi="Times New Roman" w:cs="Times New Roman"/>
          <w:color w:val="auto"/>
          <w:highlight w:val="none"/>
          <w:u w:val="none" w:color="auto"/>
        </w:rPr>
        <w:t>硫化氢和氨</w:t>
      </w:r>
      <w:r>
        <w:rPr>
          <w:rFonts w:hint="default" w:ascii="Times New Roman" w:hAnsi="Times New Roman" w:cs="Times New Roman"/>
          <w:color w:val="auto"/>
          <w:highlight w:val="none"/>
          <w:u w:val="none" w:color="auto"/>
          <w:lang w:eastAsia="zh-CN"/>
        </w:rPr>
        <w:t>的监测，项目所在地</w:t>
      </w:r>
      <w:r>
        <w:rPr>
          <w:rFonts w:hint="default" w:ascii="Times New Roman" w:hAnsi="Times New Roman" w:cs="Times New Roman"/>
          <w:color w:val="auto"/>
          <w:highlight w:val="none"/>
          <w:u w:val="none" w:color="auto"/>
        </w:rPr>
        <w:t>硫化氢和氨满足《环境影响评价导则大气环境》（HJ2.2-2018）导则中D.1其他污染物空气质量浓度参考限值，区域内环境空气质量良好。</w:t>
      </w:r>
    </w:p>
    <w:p w14:paraId="295BF8B4">
      <w:pPr>
        <w:pStyle w:val="4"/>
        <w:numPr>
          <w:ilvl w:val="2"/>
          <w:numId w:val="0"/>
        </w:numPr>
        <w:ind w:leftChars="0"/>
        <w:rPr>
          <w:rFonts w:hint="default" w:ascii="Times New Roman" w:hAnsi="Times New Roman" w:cs="Times New Roman"/>
          <w:color w:val="auto"/>
          <w:highlight w:val="none"/>
          <w:u w:val="none" w:color="auto"/>
        </w:rPr>
      </w:pPr>
      <w:bookmarkStart w:id="217" w:name="_Toc26383"/>
      <w:r>
        <w:rPr>
          <w:rFonts w:hint="default" w:ascii="Times New Roman" w:hAnsi="Times New Roman" w:cs="Times New Roman"/>
          <w:color w:val="auto"/>
          <w:highlight w:val="none"/>
          <w:u w:val="none" w:color="auto"/>
          <w:lang w:val="en-US" w:eastAsia="zh-CN"/>
        </w:rPr>
        <w:t xml:space="preserve">11.2.2 </w:t>
      </w:r>
      <w:r>
        <w:rPr>
          <w:rFonts w:hint="default" w:ascii="Times New Roman" w:hAnsi="Times New Roman" w:cs="Times New Roman"/>
          <w:color w:val="auto"/>
          <w:highlight w:val="none"/>
          <w:u w:val="none" w:color="auto"/>
        </w:rPr>
        <w:t>地表水环境现状</w:t>
      </w:r>
      <w:bookmarkEnd w:id="217"/>
    </w:p>
    <w:p w14:paraId="29AA387A">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监测及统计结果表明，</w:t>
      </w:r>
      <w:r>
        <w:rPr>
          <w:rFonts w:hint="default" w:ascii="Times New Roman" w:hAnsi="Times New Roman" w:cs="Times New Roman"/>
          <w:color w:val="auto"/>
          <w:highlight w:val="none"/>
          <w:u w:val="none" w:color="auto"/>
          <w:lang w:eastAsia="zh-CN"/>
        </w:rPr>
        <w:t>项目机排二十渠各监测点位现状监测因子均能达到《地表水环境质量标准》（GB3838-2002）中</w:t>
      </w:r>
      <w:r>
        <w:rPr>
          <w:rFonts w:hint="eastAsia" w:cs="Times New Roman"/>
          <w:color w:val="auto"/>
          <w:highlight w:val="none"/>
          <w:u w:val="none" w:color="auto"/>
          <w:lang w:val="en-US" w:eastAsia="zh-CN"/>
        </w:rPr>
        <w:t>IV</w:t>
      </w:r>
      <w:r>
        <w:rPr>
          <w:rFonts w:hint="default" w:ascii="Times New Roman" w:hAnsi="Times New Roman" w:cs="Times New Roman"/>
          <w:color w:val="auto"/>
          <w:highlight w:val="none"/>
          <w:u w:val="none" w:color="auto"/>
          <w:lang w:eastAsia="zh-CN"/>
        </w:rPr>
        <w:t>类标准</w:t>
      </w:r>
      <w:r>
        <w:rPr>
          <w:rFonts w:hint="eastAsia" w:cs="Times New Roman"/>
          <w:color w:val="auto"/>
          <w:highlight w:val="none"/>
          <w:u w:val="none" w:color="auto"/>
          <w:lang w:val="en-US" w:eastAsia="zh-CN"/>
        </w:rPr>
        <w:t>的要求</w:t>
      </w:r>
      <w:r>
        <w:rPr>
          <w:rFonts w:hint="default" w:ascii="Times New Roman" w:hAnsi="Times New Roman" w:cs="Times New Roman"/>
          <w:color w:val="auto"/>
          <w:highlight w:val="none"/>
          <w:u w:val="none" w:color="auto"/>
          <w:lang w:eastAsia="zh-CN"/>
        </w:rPr>
        <w:t>，老三运河各监测点位现状监测因子均能达到《地表水环境质量标准》（GB3838-2002）中Ⅲ类标准的要求，项目所在区域地表水环境良好</w:t>
      </w:r>
      <w:r>
        <w:rPr>
          <w:rFonts w:hint="default" w:ascii="Times New Roman" w:hAnsi="Times New Roman" w:cs="Times New Roman"/>
          <w:color w:val="auto"/>
          <w:highlight w:val="none"/>
          <w:u w:val="none" w:color="auto"/>
        </w:rPr>
        <w:t>。</w:t>
      </w:r>
    </w:p>
    <w:p w14:paraId="208F4134">
      <w:pPr>
        <w:pStyle w:val="4"/>
        <w:numPr>
          <w:ilvl w:val="2"/>
          <w:numId w:val="0"/>
        </w:numPr>
        <w:ind w:leftChars="0"/>
        <w:rPr>
          <w:rFonts w:hint="default" w:ascii="Times New Roman" w:hAnsi="Times New Roman" w:cs="Times New Roman"/>
          <w:color w:val="auto"/>
          <w:highlight w:val="none"/>
          <w:u w:val="none" w:color="auto"/>
        </w:rPr>
      </w:pPr>
      <w:bookmarkStart w:id="218" w:name="_Toc2575"/>
      <w:r>
        <w:rPr>
          <w:rFonts w:hint="default" w:ascii="Times New Roman" w:hAnsi="Times New Roman" w:cs="Times New Roman"/>
          <w:color w:val="auto"/>
          <w:highlight w:val="none"/>
          <w:u w:val="none" w:color="auto"/>
          <w:lang w:val="en-US" w:eastAsia="zh-CN"/>
        </w:rPr>
        <w:t xml:space="preserve">11.2.3 </w:t>
      </w:r>
      <w:r>
        <w:rPr>
          <w:rFonts w:hint="default" w:ascii="Times New Roman" w:hAnsi="Times New Roman" w:cs="Times New Roman"/>
          <w:color w:val="auto"/>
          <w:highlight w:val="none"/>
          <w:u w:val="none" w:color="auto"/>
        </w:rPr>
        <w:t>地下水环境现状</w:t>
      </w:r>
      <w:bookmarkEnd w:id="218"/>
    </w:p>
    <w:p w14:paraId="68A911F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监测及统计结果表明</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地下水各水质监测点位各项监测因子均达到《地下水环境质量标准》（GB14848-2017）Ⅲ类标准，区域内地下水环境质量较好。</w:t>
      </w:r>
      <w:bookmarkStart w:id="219" w:name="_Toc31049"/>
    </w:p>
    <w:p w14:paraId="63DE60E4">
      <w:pPr>
        <w:pStyle w:val="189"/>
        <w:ind w:left="0" w:leftChars="0" w:firstLine="0" w:firstLineChars="0"/>
        <w:rPr>
          <w:rFonts w:hint="default" w:ascii="Times New Roman" w:hAnsi="Times New Roman" w:eastAsia="宋体" w:cs="Times New Roman"/>
          <w:b/>
          <w:bCs/>
          <w:color w:val="auto"/>
          <w:sz w:val="28"/>
          <w:szCs w:val="32"/>
          <w:highlight w:val="none"/>
          <w:u w:val="none" w:color="auto"/>
          <w:lang w:val="en-US" w:eastAsia="zh-CN" w:bidi="ar-SA"/>
        </w:rPr>
      </w:pPr>
      <w:r>
        <w:rPr>
          <w:rFonts w:hint="default" w:ascii="Times New Roman" w:hAnsi="Times New Roman" w:eastAsia="宋体" w:cs="Times New Roman"/>
          <w:b/>
          <w:bCs/>
          <w:color w:val="auto"/>
          <w:sz w:val="28"/>
          <w:szCs w:val="32"/>
          <w:highlight w:val="none"/>
          <w:u w:val="none" w:color="auto"/>
          <w:lang w:val="en-US" w:eastAsia="zh-CN" w:bidi="ar-SA"/>
        </w:rPr>
        <w:t>11.2.4 声环境现状</w:t>
      </w:r>
      <w:bookmarkEnd w:id="219"/>
    </w:p>
    <w:p w14:paraId="0CE2395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本项目各厂界昼、夜间噪声现状监测结果均符合《声环境质量标准》(GB3096-2008)中3类标准的要求，敏感点昼、夜间噪声现状监测结果均符合《声环境质量标准》(GB3096-2008)2类标准的要求</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区域声环境质量较好。</w:t>
      </w:r>
    </w:p>
    <w:p w14:paraId="68478FAF">
      <w:pPr>
        <w:pStyle w:val="4"/>
        <w:numPr>
          <w:ilvl w:val="2"/>
          <w:numId w:val="0"/>
        </w:numPr>
        <w:ind w:leftChars="0"/>
        <w:rPr>
          <w:rFonts w:hint="default" w:ascii="Times New Roman" w:hAnsi="Times New Roman" w:cs="Times New Roman"/>
          <w:color w:val="auto"/>
          <w:highlight w:val="none"/>
          <w:u w:val="none" w:color="auto"/>
        </w:rPr>
      </w:pPr>
      <w:bookmarkStart w:id="220" w:name="_Toc13472"/>
      <w:r>
        <w:rPr>
          <w:rFonts w:hint="default" w:ascii="Times New Roman" w:hAnsi="Times New Roman" w:cs="Times New Roman"/>
          <w:color w:val="auto"/>
          <w:highlight w:val="none"/>
          <w:u w:val="none" w:color="auto"/>
          <w:lang w:val="en-US" w:eastAsia="zh-CN"/>
        </w:rPr>
        <w:t xml:space="preserve">11.2.5 </w:t>
      </w:r>
      <w:r>
        <w:rPr>
          <w:rFonts w:hint="default" w:ascii="Times New Roman" w:hAnsi="Times New Roman" w:cs="Times New Roman"/>
          <w:color w:val="auto"/>
          <w:highlight w:val="none"/>
          <w:u w:val="none" w:color="auto"/>
        </w:rPr>
        <w:t>生态环境现状</w:t>
      </w:r>
      <w:bookmarkEnd w:id="220"/>
    </w:p>
    <w:p w14:paraId="3E48935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项目所在地生态环境较简单，生态环境质量较好。</w:t>
      </w:r>
    </w:p>
    <w:p w14:paraId="52B22C5E">
      <w:pPr>
        <w:pStyle w:val="4"/>
        <w:numPr>
          <w:ilvl w:val="2"/>
          <w:numId w:val="0"/>
        </w:numPr>
        <w:ind w:leftChars="0"/>
        <w:rPr>
          <w:rFonts w:hint="default" w:ascii="Times New Roman" w:hAnsi="Times New Roman" w:cs="Times New Roman"/>
          <w:color w:val="auto"/>
          <w:highlight w:val="none"/>
          <w:u w:val="none" w:color="auto"/>
        </w:rPr>
      </w:pPr>
      <w:bookmarkStart w:id="221" w:name="_Toc29304"/>
      <w:r>
        <w:rPr>
          <w:rFonts w:hint="default" w:ascii="Times New Roman" w:hAnsi="Times New Roman" w:cs="Times New Roman"/>
          <w:color w:val="auto"/>
          <w:highlight w:val="none"/>
          <w:u w:val="none" w:color="auto"/>
          <w:lang w:val="en-US" w:eastAsia="zh-CN"/>
        </w:rPr>
        <w:t xml:space="preserve">11.2.6 </w:t>
      </w:r>
      <w:r>
        <w:rPr>
          <w:rFonts w:hint="default" w:ascii="Times New Roman" w:hAnsi="Times New Roman" w:cs="Times New Roman"/>
          <w:color w:val="auto"/>
          <w:highlight w:val="none"/>
          <w:u w:val="none" w:color="auto"/>
        </w:rPr>
        <w:t>土壤环境现状</w:t>
      </w:r>
      <w:bookmarkEnd w:id="221"/>
    </w:p>
    <w:p w14:paraId="1DCB4C1B">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由监测结果可知，各监测点监测因子浓度均未超过《土壤环境质量土壤地土壤污染风险管控标准》（GB36600-2018）第二类用地标准中筛选值，厂内土壤环境质量较好。</w:t>
      </w:r>
    </w:p>
    <w:p w14:paraId="004F94AF">
      <w:pPr>
        <w:pStyle w:val="3"/>
        <w:numPr>
          <w:ilvl w:val="1"/>
          <w:numId w:val="0"/>
        </w:numPr>
        <w:ind w:leftChars="0"/>
        <w:rPr>
          <w:rFonts w:hint="default" w:ascii="Times New Roman" w:hAnsi="Times New Roman" w:cs="Times New Roman"/>
          <w:color w:val="auto"/>
          <w:highlight w:val="none"/>
          <w:u w:val="none" w:color="auto"/>
        </w:rPr>
      </w:pPr>
      <w:bookmarkStart w:id="222" w:name="_Toc15303"/>
      <w:r>
        <w:rPr>
          <w:rFonts w:hint="default" w:ascii="Times New Roman" w:hAnsi="Times New Roman" w:cs="Times New Roman"/>
          <w:color w:val="auto"/>
          <w:highlight w:val="none"/>
          <w:u w:val="none" w:color="auto"/>
          <w:lang w:val="en-US" w:eastAsia="zh-CN"/>
        </w:rPr>
        <w:t xml:space="preserve">11.3 </w:t>
      </w:r>
      <w:r>
        <w:rPr>
          <w:rFonts w:hint="default" w:ascii="Times New Roman" w:hAnsi="Times New Roman" w:cs="Times New Roman"/>
          <w:color w:val="auto"/>
          <w:highlight w:val="none"/>
          <w:u w:val="none" w:color="auto"/>
        </w:rPr>
        <w:t>环境影响预测评价结论</w:t>
      </w:r>
      <w:bookmarkEnd w:id="216"/>
      <w:bookmarkEnd w:id="222"/>
    </w:p>
    <w:p w14:paraId="084B1741">
      <w:pPr>
        <w:pStyle w:val="4"/>
        <w:numPr>
          <w:ilvl w:val="2"/>
          <w:numId w:val="0"/>
        </w:numPr>
        <w:ind w:leftChars="0"/>
        <w:rPr>
          <w:rFonts w:hint="default" w:ascii="Times New Roman" w:hAnsi="Times New Roman" w:cs="Times New Roman"/>
          <w:color w:val="auto"/>
          <w:highlight w:val="none"/>
          <w:u w:val="none" w:color="auto"/>
        </w:rPr>
      </w:pPr>
      <w:bookmarkStart w:id="223" w:name="_Toc14858"/>
      <w:bookmarkStart w:id="224" w:name="_Toc23161985"/>
      <w:r>
        <w:rPr>
          <w:rFonts w:hint="default" w:ascii="Times New Roman" w:hAnsi="Times New Roman" w:cs="Times New Roman"/>
          <w:color w:val="auto"/>
          <w:highlight w:val="none"/>
          <w:u w:val="none" w:color="auto"/>
          <w:lang w:val="en-US" w:eastAsia="zh-CN"/>
        </w:rPr>
        <w:t xml:space="preserve">11.3.1 </w:t>
      </w:r>
      <w:r>
        <w:rPr>
          <w:rFonts w:hint="default" w:ascii="Times New Roman" w:hAnsi="Times New Roman" w:cs="Times New Roman"/>
          <w:color w:val="auto"/>
          <w:highlight w:val="none"/>
          <w:u w:val="none" w:color="auto"/>
        </w:rPr>
        <w:t>施工期环境影响评价结论</w:t>
      </w:r>
      <w:bookmarkEnd w:id="223"/>
      <w:bookmarkEnd w:id="224"/>
      <w:r>
        <w:rPr>
          <w:rFonts w:hint="default" w:ascii="Times New Roman" w:hAnsi="Times New Roman" w:cs="Times New Roman"/>
          <w:color w:val="auto"/>
          <w:highlight w:val="none"/>
          <w:u w:val="none" w:color="auto"/>
        </w:rPr>
        <w:t xml:space="preserve"> </w:t>
      </w:r>
    </w:p>
    <w:p w14:paraId="10A328D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加强施工期环境管理。采用设置临时排水沟、及时压实填方等措施防止水土流失；施工废水经隔油沉淀处理后回用于施工，不外排；施工场设置硬质围挡，并采取覆盖、分段作业、择时施工、洒水抑尘、冲洗车辆和建筑垃圾、建筑物料密闭运输等措施，防止扬尘污染；合理选择施工机械，合理安排施工时间，夜间及午休时间不得从事高噪声设备作业，施工噪声执行《建筑施工场界环境噪声排放标准》（</w:t>
      </w:r>
      <w:r>
        <w:rPr>
          <w:rFonts w:hint="default" w:ascii="Times New Roman" w:hAnsi="Times New Roman" w:cs="Times New Roman"/>
          <w:color w:val="auto"/>
          <w:highlight w:val="none"/>
          <w:u w:val="none" w:color="auto"/>
          <w:lang w:eastAsia="zh-CN"/>
        </w:rPr>
        <w:t>GB12523-2025</w:t>
      </w:r>
      <w:r>
        <w:rPr>
          <w:rFonts w:hint="default" w:ascii="Times New Roman" w:hAnsi="Times New Roman" w:cs="Times New Roman"/>
          <w:color w:val="auto"/>
          <w:highlight w:val="none"/>
          <w:u w:val="none" w:color="auto"/>
        </w:rPr>
        <w:t>）。</w:t>
      </w:r>
    </w:p>
    <w:p w14:paraId="44A38E90">
      <w:pPr>
        <w:pStyle w:val="4"/>
        <w:numPr>
          <w:ilvl w:val="2"/>
          <w:numId w:val="0"/>
        </w:numPr>
        <w:ind w:leftChars="0"/>
        <w:rPr>
          <w:rFonts w:hint="default" w:ascii="Times New Roman" w:hAnsi="Times New Roman" w:cs="Times New Roman"/>
          <w:color w:val="auto"/>
          <w:highlight w:val="none"/>
          <w:u w:val="none" w:color="auto"/>
        </w:rPr>
      </w:pPr>
      <w:bookmarkStart w:id="225" w:name="_Toc23161986"/>
      <w:bookmarkStart w:id="226" w:name="_Toc25380"/>
      <w:r>
        <w:rPr>
          <w:rFonts w:hint="default" w:ascii="Times New Roman" w:hAnsi="Times New Roman" w:cs="Times New Roman"/>
          <w:color w:val="auto"/>
          <w:highlight w:val="none"/>
          <w:u w:val="none" w:color="auto"/>
          <w:lang w:val="en-US" w:eastAsia="zh-CN"/>
        </w:rPr>
        <w:t xml:space="preserve">11.3.2 </w:t>
      </w:r>
      <w:r>
        <w:rPr>
          <w:rFonts w:hint="default" w:ascii="Times New Roman" w:hAnsi="Times New Roman" w:cs="Times New Roman"/>
          <w:color w:val="auto"/>
          <w:highlight w:val="none"/>
          <w:u w:val="none" w:color="auto"/>
        </w:rPr>
        <w:t>运营期环境影响评价结论</w:t>
      </w:r>
      <w:bookmarkEnd w:id="225"/>
      <w:bookmarkEnd w:id="226"/>
    </w:p>
    <w:p w14:paraId="47FAB1A3">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11.3.2.1 </w:t>
      </w:r>
      <w:r>
        <w:rPr>
          <w:rFonts w:hint="default" w:ascii="Times New Roman" w:hAnsi="Times New Roman" w:cs="Times New Roman"/>
          <w:color w:val="auto"/>
          <w:highlight w:val="none"/>
          <w:u w:val="none" w:color="auto"/>
        </w:rPr>
        <w:t>地表水环境</w:t>
      </w:r>
    </w:p>
    <w:p w14:paraId="0DC760F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由预测结果表明，正常排污工况下，大通湖工业园污水处理厂提质改造建设项目废水对排口下游老三运河汇水处至大通湖洪道河段枯水期的CODcr、氨氮和总磷的预测结果能满足《地表水环境质量标准》（GB3838-2002）</w:t>
      </w:r>
      <w:r>
        <w:rPr>
          <w:rFonts w:hint="default" w:ascii="Times New Roman" w:hAnsi="Times New Roman" w:cs="Times New Roman"/>
          <w:color w:val="auto"/>
          <w:highlight w:val="none"/>
          <w:u w:val="none" w:color="auto"/>
          <w:lang w:eastAsia="zh-CN"/>
        </w:rPr>
        <w:t>Ⅲ</w:t>
      </w:r>
      <w:r>
        <w:rPr>
          <w:rFonts w:hint="default" w:ascii="Times New Roman" w:hAnsi="Times New Roman" w:cs="Times New Roman"/>
          <w:color w:val="auto"/>
          <w:highlight w:val="none"/>
          <w:u w:val="none" w:color="auto"/>
        </w:rPr>
        <w:t>类标准。在非正常排污工况情况下，污水处理厂排污口下游河段CODcr能满足《地表水环境质量标准》（GB3838-2002）</w:t>
      </w:r>
      <w:r>
        <w:rPr>
          <w:rFonts w:hint="default" w:ascii="Times New Roman" w:hAnsi="Times New Roman" w:cs="Times New Roman"/>
          <w:color w:val="auto"/>
          <w:highlight w:val="none"/>
          <w:u w:val="none" w:color="auto"/>
          <w:lang w:eastAsia="zh-CN"/>
        </w:rPr>
        <w:t>Ⅲ</w:t>
      </w:r>
      <w:r>
        <w:rPr>
          <w:rFonts w:hint="default" w:ascii="Times New Roman" w:hAnsi="Times New Roman" w:cs="Times New Roman"/>
          <w:color w:val="auto"/>
          <w:highlight w:val="none"/>
          <w:u w:val="none" w:color="auto"/>
        </w:rPr>
        <w:t>类标准，氨氮、总磷出现超标，老三运河汇水处至大通湖洪道河段枯水期CODcr、氨氮均超出《地表水环境质量标准》（GB3838-2002）</w:t>
      </w:r>
      <w:r>
        <w:rPr>
          <w:rFonts w:hint="default" w:ascii="Times New Roman" w:hAnsi="Times New Roman" w:cs="Times New Roman"/>
          <w:color w:val="auto"/>
          <w:highlight w:val="none"/>
          <w:u w:val="none" w:color="auto"/>
          <w:lang w:eastAsia="zh-CN"/>
        </w:rPr>
        <w:t>Ⅲ</w:t>
      </w:r>
      <w:r>
        <w:rPr>
          <w:rFonts w:hint="default" w:ascii="Times New Roman" w:hAnsi="Times New Roman" w:cs="Times New Roman"/>
          <w:color w:val="auto"/>
          <w:highlight w:val="none"/>
          <w:u w:val="none" w:color="auto"/>
        </w:rPr>
        <w:t xml:space="preserve">类标准限值。 </w:t>
      </w:r>
    </w:p>
    <w:p w14:paraId="4CA2E58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综上，本污水处理厂正常运行情况下出水对老三河水质的影响程度及范围均较小， 对整个预测河段产生的影响较小。</w:t>
      </w:r>
    </w:p>
    <w:p w14:paraId="00B6F860">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11.3.2.2 </w:t>
      </w:r>
      <w:r>
        <w:rPr>
          <w:rFonts w:hint="default" w:ascii="Times New Roman" w:hAnsi="Times New Roman" w:cs="Times New Roman"/>
          <w:color w:val="auto"/>
          <w:highlight w:val="none"/>
          <w:u w:val="none" w:color="auto"/>
        </w:rPr>
        <w:t>地下水</w:t>
      </w:r>
    </w:p>
    <w:p w14:paraId="682D3BE3">
      <w:pPr>
        <w:pStyle w:val="189"/>
        <w:rPr>
          <w:rFonts w:hint="default" w:ascii="Times New Roman" w:hAnsi="Times New Roman" w:cs="Times New Roman"/>
          <w:color w:val="FF0000"/>
          <w:highlight w:val="none"/>
          <w:u w:val="none" w:color="auto"/>
        </w:rPr>
      </w:pPr>
      <w:r>
        <w:rPr>
          <w:rFonts w:hint="default" w:ascii="Times New Roman" w:hAnsi="Times New Roman" w:cs="Times New Roman"/>
          <w:color w:val="auto"/>
          <w:highlight w:val="none"/>
          <w:u w:val="none" w:color="auto"/>
        </w:rPr>
        <w:t>污水在处理的过程中，如处理池体发生渗漏，会通过土壤向下渗透，从而造成地下水的污染。为了防止对地下水环境的污染，所以水处理构筑物应采用防渗水泥，并加强池体日常的巡检，发生裂隙及时汇报并采取应急措施。通过以上措施，本项目对地下水影响较小。</w:t>
      </w:r>
    </w:p>
    <w:p w14:paraId="643B7F11">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11.3.2.3 </w:t>
      </w:r>
      <w:r>
        <w:rPr>
          <w:rFonts w:hint="default" w:ascii="Times New Roman" w:hAnsi="Times New Roman" w:cs="Times New Roman"/>
          <w:color w:val="auto"/>
          <w:highlight w:val="none"/>
          <w:u w:val="none" w:color="auto"/>
        </w:rPr>
        <w:t>大气环境</w:t>
      </w:r>
    </w:p>
    <w:p w14:paraId="3B7C6313">
      <w:pPr>
        <w:pStyle w:val="189"/>
        <w:rPr>
          <w:rFonts w:hint="default" w:ascii="Times New Roman" w:hAnsi="Times New Roman" w:cs="Times New Roman"/>
          <w:color w:val="auto"/>
          <w:szCs w:val="28"/>
          <w:highlight w:val="none"/>
          <w:u w:val="none" w:color="auto"/>
        </w:rPr>
      </w:pPr>
      <w:r>
        <w:rPr>
          <w:rFonts w:hint="default" w:ascii="Times New Roman" w:hAnsi="Times New Roman" w:cs="Times New Roman"/>
          <w:color w:val="auto"/>
          <w:highlight w:val="none"/>
          <w:u w:val="none" w:color="auto"/>
        </w:rPr>
        <w:t>本项目产生和排放的主要大气污染物对周围大气环境质量影响不大，不会造成周围大气环境质量明显下降。为进一步减轻本项目对周围大气环境的影响程度和范围、保证该地区的可持续发展，建设单位在生产过程中应加强管理，</w:t>
      </w:r>
      <w:r>
        <w:rPr>
          <w:rFonts w:hint="default" w:ascii="Times New Roman" w:hAnsi="Times New Roman" w:cs="Times New Roman"/>
          <w:color w:val="auto"/>
          <w:highlight w:val="none"/>
          <w:u w:val="none" w:color="auto"/>
          <w:lang w:eastAsia="zh-CN"/>
        </w:rPr>
        <w:t>按时喷洒除臭药剂</w:t>
      </w:r>
      <w:r>
        <w:rPr>
          <w:rFonts w:hint="default" w:ascii="Times New Roman" w:hAnsi="Times New Roman" w:cs="Times New Roman"/>
          <w:color w:val="auto"/>
          <w:highlight w:val="none"/>
          <w:u w:val="none" w:color="auto"/>
        </w:rPr>
        <w:t>，避免对周围环境造成污染影响。</w:t>
      </w:r>
    </w:p>
    <w:p w14:paraId="5DF8C8CA">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11.3.2.4 </w:t>
      </w:r>
      <w:r>
        <w:rPr>
          <w:rFonts w:hint="default" w:ascii="Times New Roman" w:hAnsi="Times New Roman" w:cs="Times New Roman"/>
          <w:color w:val="auto"/>
          <w:highlight w:val="none"/>
          <w:u w:val="none" w:color="auto"/>
        </w:rPr>
        <w:t>声环境</w:t>
      </w:r>
    </w:p>
    <w:p w14:paraId="016DA07E">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本项目主要的噪声源为鼓风机及各类水泵，经预测，在采取噪声防治措施下，厂界昼夜间噪声均能达到《工业企业厂界环境噪声排放标准》3类标准</w:t>
      </w:r>
      <w:r>
        <w:rPr>
          <w:rFonts w:hint="default" w:ascii="Times New Roman" w:hAnsi="Times New Roman" w:cs="Times New Roman"/>
          <w:color w:val="auto"/>
          <w:highlight w:val="none"/>
          <w:u w:val="none" w:color="auto"/>
          <w:lang w:eastAsia="zh-CN"/>
        </w:rPr>
        <w:t>，</w:t>
      </w:r>
      <w:r>
        <w:rPr>
          <w:rFonts w:hint="default" w:ascii="Times New Roman" w:hAnsi="Times New Roman" w:eastAsia="宋体" w:cs="Times New Roman"/>
          <w:i w:val="0"/>
          <w:iCs w:val="0"/>
          <w:color w:val="auto"/>
          <w:sz w:val="24"/>
          <w:szCs w:val="24"/>
          <w:highlight w:val="none"/>
          <w:u w:val="none" w:color="auto"/>
          <w:lang w:val="en-US" w:eastAsia="zh-CN" w:bidi="zh-CN"/>
        </w:rPr>
        <w:t>声环境保护目标噪声满足</w:t>
      </w:r>
      <w:r>
        <w:rPr>
          <w:rFonts w:hint="default" w:ascii="Times New Roman" w:hAnsi="Times New Roman" w:eastAsia="宋体" w:cs="Times New Roman"/>
          <w:i w:val="0"/>
          <w:iCs w:val="0"/>
          <w:color w:val="auto"/>
          <w:sz w:val="24"/>
          <w:szCs w:val="24"/>
          <w:highlight w:val="none"/>
          <w:u w:val="none" w:color="auto"/>
          <w:lang w:val="zh-CN" w:eastAsia="zh-CN" w:bidi="zh-CN"/>
        </w:rPr>
        <w:t xml:space="preserve">《声环境质量标准》(GB3096-2008) </w:t>
      </w:r>
      <w:r>
        <w:rPr>
          <w:rFonts w:hint="default" w:ascii="Times New Roman" w:hAnsi="Times New Roman" w:eastAsia="宋体" w:cs="Times New Roman"/>
          <w:i w:val="0"/>
          <w:iCs w:val="0"/>
          <w:color w:val="auto"/>
          <w:sz w:val="24"/>
          <w:szCs w:val="24"/>
          <w:highlight w:val="none"/>
          <w:u w:val="none" w:color="auto"/>
          <w:lang w:val="en-US" w:eastAsia="zh-CN" w:bidi="zh-CN"/>
        </w:rPr>
        <w:t>2</w:t>
      </w:r>
      <w:r>
        <w:rPr>
          <w:rFonts w:hint="default" w:ascii="Times New Roman" w:hAnsi="Times New Roman" w:eastAsia="宋体" w:cs="Times New Roman"/>
          <w:i w:val="0"/>
          <w:iCs w:val="0"/>
          <w:color w:val="auto"/>
          <w:sz w:val="24"/>
          <w:szCs w:val="24"/>
          <w:highlight w:val="none"/>
          <w:u w:val="none" w:color="auto"/>
          <w:lang w:val="zh-CN" w:eastAsia="zh-CN" w:bidi="zh-CN"/>
        </w:rPr>
        <w:t>类标准</w:t>
      </w:r>
      <w:r>
        <w:rPr>
          <w:rFonts w:hint="default" w:ascii="Times New Roman" w:hAnsi="Times New Roman" w:cs="Times New Roman"/>
          <w:color w:val="auto"/>
          <w:highlight w:val="none"/>
          <w:u w:val="none" w:color="auto"/>
        </w:rPr>
        <w:t>。为了进一步减少污水处理厂设备噪声对周围环境的影响，环评建议做好相关噪声防治措施，以进一步减小项目噪声对周边声环境的影响。</w:t>
      </w:r>
    </w:p>
    <w:p w14:paraId="27C60FC0">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 xml:space="preserve">11.3.2.5 </w:t>
      </w:r>
      <w:r>
        <w:rPr>
          <w:rFonts w:hint="default" w:ascii="Times New Roman" w:hAnsi="Times New Roman" w:cs="Times New Roman"/>
          <w:color w:val="auto"/>
          <w:highlight w:val="none"/>
          <w:u w:val="none" w:color="auto"/>
        </w:rPr>
        <w:t xml:space="preserve">固体废物 </w:t>
      </w:r>
    </w:p>
    <w:p w14:paraId="18B6F3B4">
      <w:pPr>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污泥属于一般工业固废，污泥脱水（含水率＜60%）后运至益阳海螺环保科技有限责任公司进行处置；在线监测废液、化验室废液等危险废物采用密闭桶装收集后，暂存于危废间，委托有相应危废处置资质的单位进行处置；栅渣、沉砂及生活垃圾集中收集后暂存于厂区内垃圾收集点，由当地环卫部门定期清运处理。</w:t>
      </w:r>
    </w:p>
    <w:p w14:paraId="697203BC">
      <w:pPr>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项目各项固体废物均可得到合理妥善地处置，不会对周围环境造成二次污染。</w:t>
      </w:r>
    </w:p>
    <w:p w14:paraId="72126CF0">
      <w:pPr>
        <w:pStyle w:val="381"/>
        <w:numPr>
          <w:ilvl w:val="3"/>
          <w:numId w:val="0"/>
        </w:numPr>
        <w:ind w:left="480"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11.3.2.6 土壤环境</w:t>
      </w:r>
      <w:r>
        <w:rPr>
          <w:rFonts w:hint="default" w:ascii="Times New Roman" w:hAnsi="Times New Roman" w:cs="Times New Roman"/>
          <w:color w:val="auto"/>
          <w:highlight w:val="none"/>
          <w:u w:val="none" w:color="auto"/>
        </w:rPr>
        <w:t xml:space="preserve"> </w:t>
      </w:r>
    </w:p>
    <w:p w14:paraId="76D9CFEC">
      <w:pPr>
        <w:ind w:firstLine="480"/>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厂区固废暂存区地面采用混凝土硬化，严格遵照国家《一般工业固体废物贮存和填埋污染控制标准》（GB18599-2020）要求及相关建筑设计规范：采用成熟技术从严设计、施工，可有效降低固体废物对土壤的污染影响。化验室废液、废矿物油等危险废物采用封闭式桶装，在危废间暂存，危废间按重点防渗区采取防渗措施。因此，固体废物对土壤环境影响很小</w:t>
      </w:r>
      <w:r>
        <w:rPr>
          <w:rFonts w:hint="default" w:ascii="Times New Roman" w:hAnsi="Times New Roman" w:cs="Times New Roman"/>
          <w:color w:val="auto"/>
          <w:highlight w:val="none"/>
          <w:u w:val="none" w:color="auto"/>
          <w:lang w:eastAsia="zh-CN"/>
        </w:rPr>
        <w:t>。</w:t>
      </w:r>
    </w:p>
    <w:p w14:paraId="589E6C50">
      <w:pPr>
        <w:pStyle w:val="3"/>
        <w:numPr>
          <w:ilvl w:val="1"/>
          <w:numId w:val="0"/>
        </w:numPr>
        <w:ind w:leftChars="0"/>
        <w:rPr>
          <w:rFonts w:hint="default" w:ascii="Times New Roman" w:hAnsi="Times New Roman" w:cs="Times New Roman"/>
          <w:color w:val="auto"/>
          <w:highlight w:val="none"/>
          <w:u w:val="none" w:color="auto"/>
        </w:rPr>
      </w:pPr>
      <w:bookmarkStart w:id="227" w:name="_Toc23161987"/>
      <w:bookmarkStart w:id="228" w:name="_Toc5744"/>
      <w:r>
        <w:rPr>
          <w:rFonts w:hint="default" w:ascii="Times New Roman" w:hAnsi="Times New Roman" w:cs="Times New Roman"/>
          <w:color w:val="auto"/>
          <w:highlight w:val="none"/>
          <w:u w:val="none" w:color="auto"/>
          <w:lang w:val="en-US" w:eastAsia="zh-CN"/>
        </w:rPr>
        <w:t xml:space="preserve">11.4 </w:t>
      </w:r>
      <w:r>
        <w:rPr>
          <w:rFonts w:hint="default" w:ascii="Times New Roman" w:hAnsi="Times New Roman" w:cs="Times New Roman"/>
          <w:color w:val="auto"/>
          <w:highlight w:val="none"/>
          <w:u w:val="none" w:color="auto"/>
        </w:rPr>
        <w:t>环境风险评价结论</w:t>
      </w:r>
      <w:bookmarkEnd w:id="227"/>
      <w:bookmarkEnd w:id="228"/>
    </w:p>
    <w:p w14:paraId="02C92249">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项目涉及的环境风险因素包括废水事故排放和危险物质贮存、使用过程发生泄漏。项目设置</w:t>
      </w:r>
      <w:r>
        <w:rPr>
          <w:rFonts w:hint="default" w:ascii="Times New Roman" w:hAnsi="Times New Roman" w:cs="Times New Roman"/>
          <w:color w:val="000000" w:themeColor="text1"/>
          <w:highlight w:val="none"/>
          <w:u w:val="none" w:color="auto"/>
          <w14:textFill>
            <w14:solidFill>
              <w14:schemeClr w14:val="tx1"/>
            </w14:solidFill>
          </w14:textFill>
        </w:rPr>
        <w:t>有一个</w:t>
      </w:r>
      <w:r>
        <w:rPr>
          <w:rFonts w:hint="eastAsia" w:cs="Times New Roman"/>
          <w:color w:val="000000" w:themeColor="text1"/>
          <w:highlight w:val="none"/>
          <w:u w:val="wave" w:color="auto"/>
          <w:lang w:val="en-US" w:eastAsia="zh-CN"/>
          <w14:textFill>
            <w14:solidFill>
              <w14:schemeClr w14:val="tx1"/>
            </w14:solidFill>
          </w14:textFill>
        </w:rPr>
        <w:t>1765.4</w:t>
      </w:r>
      <w:r>
        <w:rPr>
          <w:rFonts w:hint="default" w:ascii="Times New Roman" w:hAnsi="Times New Roman" w:cs="Times New Roman"/>
          <w:color w:val="000000" w:themeColor="text1"/>
          <w:highlight w:val="none"/>
          <w:u w:val="wave" w:color="auto"/>
          <w14:textFill>
            <w14:solidFill>
              <w14:schemeClr w14:val="tx1"/>
            </w14:solidFill>
          </w14:textFill>
        </w:rPr>
        <w:t>m</w:t>
      </w:r>
      <w:r>
        <w:rPr>
          <w:rFonts w:hint="default" w:ascii="Times New Roman" w:hAnsi="Times New Roman" w:cs="Times New Roman"/>
          <w:color w:val="000000" w:themeColor="text1"/>
          <w:highlight w:val="none"/>
          <w:u w:val="wave" w:color="auto"/>
          <w:vertAlign w:val="superscript"/>
          <w14:textFill>
            <w14:solidFill>
              <w14:schemeClr w14:val="tx1"/>
            </w14:solidFill>
          </w14:textFill>
        </w:rPr>
        <w:t>3</w:t>
      </w:r>
      <w:r>
        <w:rPr>
          <w:rFonts w:hint="default" w:ascii="Times New Roman" w:hAnsi="Times New Roman" w:cs="Times New Roman"/>
          <w:color w:val="000000" w:themeColor="text1"/>
          <w:highlight w:val="none"/>
          <w:u w:val="none" w:color="auto"/>
          <w14:textFill>
            <w14:solidFill>
              <w14:schemeClr w14:val="tx1"/>
            </w14:solidFill>
          </w14:textFill>
        </w:rPr>
        <w:t>的事故应</w:t>
      </w:r>
      <w:r>
        <w:rPr>
          <w:rFonts w:hint="default" w:ascii="Times New Roman" w:hAnsi="Times New Roman" w:cs="Times New Roman"/>
          <w:color w:val="auto"/>
          <w:highlight w:val="none"/>
          <w:u w:val="none" w:color="auto"/>
        </w:rPr>
        <w:t>急池，并与上游企业建立了应急联系。在工程的设计及生产运行过程中，建设单位应严格按工程设计、操作规程运行和管理，并认真落实本评价提出的各项风险防范措施，可把事故发生的几率降至最低。通过采取各项风险防范及应急救援措施，可降低各种事故发生的概率及对周围环境的影响，环境风险在可接受范围内</w:t>
      </w:r>
      <w:r>
        <w:rPr>
          <w:rFonts w:hint="default" w:ascii="Times New Roman" w:hAnsi="Times New Roman" w:eastAsia="宋体" w:cs="Times New Roman"/>
          <w:color w:val="auto"/>
          <w:highlight w:val="none"/>
          <w:u w:val="none" w:color="auto"/>
        </w:rPr>
        <w:t>。</w:t>
      </w:r>
    </w:p>
    <w:p w14:paraId="67691749">
      <w:pPr>
        <w:pStyle w:val="3"/>
        <w:numPr>
          <w:ilvl w:val="1"/>
          <w:numId w:val="0"/>
        </w:numPr>
        <w:ind w:leftChars="0"/>
        <w:rPr>
          <w:rFonts w:hint="default" w:ascii="Times New Roman" w:hAnsi="Times New Roman" w:cs="Times New Roman"/>
          <w:color w:val="auto"/>
          <w:highlight w:val="none"/>
          <w:u w:val="none" w:color="auto"/>
        </w:rPr>
      </w:pPr>
      <w:bookmarkStart w:id="229" w:name="_Toc12968"/>
      <w:bookmarkStart w:id="230" w:name="_Toc23161989"/>
      <w:r>
        <w:rPr>
          <w:rFonts w:hint="default" w:ascii="Times New Roman" w:hAnsi="Times New Roman" w:cs="Times New Roman"/>
          <w:color w:val="auto"/>
          <w:highlight w:val="none"/>
          <w:u w:val="none" w:color="auto"/>
          <w:lang w:val="en-US" w:eastAsia="zh-CN"/>
        </w:rPr>
        <w:t xml:space="preserve">11.5 </w:t>
      </w:r>
      <w:r>
        <w:rPr>
          <w:rFonts w:hint="default" w:ascii="Times New Roman" w:hAnsi="Times New Roman" w:cs="Times New Roman"/>
          <w:color w:val="auto"/>
          <w:highlight w:val="none"/>
          <w:u w:val="none" w:color="auto"/>
        </w:rPr>
        <w:t>产业政策、规划符合性和选址合理性结论</w:t>
      </w:r>
      <w:bookmarkEnd w:id="229"/>
      <w:bookmarkEnd w:id="230"/>
    </w:p>
    <w:p w14:paraId="2D3277CD">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根据国家发改委公布的《产业结构调整指导目录（20</w:t>
      </w:r>
      <w:r>
        <w:rPr>
          <w:rFonts w:hint="default" w:ascii="Times New Roman" w:hAnsi="Times New Roman" w:cs="Times New Roman"/>
          <w:color w:val="auto"/>
          <w:highlight w:val="none"/>
          <w:u w:val="none" w:color="auto"/>
          <w:lang w:val="en-US" w:eastAsia="zh-CN"/>
        </w:rPr>
        <w:t>24</w:t>
      </w:r>
      <w:r>
        <w:rPr>
          <w:rFonts w:hint="default" w:ascii="Times New Roman" w:hAnsi="Times New Roman" w:cs="Times New Roman"/>
          <w:color w:val="auto"/>
          <w:highlight w:val="none"/>
          <w:u w:val="none" w:color="auto"/>
        </w:rPr>
        <w:t>年本）》，本项目属于《产业结构调整指导目录（</w:t>
      </w:r>
      <w:r>
        <w:rPr>
          <w:rFonts w:hint="default" w:ascii="Times New Roman" w:hAnsi="Times New Roman" w:cs="Times New Roman"/>
          <w:color w:val="auto"/>
          <w:highlight w:val="none"/>
          <w:u w:val="none" w:color="auto"/>
          <w:lang w:eastAsia="zh-CN"/>
        </w:rPr>
        <w:t>2024年本</w:t>
      </w:r>
      <w:r>
        <w:rPr>
          <w:rFonts w:hint="default" w:ascii="Times New Roman" w:hAnsi="Times New Roman" w:cs="Times New Roman"/>
          <w:color w:val="auto"/>
          <w:highlight w:val="none"/>
          <w:u w:val="none" w:color="auto"/>
        </w:rPr>
        <w:t>）》鼓励类中第四十三项</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环境保护与资源节约综合利用</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中第15 条</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三废’综合利用与治理技术、装备和工程</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，本项目的建设符合国家相关产业政策的规定，符合国家水污染防治法规和条例及其实施细则，符合水污染防治技术政策，符合国家和地方产业及水污染治理政策。</w:t>
      </w:r>
    </w:p>
    <w:p w14:paraId="56B9C258">
      <w:pPr>
        <w:pStyle w:val="189"/>
        <w:rPr>
          <w:rFonts w:hint="default" w:ascii="Times New Roman" w:hAnsi="Times New Roman" w:cs="Times New Roman"/>
          <w:color w:val="auto"/>
          <w:highlight w:val="none"/>
          <w:u w:val="none" w:color="auto"/>
        </w:rPr>
      </w:pPr>
      <w:bookmarkStart w:id="231" w:name="_Toc23161990"/>
      <w:r>
        <w:rPr>
          <w:rFonts w:hint="default" w:ascii="Times New Roman" w:hAnsi="Times New Roman" w:cs="Times New Roman"/>
          <w:color w:val="auto"/>
          <w:highlight w:val="none"/>
          <w:u w:val="none" w:color="auto"/>
        </w:rPr>
        <w:t>大通湖区工业园内机排二十渠旁，隶属大通湖工业集中区，根据《大通湖产业开发区控制性详细规划》（2024年），项目用地为排水用地，规划为污水处理厂建设用地，项目建设符合用地规划要求。本项目选址于原有污水处理站进行改造，能有效降低建设成本，亦可有效利用园区水、电、气、道路、绿化等配套设施。项目营运期废气、废水、噪声和固废经采取治理措施均可达标排放或得到妥善处置，本项目对周边环境影响不大。综上，本项目选址合理。</w:t>
      </w:r>
    </w:p>
    <w:p w14:paraId="13F69130">
      <w:pPr>
        <w:pStyle w:val="3"/>
        <w:numPr>
          <w:ilvl w:val="1"/>
          <w:numId w:val="0"/>
        </w:numPr>
        <w:ind w:leftChars="0"/>
        <w:rPr>
          <w:rFonts w:hint="default" w:ascii="Times New Roman" w:hAnsi="Times New Roman" w:cs="Times New Roman"/>
          <w:color w:val="auto"/>
          <w:highlight w:val="none"/>
          <w:u w:val="none" w:color="auto"/>
        </w:rPr>
      </w:pPr>
      <w:bookmarkStart w:id="232" w:name="_Toc29331"/>
      <w:r>
        <w:rPr>
          <w:rFonts w:hint="default" w:ascii="Times New Roman" w:hAnsi="Times New Roman" w:cs="Times New Roman"/>
          <w:color w:val="auto"/>
          <w:highlight w:val="none"/>
          <w:u w:val="none" w:color="auto"/>
          <w:lang w:val="en-US" w:eastAsia="zh-CN"/>
        </w:rPr>
        <w:t xml:space="preserve">11.6 </w:t>
      </w:r>
      <w:r>
        <w:rPr>
          <w:rFonts w:hint="default" w:ascii="Times New Roman" w:hAnsi="Times New Roman" w:cs="Times New Roman"/>
          <w:color w:val="auto"/>
          <w:highlight w:val="none"/>
          <w:u w:val="none" w:color="auto"/>
        </w:rPr>
        <w:t>总量建议</w:t>
      </w:r>
      <w:bookmarkEnd w:id="231"/>
      <w:bookmarkEnd w:id="232"/>
    </w:p>
    <w:p w14:paraId="24BDE769">
      <w:pPr>
        <w:ind w:left="0" w:leftChars="0" w:firstLine="48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根据国家有关污染物总量控制原则，确定本项目营运期污染物控制指标为COD、NH</w:t>
      </w:r>
      <w:r>
        <w:rPr>
          <w:rFonts w:hint="default" w:ascii="Times New Roman" w:hAnsi="Times New Roman" w:cs="Times New Roman"/>
          <w:color w:val="auto"/>
          <w:sz w:val="15"/>
          <w:szCs w:val="15"/>
          <w:highlight w:val="none"/>
          <w:u w:val="none" w:color="auto"/>
        </w:rPr>
        <w:t>3</w:t>
      </w:r>
      <w:r>
        <w:rPr>
          <w:rFonts w:hint="default" w:ascii="Times New Roman" w:hAnsi="Times New Roman" w:cs="Times New Roman"/>
          <w:color w:val="auto"/>
          <w:highlight w:val="none"/>
          <w:u w:val="none" w:color="auto"/>
        </w:rPr>
        <w:t>-N，根据项目污染物排放情况，本项目建成后项目总量控制指标建议值为：</w:t>
      </w:r>
      <w:bookmarkStart w:id="233" w:name="_Toc23161991"/>
      <w:r>
        <w:rPr>
          <w:rFonts w:hint="default" w:ascii="Times New Roman" w:hAnsi="Times New Roman" w:cs="Times New Roman"/>
          <w:color w:val="auto"/>
          <w:highlight w:val="none"/>
          <w:u w:val="none" w:color="auto"/>
          <w:lang w:val="en-US" w:eastAsia="zh-CN"/>
        </w:rPr>
        <w:t xml:space="preserve"> COD：54.75t/a，NH</w:t>
      </w:r>
      <w:r>
        <w:rPr>
          <w:rFonts w:hint="default" w:ascii="Times New Roman" w:hAnsi="Times New Roman" w:cs="Times New Roman"/>
          <w:color w:val="auto"/>
          <w:highlight w:val="none"/>
          <w:u w:val="none" w:color="auto"/>
          <w:vertAlign w:val="subscript"/>
          <w:lang w:val="en-US" w:eastAsia="zh-CN"/>
        </w:rPr>
        <w:t>3</w:t>
      </w:r>
      <w:r>
        <w:rPr>
          <w:rFonts w:hint="default" w:ascii="Times New Roman" w:hAnsi="Times New Roman" w:cs="Times New Roman"/>
          <w:color w:val="auto"/>
          <w:highlight w:val="none"/>
          <w:u w:val="none" w:color="auto"/>
          <w:lang w:val="en-US" w:eastAsia="zh-CN"/>
        </w:rPr>
        <w:t>-N：5.475t/a，总氮：16.475t/a，总磷：0.5475t/a</w:t>
      </w:r>
      <w:r>
        <w:rPr>
          <w:rFonts w:hint="default" w:ascii="Times New Roman" w:hAnsi="Times New Roman" w:cs="Times New Roman"/>
          <w:color w:val="auto"/>
          <w:highlight w:val="none"/>
          <w:u w:val="none" w:color="auto"/>
        </w:rPr>
        <w:t>。</w:t>
      </w:r>
    </w:p>
    <w:p w14:paraId="492DCF5B">
      <w:pPr>
        <w:pStyle w:val="3"/>
        <w:numPr>
          <w:ilvl w:val="1"/>
          <w:numId w:val="0"/>
        </w:numPr>
        <w:ind w:leftChars="0"/>
        <w:rPr>
          <w:rFonts w:hint="default" w:ascii="Times New Roman" w:hAnsi="Times New Roman" w:cs="Times New Roman"/>
          <w:color w:val="000000" w:themeColor="text1"/>
          <w:highlight w:val="none"/>
          <w:u w:val="wave" w:color="auto"/>
          <w14:textFill>
            <w14:solidFill>
              <w14:schemeClr w14:val="tx1"/>
            </w14:solidFill>
          </w14:textFill>
        </w:rPr>
      </w:pPr>
      <w:bookmarkStart w:id="234" w:name="_Toc1942"/>
      <w:bookmarkStart w:id="235" w:name="_Toc27020"/>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11.7</w:t>
      </w:r>
      <w:r>
        <w:rPr>
          <w:rFonts w:hint="eastAsia" w:cs="Times New Roman"/>
          <w:color w:val="000000" w:themeColor="text1"/>
          <w:highlight w:val="none"/>
          <w:u w:val="wave" w:color="auto"/>
          <w:lang w:val="en-US" w:eastAsia="zh-CN"/>
          <w14:textFill>
            <w14:solidFill>
              <w14:schemeClr w14:val="tx1"/>
            </w14:solidFill>
          </w14:textFill>
        </w:rPr>
        <w:t xml:space="preserve"> 公众参与结论</w:t>
      </w:r>
      <w:r>
        <w:rPr>
          <w:rFonts w:hint="default" w:ascii="Times New Roman" w:hAnsi="Times New Roman" w:cs="Times New Roman"/>
          <w:color w:val="000000" w:themeColor="text1"/>
          <w:highlight w:val="none"/>
          <w:u w:val="wave" w:color="auto"/>
          <w:lang w:val="en-US" w:eastAsia="zh-CN"/>
          <w14:textFill>
            <w14:solidFill>
              <w14:schemeClr w14:val="tx1"/>
            </w14:solidFill>
          </w14:textFill>
        </w:rPr>
        <w:t xml:space="preserve"> </w:t>
      </w:r>
      <w:bookmarkEnd w:id="234"/>
    </w:p>
    <w:p w14:paraId="343B31E1">
      <w:pPr>
        <w:pStyle w:val="189"/>
        <w:rPr>
          <w:rFonts w:hint="default" w:ascii="Times New Roman" w:hAnsi="Times New Roman" w:cs="Times New Roman"/>
          <w:color w:val="000000" w:themeColor="text1"/>
          <w:highlight w:val="none"/>
          <w:u w:val="wave" w:color="auto"/>
          <w14:textFill>
            <w14:solidFill>
              <w14:schemeClr w14:val="tx1"/>
            </w14:solidFill>
          </w14:textFill>
        </w:rPr>
      </w:pPr>
      <w:r>
        <w:rPr>
          <w:rFonts w:hint="default" w:ascii="Times New Roman" w:hAnsi="Times New Roman" w:cs="Times New Roman"/>
          <w:color w:val="000000" w:themeColor="text1"/>
          <w:highlight w:val="none"/>
          <w:u w:val="wave" w:color="auto"/>
          <w14:textFill>
            <w14:solidFill>
              <w14:schemeClr w14:val="tx1"/>
            </w14:solidFill>
          </w14:textFill>
        </w:rPr>
        <w:t>本项目建设单位采取了网络信息公示和项目拟建区域张贴环保公示、发放公众参与调查表的方式，主要调查范围为项目拟建区域及周边影响范围内居民。从公众参与调查结果可知，本项目周围的居民、团体能正确理解本项目建设的意义和可能对环境产生的影响，以及对区域经济发展的积极促进作用，公众对本项目的建设无反对意见。因此，本项目的建设得到公众的支持，本项目的建设运营有良好的社会群众基础。</w:t>
      </w:r>
    </w:p>
    <w:p w14:paraId="371D4BBC">
      <w:pPr>
        <w:pStyle w:val="3"/>
        <w:numPr>
          <w:ilvl w:val="1"/>
          <w:numId w:val="0"/>
        </w:numPr>
        <w:ind w:left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11.</w:t>
      </w:r>
      <w:r>
        <w:rPr>
          <w:rFonts w:hint="eastAsia" w:cs="Times New Roman"/>
          <w:color w:val="auto"/>
          <w:highlight w:val="none"/>
          <w:u w:val="none" w:color="auto"/>
          <w:lang w:val="en-US" w:eastAsia="zh-CN"/>
        </w:rPr>
        <w:t>8</w:t>
      </w:r>
      <w:r>
        <w:rPr>
          <w:rFonts w:hint="default" w:ascii="Times New Roman" w:hAnsi="Times New Roman" w:cs="Times New Roman"/>
          <w:color w:val="auto"/>
          <w:highlight w:val="none"/>
          <w:u w:val="none" w:color="auto"/>
          <w:lang w:val="en-US" w:eastAsia="zh-CN"/>
        </w:rPr>
        <w:t xml:space="preserve"> </w:t>
      </w:r>
      <w:r>
        <w:rPr>
          <w:rFonts w:hint="default" w:ascii="Times New Roman" w:hAnsi="Times New Roman" w:cs="Times New Roman"/>
          <w:color w:val="auto"/>
          <w:highlight w:val="none"/>
          <w:u w:val="none" w:color="auto"/>
        </w:rPr>
        <w:t>环境可行性结论</w:t>
      </w:r>
      <w:bookmarkEnd w:id="233"/>
      <w:bookmarkEnd w:id="235"/>
    </w:p>
    <w:p w14:paraId="3A1B3297">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工程的建设符合区域规划的要求，选址合理，选用的工艺成熟可靠、安全有效，能够达到预期的处理效果，出水水质符合标准要求。处理过程中产生的二次污染经采取措施后能得到有效控制，对周边环境造成不利影响可以承受。工程建设具有显著的环境效益和社会效益，得到了公众的支持，在严格落实本报告提出的环保措施要求的前提下，从环境的角度看该工程建设是可行的。</w:t>
      </w:r>
    </w:p>
    <w:p w14:paraId="2DC26DE5">
      <w:pPr>
        <w:pStyle w:val="199"/>
        <w:numPr>
          <w:ilvl w:val="1"/>
          <w:numId w:val="0"/>
        </w:numPr>
        <w:ind w:leftChars="0"/>
        <w:rPr>
          <w:rFonts w:hint="default" w:ascii="Times New Roman" w:hAnsi="Times New Roman" w:cs="Times New Roman"/>
          <w:color w:val="auto"/>
          <w:highlight w:val="none"/>
          <w:u w:val="none" w:color="auto"/>
        </w:rPr>
      </w:pPr>
      <w:bookmarkStart w:id="236" w:name="_Toc23161992"/>
      <w:bookmarkStart w:id="237" w:name="_Toc17190"/>
      <w:r>
        <w:rPr>
          <w:rFonts w:hint="default" w:ascii="Times New Roman" w:hAnsi="Times New Roman" w:cs="Times New Roman"/>
          <w:color w:val="auto"/>
          <w:highlight w:val="none"/>
          <w:u w:val="none" w:color="auto"/>
          <w:lang w:val="en-US" w:eastAsia="zh-CN"/>
        </w:rPr>
        <w:t>11.</w:t>
      </w:r>
      <w:r>
        <w:rPr>
          <w:rFonts w:hint="eastAsia" w:cs="Times New Roman"/>
          <w:color w:val="auto"/>
          <w:highlight w:val="none"/>
          <w:u w:val="none" w:color="auto"/>
          <w:lang w:val="en-US" w:eastAsia="zh-CN"/>
        </w:rPr>
        <w:t>9</w:t>
      </w:r>
      <w:r>
        <w:rPr>
          <w:rFonts w:hint="default" w:ascii="Times New Roman" w:hAnsi="Times New Roman" w:cs="Times New Roman"/>
          <w:color w:val="auto"/>
          <w:highlight w:val="none"/>
          <w:u w:val="none" w:color="auto"/>
          <w:lang w:val="en-US" w:eastAsia="zh-CN"/>
        </w:rPr>
        <w:t xml:space="preserve"> </w:t>
      </w:r>
      <w:r>
        <w:rPr>
          <w:rFonts w:hint="default" w:ascii="Times New Roman" w:hAnsi="Times New Roman" w:cs="Times New Roman"/>
          <w:color w:val="auto"/>
          <w:highlight w:val="none"/>
          <w:u w:val="none" w:color="auto"/>
        </w:rPr>
        <w:t>建议</w:t>
      </w:r>
      <w:bookmarkEnd w:id="236"/>
      <w:bookmarkEnd w:id="237"/>
    </w:p>
    <w:p w14:paraId="7D786530">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污水厂应建立完善的运行机制和规范内部管理，实行岗位责任制，建立和健全各项规章制度和操作规范；定期检查污水处理厂各处理设施的运行情况，确保污水处理厂的正常运行；减少因设备运转不正常造成的资源浪费</w:t>
      </w:r>
    </w:p>
    <w:p w14:paraId="3CEDC964">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2、在厂内设置专用的污泥贮存场所，格栅渣与脱水污泥决不能在露天堆存，格栅渣应随清随运，脱水污泥暂存于污泥贮存间，定期转运；</w:t>
      </w:r>
    </w:p>
    <w:p w14:paraId="3F245C53">
      <w:pPr>
        <w:pStyle w:val="189"/>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3、</w:t>
      </w:r>
      <w:r>
        <w:rPr>
          <w:rFonts w:hint="default" w:ascii="Times New Roman" w:hAnsi="Times New Roman" w:cs="Times New Roman"/>
          <w:color w:val="auto"/>
          <w:highlight w:val="none"/>
          <w:u w:val="none" w:color="auto"/>
          <w:lang w:val="en-US" w:eastAsia="zh-CN"/>
        </w:rPr>
        <w:t>园区</w:t>
      </w:r>
      <w:r>
        <w:rPr>
          <w:rFonts w:hint="default" w:ascii="Times New Roman" w:hAnsi="Times New Roman" w:cs="Times New Roman"/>
          <w:color w:val="auto"/>
          <w:highlight w:val="none"/>
          <w:u w:val="none" w:color="auto"/>
        </w:rPr>
        <w:t>需严格执行区域项目环境准入条件，服务范围内的现有及新建工业污染源产生的污水需达到污水厂接管标准，</w:t>
      </w:r>
      <w:r>
        <w:rPr>
          <w:rFonts w:hint="default" w:ascii="Times New Roman" w:hAnsi="Times New Roman" w:cs="Times New Roman"/>
          <w:color w:val="auto"/>
          <w:highlight w:val="none"/>
          <w:u w:val="none" w:color="auto"/>
          <w:lang w:val="en-US" w:eastAsia="zh-CN"/>
        </w:rPr>
        <w:t>对于废水不能满足污水处理厂进水水质的，严格要求企业设置前端污水处理设施，此外应严格限制高盐废水及对生化阶段产生毒害作用的废水排入本工程，</w:t>
      </w:r>
      <w:r>
        <w:rPr>
          <w:rFonts w:hint="default" w:ascii="Times New Roman" w:hAnsi="Times New Roman" w:cs="Times New Roman"/>
          <w:color w:val="auto"/>
          <w:highlight w:val="none"/>
          <w:u w:val="none" w:color="auto"/>
        </w:rPr>
        <w:t>以避免对污水处理厂运行有破坏性影响。</w:t>
      </w:r>
      <w:bookmarkEnd w:id="210"/>
    </w:p>
    <w:p w14:paraId="7F565E9A">
      <w:pP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br w:type="page"/>
      </w:r>
    </w:p>
    <w:p w14:paraId="5809E29F">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rPr>
          <w:rFonts w:hint="default" w:ascii="Times New Roman" w:hAnsi="Times New Roman" w:eastAsia="宋体" w:cs="Times New Roman"/>
          <w:b/>
          <w:bCs/>
          <w:kern w:val="2"/>
          <w:sz w:val="48"/>
          <w:szCs w:val="48"/>
          <w:lang w:eastAsia="zh-CN"/>
        </w:rPr>
      </w:pPr>
    </w:p>
    <w:p w14:paraId="4F25258E">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rPr>
          <w:rFonts w:hint="default" w:ascii="Times New Roman" w:hAnsi="Times New Roman" w:eastAsia="宋体" w:cs="Times New Roman"/>
          <w:b/>
          <w:bCs/>
          <w:kern w:val="2"/>
          <w:sz w:val="48"/>
          <w:szCs w:val="48"/>
          <w:lang w:eastAsia="zh-CN"/>
        </w:rPr>
      </w:pPr>
    </w:p>
    <w:p w14:paraId="6F25DB39">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rPr>
          <w:rFonts w:hint="default" w:ascii="Times New Roman" w:hAnsi="Times New Roman" w:eastAsia="宋体" w:cs="Times New Roman"/>
          <w:b/>
          <w:bCs/>
          <w:kern w:val="2"/>
          <w:sz w:val="48"/>
          <w:szCs w:val="48"/>
          <w:lang w:eastAsia="zh-CN"/>
        </w:rPr>
      </w:pPr>
    </w:p>
    <w:p w14:paraId="3DBCB5CC">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rPr>
          <w:rFonts w:hint="default" w:ascii="Times New Roman" w:hAnsi="Times New Roman" w:eastAsia="宋体" w:cs="Times New Roman"/>
          <w:b/>
          <w:bCs/>
          <w:kern w:val="2"/>
          <w:sz w:val="48"/>
          <w:szCs w:val="48"/>
          <w:lang w:val="en-US" w:eastAsia="zh-CN"/>
        </w:rPr>
      </w:pPr>
      <w:r>
        <w:rPr>
          <w:rFonts w:hint="default" w:ascii="Times New Roman" w:hAnsi="Times New Roman" w:eastAsia="宋体" w:cs="Times New Roman"/>
          <w:b/>
          <w:bCs/>
          <w:kern w:val="2"/>
          <w:sz w:val="48"/>
          <w:szCs w:val="48"/>
          <w:lang w:eastAsia="zh-CN"/>
        </w:rPr>
        <w:t>大通湖工业园污水处理厂提质改造建设项目</w:t>
      </w:r>
      <w:r>
        <w:rPr>
          <w:rFonts w:hint="default" w:ascii="Times New Roman" w:hAnsi="Times New Roman" w:eastAsia="宋体" w:cs="Times New Roman"/>
          <w:b/>
          <w:bCs/>
          <w:kern w:val="2"/>
          <w:sz w:val="48"/>
          <w:szCs w:val="48"/>
        </w:rPr>
        <w:t>入河排污口设置论证</w:t>
      </w:r>
      <w:r>
        <w:rPr>
          <w:rFonts w:hint="default" w:ascii="Times New Roman" w:hAnsi="Times New Roman" w:eastAsia="宋体" w:cs="Times New Roman"/>
          <w:b/>
          <w:bCs/>
          <w:kern w:val="2"/>
          <w:sz w:val="48"/>
          <w:szCs w:val="48"/>
          <w:lang w:val="en-US" w:eastAsia="zh-CN"/>
        </w:rPr>
        <w:t>专章</w:t>
      </w:r>
    </w:p>
    <w:p w14:paraId="3D0EC8B7">
      <w:pPr>
        <w:autoSpaceDE/>
        <w:autoSpaceDN/>
        <w:adjustRightInd/>
        <w:spacing w:line="240" w:lineRule="auto"/>
        <w:ind w:firstLine="0" w:firstLineChars="0"/>
        <w:jc w:val="center"/>
        <w:rPr>
          <w:rFonts w:hint="default" w:ascii="Times New Roman" w:hAnsi="Times New Roman" w:eastAsia="宋体" w:cs="Times New Roman"/>
          <w:b/>
          <w:bCs/>
          <w:kern w:val="2"/>
          <w:sz w:val="44"/>
        </w:rPr>
      </w:pPr>
    </w:p>
    <w:p w14:paraId="35E02959">
      <w:pPr>
        <w:pStyle w:val="449"/>
        <w:autoSpaceDE/>
        <w:autoSpaceDN/>
        <w:adjustRightInd/>
        <w:rPr>
          <w:rFonts w:hint="default" w:ascii="Times New Roman" w:hAnsi="Times New Roman" w:eastAsia="宋体" w:cs="Times New Roman"/>
        </w:rPr>
      </w:pPr>
    </w:p>
    <w:p w14:paraId="6825A60E">
      <w:pPr>
        <w:pStyle w:val="449"/>
        <w:autoSpaceDE/>
        <w:autoSpaceDN/>
        <w:adjustRightInd/>
        <w:rPr>
          <w:rFonts w:hint="default" w:ascii="Times New Roman" w:hAnsi="Times New Roman" w:eastAsia="宋体" w:cs="Times New Roman"/>
        </w:rPr>
      </w:pPr>
    </w:p>
    <w:p w14:paraId="38CC3B4F">
      <w:pPr>
        <w:pStyle w:val="449"/>
        <w:autoSpaceDE/>
        <w:autoSpaceDN/>
        <w:adjustRightInd/>
        <w:rPr>
          <w:rFonts w:hint="default" w:ascii="Times New Roman" w:hAnsi="Times New Roman" w:eastAsia="宋体" w:cs="Times New Roman"/>
        </w:rPr>
      </w:pPr>
    </w:p>
    <w:p w14:paraId="0F77B145">
      <w:pPr>
        <w:pStyle w:val="449"/>
        <w:autoSpaceDE/>
        <w:autoSpaceDN/>
        <w:adjustRightInd/>
        <w:rPr>
          <w:rFonts w:hint="default" w:ascii="Times New Roman" w:hAnsi="Times New Roman" w:eastAsia="宋体" w:cs="Times New Roman"/>
        </w:rPr>
      </w:pPr>
    </w:p>
    <w:p w14:paraId="005D3F41">
      <w:pPr>
        <w:pStyle w:val="449"/>
        <w:autoSpaceDE/>
        <w:autoSpaceDN/>
        <w:adjustRightInd/>
        <w:rPr>
          <w:rFonts w:hint="default" w:ascii="Times New Roman" w:hAnsi="Times New Roman" w:eastAsia="宋体" w:cs="Times New Roman"/>
        </w:rPr>
      </w:pPr>
    </w:p>
    <w:p w14:paraId="701042AF">
      <w:pPr>
        <w:pStyle w:val="449"/>
        <w:autoSpaceDE/>
        <w:autoSpaceDN/>
        <w:adjustRightInd/>
        <w:rPr>
          <w:rFonts w:hint="default" w:ascii="Times New Roman" w:hAnsi="Times New Roman" w:eastAsia="宋体" w:cs="Times New Roman"/>
        </w:rPr>
      </w:pPr>
    </w:p>
    <w:p w14:paraId="014EA4EC">
      <w:pPr>
        <w:pStyle w:val="449"/>
        <w:autoSpaceDE/>
        <w:autoSpaceDN/>
        <w:adjustRightInd/>
        <w:rPr>
          <w:rFonts w:hint="default" w:ascii="Times New Roman" w:hAnsi="Times New Roman" w:eastAsia="宋体" w:cs="Times New Roman"/>
        </w:rPr>
      </w:pPr>
    </w:p>
    <w:p w14:paraId="49A5C700">
      <w:pPr>
        <w:pStyle w:val="449"/>
        <w:autoSpaceDE/>
        <w:autoSpaceDN/>
        <w:adjustRightInd/>
        <w:rPr>
          <w:rFonts w:hint="default" w:ascii="Times New Roman" w:hAnsi="Times New Roman" w:eastAsia="宋体" w:cs="Times New Roman"/>
        </w:rPr>
      </w:pPr>
    </w:p>
    <w:p w14:paraId="29171CD7">
      <w:pPr>
        <w:pStyle w:val="449"/>
        <w:autoSpaceDE/>
        <w:autoSpaceDN/>
        <w:adjustRightInd/>
        <w:rPr>
          <w:rFonts w:hint="default" w:ascii="Times New Roman" w:hAnsi="Times New Roman" w:eastAsia="宋体" w:cs="Times New Roman"/>
        </w:rPr>
      </w:pPr>
    </w:p>
    <w:p w14:paraId="28D448B0">
      <w:pPr>
        <w:pStyle w:val="449"/>
        <w:autoSpaceDE/>
        <w:autoSpaceDN/>
        <w:adjustRightInd/>
        <w:rPr>
          <w:rFonts w:hint="default" w:ascii="Times New Roman" w:hAnsi="Times New Roman" w:eastAsia="宋体" w:cs="Times New Roman"/>
        </w:rPr>
      </w:pPr>
    </w:p>
    <w:p w14:paraId="38198FE9">
      <w:pPr>
        <w:pStyle w:val="449"/>
        <w:autoSpaceDE/>
        <w:autoSpaceDN/>
        <w:adjustRightInd/>
        <w:rPr>
          <w:rFonts w:hint="default" w:ascii="Times New Roman" w:hAnsi="Times New Roman" w:eastAsia="宋体" w:cs="Times New Roman"/>
        </w:rPr>
      </w:pPr>
    </w:p>
    <w:p w14:paraId="6383AE31">
      <w:pPr>
        <w:pStyle w:val="449"/>
        <w:autoSpaceDE/>
        <w:autoSpaceDN/>
        <w:adjustRightInd/>
        <w:rPr>
          <w:rFonts w:hint="default" w:ascii="Times New Roman" w:hAnsi="Times New Roman" w:eastAsia="宋体" w:cs="Times New Roman"/>
        </w:rPr>
      </w:pPr>
    </w:p>
    <w:p w14:paraId="4FA75AFE">
      <w:pPr>
        <w:pStyle w:val="449"/>
        <w:autoSpaceDE/>
        <w:autoSpaceDN/>
        <w:adjustRightInd/>
        <w:rPr>
          <w:rFonts w:hint="default" w:ascii="Times New Roman" w:hAnsi="Times New Roman" w:eastAsia="宋体" w:cs="Times New Roman"/>
        </w:rPr>
      </w:pPr>
    </w:p>
    <w:p w14:paraId="253B6005">
      <w:pPr>
        <w:rPr>
          <w:rFonts w:hint="default" w:ascii="Times New Roman" w:hAnsi="Times New Roman" w:eastAsia="宋体" w:cs="Times New Roman"/>
          <w:b/>
          <w:bCs/>
          <w:color w:val="000000" w:themeColor="text1"/>
          <w:kern w:val="2"/>
          <w:sz w:val="36"/>
          <w:szCs w:val="36"/>
          <w:u w:val="single"/>
          <w14:textFill>
            <w14:solidFill>
              <w14:schemeClr w14:val="tx1"/>
            </w14:solidFill>
          </w14:textFill>
        </w:rPr>
      </w:pPr>
      <w:bookmarkStart w:id="238" w:name="_Toc31098"/>
      <w:bookmarkStart w:id="239" w:name="_Toc15278"/>
      <w:bookmarkStart w:id="240" w:name="_Toc22649"/>
      <w:bookmarkStart w:id="241" w:name="_Toc18626"/>
      <w:bookmarkStart w:id="242" w:name="_Toc13667"/>
      <w:bookmarkStart w:id="243" w:name="_Toc165"/>
      <w:bookmarkStart w:id="244" w:name="_Toc19971"/>
      <w:bookmarkStart w:id="245" w:name="_Toc1085"/>
      <w:bookmarkStart w:id="246" w:name="_Toc20220"/>
      <w:bookmarkStart w:id="247" w:name="_Toc14667"/>
      <w:bookmarkStart w:id="248" w:name="_Toc26973"/>
      <w:bookmarkStart w:id="249" w:name="_Toc29150"/>
      <w:bookmarkStart w:id="250" w:name="_Toc6529"/>
      <w:bookmarkStart w:id="251" w:name="_Toc9682"/>
      <w:bookmarkStart w:id="252" w:name="_Toc16816"/>
      <w:bookmarkStart w:id="253" w:name="_Toc17400"/>
      <w:r>
        <w:rPr>
          <w:rFonts w:hint="default" w:ascii="Times New Roman" w:hAnsi="Times New Roman" w:eastAsia="宋体" w:cs="Times New Roman"/>
          <w:b/>
          <w:bCs/>
          <w:color w:val="000000" w:themeColor="text1"/>
          <w:kern w:val="2"/>
          <w:sz w:val="36"/>
          <w:szCs w:val="36"/>
          <w:u w:val="single"/>
          <w14:textFill>
            <w14:solidFill>
              <w14:schemeClr w14:val="tx1"/>
            </w14:solidFill>
          </w14:textFill>
        </w:rPr>
        <w:br w:type="page"/>
      </w:r>
    </w:p>
    <w:p w14:paraId="781B25AE">
      <w:pPr>
        <w:autoSpaceDE/>
        <w:autoSpaceDN/>
        <w:adjustRightInd/>
        <w:spacing w:line="240" w:lineRule="auto"/>
        <w:ind w:firstLine="0" w:firstLineChars="0"/>
        <w:jc w:val="center"/>
        <w:rPr>
          <w:rFonts w:hint="default" w:ascii="Times New Roman" w:hAnsi="Times New Roman" w:eastAsia="宋体" w:cs="Times New Roman"/>
          <w:b/>
          <w:bCs/>
          <w:color w:val="000000" w:themeColor="text1"/>
          <w:kern w:val="2"/>
          <w:sz w:val="36"/>
          <w:szCs w:val="36"/>
          <w:u w:val="single"/>
          <w:lang w:eastAsia="zh-CN"/>
          <w14:textFill>
            <w14:solidFill>
              <w14:schemeClr w14:val="tx1"/>
            </w14:solidFill>
          </w14:textFill>
        </w:rPr>
      </w:pPr>
      <w:r>
        <w:rPr>
          <w:rFonts w:hint="default" w:ascii="Times New Roman" w:hAnsi="Times New Roman" w:eastAsia="宋体" w:cs="Times New Roman"/>
          <w:b/>
          <w:bCs/>
          <w:color w:val="000000" w:themeColor="text1"/>
          <w:kern w:val="2"/>
          <w:sz w:val="36"/>
          <w:szCs w:val="36"/>
          <w:u w:val="single"/>
          <w14:textFill>
            <w14:solidFill>
              <w14:schemeClr w14:val="tx1"/>
            </w14:solidFill>
          </w14:textFill>
        </w:rPr>
        <w:t>入河排污口设置</w:t>
      </w:r>
      <w:r>
        <w:rPr>
          <w:rFonts w:hint="default" w:ascii="Times New Roman" w:hAnsi="Times New Roman" w:eastAsia="宋体" w:cs="Times New Roman"/>
          <w:b/>
          <w:bCs/>
          <w:color w:val="000000" w:themeColor="text1"/>
          <w:kern w:val="2"/>
          <w:sz w:val="36"/>
          <w:szCs w:val="36"/>
          <w:u w:val="single"/>
          <w:lang w:val="en-US" w:eastAsia="zh-CN"/>
          <w14:textFill>
            <w14:solidFill>
              <w14:schemeClr w14:val="tx1"/>
            </w14:solidFill>
          </w14:textFill>
        </w:rPr>
        <w:t>申请书</w:t>
      </w:r>
    </w:p>
    <w:tbl>
      <w:tblPr>
        <w:tblStyle w:val="76"/>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0"/>
        <w:gridCol w:w="706"/>
        <w:gridCol w:w="430"/>
        <w:gridCol w:w="1275"/>
        <w:gridCol w:w="1276"/>
        <w:gridCol w:w="1559"/>
        <w:gridCol w:w="1560"/>
      </w:tblGrid>
      <w:tr w14:paraId="5077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noWrap w:val="0"/>
            <w:vAlign w:val="center"/>
          </w:tcPr>
          <w:p w14:paraId="372DB0CE">
            <w:pPr>
              <w:keepNext w:val="0"/>
              <w:keepLines w:val="0"/>
              <w:widowControl w:val="0"/>
              <w:suppressLineNumbers w:val="0"/>
              <w:tabs>
                <w:tab w:val="left" w:pos="-2486"/>
              </w:tabs>
              <w:spacing w:before="0" w:beforeAutospacing="0" w:after="120" w:afterAutospacing="0" w:line="360" w:lineRule="exact"/>
              <w:ind w:left="0" w:leftChars="0" w:right="0" w:firstLine="0" w:firstLineChars="0"/>
              <w:jc w:val="cente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eastAsia" w:cs="Times New Roman"/>
                <w:color w:val="000000" w:themeColor="text1"/>
                <w:kern w:val="2"/>
                <w:sz w:val="21"/>
                <w:szCs w:val="21"/>
                <w:u w:val="single"/>
                <w:lang w:val="en-US" w:eastAsia="zh-CN" w:bidi="ar-SA"/>
                <w14:textFill>
                  <w14:solidFill>
                    <w14:schemeClr w14:val="tx1"/>
                  </w14:solidFill>
                </w14:textFill>
              </w:rPr>
              <w:t>入河排污口名称</w:t>
            </w:r>
          </w:p>
        </w:tc>
        <w:tc>
          <w:tcPr>
            <w:tcW w:w="6806" w:type="dxa"/>
            <w:gridSpan w:val="6"/>
            <w:noWrap w:val="0"/>
            <w:vAlign w:val="center"/>
          </w:tcPr>
          <w:p w14:paraId="111413F1">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lang w:val="en-US" w:eastAsia="zh-CN"/>
                <w14:textFill>
                  <w14:solidFill>
                    <w14:schemeClr w14:val="tx1"/>
                  </w14:solidFill>
                </w14:textFill>
              </w:rPr>
            </w:pPr>
            <w:r>
              <w:rPr>
                <w:rFonts w:hint="eastAsia" w:cs="Times New Roman"/>
                <w:color w:val="000000" w:themeColor="text1"/>
                <w:kern w:val="2"/>
                <w:sz w:val="21"/>
                <w:szCs w:val="20"/>
                <w:u w:val="single"/>
                <w:lang w:val="en-US" w:eastAsia="zh-CN"/>
                <w14:textFill>
                  <w14:solidFill>
                    <w14:schemeClr w14:val="tx1"/>
                  </w14:solidFill>
                </w14:textFill>
              </w:rPr>
              <w:t>大通湖工业园污水处理厂入河排污口</w:t>
            </w:r>
          </w:p>
        </w:tc>
      </w:tr>
      <w:tr w14:paraId="2800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noWrap w:val="0"/>
            <w:vAlign w:val="center"/>
          </w:tcPr>
          <w:p w14:paraId="035B64FF">
            <w:pPr>
              <w:keepNext w:val="0"/>
              <w:keepLines w:val="0"/>
              <w:widowControl w:val="0"/>
              <w:suppressLineNumbers w:val="0"/>
              <w:tabs>
                <w:tab w:val="left" w:pos="-2486"/>
              </w:tabs>
              <w:spacing w:before="0" w:beforeAutospacing="0" w:after="120" w:afterAutospacing="0" w:line="360" w:lineRule="exact"/>
              <w:ind w:left="0" w:leftChars="0" w:right="0" w:firstLine="0" w:firstLineChars="0"/>
              <w:jc w:val="cente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br w:type="page"/>
            </w: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入河排污口类型</w:t>
            </w:r>
          </w:p>
        </w:tc>
        <w:tc>
          <w:tcPr>
            <w:tcW w:w="6806" w:type="dxa"/>
            <w:gridSpan w:val="6"/>
            <w:noWrap w:val="0"/>
            <w:vAlign w:val="center"/>
          </w:tcPr>
          <w:p w14:paraId="491CCBF0">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u w:val="single"/>
                <w14:textFill>
                  <w14:solidFill>
                    <w14:schemeClr w14:val="tx1"/>
                  </w14:solidFill>
                </w14:textFill>
              </w:rPr>
            </w:pPr>
            <w:bookmarkStart w:id="254" w:name="OLE_LINK3"/>
            <w:bookmarkStart w:id="255" w:name="OLE_LINK2"/>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u w:val="single"/>
                <w14:textFill>
                  <w14:solidFill>
                    <w14:schemeClr w14:val="tx1"/>
                  </w14:solidFill>
                </w14:textFill>
              </w:rPr>
              <w:t>工矿企业入河排污口</w:t>
            </w:r>
            <w:bookmarkEnd w:id="254"/>
            <w:bookmarkEnd w:id="255"/>
          </w:p>
          <w:p w14:paraId="05FA53C6">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u w:val="single"/>
                <w14:textFill>
                  <w14:solidFill>
                    <w14:schemeClr w14:val="tx1"/>
                  </w14:solidFill>
                </w14:textFill>
              </w:rPr>
            </w:pPr>
            <w:bookmarkStart w:id="256" w:name="OLE_LINK1"/>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52"/>
            </w:r>
            <w:r>
              <w:rPr>
                <w:rFonts w:hint="default" w:ascii="Times New Roman" w:hAnsi="Times New Roman" w:eastAsia="宋体" w:cs="Times New Roman"/>
                <w:color w:val="000000" w:themeColor="text1"/>
                <w:kern w:val="2"/>
                <w:sz w:val="21"/>
                <w:u w:val="single"/>
                <w14:textFill>
                  <w14:solidFill>
                    <w14:schemeClr w14:val="tx1"/>
                  </w14:solidFill>
                </w14:textFill>
              </w:rPr>
              <w:t>工业及其他各类园区污水处理厂入河排污口</w:t>
            </w:r>
          </w:p>
          <w:bookmarkEnd w:id="256"/>
          <w:p w14:paraId="79B7F760">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u w:val="single"/>
                <w14:textFill>
                  <w14:solidFill>
                    <w14:schemeClr w14:val="tx1"/>
                  </w14:solidFill>
                </w14:textFill>
              </w:rPr>
              <w:t>城镇污水处理厂入河排污口</w:t>
            </w:r>
          </w:p>
          <w:p w14:paraId="486A4954">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0"/>
                <w:u w:val="single"/>
                <w14:textFill>
                  <w14:solidFill>
                    <w14:schemeClr w14:val="tx1"/>
                  </w14:solidFill>
                </w14:textFill>
              </w:rPr>
              <w:t>其他参照上述管理的入河排污口</w:t>
            </w:r>
            <w:r>
              <w:rPr>
                <w:rFonts w:hint="default" w:ascii="Times New Roman" w:hAnsi="Times New Roman" w:eastAsia="宋体" w:cs="Times New Roman"/>
                <w:color w:val="000000" w:themeColor="text1"/>
                <w:kern w:val="2"/>
                <w:sz w:val="21"/>
                <w:szCs w:val="21"/>
                <w:u w:val="single"/>
                <w14:textFill>
                  <w14:solidFill>
                    <w14:schemeClr w14:val="tx1"/>
                  </w14:solidFill>
                </w14:textFill>
              </w:rPr>
              <w:t xml:space="preserve">              </w:t>
            </w:r>
          </w:p>
        </w:tc>
      </w:tr>
      <w:tr w14:paraId="2EEB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20" w:type="dxa"/>
            <w:noWrap w:val="0"/>
            <w:vAlign w:val="center"/>
          </w:tcPr>
          <w:p w14:paraId="29154F0E">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设置（申请）类型</w:t>
            </w:r>
          </w:p>
        </w:tc>
        <w:tc>
          <w:tcPr>
            <w:tcW w:w="6806" w:type="dxa"/>
            <w:gridSpan w:val="6"/>
            <w:noWrap w:val="0"/>
            <w:vAlign w:val="center"/>
          </w:tcPr>
          <w:p w14:paraId="14D2D21D">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1"/>
                <w:u w:val="single"/>
                <w14:textFill>
                  <w14:solidFill>
                    <w14:schemeClr w14:val="tx1"/>
                  </w14:solidFill>
                </w14:textFill>
              </w:rPr>
              <w:t>新设</w:t>
            </w:r>
            <w:r>
              <w:rPr>
                <w:rFonts w:hint="default" w:ascii="Times New Roman" w:hAnsi="Times New Roman" w:eastAsia="宋体" w:cs="Times New Roman"/>
                <w:color w:val="000000" w:themeColor="text1"/>
                <w:kern w:val="2"/>
                <w:sz w:val="21"/>
                <w:szCs w:val="20"/>
                <w:u w:val="single"/>
                <w14:textFill>
                  <w14:solidFill>
                    <w14:schemeClr w14:val="tx1"/>
                  </w14:solidFill>
                </w14:textFill>
              </w:rPr>
              <w:t xml:space="preserve">  </w:t>
            </w: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1"/>
                <w:u w:val="single"/>
                <w14:textFill>
                  <w14:solidFill>
                    <w14:schemeClr w14:val="tx1"/>
                  </w14:solidFill>
                </w14:textFill>
              </w:rPr>
              <w:t>改设</w:t>
            </w:r>
            <w:r>
              <w:rPr>
                <w:rFonts w:hint="default" w:ascii="Times New Roman" w:hAnsi="Times New Roman" w:eastAsia="宋体" w:cs="Times New Roman"/>
                <w:color w:val="000000" w:themeColor="text1"/>
                <w:kern w:val="2"/>
                <w:sz w:val="21"/>
                <w:szCs w:val="20"/>
                <w:u w:val="single"/>
                <w14:textFill>
                  <w14:solidFill>
                    <w14:schemeClr w14:val="tx1"/>
                  </w14:solidFill>
                </w14:textFill>
              </w:rPr>
              <w:t xml:space="preserve">  </w:t>
            </w: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52"/>
            </w:r>
            <w:r>
              <w:rPr>
                <w:rFonts w:hint="default" w:ascii="Times New Roman" w:hAnsi="Times New Roman" w:eastAsia="宋体" w:cs="Times New Roman"/>
                <w:color w:val="000000" w:themeColor="text1"/>
                <w:kern w:val="2"/>
                <w:sz w:val="21"/>
                <w:szCs w:val="21"/>
                <w:u w:val="single"/>
                <w14:textFill>
                  <w14:solidFill>
                    <w14:schemeClr w14:val="tx1"/>
                  </w14:solidFill>
                </w14:textFill>
              </w:rPr>
              <w:t>扩大</w:t>
            </w:r>
            <w:r>
              <w:rPr>
                <w:rFonts w:hint="default" w:ascii="Times New Roman" w:hAnsi="Times New Roman" w:eastAsia="宋体" w:cs="Times New Roman"/>
                <w:color w:val="000000" w:themeColor="text1"/>
                <w:kern w:val="2"/>
                <w:sz w:val="21"/>
                <w:szCs w:val="20"/>
                <w:u w:val="single"/>
                <w14:textFill>
                  <w14:solidFill>
                    <w14:schemeClr w14:val="tx1"/>
                  </w14:solidFill>
                </w14:textFill>
              </w:rPr>
              <w:t xml:space="preserve">  </w:t>
            </w:r>
          </w:p>
        </w:tc>
      </w:tr>
      <w:tr w14:paraId="6A34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20" w:type="dxa"/>
            <w:noWrap w:val="0"/>
            <w:vAlign w:val="center"/>
          </w:tcPr>
          <w:p w14:paraId="7F72C79C">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入河排污口编码</w:t>
            </w:r>
          </w:p>
        </w:tc>
        <w:tc>
          <w:tcPr>
            <w:tcW w:w="6806" w:type="dxa"/>
            <w:gridSpan w:val="6"/>
            <w:noWrap w:val="0"/>
            <w:vAlign w:val="center"/>
          </w:tcPr>
          <w:p w14:paraId="699D23EA">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0"/>
                <w:u w:val="single"/>
                <w:lang w:val="en-US" w:eastAsia="zh-CN"/>
                <w14:textFill>
                  <w14:solidFill>
                    <w14:schemeClr w14:val="tx1"/>
                  </w14:solidFill>
                </w14:textFill>
              </w:rPr>
              <w:t>FF4309710021GY00</w:t>
            </w:r>
          </w:p>
        </w:tc>
      </w:tr>
      <w:tr w14:paraId="5FBE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26" w:type="dxa"/>
            <w:gridSpan w:val="7"/>
            <w:noWrap w:val="0"/>
            <w:vAlign w:val="center"/>
          </w:tcPr>
          <w:p w14:paraId="280A67FB">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责任主体基本信息</w:t>
            </w:r>
          </w:p>
        </w:tc>
      </w:tr>
      <w:tr w14:paraId="141E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26" w:type="dxa"/>
            <w:gridSpan w:val="7"/>
            <w:noWrap w:val="0"/>
            <w:vAlign w:val="center"/>
          </w:tcPr>
          <w:p w14:paraId="7B1C8B3F">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0"/>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责任主体（申请单位）名称：</w:t>
            </w:r>
            <w:bookmarkStart w:id="257" w:name="OLE_LINK5"/>
            <w:r>
              <w:rPr>
                <w:rFonts w:hint="default" w:ascii="Times New Roman" w:hAnsi="Times New Roman" w:eastAsia="宋体" w:cs="Times New Roman"/>
                <w:color w:val="000000" w:themeColor="text1"/>
                <w:kern w:val="2"/>
                <w:sz w:val="21"/>
                <w:highlight w:val="none"/>
                <w:u w:val="single"/>
                <w:lang w:eastAsia="zh-CN"/>
                <w14:textFill>
                  <w14:solidFill>
                    <w14:schemeClr w14:val="tx1"/>
                  </w14:solidFill>
                </w14:textFill>
              </w:rPr>
              <w:t>大通湖产业发展中心</w:t>
            </w:r>
            <w:r>
              <w:rPr>
                <w:rFonts w:hint="default" w:ascii="Times New Roman" w:hAnsi="Times New Roman" w:eastAsia="宋体" w:cs="Times New Roman"/>
                <w:color w:val="000000" w:themeColor="text1"/>
                <w:kern w:val="2"/>
                <w:sz w:val="21"/>
                <w:szCs w:val="20"/>
                <w:u w:val="single"/>
                <w14:textFill>
                  <w14:solidFill>
                    <w14:schemeClr w14:val="tx1"/>
                  </w14:solidFill>
                </w14:textFill>
              </w:rPr>
              <w:t xml:space="preserve"> </w:t>
            </w:r>
            <w:bookmarkEnd w:id="257"/>
            <w:r>
              <w:rPr>
                <w:rFonts w:hint="default" w:ascii="Times New Roman" w:hAnsi="Times New Roman" w:eastAsia="宋体" w:cs="Times New Roman"/>
                <w:color w:val="000000" w:themeColor="text1"/>
                <w:kern w:val="2"/>
                <w:sz w:val="21"/>
                <w:szCs w:val="20"/>
                <w:u w:val="single"/>
                <w14:textFill>
                  <w14:solidFill>
                    <w14:schemeClr w14:val="tx1"/>
                  </w14:solidFill>
                </w14:textFill>
              </w:rPr>
              <w:t xml:space="preserve"> </w:t>
            </w:r>
          </w:p>
        </w:tc>
      </w:tr>
      <w:tr w14:paraId="0258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26" w:type="dxa"/>
            <w:gridSpan w:val="2"/>
            <w:noWrap w:val="0"/>
            <w:vAlign w:val="center"/>
          </w:tcPr>
          <w:p w14:paraId="1E91B6E7">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详细地址</w:t>
            </w:r>
          </w:p>
        </w:tc>
        <w:tc>
          <w:tcPr>
            <w:tcW w:w="6100" w:type="dxa"/>
            <w:gridSpan w:val="5"/>
            <w:noWrap w:val="0"/>
            <w:vAlign w:val="center"/>
          </w:tcPr>
          <w:p w14:paraId="2796E95E">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0"/>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湖南 省（自治区、直辖市） 益阳 市（州、盟）</w:t>
            </w:r>
            <w:r>
              <w:rPr>
                <w:rFonts w:hint="default" w:ascii="Times New Roman" w:hAnsi="Times New Roman" w:eastAsia="宋体" w:cs="Times New Roman"/>
                <w:color w:val="000000" w:themeColor="text1"/>
                <w:kern w:val="2"/>
                <w:sz w:val="21"/>
                <w:szCs w:val="21"/>
                <w:u w:val="single"/>
                <w:lang w:val="en-US" w:eastAsia="zh-CN"/>
                <w14:textFill>
                  <w14:solidFill>
                    <w14:schemeClr w14:val="tx1"/>
                  </w14:solidFill>
                </w14:textFill>
              </w:rPr>
              <w:t>大通湖区</w:t>
            </w:r>
            <w:r>
              <w:rPr>
                <w:rFonts w:hint="default" w:ascii="Times New Roman" w:hAnsi="Times New Roman" w:eastAsia="宋体" w:cs="Times New Roman"/>
                <w:color w:val="000000" w:themeColor="text1"/>
                <w:kern w:val="2"/>
                <w:sz w:val="21"/>
                <w:szCs w:val="21"/>
                <w:u w:val="single"/>
                <w14:textFill>
                  <w14:solidFill>
                    <w14:schemeClr w14:val="tx1"/>
                  </w14:solidFill>
                </w14:textFill>
              </w:rPr>
              <w:t xml:space="preserve">（区、旗）  </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河坝</w:t>
            </w:r>
            <w:r>
              <w:rPr>
                <w:rFonts w:hint="default" w:ascii="Times New Roman" w:hAnsi="Times New Roman" w:eastAsia="宋体" w:cs="Times New Roman"/>
                <w:color w:val="000000" w:themeColor="text1"/>
                <w:kern w:val="2"/>
                <w:sz w:val="21"/>
                <w:szCs w:val="21"/>
                <w:u w:val="single"/>
                <w:lang w:val="en-US" w:eastAsia="zh-CN"/>
                <w14:textFill>
                  <w14:solidFill>
                    <w14:schemeClr w14:val="tx1"/>
                  </w14:solidFill>
                </w14:textFill>
              </w:rPr>
              <w:t>镇</w:t>
            </w:r>
            <w:r>
              <w:rPr>
                <w:rFonts w:hint="default" w:ascii="Times New Roman" w:hAnsi="Times New Roman" w:eastAsia="宋体" w:cs="Times New Roman"/>
                <w:color w:val="000000" w:themeColor="text1"/>
                <w:kern w:val="2"/>
                <w:sz w:val="21"/>
                <w:szCs w:val="21"/>
                <w:u w:val="single"/>
                <w14:textFill>
                  <w14:solidFill>
                    <w14:schemeClr w14:val="tx1"/>
                  </w14:solidFill>
                </w14:textFill>
              </w:rPr>
              <w:t xml:space="preserve"> （镇、街道）</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文化北路498号</w:t>
            </w:r>
            <w:r>
              <w:rPr>
                <w:rFonts w:hint="default" w:ascii="Times New Roman" w:hAnsi="Times New Roman" w:eastAsia="宋体" w:cs="Times New Roman"/>
                <w:color w:val="000000" w:themeColor="text1"/>
                <w:kern w:val="2"/>
                <w:sz w:val="21"/>
                <w:szCs w:val="21"/>
                <w:u w:val="single"/>
                <w14:textFill>
                  <w14:solidFill>
                    <w14:schemeClr w14:val="tx1"/>
                  </w14:solidFill>
                </w14:textFill>
              </w:rPr>
              <w:t xml:space="preserve"> </w:t>
            </w:r>
          </w:p>
        </w:tc>
      </w:tr>
      <w:tr w14:paraId="0E38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26" w:type="dxa"/>
            <w:gridSpan w:val="2"/>
            <w:noWrap w:val="0"/>
            <w:vAlign w:val="center"/>
          </w:tcPr>
          <w:p w14:paraId="5C85F0CF">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统一社会信用代码</w:t>
            </w:r>
          </w:p>
        </w:tc>
        <w:tc>
          <w:tcPr>
            <w:tcW w:w="6100" w:type="dxa"/>
            <w:gridSpan w:val="5"/>
            <w:noWrap w:val="0"/>
            <w:vAlign w:val="center"/>
          </w:tcPr>
          <w:p w14:paraId="0B3FC186">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u w:val="single"/>
                <w:lang w:eastAsia="zh-CN"/>
                <w14:textFill>
                  <w14:solidFill>
                    <w14:schemeClr w14:val="tx1"/>
                  </w14:solidFill>
                </w14:textFill>
              </w:rPr>
            </w:pPr>
            <w:r>
              <w:rPr>
                <w:rFonts w:hint="default" w:ascii="Times New Roman" w:hAnsi="Times New Roman" w:eastAsia="宋体" w:cs="Times New Roman"/>
                <w:color w:val="000000" w:themeColor="text1"/>
                <w:kern w:val="2"/>
                <w:sz w:val="21"/>
                <w:u w:val="single"/>
                <w14:textFill>
                  <w14:solidFill>
                    <w14:schemeClr w14:val="tx1"/>
                  </w14:solidFill>
                </w14:textFill>
              </w:rPr>
              <w:t>12430904MB1U68071U</w:t>
            </w:r>
          </w:p>
        </w:tc>
      </w:tr>
      <w:tr w14:paraId="18BA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26" w:type="dxa"/>
            <w:gridSpan w:val="2"/>
            <w:noWrap w:val="0"/>
            <w:vAlign w:val="center"/>
          </w:tcPr>
          <w:p w14:paraId="36DC5460">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法定代表人及联系电话</w:t>
            </w:r>
          </w:p>
        </w:tc>
        <w:tc>
          <w:tcPr>
            <w:tcW w:w="6100" w:type="dxa"/>
            <w:gridSpan w:val="5"/>
            <w:noWrap w:val="0"/>
            <w:vAlign w:val="center"/>
          </w:tcPr>
          <w:p w14:paraId="5AF79C61">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u w:val="single"/>
                <w14:textFill>
                  <w14:solidFill>
                    <w14:schemeClr w14:val="tx1"/>
                  </w14:solidFill>
                </w14:textFill>
              </w:rPr>
            </w:pPr>
            <w:r>
              <w:rPr>
                <w:rFonts w:hint="default" w:ascii="Times New Roman" w:hAnsi="Times New Roman" w:eastAsia="宋体" w:cs="Times New Roman"/>
                <w:color w:val="000000" w:themeColor="text1"/>
                <w:kern w:val="2"/>
                <w:sz w:val="21"/>
                <w:u w:val="single"/>
                <w14:textFill>
                  <w14:solidFill>
                    <w14:schemeClr w14:val="tx1"/>
                  </w14:solidFill>
                </w14:textFill>
              </w:rPr>
              <w:t>姓名：</w:t>
            </w:r>
            <w:r>
              <w:rPr>
                <w:rFonts w:hint="default" w:ascii="Times New Roman" w:hAnsi="Times New Roman" w:eastAsia="宋体" w:cs="Times New Roman"/>
                <w:color w:val="000000" w:themeColor="text1"/>
                <w:kern w:val="2"/>
                <w:sz w:val="21"/>
                <w:u w:val="single"/>
                <w:lang w:val="en-US" w:eastAsia="zh-CN"/>
                <w14:textFill>
                  <w14:solidFill>
                    <w14:schemeClr w14:val="tx1"/>
                  </w14:solidFill>
                </w14:textFill>
              </w:rPr>
              <w:t>伍杰</w:t>
            </w:r>
            <w:r>
              <w:rPr>
                <w:rFonts w:hint="default" w:ascii="Times New Roman" w:hAnsi="Times New Roman" w:eastAsia="宋体" w:cs="Times New Roman"/>
                <w:color w:val="000000" w:themeColor="text1"/>
                <w:kern w:val="2"/>
                <w:sz w:val="21"/>
                <w:u w:val="single"/>
                <w14:textFill>
                  <w14:solidFill>
                    <w14:schemeClr w14:val="tx1"/>
                  </w14:solidFill>
                </w14:textFill>
              </w:rPr>
              <w:t xml:space="preserve">   </w:t>
            </w:r>
            <w:r>
              <w:rPr>
                <w:rFonts w:hint="default" w:ascii="Times New Roman" w:hAnsi="Times New Roman" w:eastAsia="宋体" w:cs="Times New Roman"/>
                <w:color w:val="000000" w:themeColor="text1"/>
                <w:kern w:val="2"/>
                <w:sz w:val="21"/>
                <w:u w:val="single"/>
                <w:lang w:val="en"/>
                <w14:textFill>
                  <w14:solidFill>
                    <w14:schemeClr w14:val="tx1"/>
                  </w14:solidFill>
                </w14:textFill>
              </w:rPr>
              <w:t xml:space="preserve">  </w:t>
            </w:r>
            <w:r>
              <w:rPr>
                <w:rFonts w:hint="default" w:ascii="Times New Roman" w:hAnsi="Times New Roman" w:eastAsia="宋体" w:cs="Times New Roman"/>
                <w:color w:val="000000" w:themeColor="text1"/>
                <w:kern w:val="2"/>
                <w:sz w:val="21"/>
                <w:u w:val="single"/>
                <w14:textFill>
                  <w14:solidFill>
                    <w14:schemeClr w14:val="tx1"/>
                  </w14:solidFill>
                </w14:textFill>
              </w:rPr>
              <w:t xml:space="preserve">      </w:t>
            </w:r>
            <w:r>
              <w:rPr>
                <w:rFonts w:hint="default" w:ascii="Times New Roman" w:hAnsi="Times New Roman" w:eastAsia="宋体" w:cs="Times New Roman"/>
                <w:color w:val="000000" w:themeColor="text1"/>
                <w:kern w:val="2"/>
                <w:sz w:val="21"/>
                <w:szCs w:val="21"/>
                <w:u w:val="single"/>
                <w14:textFill>
                  <w14:solidFill>
                    <w14:schemeClr w14:val="tx1"/>
                  </w14:solidFill>
                </w14:textFill>
              </w:rPr>
              <w:t>联系电话：13875395037</w:t>
            </w:r>
          </w:p>
        </w:tc>
      </w:tr>
      <w:tr w14:paraId="4C81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26" w:type="dxa"/>
            <w:gridSpan w:val="2"/>
            <w:noWrap w:val="0"/>
            <w:vAlign w:val="center"/>
          </w:tcPr>
          <w:p w14:paraId="66440737">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行业类别</w:t>
            </w:r>
          </w:p>
        </w:tc>
        <w:tc>
          <w:tcPr>
            <w:tcW w:w="6100" w:type="dxa"/>
            <w:gridSpan w:val="5"/>
            <w:noWrap w:val="0"/>
            <w:vAlign w:val="center"/>
          </w:tcPr>
          <w:p w14:paraId="4B975AEC">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u w:val="single"/>
                <w:lang w:val="en-US" w:eastAsia="zh-CN"/>
                <w14:textFill>
                  <w14:solidFill>
                    <w14:schemeClr w14:val="tx1"/>
                  </w14:solidFill>
                </w14:textFill>
              </w:rPr>
              <w:t>D4620污水出来及其再生利用</w:t>
            </w:r>
          </w:p>
        </w:tc>
      </w:tr>
      <w:tr w14:paraId="2D11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26" w:type="dxa"/>
            <w:gridSpan w:val="2"/>
            <w:noWrap w:val="0"/>
            <w:vAlign w:val="center"/>
          </w:tcPr>
          <w:p w14:paraId="29DC2298">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排放标准</w:t>
            </w:r>
          </w:p>
        </w:tc>
        <w:tc>
          <w:tcPr>
            <w:tcW w:w="6100" w:type="dxa"/>
            <w:gridSpan w:val="5"/>
            <w:noWrap w:val="0"/>
            <w:vAlign w:val="center"/>
          </w:tcPr>
          <w:p w14:paraId="3FB7A36E">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u w:val="single"/>
                <w14:textFill>
                  <w14:solidFill>
                    <w14:schemeClr w14:val="tx1"/>
                  </w14:solidFill>
                </w14:textFill>
              </w:rPr>
            </w:pPr>
            <w:r>
              <w:rPr>
                <w:rFonts w:hint="default" w:ascii="Times New Roman" w:hAnsi="Times New Roman" w:eastAsia="宋体" w:cs="Times New Roman"/>
                <w:color w:val="000000" w:themeColor="text1"/>
                <w:kern w:val="2"/>
                <w:sz w:val="21"/>
                <w:u w:val="single"/>
                <w14:textFill>
                  <w14:solidFill>
                    <w14:schemeClr w14:val="tx1"/>
                  </w14:solidFill>
                </w14:textFill>
              </w:rPr>
              <w:t>《城镇污水处理厂污染物排放标准》（GB18918-2002）一级A标准</w:t>
            </w:r>
          </w:p>
        </w:tc>
      </w:tr>
      <w:tr w14:paraId="695A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26" w:type="dxa"/>
            <w:gridSpan w:val="2"/>
            <w:noWrap w:val="0"/>
            <w:vAlign w:val="center"/>
          </w:tcPr>
          <w:p w14:paraId="47C731DD">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排污许可证或排污登记编号</w:t>
            </w:r>
          </w:p>
        </w:tc>
        <w:tc>
          <w:tcPr>
            <w:tcW w:w="6100" w:type="dxa"/>
            <w:gridSpan w:val="5"/>
            <w:noWrap w:val="0"/>
            <w:vAlign w:val="center"/>
          </w:tcPr>
          <w:p w14:paraId="112508F7">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u w:val="single"/>
                <w14:textFill>
                  <w14:solidFill>
                    <w14:schemeClr w14:val="tx1"/>
                  </w14:solidFill>
                </w14:textFill>
              </w:rPr>
            </w:pPr>
            <w:r>
              <w:rPr>
                <w:rFonts w:hint="default" w:ascii="Times New Roman" w:hAnsi="Times New Roman" w:eastAsia="宋体" w:cs="Times New Roman"/>
                <w:color w:val="000000" w:themeColor="text1"/>
                <w:kern w:val="2"/>
                <w:sz w:val="21"/>
                <w:u w:val="single"/>
                <w14:textFill>
                  <w14:solidFill>
                    <w14:schemeClr w14:val="tx1"/>
                  </w14:solidFill>
                </w14:textFill>
              </w:rPr>
              <w:t>9143011107919744XK001R</w:t>
            </w:r>
          </w:p>
        </w:tc>
      </w:tr>
      <w:tr w14:paraId="4107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vMerge w:val="restart"/>
            <w:noWrap w:val="0"/>
            <w:vAlign w:val="center"/>
          </w:tcPr>
          <w:p w14:paraId="3FB89F14">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入河排污口</w:t>
            </w:r>
          </w:p>
          <w:p w14:paraId="0ACB852C">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设置地点</w:t>
            </w:r>
          </w:p>
        </w:tc>
        <w:tc>
          <w:tcPr>
            <w:tcW w:w="6806" w:type="dxa"/>
            <w:gridSpan w:val="6"/>
            <w:noWrap w:val="0"/>
            <w:vAlign w:val="center"/>
          </w:tcPr>
          <w:p w14:paraId="2AB419E8">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所在行政区域：  湖南  省（自治区、直辖市） 益阳</w:t>
            </w:r>
            <w:r>
              <w:rPr>
                <w:rFonts w:hint="eastAsia" w:cs="Times New Roman"/>
                <w:color w:val="000000" w:themeColor="text1"/>
                <w:kern w:val="2"/>
                <w:sz w:val="21"/>
                <w:szCs w:val="21"/>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2"/>
                <w:sz w:val="21"/>
                <w:szCs w:val="21"/>
                <w:u w:val="single"/>
                <w14:textFill>
                  <w14:solidFill>
                    <w14:schemeClr w14:val="tx1"/>
                  </w14:solidFill>
                </w14:textFill>
              </w:rPr>
              <w:t>市（州、盟）</w:t>
            </w:r>
            <w:r>
              <w:rPr>
                <w:rFonts w:hint="default" w:ascii="Times New Roman" w:hAnsi="Times New Roman" w:eastAsia="宋体" w:cs="Times New Roman"/>
                <w:color w:val="000000" w:themeColor="text1"/>
                <w:kern w:val="2"/>
                <w:sz w:val="21"/>
                <w:szCs w:val="21"/>
                <w:u w:val="single"/>
                <w:lang w:val="en-US" w:eastAsia="zh-CN"/>
                <w14:textFill>
                  <w14:solidFill>
                    <w14:schemeClr w14:val="tx1"/>
                  </w14:solidFill>
                </w14:textFill>
              </w:rPr>
              <w:t>大通湖</w:t>
            </w:r>
            <w:r>
              <w:rPr>
                <w:rFonts w:hint="default" w:ascii="Times New Roman" w:hAnsi="Times New Roman" w:eastAsia="宋体" w:cs="Times New Roman"/>
                <w:color w:val="000000" w:themeColor="text1"/>
                <w:kern w:val="2"/>
                <w:sz w:val="21"/>
                <w:szCs w:val="21"/>
                <w:u w:val="single"/>
                <w14:textFill>
                  <w14:solidFill>
                    <w14:schemeClr w14:val="tx1"/>
                  </w14:solidFill>
                </w14:textFill>
              </w:rPr>
              <w:t>（区、旗） 河坝</w:t>
            </w:r>
            <w:r>
              <w:rPr>
                <w:rFonts w:hint="default" w:ascii="Times New Roman" w:hAnsi="Times New Roman" w:eastAsia="宋体" w:cs="Times New Roman"/>
                <w:color w:val="000000" w:themeColor="text1"/>
                <w:kern w:val="2"/>
                <w:sz w:val="21"/>
                <w:szCs w:val="21"/>
                <w:u w:val="single"/>
                <w:lang w:val="en-US" w:eastAsia="zh-CN"/>
                <w14:textFill>
                  <w14:solidFill>
                    <w14:schemeClr w14:val="tx1"/>
                  </w14:solidFill>
                </w14:textFill>
              </w:rPr>
              <w:t>镇</w:t>
            </w:r>
            <w:r>
              <w:rPr>
                <w:rFonts w:hint="default" w:ascii="Times New Roman" w:hAnsi="Times New Roman" w:eastAsia="宋体" w:cs="Times New Roman"/>
                <w:color w:val="000000" w:themeColor="text1"/>
                <w:kern w:val="2"/>
                <w:sz w:val="21"/>
                <w:szCs w:val="21"/>
                <w:u w:val="single"/>
                <w14:textFill>
                  <w14:solidFill>
                    <w14:schemeClr w14:val="tx1"/>
                  </w14:solidFill>
                </w14:textFill>
              </w:rPr>
              <w:t xml:space="preserve"> 乡（镇、街道） 银河村（社区）                   </w:t>
            </w:r>
          </w:p>
        </w:tc>
      </w:tr>
      <w:tr w14:paraId="26BC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vMerge w:val="continue"/>
            <w:noWrap w:val="0"/>
            <w:vAlign w:val="center"/>
          </w:tcPr>
          <w:p w14:paraId="56B4A500">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p>
        </w:tc>
        <w:tc>
          <w:tcPr>
            <w:tcW w:w="6806" w:type="dxa"/>
            <w:gridSpan w:val="6"/>
            <w:noWrap w:val="0"/>
            <w:vAlign w:val="center"/>
          </w:tcPr>
          <w:p w14:paraId="52662866">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排入水体名称：</w:t>
            </w:r>
            <w:r>
              <w:rPr>
                <w:rFonts w:hint="default" w:ascii="Times New Roman" w:hAnsi="Times New Roman" w:eastAsia="宋体" w:cs="Times New Roman"/>
                <w:color w:val="000000" w:themeColor="text1"/>
                <w:kern w:val="2"/>
                <w:sz w:val="21"/>
                <w:szCs w:val="21"/>
                <w:u w:val="single"/>
                <w:lang w:val="en-US" w:eastAsia="zh-CN"/>
                <w14:textFill>
                  <w14:solidFill>
                    <w14:schemeClr w14:val="tx1"/>
                  </w14:solidFill>
                </w14:textFill>
              </w:rPr>
              <w:t>机排二十渠</w:t>
            </w:r>
          </w:p>
        </w:tc>
      </w:tr>
      <w:tr w14:paraId="10A3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vMerge w:val="continue"/>
            <w:noWrap w:val="0"/>
            <w:vAlign w:val="center"/>
          </w:tcPr>
          <w:p w14:paraId="427AFC79">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p>
        </w:tc>
        <w:tc>
          <w:tcPr>
            <w:tcW w:w="6806" w:type="dxa"/>
            <w:gridSpan w:val="6"/>
            <w:noWrap w:val="0"/>
            <w:vAlign w:val="center"/>
          </w:tcPr>
          <w:p w14:paraId="5345B945">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所在流域：长江流域</w:t>
            </w:r>
          </w:p>
        </w:tc>
      </w:tr>
      <w:tr w14:paraId="01C8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vMerge w:val="continue"/>
            <w:noWrap w:val="0"/>
            <w:vAlign w:val="center"/>
          </w:tcPr>
          <w:p w14:paraId="62189A91">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p>
        </w:tc>
        <w:tc>
          <w:tcPr>
            <w:tcW w:w="6806" w:type="dxa"/>
            <w:gridSpan w:val="6"/>
            <w:noWrap w:val="0"/>
            <w:vAlign w:val="center"/>
          </w:tcPr>
          <w:p w14:paraId="78CDF235">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1"/>
                <w:u w:val="wave"/>
                <w14:textFill>
                  <w14:solidFill>
                    <w14:schemeClr w14:val="tx1"/>
                  </w14:solidFill>
                </w14:textFill>
              </w:rPr>
            </w:pPr>
            <w:bookmarkStart w:id="258" w:name="OLE_LINK11"/>
            <w:r>
              <w:rPr>
                <w:rFonts w:hint="default" w:ascii="Times New Roman" w:hAnsi="Times New Roman" w:eastAsia="宋体" w:cs="Times New Roman"/>
                <w:color w:val="000000" w:themeColor="text1"/>
                <w:kern w:val="2"/>
                <w:sz w:val="21"/>
                <w:szCs w:val="21"/>
                <w:u w:val="wave"/>
                <w14:textFill>
                  <w14:solidFill>
                    <w14:schemeClr w14:val="tx1"/>
                  </w14:solidFill>
                </w14:textFill>
              </w:rPr>
              <w:t>经度</w:t>
            </w:r>
            <w:r>
              <w:rPr>
                <w:rFonts w:hint="default" w:ascii="Times New Roman" w:hAnsi="Times New Roman" w:eastAsia="宋体" w:cs="Times New Roman"/>
                <w:kern w:val="2"/>
                <w:sz w:val="21"/>
                <w:szCs w:val="21"/>
                <w:u w:val="wave"/>
                <w:lang w:val="en-US" w:eastAsia="zh-CN" w:bidi="ar-SA"/>
              </w:rPr>
              <w:t>（E112°36′49.72347″）</w:t>
            </w:r>
          </w:p>
          <w:p w14:paraId="66864126">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wave"/>
                <w14:textFill>
                  <w14:solidFill>
                    <w14:schemeClr w14:val="tx1"/>
                  </w14:solidFill>
                </w14:textFill>
              </w:rPr>
              <w:t>纬度（</w:t>
            </w:r>
            <w:r>
              <w:rPr>
                <w:rFonts w:hint="default" w:ascii="Times New Roman" w:hAnsi="Times New Roman" w:eastAsia="宋体" w:cs="Times New Roman"/>
                <w:kern w:val="2"/>
                <w:sz w:val="21"/>
                <w:szCs w:val="21"/>
                <w:u w:val="wave"/>
                <w:lang w:val="en-US" w:eastAsia="zh-CN" w:bidi="ar-SA"/>
              </w:rPr>
              <w:t>N29°11′3.06811″</w:t>
            </w:r>
            <w:r>
              <w:rPr>
                <w:rFonts w:hint="default" w:ascii="Times New Roman" w:hAnsi="Times New Roman" w:eastAsia="宋体" w:cs="Times New Roman"/>
                <w:color w:val="000000" w:themeColor="text1"/>
                <w:kern w:val="2"/>
                <w:sz w:val="21"/>
                <w:szCs w:val="21"/>
                <w:u w:val="wave"/>
                <w14:textFill>
                  <w14:solidFill>
                    <w14:schemeClr w14:val="tx1"/>
                  </w14:solidFill>
                </w14:textFill>
              </w:rPr>
              <w:t>）</w:t>
            </w:r>
            <w:bookmarkEnd w:id="258"/>
          </w:p>
        </w:tc>
      </w:tr>
      <w:tr w14:paraId="101B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noWrap w:val="0"/>
            <w:vAlign w:val="center"/>
          </w:tcPr>
          <w:p w14:paraId="7212E8E8">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污水排放方式</w:t>
            </w:r>
          </w:p>
        </w:tc>
        <w:tc>
          <w:tcPr>
            <w:tcW w:w="1136" w:type="dxa"/>
            <w:gridSpan w:val="2"/>
            <w:noWrap w:val="0"/>
            <w:vAlign w:val="center"/>
          </w:tcPr>
          <w:p w14:paraId="50110B1C">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52"/>
            </w:r>
            <w:r>
              <w:rPr>
                <w:rFonts w:hint="default" w:ascii="Times New Roman" w:hAnsi="Times New Roman" w:eastAsia="宋体" w:cs="Times New Roman"/>
                <w:color w:val="000000" w:themeColor="text1"/>
                <w:kern w:val="2"/>
                <w:sz w:val="21"/>
                <w:szCs w:val="20"/>
                <w:u w:val="single"/>
                <w14:textFill>
                  <w14:solidFill>
                    <w14:schemeClr w14:val="tx1"/>
                  </w14:solidFill>
                </w14:textFill>
              </w:rPr>
              <w:t>连续</w:t>
            </w:r>
          </w:p>
          <w:p w14:paraId="416A3FBB">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0"/>
                <w:u w:val="single"/>
                <w14:textFill>
                  <w14:solidFill>
                    <w14:schemeClr w14:val="tx1"/>
                  </w14:solidFill>
                </w14:textFill>
              </w:rPr>
              <w:t>间歇</w:t>
            </w:r>
          </w:p>
        </w:tc>
        <w:tc>
          <w:tcPr>
            <w:tcW w:w="1275" w:type="dxa"/>
            <w:vMerge w:val="restart"/>
            <w:noWrap w:val="0"/>
            <w:vAlign w:val="center"/>
          </w:tcPr>
          <w:p w14:paraId="6AAA5779">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入河</w:t>
            </w:r>
          </w:p>
          <w:p w14:paraId="47065537">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方式</w:t>
            </w:r>
          </w:p>
        </w:tc>
        <w:tc>
          <w:tcPr>
            <w:tcW w:w="4395" w:type="dxa"/>
            <w:gridSpan w:val="3"/>
            <w:vMerge w:val="restart"/>
            <w:noWrap w:val="0"/>
            <w:vAlign w:val="center"/>
          </w:tcPr>
          <w:p w14:paraId="47B23D9C">
            <w:pPr>
              <w:keepNext w:val="0"/>
              <w:keepLines w:val="0"/>
              <w:suppressLineNumbers w:val="0"/>
              <w:autoSpaceDE/>
              <w:autoSpaceDN/>
              <w:adjustRightInd/>
              <w:spacing w:before="0" w:beforeAutospacing="0" w:after="0" w:afterAutospacing="0" w:line="360" w:lineRule="exact"/>
              <w:ind w:left="0" w:right="0" w:firstLine="315" w:firstLineChars="15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0"/>
                <w:u w:val="single"/>
                <w14:textFill>
                  <w14:solidFill>
                    <w14:schemeClr w14:val="tx1"/>
                  </w14:solidFill>
                </w14:textFill>
              </w:rPr>
              <w:t xml:space="preserve">明渠  </w:t>
            </w: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F052"/>
            </w:r>
            <w:r>
              <w:rPr>
                <w:rFonts w:hint="default" w:ascii="Times New Roman" w:hAnsi="Times New Roman" w:eastAsia="宋体" w:cs="Times New Roman"/>
                <w:color w:val="000000" w:themeColor="text1"/>
                <w:kern w:val="2"/>
                <w:sz w:val="21"/>
                <w:szCs w:val="20"/>
                <w:u w:val="single"/>
                <w14:textFill>
                  <w14:solidFill>
                    <w14:schemeClr w14:val="tx1"/>
                  </w14:solidFill>
                </w14:textFill>
              </w:rPr>
              <w:t>管道</w:t>
            </w:r>
          </w:p>
          <w:p w14:paraId="5F004928">
            <w:pPr>
              <w:keepNext w:val="0"/>
              <w:keepLines w:val="0"/>
              <w:suppressLineNumbers w:val="0"/>
              <w:autoSpaceDE/>
              <w:autoSpaceDN/>
              <w:adjustRightInd/>
              <w:spacing w:before="0" w:beforeAutospacing="0" w:after="0" w:afterAutospacing="0" w:line="360" w:lineRule="exact"/>
              <w:ind w:left="0" w:right="0" w:firstLine="315" w:firstLineChars="15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0"/>
                <w:u w:val="single"/>
                <w14:textFill>
                  <w14:solidFill>
                    <w14:schemeClr w14:val="tx1"/>
                  </w14:solidFill>
                </w14:textFill>
              </w:rPr>
              <w:t xml:space="preserve">泵站  </w:t>
            </w: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0"/>
                <w:u w:val="single"/>
                <w14:textFill>
                  <w14:solidFill>
                    <w14:schemeClr w14:val="tx1"/>
                  </w14:solidFill>
                </w14:textFill>
              </w:rPr>
              <w:t>涵闸</w:t>
            </w:r>
          </w:p>
          <w:p w14:paraId="7ACB6890">
            <w:pPr>
              <w:keepNext w:val="0"/>
              <w:keepLines w:val="0"/>
              <w:widowControl/>
              <w:suppressLineNumbers w:val="0"/>
              <w:autoSpaceDE/>
              <w:autoSpaceDN/>
              <w:adjustRightInd/>
              <w:spacing w:before="0" w:beforeAutospacing="0" w:after="0" w:afterAutospacing="0" w:line="360" w:lineRule="exact"/>
              <w:ind w:left="0" w:right="0" w:firstLine="315" w:firstLineChars="15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0"/>
                <w:u w:val="single"/>
                <w14:textFill>
                  <w14:solidFill>
                    <w14:schemeClr w14:val="tx1"/>
                  </w14:solidFill>
                </w14:textFill>
              </w:rPr>
              <w:t xml:space="preserve">箱涵  </w:t>
            </w: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0"/>
                <w:u w:val="single"/>
                <w14:textFill>
                  <w14:solidFill>
                    <w14:schemeClr w14:val="tx1"/>
                  </w14:solidFill>
                </w14:textFill>
              </w:rPr>
              <w:t>其他：_______</w:t>
            </w:r>
          </w:p>
        </w:tc>
      </w:tr>
      <w:tr w14:paraId="7745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noWrap w:val="0"/>
            <w:vAlign w:val="center"/>
          </w:tcPr>
          <w:p w14:paraId="1A841D2F">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是否共用</w:t>
            </w:r>
          </w:p>
        </w:tc>
        <w:tc>
          <w:tcPr>
            <w:tcW w:w="1136" w:type="dxa"/>
            <w:gridSpan w:val="2"/>
            <w:noWrap w:val="0"/>
            <w:vAlign w:val="center"/>
          </w:tcPr>
          <w:p w14:paraId="4A9F18D0">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0"/>
                <w:u w:val="single"/>
                <w14:textFill>
                  <w14:solidFill>
                    <w14:schemeClr w14:val="tx1"/>
                  </w14:solidFill>
                </w14:textFill>
              </w:rPr>
              <w:t>是</w:t>
            </w:r>
          </w:p>
          <w:p w14:paraId="4DB05BB7">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bookmarkStart w:id="259" w:name="OLE_LINK61"/>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F052"/>
            </w:r>
            <w:bookmarkEnd w:id="259"/>
            <w:r>
              <w:rPr>
                <w:rFonts w:hint="default" w:ascii="Times New Roman" w:hAnsi="Times New Roman" w:eastAsia="宋体" w:cs="Times New Roman"/>
                <w:color w:val="000000" w:themeColor="text1"/>
                <w:kern w:val="2"/>
                <w:sz w:val="21"/>
                <w:szCs w:val="20"/>
                <w:u w:val="single"/>
                <w14:textFill>
                  <w14:solidFill>
                    <w14:schemeClr w14:val="tx1"/>
                  </w14:solidFill>
                </w14:textFill>
              </w:rPr>
              <w:t>否</w:t>
            </w:r>
          </w:p>
        </w:tc>
        <w:tc>
          <w:tcPr>
            <w:tcW w:w="1275" w:type="dxa"/>
            <w:vMerge w:val="continue"/>
            <w:noWrap w:val="0"/>
            <w:vAlign w:val="center"/>
          </w:tcPr>
          <w:p w14:paraId="33053633">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p>
        </w:tc>
        <w:tc>
          <w:tcPr>
            <w:tcW w:w="4395" w:type="dxa"/>
            <w:gridSpan w:val="3"/>
            <w:vMerge w:val="continue"/>
            <w:noWrap w:val="0"/>
            <w:vAlign w:val="center"/>
          </w:tcPr>
          <w:p w14:paraId="05EB6974">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p>
        </w:tc>
      </w:tr>
      <w:tr w14:paraId="4B86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6" w:type="dxa"/>
            <w:gridSpan w:val="3"/>
            <w:vMerge w:val="restart"/>
            <w:noWrap w:val="0"/>
            <w:vAlign w:val="center"/>
          </w:tcPr>
          <w:p w14:paraId="75E70282">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8"/>
                <w:u w:val="single"/>
                <w14:textFill>
                  <w14:solidFill>
                    <w14:schemeClr w14:val="tx1"/>
                  </w14:solidFill>
                </w14:textFill>
              </w:rPr>
              <w:t>入河排污口截面信息</w:t>
            </w:r>
          </w:p>
        </w:tc>
        <w:tc>
          <w:tcPr>
            <w:tcW w:w="5670" w:type="dxa"/>
            <w:gridSpan w:val="4"/>
            <w:noWrap w:val="0"/>
            <w:vAlign w:val="center"/>
          </w:tcPr>
          <w:p w14:paraId="05FDDE50">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F052"/>
            </w:r>
            <w:r>
              <w:rPr>
                <w:rFonts w:hint="default" w:ascii="Times New Roman" w:hAnsi="Times New Roman" w:eastAsia="宋体" w:cs="Times New Roman"/>
                <w:color w:val="000000" w:themeColor="text1"/>
                <w:kern w:val="2"/>
                <w:sz w:val="21"/>
                <w:szCs w:val="20"/>
                <w:u w:val="single"/>
                <w14:textFill>
                  <w14:solidFill>
                    <w14:schemeClr w14:val="tx1"/>
                  </w14:solidFill>
                </w14:textFill>
              </w:rPr>
              <w:t>圆形截面：d=0.2m，S=0.0314m</w:t>
            </w:r>
            <w:r>
              <w:rPr>
                <w:rFonts w:hint="default" w:ascii="Times New Roman" w:hAnsi="Times New Roman" w:eastAsia="宋体" w:cs="Times New Roman"/>
                <w:color w:val="000000" w:themeColor="text1"/>
                <w:kern w:val="2"/>
                <w:sz w:val="21"/>
                <w:szCs w:val="20"/>
                <w:u w:val="single"/>
                <w:vertAlign w:val="superscript"/>
                <w14:textFill>
                  <w14:solidFill>
                    <w14:schemeClr w14:val="tx1"/>
                  </w14:solidFill>
                </w14:textFill>
              </w:rPr>
              <w:t>2</w:t>
            </w:r>
          </w:p>
        </w:tc>
      </w:tr>
      <w:tr w14:paraId="3BE2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6" w:type="dxa"/>
            <w:gridSpan w:val="3"/>
            <w:vMerge w:val="continue"/>
            <w:noWrap w:val="0"/>
            <w:vAlign w:val="center"/>
          </w:tcPr>
          <w:p w14:paraId="483B3197">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8"/>
                <w:u w:val="single"/>
                <w14:textFill>
                  <w14:solidFill>
                    <w14:schemeClr w14:val="tx1"/>
                  </w14:solidFill>
                </w14:textFill>
              </w:rPr>
            </w:pPr>
          </w:p>
        </w:tc>
        <w:tc>
          <w:tcPr>
            <w:tcW w:w="5670" w:type="dxa"/>
            <w:gridSpan w:val="4"/>
            <w:noWrap w:val="0"/>
            <w:vAlign w:val="center"/>
          </w:tcPr>
          <w:p w14:paraId="4CE8A9C5">
            <w:pPr>
              <w:keepNext w:val="0"/>
              <w:keepLines w:val="0"/>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0"/>
                <w:u w:val="single"/>
                <w14:textFill>
                  <w14:solidFill>
                    <w14:schemeClr w14:val="tx1"/>
                  </w14:solidFill>
                </w14:textFill>
              </w:rPr>
              <w:t>方形截面：L×B=   m×  m，S=   m</w:t>
            </w:r>
            <w:r>
              <w:rPr>
                <w:rFonts w:hint="default" w:ascii="Times New Roman" w:hAnsi="Times New Roman" w:eastAsia="宋体" w:cs="Times New Roman"/>
                <w:color w:val="000000" w:themeColor="text1"/>
                <w:kern w:val="2"/>
                <w:sz w:val="21"/>
                <w:szCs w:val="20"/>
                <w:u w:val="single"/>
                <w:vertAlign w:val="superscript"/>
                <w14:textFill>
                  <w14:solidFill>
                    <w14:schemeClr w14:val="tx1"/>
                  </w14:solidFill>
                </w14:textFill>
              </w:rPr>
              <w:t>2</w:t>
            </w:r>
          </w:p>
        </w:tc>
      </w:tr>
      <w:tr w14:paraId="2615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6" w:type="dxa"/>
            <w:gridSpan w:val="3"/>
            <w:vMerge w:val="continue"/>
            <w:noWrap w:val="0"/>
            <w:vAlign w:val="center"/>
          </w:tcPr>
          <w:p w14:paraId="18A6FCA5">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8"/>
                <w:u w:val="single"/>
                <w14:textFill>
                  <w14:solidFill>
                    <w14:schemeClr w14:val="tx1"/>
                  </w14:solidFill>
                </w14:textFill>
              </w:rPr>
            </w:pPr>
          </w:p>
        </w:tc>
        <w:tc>
          <w:tcPr>
            <w:tcW w:w="5670" w:type="dxa"/>
            <w:gridSpan w:val="4"/>
            <w:noWrap w:val="0"/>
            <w:vAlign w:val="center"/>
          </w:tcPr>
          <w:p w14:paraId="00E9D3A9">
            <w:pPr>
              <w:keepNext w:val="0"/>
              <w:keepLines w:val="0"/>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sym w:font="Wingdings 2" w:char="00A3"/>
            </w:r>
            <w:r>
              <w:rPr>
                <w:rFonts w:hint="default" w:ascii="Times New Roman" w:hAnsi="Times New Roman" w:eastAsia="宋体" w:cs="Times New Roman"/>
                <w:color w:val="000000" w:themeColor="text1"/>
                <w:kern w:val="2"/>
                <w:sz w:val="21"/>
                <w:szCs w:val="20"/>
                <w:u w:val="single"/>
                <w14:textFill>
                  <w14:solidFill>
                    <w14:schemeClr w14:val="tx1"/>
                  </w14:solidFill>
                </w14:textFill>
              </w:rPr>
              <w:t>其他形状截面：S=    m</w:t>
            </w:r>
            <w:r>
              <w:rPr>
                <w:rFonts w:hint="default" w:ascii="Times New Roman" w:hAnsi="Times New Roman" w:eastAsia="宋体" w:cs="Times New Roman"/>
                <w:color w:val="000000" w:themeColor="text1"/>
                <w:kern w:val="2"/>
                <w:sz w:val="21"/>
                <w:szCs w:val="20"/>
                <w:u w:val="single"/>
                <w:vertAlign w:val="superscript"/>
                <w14:textFill>
                  <w14:solidFill>
                    <w14:schemeClr w14:val="tx1"/>
                  </w14:solidFill>
                </w14:textFill>
              </w:rPr>
              <w:t>2</w:t>
            </w:r>
          </w:p>
        </w:tc>
      </w:tr>
      <w:tr w14:paraId="4122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noWrap w:val="0"/>
            <w:vAlign w:val="center"/>
          </w:tcPr>
          <w:p w14:paraId="55C16207">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建成时间</w:t>
            </w:r>
          </w:p>
        </w:tc>
        <w:tc>
          <w:tcPr>
            <w:tcW w:w="6806" w:type="dxa"/>
            <w:gridSpan w:val="6"/>
            <w:noWrap w:val="0"/>
            <w:vAlign w:val="center"/>
          </w:tcPr>
          <w:p w14:paraId="4B614DAE">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0"/>
                <w:u w:val="single"/>
                <w:lang w:val="en-US" w:eastAsia="zh-CN"/>
                <w14:textFill>
                  <w14:solidFill>
                    <w14:schemeClr w14:val="tx1"/>
                  </w14:solidFill>
                </w14:textFill>
              </w:rPr>
              <w:t>202</w:t>
            </w:r>
            <w:r>
              <w:rPr>
                <w:rFonts w:hint="eastAsia" w:cs="Times New Roman"/>
                <w:color w:val="000000" w:themeColor="text1"/>
                <w:kern w:val="2"/>
                <w:sz w:val="21"/>
                <w:szCs w:val="20"/>
                <w:u w:val="single"/>
                <w:lang w:val="en-US" w:eastAsia="zh-CN"/>
                <w14:textFill>
                  <w14:solidFill>
                    <w14:schemeClr w14:val="tx1"/>
                  </w14:solidFill>
                </w14:textFill>
              </w:rPr>
              <w:t>2年8月</w:t>
            </w:r>
          </w:p>
        </w:tc>
      </w:tr>
      <w:tr w14:paraId="126F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6" w:type="dxa"/>
            <w:gridSpan w:val="7"/>
            <w:noWrap w:val="0"/>
            <w:vAlign w:val="center"/>
          </w:tcPr>
          <w:p w14:paraId="7C8A1970">
            <w:pPr>
              <w:keepNext w:val="0"/>
              <w:keepLines w:val="0"/>
              <w:widowControl/>
              <w:suppressLineNumbers w:val="0"/>
              <w:autoSpaceDE/>
              <w:autoSpaceDN/>
              <w:adjustRightInd/>
              <w:spacing w:before="0" w:beforeAutospacing="0" w:after="0" w:afterAutospacing="0" w:line="360" w:lineRule="exact"/>
              <w:ind w:left="0" w:right="0" w:firstLine="0" w:firstLineChars="0"/>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1"/>
                <w:u w:val="single"/>
                <w14:textFill>
                  <w14:solidFill>
                    <w14:schemeClr w14:val="tx1"/>
                  </w14:solidFill>
                </w14:textFill>
              </w:rPr>
              <w:t>申请的入河排污口污水排放量，入河排污口重点污染物排放种类、排放浓度和排放量</w:t>
            </w:r>
          </w:p>
        </w:tc>
      </w:tr>
      <w:tr w14:paraId="1FC0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120" w:type="dxa"/>
            <w:vMerge w:val="restart"/>
            <w:noWrap w:val="0"/>
            <w:vAlign w:val="center"/>
          </w:tcPr>
          <w:p w14:paraId="1D169BBA">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污染物种类</w:t>
            </w:r>
          </w:p>
        </w:tc>
        <w:tc>
          <w:tcPr>
            <w:tcW w:w="1136" w:type="dxa"/>
            <w:gridSpan w:val="2"/>
            <w:vMerge w:val="restart"/>
            <w:noWrap w:val="0"/>
            <w:vAlign w:val="center"/>
          </w:tcPr>
          <w:p w14:paraId="53514EEC">
            <w:pPr>
              <w:keepNext w:val="0"/>
              <w:keepLines w:val="0"/>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排放浓度（mg/L）</w:t>
            </w:r>
          </w:p>
        </w:tc>
        <w:tc>
          <w:tcPr>
            <w:tcW w:w="2551" w:type="dxa"/>
            <w:gridSpan w:val="2"/>
            <w:noWrap w:val="0"/>
            <w:vAlign w:val="center"/>
          </w:tcPr>
          <w:p w14:paraId="43CEC30C">
            <w:pPr>
              <w:keepNext w:val="0"/>
              <w:keepLines w:val="0"/>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全年</w:t>
            </w:r>
          </w:p>
        </w:tc>
        <w:tc>
          <w:tcPr>
            <w:tcW w:w="3119" w:type="dxa"/>
            <w:gridSpan w:val="2"/>
            <w:noWrap w:val="0"/>
            <w:vAlign w:val="center"/>
          </w:tcPr>
          <w:p w14:paraId="218D05CE">
            <w:pPr>
              <w:keepNext w:val="0"/>
              <w:keepLines w:val="0"/>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特殊时段（__月至__月）</w:t>
            </w:r>
          </w:p>
        </w:tc>
      </w:tr>
      <w:tr w14:paraId="42C5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120" w:type="dxa"/>
            <w:vMerge w:val="continue"/>
            <w:noWrap w:val="0"/>
            <w:vAlign w:val="center"/>
          </w:tcPr>
          <w:p w14:paraId="1C95F1FC">
            <w:pPr>
              <w:keepNext w:val="0"/>
              <w:keepLines w:val="0"/>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p>
        </w:tc>
        <w:tc>
          <w:tcPr>
            <w:tcW w:w="1136" w:type="dxa"/>
            <w:gridSpan w:val="2"/>
            <w:vMerge w:val="continue"/>
            <w:noWrap w:val="0"/>
            <w:vAlign w:val="center"/>
          </w:tcPr>
          <w:p w14:paraId="5DF773FE">
            <w:pPr>
              <w:keepNext w:val="0"/>
              <w:keepLines w:val="0"/>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p>
        </w:tc>
        <w:tc>
          <w:tcPr>
            <w:tcW w:w="1275" w:type="dxa"/>
            <w:noWrap w:val="0"/>
            <w:vAlign w:val="center"/>
          </w:tcPr>
          <w:p w14:paraId="67BB8928">
            <w:pPr>
              <w:keepNext w:val="0"/>
              <w:keepLines w:val="0"/>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污水排放量（万t/a）</w:t>
            </w:r>
          </w:p>
        </w:tc>
        <w:tc>
          <w:tcPr>
            <w:tcW w:w="1276" w:type="dxa"/>
            <w:noWrap w:val="0"/>
            <w:vAlign w:val="center"/>
          </w:tcPr>
          <w:p w14:paraId="2EF6F24B">
            <w:pPr>
              <w:keepNext w:val="0"/>
              <w:keepLines w:val="0"/>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4"/>
                <w:u w:val="single"/>
                <w14:textFill>
                  <w14:solidFill>
                    <w14:schemeClr w14:val="tx1"/>
                  </w14:solidFill>
                </w14:textFill>
              </w:rPr>
              <w:t>污染物排放量</w:t>
            </w:r>
            <w:r>
              <w:rPr>
                <w:rFonts w:hint="default" w:ascii="Times New Roman" w:hAnsi="Times New Roman" w:eastAsia="宋体" w:cs="Times New Roman"/>
                <w:color w:val="000000" w:themeColor="text1"/>
                <w:kern w:val="2"/>
                <w:sz w:val="21"/>
                <w:szCs w:val="20"/>
                <w:u w:val="single"/>
                <w14:textFill>
                  <w14:solidFill>
                    <w14:schemeClr w14:val="tx1"/>
                  </w14:solidFill>
                </w14:textFill>
              </w:rPr>
              <w:t>（t/a）</w:t>
            </w:r>
          </w:p>
        </w:tc>
        <w:tc>
          <w:tcPr>
            <w:tcW w:w="1559" w:type="dxa"/>
            <w:noWrap w:val="0"/>
            <w:vAlign w:val="center"/>
          </w:tcPr>
          <w:p w14:paraId="12F402E6">
            <w:pPr>
              <w:keepNext w:val="0"/>
              <w:keepLines w:val="0"/>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污水日排放量（t/d）</w:t>
            </w:r>
          </w:p>
        </w:tc>
        <w:tc>
          <w:tcPr>
            <w:tcW w:w="1560" w:type="dxa"/>
            <w:noWrap w:val="0"/>
            <w:vAlign w:val="center"/>
          </w:tcPr>
          <w:p w14:paraId="2A7BC2ED">
            <w:pPr>
              <w:keepNext w:val="0"/>
              <w:keepLines w:val="0"/>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4"/>
                <w:u w:val="single"/>
                <w14:textFill>
                  <w14:solidFill>
                    <w14:schemeClr w14:val="tx1"/>
                  </w14:solidFill>
                </w14:textFill>
              </w:rPr>
              <w:t>污染物日排放量</w:t>
            </w:r>
            <w:r>
              <w:rPr>
                <w:rFonts w:hint="default" w:ascii="Times New Roman" w:hAnsi="Times New Roman" w:eastAsia="宋体" w:cs="Times New Roman"/>
                <w:color w:val="000000" w:themeColor="text1"/>
                <w:kern w:val="2"/>
                <w:sz w:val="21"/>
                <w:szCs w:val="20"/>
                <w:u w:val="single"/>
                <w14:textFill>
                  <w14:solidFill>
                    <w14:schemeClr w14:val="tx1"/>
                  </w14:solidFill>
                </w14:textFill>
              </w:rPr>
              <w:t>（t/d）</w:t>
            </w:r>
          </w:p>
        </w:tc>
      </w:tr>
      <w:tr w14:paraId="2D19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6" w:type="dxa"/>
            <w:gridSpan w:val="7"/>
            <w:noWrap w:val="0"/>
            <w:vAlign w:val="center"/>
          </w:tcPr>
          <w:p w14:paraId="5C2395A7">
            <w:pPr>
              <w:keepNext w:val="0"/>
              <w:keepLines w:val="0"/>
              <w:widowControl/>
              <w:suppressLineNumbers w:val="0"/>
              <w:autoSpaceDE/>
              <w:autoSpaceDN/>
              <w:adjustRightInd/>
              <w:spacing w:before="0" w:beforeAutospacing="0" w:after="0" w:afterAutospacing="0" w:line="360" w:lineRule="exact"/>
              <w:ind w:left="0" w:right="0" w:firstLine="0" w:firstLineChars="0"/>
              <w:jc w:val="left"/>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入河排污口合计</w:t>
            </w:r>
            <w:r>
              <w:rPr>
                <w:rFonts w:hint="default" w:ascii="Times New Roman" w:hAnsi="Times New Roman" w:eastAsia="宋体" w:cs="Times New Roman"/>
                <w:color w:val="000000" w:themeColor="text1"/>
                <w:kern w:val="0"/>
                <w:sz w:val="21"/>
                <w:szCs w:val="21"/>
                <w:u w:val="single"/>
                <w14:textFill>
                  <w14:solidFill>
                    <w14:schemeClr w14:val="tx1"/>
                  </w14:solidFill>
                </w14:textFill>
              </w:rPr>
              <w:t>（单一责任主体只需填写此项）</w:t>
            </w:r>
            <w:r>
              <w:rPr>
                <w:rFonts w:hint="default" w:ascii="Times New Roman" w:hAnsi="Times New Roman" w:eastAsia="宋体" w:cs="Times New Roman"/>
                <w:color w:val="000000" w:themeColor="text1"/>
                <w:kern w:val="2"/>
                <w:sz w:val="21"/>
                <w:szCs w:val="20"/>
                <w:u w:val="single"/>
                <w14:textFill>
                  <w14:solidFill>
                    <w14:schemeClr w14:val="tx1"/>
                  </w14:solidFill>
                </w14:textFill>
              </w:rPr>
              <w:t xml:space="preserve">   </w:t>
            </w:r>
          </w:p>
        </w:tc>
      </w:tr>
      <w:tr w14:paraId="4931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noWrap w:val="0"/>
            <w:vAlign w:val="center"/>
          </w:tcPr>
          <w:p w14:paraId="4BB4BF22">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COD</w:t>
            </w:r>
          </w:p>
        </w:tc>
        <w:tc>
          <w:tcPr>
            <w:tcW w:w="1136" w:type="dxa"/>
            <w:gridSpan w:val="2"/>
            <w:noWrap w:val="0"/>
            <w:vAlign w:val="center"/>
          </w:tcPr>
          <w:p w14:paraId="3E69730B">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t>50</w:t>
            </w:r>
          </w:p>
        </w:tc>
        <w:tc>
          <w:tcPr>
            <w:tcW w:w="1275" w:type="dxa"/>
            <w:vMerge w:val="restart"/>
            <w:noWrap w:val="0"/>
            <w:vAlign w:val="center"/>
          </w:tcPr>
          <w:p w14:paraId="29876352">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pPr>
            <w:r>
              <w:rPr>
                <w:rFonts w:hint="eastAsia" w:cs="Times New Roman"/>
                <w:color w:val="000000" w:themeColor="text1"/>
                <w:kern w:val="2"/>
                <w:sz w:val="21"/>
                <w:szCs w:val="24"/>
                <w:u w:val="single"/>
                <w:lang w:val="en-US" w:eastAsia="zh-CN"/>
                <w14:textFill>
                  <w14:solidFill>
                    <w14:schemeClr w14:val="tx1"/>
                  </w14:solidFill>
                </w14:textFill>
              </w:rPr>
              <w:t>109.5</w:t>
            </w:r>
          </w:p>
        </w:tc>
        <w:tc>
          <w:tcPr>
            <w:tcW w:w="1276" w:type="dxa"/>
            <w:noWrap w:val="0"/>
            <w:vAlign w:val="center"/>
          </w:tcPr>
          <w:p w14:paraId="6B52AD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4" w:lineRule="exact"/>
              <w:ind w:left="0" w:right="0" w:firstLine="0" w:firstLineChars="0"/>
              <w:jc w:val="center"/>
              <w:textAlignment w:val="baseline"/>
              <w:rPr>
                <w:rFonts w:hint="default" w:ascii="Times New Roman" w:hAnsi="Times New Roman" w:eastAsia="宋体" w:cs="Times New Roman"/>
                <w:color w:val="000000" w:themeColor="text1"/>
                <w:kern w:val="2"/>
                <w:sz w:val="21"/>
                <w:szCs w:val="24"/>
                <w:u w:val="single"/>
                <w:lang w:val="en-US"/>
                <w14:textFill>
                  <w14:solidFill>
                    <w14:schemeClr w14:val="tx1"/>
                  </w14:solidFill>
                </w14:textFill>
              </w:rPr>
            </w:pPr>
            <w:r>
              <w:rPr>
                <w:rFonts w:hint="eastAsia" w:cs="Times New Roman"/>
                <w:color w:val="000000" w:themeColor="text1"/>
                <w:kern w:val="2"/>
                <w:sz w:val="21"/>
                <w:szCs w:val="24"/>
                <w:u w:val="single"/>
                <w:lang w:val="en-US" w:eastAsia="zh-CN" w:bidi="ar-SA"/>
                <w14:textFill>
                  <w14:solidFill>
                    <w14:schemeClr w14:val="tx1"/>
                  </w14:solidFill>
                </w14:textFill>
              </w:rPr>
              <w:t>54.75</w:t>
            </w:r>
          </w:p>
        </w:tc>
        <w:tc>
          <w:tcPr>
            <w:tcW w:w="1559" w:type="dxa"/>
            <w:vMerge w:val="restart"/>
            <w:noWrap w:val="0"/>
            <w:vAlign w:val="center"/>
          </w:tcPr>
          <w:p w14:paraId="6C6FF572">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lang w:val="en-US" w:eastAsia="zh-CN"/>
                <w14:textFill>
                  <w14:solidFill>
                    <w14:schemeClr w14:val="tx1"/>
                  </w14:solidFill>
                </w14:textFill>
              </w:rPr>
            </w:pPr>
            <w:r>
              <w:rPr>
                <w:rFonts w:hint="eastAsia" w:cs="Times New Roman"/>
                <w:color w:val="000000" w:themeColor="text1"/>
                <w:kern w:val="2"/>
                <w:sz w:val="21"/>
                <w:szCs w:val="20"/>
                <w:u w:val="single"/>
                <w:lang w:val="en-US" w:eastAsia="zh-CN"/>
                <w14:textFill>
                  <w14:solidFill>
                    <w14:schemeClr w14:val="tx1"/>
                  </w14:solidFill>
                </w14:textFill>
              </w:rPr>
              <w:t>30</w:t>
            </w:r>
            <w:r>
              <w:rPr>
                <w:rFonts w:hint="default" w:ascii="Times New Roman" w:hAnsi="Times New Roman" w:eastAsia="宋体" w:cs="Times New Roman"/>
                <w:color w:val="000000" w:themeColor="text1"/>
                <w:kern w:val="2"/>
                <w:sz w:val="21"/>
                <w:szCs w:val="20"/>
                <w:u w:val="single"/>
                <w:lang w:val="en-US" w:eastAsia="zh-CN"/>
                <w14:textFill>
                  <w14:solidFill>
                    <w14:schemeClr w14:val="tx1"/>
                  </w14:solidFill>
                </w14:textFill>
              </w:rPr>
              <w:t>00</w:t>
            </w:r>
          </w:p>
        </w:tc>
        <w:tc>
          <w:tcPr>
            <w:tcW w:w="1560" w:type="dxa"/>
            <w:noWrap w:val="0"/>
            <w:vAlign w:val="center"/>
          </w:tcPr>
          <w:p w14:paraId="505C224E">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pPr>
            <w:r>
              <w:rPr>
                <w:rFonts w:hint="eastAsia" w:cs="Times New Roman"/>
                <w:color w:val="000000" w:themeColor="text1"/>
                <w:kern w:val="2"/>
                <w:sz w:val="21"/>
                <w:szCs w:val="24"/>
                <w:u w:val="single"/>
                <w:lang w:val="en-US" w:eastAsia="zh-CN"/>
                <w14:textFill>
                  <w14:solidFill>
                    <w14:schemeClr w14:val="tx1"/>
                  </w14:solidFill>
                </w14:textFill>
              </w:rPr>
              <w:t>0.15</w:t>
            </w:r>
          </w:p>
        </w:tc>
      </w:tr>
      <w:tr w14:paraId="7AFC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noWrap w:val="0"/>
            <w:vAlign w:val="center"/>
          </w:tcPr>
          <w:p w14:paraId="412296C8">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NH</w:t>
            </w:r>
            <w:r>
              <w:rPr>
                <w:rFonts w:hint="default" w:ascii="Times New Roman" w:hAnsi="Times New Roman" w:eastAsia="宋体" w:cs="Times New Roman"/>
                <w:color w:val="000000" w:themeColor="text1"/>
                <w:kern w:val="2"/>
                <w:sz w:val="21"/>
                <w:szCs w:val="20"/>
                <w:u w:val="single"/>
                <w:vertAlign w:val="subscript"/>
                <w14:textFill>
                  <w14:solidFill>
                    <w14:schemeClr w14:val="tx1"/>
                  </w14:solidFill>
                </w14:textFill>
              </w:rPr>
              <w:t>3</w:t>
            </w:r>
            <w:r>
              <w:rPr>
                <w:rFonts w:hint="default" w:ascii="Times New Roman" w:hAnsi="Times New Roman" w:eastAsia="宋体" w:cs="Times New Roman"/>
                <w:color w:val="000000" w:themeColor="text1"/>
                <w:kern w:val="2"/>
                <w:sz w:val="21"/>
                <w:szCs w:val="20"/>
                <w:u w:val="single"/>
                <w14:textFill>
                  <w14:solidFill>
                    <w14:schemeClr w14:val="tx1"/>
                  </w14:solidFill>
                </w14:textFill>
              </w:rPr>
              <w:t>-N</w:t>
            </w:r>
          </w:p>
        </w:tc>
        <w:tc>
          <w:tcPr>
            <w:tcW w:w="1136" w:type="dxa"/>
            <w:gridSpan w:val="2"/>
            <w:noWrap w:val="0"/>
            <w:vAlign w:val="center"/>
          </w:tcPr>
          <w:p w14:paraId="51BD0052">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t>5</w:t>
            </w:r>
          </w:p>
        </w:tc>
        <w:tc>
          <w:tcPr>
            <w:tcW w:w="1275" w:type="dxa"/>
            <w:vMerge w:val="continue"/>
            <w:noWrap w:val="0"/>
            <w:vAlign w:val="center"/>
          </w:tcPr>
          <w:p w14:paraId="4FDC4132">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14:textFill>
                  <w14:solidFill>
                    <w14:schemeClr w14:val="tx1"/>
                  </w14:solidFill>
                </w14:textFill>
              </w:rPr>
            </w:pPr>
          </w:p>
        </w:tc>
        <w:tc>
          <w:tcPr>
            <w:tcW w:w="1276" w:type="dxa"/>
            <w:noWrap w:val="0"/>
            <w:vAlign w:val="center"/>
          </w:tcPr>
          <w:p w14:paraId="1C0329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4" w:lineRule="exact"/>
              <w:ind w:left="0" w:right="0" w:firstLine="0" w:firstLineChars="0"/>
              <w:jc w:val="center"/>
              <w:textAlignment w:val="baseline"/>
              <w:rPr>
                <w:rFonts w:hint="default" w:ascii="Times New Roman" w:hAnsi="Times New Roman" w:eastAsia="宋体" w:cs="Times New Roman"/>
                <w:color w:val="000000" w:themeColor="text1"/>
                <w:kern w:val="2"/>
                <w:sz w:val="21"/>
                <w:szCs w:val="24"/>
                <w:u w:val="single"/>
                <w:lang w:val="en-US"/>
                <w14:textFill>
                  <w14:solidFill>
                    <w14:schemeClr w14:val="tx1"/>
                  </w14:solidFill>
                </w14:textFill>
              </w:rPr>
            </w:pPr>
            <w:r>
              <w:rPr>
                <w:rFonts w:hint="eastAsia" w:cs="Times New Roman"/>
                <w:color w:val="000000" w:themeColor="text1"/>
                <w:kern w:val="2"/>
                <w:sz w:val="21"/>
                <w:szCs w:val="24"/>
                <w:u w:val="single"/>
                <w:lang w:val="en-US" w:eastAsia="zh-CN" w:bidi="ar-SA"/>
                <w14:textFill>
                  <w14:solidFill>
                    <w14:schemeClr w14:val="tx1"/>
                  </w14:solidFill>
                </w14:textFill>
              </w:rPr>
              <w:t>5.48</w:t>
            </w:r>
          </w:p>
        </w:tc>
        <w:tc>
          <w:tcPr>
            <w:tcW w:w="1559" w:type="dxa"/>
            <w:vMerge w:val="continue"/>
            <w:noWrap w:val="0"/>
            <w:vAlign w:val="center"/>
          </w:tcPr>
          <w:p w14:paraId="1BD1B8B6">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p>
        </w:tc>
        <w:tc>
          <w:tcPr>
            <w:tcW w:w="1560" w:type="dxa"/>
            <w:noWrap w:val="0"/>
            <w:vAlign w:val="center"/>
          </w:tcPr>
          <w:p w14:paraId="631AB625">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t>0.0</w:t>
            </w:r>
            <w:r>
              <w:rPr>
                <w:rFonts w:hint="eastAsia" w:cs="Times New Roman"/>
                <w:color w:val="000000" w:themeColor="text1"/>
                <w:kern w:val="2"/>
                <w:sz w:val="21"/>
                <w:szCs w:val="24"/>
                <w:u w:val="single"/>
                <w:lang w:val="en-US" w:eastAsia="zh-CN"/>
                <w14:textFill>
                  <w14:solidFill>
                    <w14:schemeClr w14:val="tx1"/>
                  </w14:solidFill>
                </w14:textFill>
              </w:rPr>
              <w:t>15</w:t>
            </w:r>
          </w:p>
        </w:tc>
      </w:tr>
      <w:tr w14:paraId="3512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noWrap w:val="0"/>
            <w:vAlign w:val="center"/>
          </w:tcPr>
          <w:p w14:paraId="59B0A217">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4"/>
                <w:u w:val="single"/>
                <w:lang w:val="en-US" w:eastAsia="zh-CN" w:bidi="ar-SA"/>
                <w14:textFill>
                  <w14:solidFill>
                    <w14:schemeClr w14:val="tx1"/>
                  </w14:solidFill>
                </w14:textFill>
              </w:rPr>
              <w:t>BOD</w:t>
            </w:r>
            <w:r>
              <w:rPr>
                <w:rFonts w:hint="default" w:ascii="Times New Roman" w:hAnsi="Times New Roman" w:eastAsia="宋体" w:cs="Times New Roman"/>
                <w:color w:val="000000" w:themeColor="text1"/>
                <w:kern w:val="2"/>
                <w:sz w:val="21"/>
                <w:szCs w:val="24"/>
                <w:u w:val="single"/>
                <w:vertAlign w:val="subscript"/>
                <w:lang w:val="en-US" w:eastAsia="zh-CN" w:bidi="ar-SA"/>
                <w14:textFill>
                  <w14:solidFill>
                    <w14:schemeClr w14:val="tx1"/>
                  </w14:solidFill>
                </w14:textFill>
              </w:rPr>
              <w:t>5</w:t>
            </w:r>
          </w:p>
        </w:tc>
        <w:tc>
          <w:tcPr>
            <w:tcW w:w="1136" w:type="dxa"/>
            <w:gridSpan w:val="2"/>
            <w:noWrap w:val="0"/>
            <w:vAlign w:val="center"/>
          </w:tcPr>
          <w:p w14:paraId="03E8CDE5">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t>10</w:t>
            </w:r>
          </w:p>
        </w:tc>
        <w:tc>
          <w:tcPr>
            <w:tcW w:w="1275" w:type="dxa"/>
            <w:vMerge w:val="continue"/>
            <w:noWrap w:val="0"/>
            <w:vAlign w:val="center"/>
          </w:tcPr>
          <w:p w14:paraId="4706E1D0">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14:textFill>
                  <w14:solidFill>
                    <w14:schemeClr w14:val="tx1"/>
                  </w14:solidFill>
                </w14:textFill>
              </w:rPr>
            </w:pPr>
          </w:p>
        </w:tc>
        <w:tc>
          <w:tcPr>
            <w:tcW w:w="1276" w:type="dxa"/>
            <w:noWrap w:val="0"/>
            <w:vAlign w:val="center"/>
          </w:tcPr>
          <w:p w14:paraId="33F488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4" w:lineRule="exact"/>
              <w:ind w:left="0" w:right="0" w:firstLine="0" w:firstLineChars="0"/>
              <w:jc w:val="center"/>
              <w:textAlignment w:val="baseline"/>
              <w:rPr>
                <w:rFonts w:hint="default" w:ascii="Times New Roman" w:hAnsi="Times New Roman" w:eastAsia="宋体" w:cs="Times New Roman"/>
                <w:color w:val="000000" w:themeColor="text1"/>
                <w:kern w:val="2"/>
                <w:sz w:val="21"/>
                <w:szCs w:val="24"/>
                <w:u w:val="single"/>
                <w:lang w:val="en-US"/>
                <w14:textFill>
                  <w14:solidFill>
                    <w14:schemeClr w14:val="tx1"/>
                  </w14:solidFill>
                </w14:textFill>
              </w:rPr>
            </w:pPr>
            <w:r>
              <w:rPr>
                <w:rFonts w:hint="eastAsia" w:cs="Times New Roman"/>
                <w:color w:val="000000" w:themeColor="text1"/>
                <w:kern w:val="2"/>
                <w:sz w:val="21"/>
                <w:szCs w:val="24"/>
                <w:u w:val="single"/>
                <w:lang w:val="en-US" w:eastAsia="zh-CN" w:bidi="ar-SA"/>
                <w14:textFill>
                  <w14:solidFill>
                    <w14:schemeClr w14:val="tx1"/>
                  </w14:solidFill>
                </w14:textFill>
              </w:rPr>
              <w:t>10.95</w:t>
            </w:r>
          </w:p>
        </w:tc>
        <w:tc>
          <w:tcPr>
            <w:tcW w:w="1559" w:type="dxa"/>
            <w:vMerge w:val="continue"/>
            <w:noWrap w:val="0"/>
            <w:vAlign w:val="center"/>
          </w:tcPr>
          <w:p w14:paraId="37CA2AE2">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p>
        </w:tc>
        <w:tc>
          <w:tcPr>
            <w:tcW w:w="1560" w:type="dxa"/>
            <w:noWrap w:val="0"/>
            <w:vAlign w:val="center"/>
          </w:tcPr>
          <w:p w14:paraId="0707D02A">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pPr>
            <w:r>
              <w:rPr>
                <w:rFonts w:hint="eastAsia" w:cs="Times New Roman"/>
                <w:color w:val="000000" w:themeColor="text1"/>
                <w:kern w:val="2"/>
                <w:sz w:val="21"/>
                <w:szCs w:val="24"/>
                <w:u w:val="single"/>
                <w:lang w:val="en-US" w:eastAsia="zh-CN"/>
                <w14:textFill>
                  <w14:solidFill>
                    <w14:schemeClr w14:val="tx1"/>
                  </w14:solidFill>
                </w14:textFill>
              </w:rPr>
              <w:t>0.03</w:t>
            </w:r>
          </w:p>
        </w:tc>
      </w:tr>
      <w:tr w14:paraId="3791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noWrap w:val="0"/>
            <w:vAlign w:val="center"/>
          </w:tcPr>
          <w:p w14:paraId="4634F5F0">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TP</w:t>
            </w:r>
          </w:p>
        </w:tc>
        <w:tc>
          <w:tcPr>
            <w:tcW w:w="1136" w:type="dxa"/>
            <w:gridSpan w:val="2"/>
            <w:noWrap w:val="0"/>
            <w:vAlign w:val="center"/>
          </w:tcPr>
          <w:p w14:paraId="02B305E9">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t>0.5</w:t>
            </w:r>
          </w:p>
        </w:tc>
        <w:tc>
          <w:tcPr>
            <w:tcW w:w="1275" w:type="dxa"/>
            <w:vMerge w:val="continue"/>
            <w:noWrap w:val="0"/>
            <w:vAlign w:val="center"/>
          </w:tcPr>
          <w:p w14:paraId="3D7B2113">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14:textFill>
                  <w14:solidFill>
                    <w14:schemeClr w14:val="tx1"/>
                  </w14:solidFill>
                </w14:textFill>
              </w:rPr>
            </w:pPr>
          </w:p>
        </w:tc>
        <w:tc>
          <w:tcPr>
            <w:tcW w:w="1276" w:type="dxa"/>
            <w:noWrap w:val="0"/>
            <w:vAlign w:val="center"/>
          </w:tcPr>
          <w:p w14:paraId="3BB365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4" w:lineRule="exact"/>
              <w:ind w:left="0" w:right="0" w:firstLine="0" w:firstLineChars="0"/>
              <w:jc w:val="center"/>
              <w:textAlignment w:val="baseline"/>
              <w:rPr>
                <w:rFonts w:hint="default" w:ascii="Times New Roman" w:hAnsi="Times New Roman" w:eastAsia="宋体" w:cs="Times New Roman"/>
                <w:color w:val="000000" w:themeColor="text1"/>
                <w:kern w:val="2"/>
                <w:sz w:val="21"/>
                <w:szCs w:val="24"/>
                <w:u w:val="single"/>
                <w:lang w:val="en-US"/>
                <w14:textFill>
                  <w14:solidFill>
                    <w14:schemeClr w14:val="tx1"/>
                  </w14:solidFill>
                </w14:textFill>
              </w:rPr>
            </w:pPr>
            <w:r>
              <w:rPr>
                <w:rFonts w:hint="eastAsia" w:cs="Times New Roman"/>
                <w:color w:val="000000" w:themeColor="text1"/>
                <w:kern w:val="2"/>
                <w:sz w:val="21"/>
                <w:szCs w:val="24"/>
                <w:u w:val="single"/>
                <w:lang w:val="en-US" w:eastAsia="zh-CN" w:bidi="ar-SA"/>
                <w14:textFill>
                  <w14:solidFill>
                    <w14:schemeClr w14:val="tx1"/>
                  </w14:solidFill>
                </w14:textFill>
              </w:rPr>
              <w:t>0.55</w:t>
            </w:r>
          </w:p>
        </w:tc>
        <w:tc>
          <w:tcPr>
            <w:tcW w:w="1559" w:type="dxa"/>
            <w:vMerge w:val="continue"/>
            <w:noWrap w:val="0"/>
            <w:vAlign w:val="center"/>
          </w:tcPr>
          <w:p w14:paraId="57AD8580">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p>
        </w:tc>
        <w:tc>
          <w:tcPr>
            <w:tcW w:w="1560" w:type="dxa"/>
            <w:noWrap w:val="0"/>
            <w:vAlign w:val="center"/>
          </w:tcPr>
          <w:p w14:paraId="4114CE60">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pPr>
            <w:r>
              <w:rPr>
                <w:rFonts w:hint="eastAsia" w:cs="Times New Roman"/>
                <w:color w:val="000000" w:themeColor="text1"/>
                <w:kern w:val="2"/>
                <w:sz w:val="21"/>
                <w:szCs w:val="24"/>
                <w:u w:val="single"/>
                <w:lang w:val="en-US" w:eastAsia="zh-CN"/>
                <w14:textFill>
                  <w14:solidFill>
                    <w14:schemeClr w14:val="tx1"/>
                  </w14:solidFill>
                </w14:textFill>
              </w:rPr>
              <w:t>0.0015</w:t>
            </w:r>
          </w:p>
        </w:tc>
      </w:tr>
      <w:tr w14:paraId="44F7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noWrap w:val="0"/>
            <w:vAlign w:val="center"/>
          </w:tcPr>
          <w:p w14:paraId="4F31DEC0">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0"/>
                <w:u w:val="single"/>
                <w:lang w:val="en-US" w:eastAsia="zh-CN"/>
                <w14:textFill>
                  <w14:solidFill>
                    <w14:schemeClr w14:val="tx1"/>
                  </w14:solidFill>
                </w14:textFill>
              </w:rPr>
              <w:t>TN</w:t>
            </w:r>
          </w:p>
        </w:tc>
        <w:tc>
          <w:tcPr>
            <w:tcW w:w="1136" w:type="dxa"/>
            <w:gridSpan w:val="2"/>
            <w:noWrap w:val="0"/>
            <w:vAlign w:val="center"/>
          </w:tcPr>
          <w:p w14:paraId="2E31EB93">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t>15</w:t>
            </w:r>
          </w:p>
        </w:tc>
        <w:tc>
          <w:tcPr>
            <w:tcW w:w="1275" w:type="dxa"/>
            <w:vMerge w:val="continue"/>
            <w:noWrap w:val="0"/>
            <w:vAlign w:val="center"/>
          </w:tcPr>
          <w:p w14:paraId="741D1B11">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14:textFill>
                  <w14:solidFill>
                    <w14:schemeClr w14:val="tx1"/>
                  </w14:solidFill>
                </w14:textFill>
              </w:rPr>
            </w:pPr>
          </w:p>
        </w:tc>
        <w:tc>
          <w:tcPr>
            <w:tcW w:w="1276" w:type="dxa"/>
            <w:noWrap w:val="0"/>
            <w:vAlign w:val="center"/>
          </w:tcPr>
          <w:p w14:paraId="7CC592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4" w:lineRule="exact"/>
              <w:ind w:left="0" w:right="0" w:firstLine="0" w:firstLineChars="0"/>
              <w:jc w:val="center"/>
              <w:textAlignment w:val="baseline"/>
              <w:rPr>
                <w:rFonts w:hint="default" w:ascii="Times New Roman" w:hAnsi="Times New Roman" w:eastAsia="宋体" w:cs="Times New Roman"/>
                <w:color w:val="000000" w:themeColor="text1"/>
                <w:kern w:val="2"/>
                <w:sz w:val="21"/>
                <w:szCs w:val="24"/>
                <w:u w:val="single"/>
                <w:lang w:val="en-US" w:eastAsia="zh-CN" w:bidi="ar-SA"/>
                <w14:textFill>
                  <w14:solidFill>
                    <w14:schemeClr w14:val="tx1"/>
                  </w14:solidFill>
                </w14:textFill>
              </w:rPr>
            </w:pPr>
            <w:r>
              <w:rPr>
                <w:rFonts w:hint="eastAsia" w:cs="Times New Roman"/>
                <w:color w:val="000000" w:themeColor="text1"/>
                <w:kern w:val="2"/>
                <w:sz w:val="21"/>
                <w:szCs w:val="24"/>
                <w:u w:val="single"/>
                <w:lang w:val="en-US" w:eastAsia="zh-CN" w:bidi="ar-SA"/>
                <w14:textFill>
                  <w14:solidFill>
                    <w14:schemeClr w14:val="tx1"/>
                  </w14:solidFill>
                </w14:textFill>
              </w:rPr>
              <w:t>16.43</w:t>
            </w:r>
          </w:p>
        </w:tc>
        <w:tc>
          <w:tcPr>
            <w:tcW w:w="1559" w:type="dxa"/>
            <w:vMerge w:val="continue"/>
            <w:noWrap w:val="0"/>
            <w:vAlign w:val="center"/>
          </w:tcPr>
          <w:p w14:paraId="2AAAB779">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p>
        </w:tc>
        <w:tc>
          <w:tcPr>
            <w:tcW w:w="1560" w:type="dxa"/>
            <w:noWrap w:val="0"/>
            <w:vAlign w:val="center"/>
          </w:tcPr>
          <w:p w14:paraId="664C3333">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lang w:val="en-US" w:eastAsia="zh-CN"/>
                <w14:textFill>
                  <w14:solidFill>
                    <w14:schemeClr w14:val="tx1"/>
                  </w14:solidFill>
                </w14:textFill>
              </w:rPr>
            </w:pPr>
            <w:r>
              <w:rPr>
                <w:rFonts w:hint="eastAsia" w:cs="Times New Roman"/>
                <w:color w:val="000000" w:themeColor="text1"/>
                <w:kern w:val="2"/>
                <w:sz w:val="21"/>
                <w:szCs w:val="24"/>
                <w:u w:val="single"/>
                <w:lang w:val="en-US" w:eastAsia="zh-CN"/>
                <w14:textFill>
                  <w14:solidFill>
                    <w14:schemeClr w14:val="tx1"/>
                  </w14:solidFill>
                </w14:textFill>
              </w:rPr>
              <w:t>0.045</w:t>
            </w:r>
          </w:p>
        </w:tc>
      </w:tr>
      <w:tr w14:paraId="139D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noWrap w:val="0"/>
            <w:vAlign w:val="center"/>
          </w:tcPr>
          <w:p w14:paraId="69D4B7BF">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r>
              <w:rPr>
                <w:rFonts w:hint="default" w:ascii="Times New Roman" w:hAnsi="Times New Roman" w:eastAsia="宋体" w:cs="Times New Roman"/>
                <w:color w:val="000000" w:themeColor="text1"/>
                <w:kern w:val="2"/>
                <w:sz w:val="21"/>
                <w:szCs w:val="20"/>
                <w:u w:val="single"/>
                <w14:textFill>
                  <w14:solidFill>
                    <w14:schemeClr w14:val="tx1"/>
                  </w14:solidFill>
                </w14:textFill>
              </w:rPr>
              <w:t>（其他重点污染物）</w:t>
            </w:r>
          </w:p>
        </w:tc>
        <w:tc>
          <w:tcPr>
            <w:tcW w:w="1136" w:type="dxa"/>
            <w:gridSpan w:val="2"/>
            <w:noWrap w:val="0"/>
            <w:vAlign w:val="center"/>
          </w:tcPr>
          <w:p w14:paraId="71CB4E65">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kern w:val="2"/>
                <w:sz w:val="21"/>
                <w:szCs w:val="20"/>
                <w:u w:val="single"/>
                <w:lang w:val="en-US" w:eastAsia="zh-CN"/>
                <w14:textFill>
                  <w14:solidFill>
                    <w14:schemeClr w14:val="tx1"/>
                  </w14:solidFill>
                </w14:textFill>
              </w:rPr>
            </w:pPr>
            <w:r>
              <w:rPr>
                <w:rFonts w:hint="eastAsia" w:cs="Times New Roman"/>
                <w:color w:val="000000" w:themeColor="text1"/>
                <w:kern w:val="2"/>
                <w:sz w:val="21"/>
                <w:szCs w:val="20"/>
                <w:u w:val="single"/>
                <w:lang w:val="en-US" w:eastAsia="zh-CN"/>
                <w14:textFill>
                  <w14:solidFill>
                    <w14:schemeClr w14:val="tx1"/>
                  </w14:solidFill>
                </w14:textFill>
              </w:rPr>
              <w:t>/</w:t>
            </w:r>
          </w:p>
        </w:tc>
        <w:tc>
          <w:tcPr>
            <w:tcW w:w="1275" w:type="dxa"/>
            <w:vMerge w:val="continue"/>
            <w:noWrap w:val="0"/>
            <w:vAlign w:val="center"/>
          </w:tcPr>
          <w:p w14:paraId="6FFC800B">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4"/>
                <w:u w:val="single"/>
                <w14:textFill>
                  <w14:solidFill>
                    <w14:schemeClr w14:val="tx1"/>
                  </w14:solidFill>
                </w14:textFill>
              </w:rPr>
            </w:pPr>
          </w:p>
        </w:tc>
        <w:tc>
          <w:tcPr>
            <w:tcW w:w="1276" w:type="dxa"/>
            <w:noWrap w:val="0"/>
            <w:vAlign w:val="center"/>
          </w:tcPr>
          <w:p w14:paraId="36A356BD">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kern w:val="2"/>
                <w:sz w:val="21"/>
                <w:szCs w:val="24"/>
                <w:u w:val="single"/>
                <w:lang w:val="en-US" w:eastAsia="zh-CN"/>
                <w14:textFill>
                  <w14:solidFill>
                    <w14:schemeClr w14:val="tx1"/>
                  </w14:solidFill>
                </w14:textFill>
              </w:rPr>
            </w:pPr>
            <w:r>
              <w:rPr>
                <w:rFonts w:hint="eastAsia" w:cs="Times New Roman"/>
                <w:color w:val="000000" w:themeColor="text1"/>
                <w:kern w:val="2"/>
                <w:sz w:val="21"/>
                <w:szCs w:val="24"/>
                <w:u w:val="single"/>
                <w:lang w:val="en-US" w:eastAsia="zh-CN"/>
                <w14:textFill>
                  <w14:solidFill>
                    <w14:schemeClr w14:val="tx1"/>
                  </w14:solidFill>
                </w14:textFill>
              </w:rPr>
              <w:t>/</w:t>
            </w:r>
          </w:p>
        </w:tc>
        <w:tc>
          <w:tcPr>
            <w:tcW w:w="1559" w:type="dxa"/>
            <w:vMerge w:val="continue"/>
            <w:noWrap w:val="0"/>
            <w:vAlign w:val="center"/>
          </w:tcPr>
          <w:p w14:paraId="786E3DCD">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0"/>
                <w:u w:val="single"/>
                <w14:textFill>
                  <w14:solidFill>
                    <w14:schemeClr w14:val="tx1"/>
                  </w14:solidFill>
                </w14:textFill>
              </w:rPr>
            </w:pPr>
          </w:p>
        </w:tc>
        <w:tc>
          <w:tcPr>
            <w:tcW w:w="1560" w:type="dxa"/>
            <w:noWrap w:val="0"/>
            <w:vAlign w:val="center"/>
          </w:tcPr>
          <w:p w14:paraId="53C47596">
            <w:pPr>
              <w:keepNext w:val="0"/>
              <w:keepLines w:val="0"/>
              <w:widowControl/>
              <w:suppressLineNumbers w:val="0"/>
              <w:autoSpaceDE/>
              <w:autoSpaceDN/>
              <w:adjustRightInd/>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kern w:val="2"/>
                <w:sz w:val="21"/>
                <w:szCs w:val="20"/>
                <w:u w:val="single"/>
                <w:lang w:val="en-US" w:eastAsia="zh-CN"/>
                <w14:textFill>
                  <w14:solidFill>
                    <w14:schemeClr w14:val="tx1"/>
                  </w14:solidFill>
                </w14:textFill>
              </w:rPr>
            </w:pPr>
            <w:r>
              <w:rPr>
                <w:rFonts w:hint="eastAsia" w:cs="Times New Roman"/>
                <w:color w:val="000000" w:themeColor="text1"/>
                <w:kern w:val="2"/>
                <w:sz w:val="21"/>
                <w:szCs w:val="20"/>
                <w:u w:val="single"/>
                <w:lang w:val="en-US" w:eastAsia="zh-CN"/>
                <w14:textFill>
                  <w14:solidFill>
                    <w14:schemeClr w14:val="tx1"/>
                  </w14:solidFill>
                </w14:textFill>
              </w:rPr>
              <w:t>/</w:t>
            </w:r>
          </w:p>
        </w:tc>
      </w:tr>
      <w:tr w14:paraId="2B58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6" w:type="dxa"/>
            <w:gridSpan w:val="7"/>
            <w:noWrap w:val="0"/>
            <w:vAlign w:val="center"/>
          </w:tcPr>
          <w:p w14:paraId="355F2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申请理由：</w:t>
            </w:r>
          </w:p>
          <w:p w14:paraId="4EE7BD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大通湖工业园</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现规划发展成为湖南省“植物提取产业园”先进示范和内陆开放高低的重要门户之一，现状污水处理厂的处理量已接近规模，随着园区入驻企业数量的增长，现有污水处理厂处理能力已不能满足园区发展的需要。加之现状污水处理厂设施设备老旧，排水系统混乱，亟待更新改造。因此大通湖产业发展中心拟投资8000万元在现状厂址及相邻地块建设大通湖工业园污水处理厂提质改造建设项目</w:t>
            </w:r>
            <w:r>
              <w:rPr>
                <w:rFonts w:hint="eastAsia" w:cs="Times New Roman"/>
                <w:color w:val="000000" w:themeColor="text1"/>
                <w:kern w:val="0"/>
                <w:sz w:val="21"/>
                <w:szCs w:val="21"/>
                <w:u w:val="single"/>
                <w:lang w:val="en-US" w:eastAsia="zh-CN" w:bidi="ar"/>
                <w14:textFill>
                  <w14:solidFill>
                    <w14:schemeClr w14:val="tx1"/>
                  </w14:solidFill>
                </w14:textFill>
              </w:rPr>
              <w:t>（一期）</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污水设计处理规模为 3000m</w:t>
            </w:r>
            <w:r>
              <w:rPr>
                <w:rFonts w:hint="default" w:ascii="Times New Roman" w:hAnsi="Times New Roman" w:eastAsia="宋体" w:cs="Times New Roman"/>
                <w:color w:val="000000" w:themeColor="text1"/>
                <w:kern w:val="0"/>
                <w:sz w:val="21"/>
                <w:szCs w:val="21"/>
                <w:u w:val="singl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/d。为严格执行生态环境部《入河排污口监督管理办法》（生态环境部令第 35 号），申请</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扩建</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入河排污口。</w:t>
            </w:r>
          </w:p>
          <w:p w14:paraId="3E734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大通湖工业园</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污水处理厂入河排污口</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扩建</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符合国家法律法规和相关产业政策，入河排污口</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扩建</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满足总量控制和入河排污口管理要求，能够实现达标排放和总量控制要求，入河排污口不涉及饮用水水源保护区；入河排污口</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扩建</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后，所在水功能区入河污染负荷小于</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机排二十渠</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纳污能力；本项目排污口</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扩建</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也不影响邻近其他取水户用水安全，不影响防洪和通航，不会对周边水生生态造成重大影响。入河排污口</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扩建</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无《入河排污口监督管理办法》和《湖南省入河排污口监督管理办法》（湘政办﹝2018 ﹞44 号）提出的不予同意设置入河排污口的情形，不存在制约性因素，该入河排污口</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扩建</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可行。</w:t>
            </w:r>
          </w:p>
        </w:tc>
      </w:tr>
      <w:tr w14:paraId="587D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6" w:type="dxa"/>
            <w:gridSpan w:val="7"/>
            <w:noWrap w:val="0"/>
            <w:vAlign w:val="center"/>
          </w:tcPr>
          <w:p w14:paraId="792AE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入河排污口设置论证结论：</w:t>
            </w:r>
          </w:p>
          <w:p w14:paraId="2ECF6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通过对项目排污口</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扩建</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论证分析，正常排放情况下，本项目污水排放不会改变</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机排二十渠及老三运河</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水环境现状达标水质，排污口</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扩建</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不会改变排入水体的水质类别，对水功能区水质目标不会造成明显的影响，不会对防洪和河道通航造成影响，对影响范围内第三方用水户无制约因素。污水处理厂不存在《入河排污口监督管理办法》中不允许设置排污口的情况。因此，</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大通湖工业园</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污水处理厂入河排污口的</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设置</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符合基本要求。</w:t>
            </w:r>
          </w:p>
        </w:tc>
      </w:tr>
      <w:tr w14:paraId="65D0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6" w:type="dxa"/>
            <w:gridSpan w:val="7"/>
            <w:noWrap w:val="0"/>
            <w:vAlign w:val="center"/>
          </w:tcPr>
          <w:p w14:paraId="275C7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污水排放路径图（排污单位-排污管线-入河排污口-受纳水体）：</w:t>
            </w:r>
          </w:p>
          <w:p w14:paraId="113EB960">
            <w:pPr>
              <w:pStyle w:val="5"/>
              <w:numPr>
                <w:ilvl w:val="3"/>
                <w:numId w:val="0"/>
              </w:numPr>
              <w:suppressLineNumbers w:val="0"/>
              <w:spacing w:before="0" w:beforeAutospacing="0" w:after="0" w:afterAutospacing="0"/>
              <w:ind w:left="0" w:right="0"/>
              <w:rPr>
                <w:rFonts w:hint="default"/>
                <w:color w:val="000000" w:themeColor="text1"/>
                <w:u w:val="single"/>
                <w:lang w:val="en-US" w:eastAsia="zh-CN"/>
                <w14:textFill>
                  <w14:solidFill>
                    <w14:schemeClr w14:val="tx1"/>
                  </w14:solidFill>
                </w14:textFill>
              </w:rPr>
            </w:pPr>
            <w:r>
              <w:rPr>
                <w:rFonts w:hint="default"/>
                <w:color w:val="000000" w:themeColor="text1"/>
                <w:u w:val="single"/>
                <w14:textFill>
                  <w14:solidFill>
                    <w14:schemeClr w14:val="tx1"/>
                  </w14:solidFill>
                </w14:textFill>
              </w:rPr>
              <w:drawing>
                <wp:inline distT="0" distB="0" distL="114300" distR="114300">
                  <wp:extent cx="5524500" cy="3525520"/>
                  <wp:effectExtent l="0" t="0" r="0"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0"/>
                          <a:stretch>
                            <a:fillRect/>
                          </a:stretch>
                        </pic:blipFill>
                        <pic:spPr>
                          <a:xfrm>
                            <a:off x="0" y="0"/>
                            <a:ext cx="5524500" cy="3525520"/>
                          </a:xfrm>
                          <a:prstGeom prst="rect">
                            <a:avLst/>
                          </a:prstGeom>
                          <a:noFill/>
                          <a:ln>
                            <a:noFill/>
                          </a:ln>
                        </pic:spPr>
                      </pic:pic>
                    </a:graphicData>
                  </a:graphic>
                </wp:inline>
              </w:drawing>
            </w:r>
          </w:p>
        </w:tc>
      </w:t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tbl>
    <w:p w14:paraId="14DFA4E2">
      <w:pPr>
        <w:keepNext/>
        <w:keepLines/>
        <w:widowControl w:val="0"/>
        <w:numPr>
          <w:ilvl w:val="1"/>
          <w:numId w:val="0"/>
        </w:numPr>
        <w:tabs>
          <w:tab w:val="left" w:pos="567"/>
        </w:tabs>
        <w:bidi w:val="0"/>
        <w:spacing w:line="578" w:lineRule="auto"/>
        <w:ind w:leftChars="0"/>
        <w:jc w:val="center"/>
        <w:outlineLvl w:val="0"/>
        <w:rPr>
          <w:rFonts w:hint="default" w:ascii="Times New Roman" w:hAnsi="Times New Roman" w:eastAsia="宋体" w:cs="Times New Roman"/>
          <w:b/>
          <w:bCs/>
          <w:color w:val="000000"/>
          <w:kern w:val="44"/>
          <w:sz w:val="36"/>
          <w:szCs w:val="36"/>
          <w:lang w:val="en-US" w:eastAsia="zh-CN" w:bidi="ar-SA"/>
        </w:rPr>
      </w:pPr>
    </w:p>
    <w:p w14:paraId="476B66F6">
      <w:pPr>
        <w:keepNext/>
        <w:keepLines/>
        <w:widowControl w:val="0"/>
        <w:numPr>
          <w:ilvl w:val="1"/>
          <w:numId w:val="0"/>
        </w:numPr>
        <w:tabs>
          <w:tab w:val="left" w:pos="567"/>
        </w:tabs>
        <w:bidi w:val="0"/>
        <w:spacing w:line="578" w:lineRule="auto"/>
        <w:ind w:leftChars="0"/>
        <w:jc w:val="center"/>
        <w:outlineLvl w:val="0"/>
        <w:rPr>
          <w:rFonts w:hint="default" w:ascii="Times New Roman" w:hAnsi="Times New Roman" w:eastAsia="宋体" w:cs="Times New Roman"/>
          <w:b/>
          <w:bCs/>
          <w:color w:val="000000"/>
          <w:kern w:val="44"/>
          <w:sz w:val="36"/>
          <w:szCs w:val="36"/>
          <w:lang w:val="en-US" w:eastAsia="zh-CN" w:bidi="ar-SA"/>
        </w:rPr>
      </w:pPr>
    </w:p>
    <w:p w14:paraId="4C62A365">
      <w:pPr>
        <w:keepNext/>
        <w:keepLines/>
        <w:widowControl w:val="0"/>
        <w:numPr>
          <w:ilvl w:val="1"/>
          <w:numId w:val="0"/>
        </w:numPr>
        <w:tabs>
          <w:tab w:val="left" w:pos="567"/>
        </w:tabs>
        <w:bidi w:val="0"/>
        <w:spacing w:line="578" w:lineRule="auto"/>
        <w:ind w:leftChars="0"/>
        <w:jc w:val="center"/>
        <w:outlineLvl w:val="0"/>
        <w:rPr>
          <w:rFonts w:hint="default" w:ascii="Times New Roman" w:hAnsi="Times New Roman" w:eastAsia="宋体" w:cs="Times New Roman"/>
          <w:b/>
          <w:bCs/>
          <w:color w:val="000000"/>
          <w:kern w:val="44"/>
          <w:sz w:val="36"/>
          <w:szCs w:val="36"/>
          <w:lang w:val="en-US" w:eastAsia="zh-CN" w:bidi="ar-SA"/>
        </w:rPr>
      </w:pPr>
    </w:p>
    <w:p w14:paraId="1397DF51">
      <w:pPr>
        <w:keepNext/>
        <w:keepLines/>
        <w:widowControl w:val="0"/>
        <w:numPr>
          <w:ilvl w:val="1"/>
          <w:numId w:val="0"/>
        </w:numPr>
        <w:tabs>
          <w:tab w:val="left" w:pos="567"/>
        </w:tabs>
        <w:bidi w:val="0"/>
        <w:spacing w:line="578" w:lineRule="auto"/>
        <w:ind w:leftChars="0"/>
        <w:jc w:val="center"/>
        <w:outlineLvl w:val="0"/>
        <w:rPr>
          <w:rFonts w:hint="default" w:ascii="Times New Roman" w:hAnsi="Times New Roman" w:eastAsia="宋体" w:cs="Times New Roman"/>
          <w:b/>
          <w:bCs/>
          <w:color w:val="000000"/>
          <w:kern w:val="44"/>
          <w:sz w:val="36"/>
          <w:szCs w:val="36"/>
          <w:lang w:val="en-US" w:eastAsia="zh-CN" w:bidi="ar-SA"/>
        </w:rPr>
      </w:pPr>
    </w:p>
    <w:p w14:paraId="784E0EC0">
      <w:pPr>
        <w:keepNext/>
        <w:keepLines/>
        <w:widowControl w:val="0"/>
        <w:numPr>
          <w:ilvl w:val="1"/>
          <w:numId w:val="0"/>
        </w:numPr>
        <w:tabs>
          <w:tab w:val="left" w:pos="567"/>
        </w:tabs>
        <w:bidi w:val="0"/>
        <w:spacing w:line="578" w:lineRule="auto"/>
        <w:ind w:leftChars="0"/>
        <w:jc w:val="center"/>
        <w:outlineLvl w:val="0"/>
        <w:rPr>
          <w:rFonts w:hint="default" w:ascii="Times New Roman" w:hAnsi="Times New Roman" w:eastAsia="宋体" w:cs="Times New Roman"/>
          <w:b/>
          <w:bCs/>
          <w:color w:val="000000"/>
          <w:kern w:val="44"/>
          <w:sz w:val="36"/>
          <w:szCs w:val="36"/>
          <w:lang w:val="en-US" w:eastAsia="zh-CN" w:bidi="ar-SA"/>
        </w:rPr>
      </w:pPr>
    </w:p>
    <w:p w14:paraId="4020C7AD">
      <w:pPr>
        <w:keepNext/>
        <w:keepLines/>
        <w:widowControl w:val="0"/>
        <w:numPr>
          <w:ilvl w:val="1"/>
          <w:numId w:val="0"/>
        </w:numPr>
        <w:tabs>
          <w:tab w:val="left" w:pos="567"/>
        </w:tabs>
        <w:bidi w:val="0"/>
        <w:spacing w:line="578" w:lineRule="auto"/>
        <w:ind w:leftChars="0"/>
        <w:jc w:val="center"/>
        <w:outlineLvl w:val="0"/>
        <w:rPr>
          <w:rFonts w:hint="default" w:ascii="Times New Roman" w:hAnsi="Times New Roman" w:eastAsia="宋体" w:cs="Times New Roman"/>
          <w:b/>
          <w:bCs/>
          <w:color w:val="000000"/>
          <w:kern w:val="44"/>
          <w:sz w:val="36"/>
          <w:szCs w:val="36"/>
          <w:lang w:val="en-US" w:eastAsia="zh-CN" w:bidi="ar-SA"/>
        </w:rPr>
      </w:pPr>
    </w:p>
    <w:p w14:paraId="7BBE3055">
      <w:pPr>
        <w:keepNext/>
        <w:keepLines/>
        <w:widowControl w:val="0"/>
        <w:numPr>
          <w:ilvl w:val="1"/>
          <w:numId w:val="0"/>
        </w:numPr>
        <w:tabs>
          <w:tab w:val="left" w:pos="567"/>
        </w:tabs>
        <w:bidi w:val="0"/>
        <w:spacing w:line="578" w:lineRule="auto"/>
        <w:ind w:leftChars="0"/>
        <w:jc w:val="center"/>
        <w:outlineLvl w:val="0"/>
        <w:rPr>
          <w:rFonts w:hint="default" w:ascii="Times New Roman" w:hAnsi="Times New Roman" w:eastAsia="宋体" w:cs="Times New Roman"/>
          <w:b/>
          <w:bCs/>
          <w:color w:val="000000"/>
          <w:kern w:val="44"/>
          <w:sz w:val="36"/>
          <w:szCs w:val="36"/>
          <w:lang w:val="en-US" w:eastAsia="zh-CN" w:bidi="ar-SA"/>
        </w:rPr>
      </w:pPr>
    </w:p>
    <w:p w14:paraId="1148C45A">
      <w:pPr>
        <w:keepNext/>
        <w:keepLines/>
        <w:widowControl w:val="0"/>
        <w:numPr>
          <w:ilvl w:val="1"/>
          <w:numId w:val="0"/>
        </w:numPr>
        <w:tabs>
          <w:tab w:val="left" w:pos="567"/>
        </w:tabs>
        <w:bidi w:val="0"/>
        <w:spacing w:line="578" w:lineRule="auto"/>
        <w:ind w:leftChars="0"/>
        <w:jc w:val="center"/>
        <w:outlineLvl w:val="0"/>
        <w:rPr>
          <w:rFonts w:hint="default" w:ascii="Times New Roman" w:hAnsi="Times New Roman" w:eastAsia="宋体" w:cs="Times New Roman"/>
          <w:b/>
          <w:bCs/>
          <w:color w:val="000000"/>
          <w:kern w:val="44"/>
          <w:sz w:val="36"/>
          <w:szCs w:val="36"/>
          <w:lang w:val="en-US" w:eastAsia="zh-CN" w:bidi="ar-SA"/>
        </w:rPr>
      </w:pPr>
    </w:p>
    <w:bookmarkEnd w:id="253"/>
    <w:p w14:paraId="21380790">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p>
    <w:p w14:paraId="625E8B34">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p>
    <w:p w14:paraId="4BD78FF1">
      <w:pPr>
        <w:keepNext/>
        <w:keepLines/>
        <w:widowControl w:val="0"/>
        <w:numPr>
          <w:ilvl w:val="1"/>
          <w:numId w:val="0"/>
        </w:numPr>
        <w:tabs>
          <w:tab w:val="left" w:pos="567"/>
        </w:tabs>
        <w:bidi w:val="0"/>
        <w:spacing w:line="578" w:lineRule="auto"/>
        <w:ind w:leftChars="0"/>
        <w:jc w:val="center"/>
        <w:outlineLvl w:val="0"/>
        <w:rPr>
          <w:rFonts w:hint="default" w:ascii="Times New Roman" w:hAnsi="Times New Roman" w:eastAsia="宋体" w:cs="Times New Roman"/>
          <w:b/>
          <w:bCs/>
          <w:color w:val="000000"/>
          <w:kern w:val="44"/>
          <w:sz w:val="36"/>
          <w:szCs w:val="36"/>
          <w:lang w:val="en-US" w:eastAsia="zh-CN" w:bidi="ar-SA"/>
        </w:rPr>
      </w:pPr>
      <w:r>
        <w:rPr>
          <w:rFonts w:hint="default" w:ascii="Times New Roman" w:hAnsi="Times New Roman" w:eastAsia="宋体" w:cs="Times New Roman"/>
          <w:b/>
          <w:bCs/>
          <w:color w:val="000000"/>
          <w:kern w:val="44"/>
          <w:sz w:val="36"/>
          <w:szCs w:val="36"/>
          <w:lang w:val="en-US" w:eastAsia="zh-CN" w:bidi="ar-SA"/>
        </w:rPr>
        <w:t>1、总则</w:t>
      </w:r>
    </w:p>
    <w:p w14:paraId="672CD3AA">
      <w:pPr>
        <w:keepNext/>
        <w:keepLines/>
        <w:widowControl w:val="0"/>
        <w:numPr>
          <w:ilvl w:val="0"/>
          <w:numId w:val="0"/>
        </w:numPr>
        <w:ind w:left="0" w:leftChars="0" w:firstLine="0"/>
        <w:jc w:val="both"/>
        <w:outlineLvl w:val="1"/>
        <w:rPr>
          <w:rFonts w:hint="default" w:ascii="Times New Roman" w:hAnsi="Times New Roman" w:eastAsia="宋体" w:cs="Times New Roman"/>
          <w:b/>
          <w:bCs/>
          <w:kern w:val="2"/>
          <w:sz w:val="28"/>
          <w:szCs w:val="32"/>
          <w:lang w:val="en-US" w:eastAsia="zh-CN" w:bidi="ar-SA"/>
        </w:rPr>
      </w:pPr>
      <w:bookmarkStart w:id="260" w:name="_Toc26380"/>
      <w:r>
        <w:rPr>
          <w:rFonts w:hint="default" w:ascii="Times New Roman" w:hAnsi="Times New Roman" w:eastAsia="宋体" w:cs="Times New Roman"/>
          <w:b/>
          <w:bCs/>
          <w:kern w:val="2"/>
          <w:sz w:val="28"/>
          <w:szCs w:val="32"/>
          <w:lang w:val="en-US" w:eastAsia="zh-CN" w:bidi="ar-SA"/>
        </w:rPr>
        <w:t>1.1论证目的</w:t>
      </w:r>
      <w:bookmarkEnd w:id="260"/>
    </w:p>
    <w:p w14:paraId="6D32D4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中华人民共和国水法》《中华人民共和国水污染防治法》《入河排污口监督管理办法》和《湖南省入河排污口监督管理办法》等法律法规的要求，结合污水处理厂入河排污口方案，其开展入河排污口设置论证主要目的：</w:t>
      </w:r>
    </w:p>
    <w:p w14:paraId="0991FC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通过实地查勘，收集该建设项目前期相关技术资料及审查意见，分析入河排污口有关信息，在满足水功能区（或水域）保护要求的前提下，论证入河排污口设置对水功能区、水生态和第三者权益的影响以及对区域污染物的削减效果。</w:t>
      </w:r>
    </w:p>
    <w:p w14:paraId="0F6E2AE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根据纳污能力、排污总量控制、水生态保护等要求，对排污口设置的合理</w:t>
      </w:r>
    </w:p>
    <w:p w14:paraId="5C70A59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性进行分析论证；</w:t>
      </w:r>
    </w:p>
    <w:p w14:paraId="61AC47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优化入河排污口设置方案，提出水资源保护措施，为各级环保主管部门或</w:t>
      </w:r>
    </w:p>
    <w:p w14:paraId="495B0CB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流域管理机构审批入河排污口设置方案以及建设单位合理设置入河排污口提供</w:t>
      </w:r>
    </w:p>
    <w:p w14:paraId="058E78A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科学依据，以保障生活、生产和生态用水安全。</w:t>
      </w:r>
    </w:p>
    <w:p w14:paraId="3A2AC6F8">
      <w:pPr>
        <w:keepNext/>
        <w:keepLines/>
        <w:widowControl w:val="0"/>
        <w:numPr>
          <w:ilvl w:val="0"/>
          <w:numId w:val="0"/>
        </w:numPr>
        <w:ind w:left="0" w:leftChars="0" w:firstLine="0"/>
        <w:jc w:val="both"/>
        <w:outlineLvl w:val="1"/>
        <w:rPr>
          <w:rFonts w:hint="default" w:ascii="Times New Roman" w:hAnsi="Times New Roman" w:eastAsia="宋体" w:cs="Times New Roman"/>
          <w:b/>
          <w:bCs/>
          <w:kern w:val="2"/>
          <w:sz w:val="28"/>
          <w:szCs w:val="32"/>
          <w:lang w:val="en-US" w:eastAsia="zh-CN" w:bidi="ar-SA"/>
        </w:rPr>
      </w:pPr>
      <w:bookmarkStart w:id="261" w:name="_Toc1375"/>
      <w:r>
        <w:rPr>
          <w:rFonts w:hint="default" w:ascii="Times New Roman" w:hAnsi="Times New Roman" w:eastAsia="宋体" w:cs="Times New Roman"/>
          <w:b/>
          <w:bCs/>
          <w:kern w:val="2"/>
          <w:sz w:val="28"/>
          <w:szCs w:val="32"/>
          <w:lang w:val="en-US" w:eastAsia="zh-CN" w:bidi="ar-SA"/>
        </w:rPr>
        <w:t>1.2论证依据</w:t>
      </w:r>
      <w:bookmarkEnd w:id="261"/>
    </w:p>
    <w:p w14:paraId="2A0653B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1.2.1法律法规</w:t>
      </w:r>
    </w:p>
    <w:p w14:paraId="75BCC1F0">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（1）《中华人民共和国水法》（2016年9月1日实施）；</w:t>
      </w:r>
    </w:p>
    <w:p w14:paraId="2CC3BA7E">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（2）《中华人民共和国防洪法》（2016年9月1日实施）；</w:t>
      </w:r>
    </w:p>
    <w:p w14:paraId="7192134B">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（3）《中华人民共和国水污染防治法》（2018年1月1日实施）；</w:t>
      </w:r>
    </w:p>
    <w:p w14:paraId="0A56ED01">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（4）《中华人民共和国水土保持法》（2011年3月1日实施）；</w:t>
      </w:r>
    </w:p>
    <w:p w14:paraId="7D1BEE14">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（5）《中华人民共和国环境保护法》（2015年1月1日实施）；</w:t>
      </w:r>
    </w:p>
    <w:p w14:paraId="0F0EEF49">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（6）《中华人民共和国河道管理条例》（2018年3月19日实施）；</w:t>
      </w:r>
    </w:p>
    <w:p w14:paraId="7154F591">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（7）《中华人民共和国渔业法》（2025年6月27日修订）；</w:t>
      </w:r>
    </w:p>
    <w:p w14:paraId="34A0FBAF">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（8）《中华人民共和国防洪法》（2016年7月2日修正）；</w:t>
      </w:r>
    </w:p>
    <w:p w14:paraId="35DD0B16">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（9）《建设项目环境保护管理条例》（国务院令第682号），（2017年10月1日实施）；</w:t>
      </w:r>
    </w:p>
    <w:p w14:paraId="179DFCD6">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（10）《中华人民共和国河道管理条例》（2017年10月7日修正）；</w:t>
      </w:r>
    </w:p>
    <w:p w14:paraId="17CC2545">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（11）《城镇排水与污水处理条例》（国务院第641号令，2014年1月1日实施）；</w:t>
      </w:r>
    </w:p>
    <w:p w14:paraId="7B148149">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 xml:space="preserve">（12）《排污许可管理条例》（中华人民共和国国务院令第 736 号，2021 年 </w:t>
      </w:r>
    </w:p>
    <w:p w14:paraId="69A7F8EA">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3 月 1 日起施行）。</w:t>
      </w:r>
    </w:p>
    <w:p w14:paraId="4D9F431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1.2.2部门规章及规范性文件</w:t>
      </w:r>
    </w:p>
    <w:p w14:paraId="0A5ABAA9">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（1）《入河排污口监督管理办法》（（生态环境部令第35号，2025年1月1日施行）；</w:t>
      </w:r>
    </w:p>
    <w:p w14:paraId="3F022CFA">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（2）《建设项目水资源论证管理办法》（水利部、国家发展计划委员会第15号令），2017年12月22日修订；</w:t>
      </w:r>
    </w:p>
    <w:p w14:paraId="0368048B">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（3）《国务院关于实行最严格水资源管理制度的意见》（国发〔2012〕3号）；</w:t>
      </w:r>
    </w:p>
    <w:p w14:paraId="1B057F67">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（4）《水行政许可实施办法》（水利部令第23号）；</w:t>
      </w:r>
    </w:p>
    <w:p w14:paraId="345E7DAC">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（5）《水功能区监督管理办法》（水利部水资源〔2017〕101号）；</w:t>
      </w:r>
    </w:p>
    <w:p w14:paraId="5D7A05E5">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（6）《关于加强入河排污口监督管理工作的通知》（水利部水资源〔2005〕79号）；</w:t>
      </w:r>
    </w:p>
    <w:p w14:paraId="7F1F50FA">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（7）《国务院办公厅关于加强入河入海排污口监督管理工作的实施意见》（国办函〔2022〕17号）；</w:t>
      </w:r>
    </w:p>
    <w:p w14:paraId="16D9310A">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8）《生态环境部办公厅关于印发〈长江、黄河和渤海入海（河）排污口排查整治分类规则（试行）〉〈长江、黄河和渤海入海（河）排污口命名与编码规则（试行）〉〈长江、黄河和渤海入海（河）排污口标志牌设置规则（试行）〉的通知》（环办执法函〔2020〕718 号）；</w:t>
      </w:r>
    </w:p>
    <w:p w14:paraId="2F573F0F">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（9）《关于做好入河排污口和水功能区划相关工作的通知》（环办水体〔2019〕36 号；</w:t>
      </w:r>
    </w:p>
    <w:p w14:paraId="1E698C03">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（10）《湖南省环境保护条例》（2025 年 7月31日修订）；</w:t>
      </w:r>
    </w:p>
    <w:p w14:paraId="492FEBEF">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（11）《湖南省入河排污口监督管理办法》（湘政发办〔2018〕44号，2018年7月12号实施）；</w:t>
      </w:r>
    </w:p>
    <w:p w14:paraId="15C67B6A">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（12）《湖南省最严格水资源管理制度实施方案》（湘政发〔2013〕32号）；</w:t>
      </w:r>
    </w:p>
    <w:p w14:paraId="7468BFE2">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（13）《关于做好入河排污口设置审批和水功能区划相关工作的通知》（湘环发〔2019〕17号）；</w:t>
      </w:r>
    </w:p>
    <w:p w14:paraId="3E64657A">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（14）《湖南省主要地表水系水环境功能区划》（DB43/023-2005）；</w:t>
      </w:r>
    </w:p>
    <w:p w14:paraId="0B24257E">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（15）《湖南省水功能区监督管理办法》（湘政办发〔2016〕14号）；</w:t>
      </w:r>
    </w:p>
    <w:p w14:paraId="2D7DAF04">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（16）《益阳市人民政府关于实施“三线一单”生态环境分区管控的意见》（益政发〔2020〕14号）；</w:t>
      </w:r>
    </w:p>
    <w:p w14:paraId="7B7A2446">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（17）《益阳市实行最严格水资源管理制度考核办法》（益政发〔2013〕23号）；</w:t>
      </w:r>
    </w:p>
    <w:p w14:paraId="190A5E29">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（18）《益阳市水功能区划》（益阳市水利局，2012年12月）；</w:t>
      </w:r>
    </w:p>
    <w:p w14:paraId="67FE5763">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（19）《益阳市“十四五”生态环境保护规划》（益政办发〔2021〕19 号）；</w:t>
      </w:r>
    </w:p>
    <w:p w14:paraId="2B6AF035">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（20）益阳市生态环境保护委员会办公室关于印发《益阳市入河（湖）排污口排查整治工作专项行动方案》的通知（益生环委办〔2023〕42 号）。</w:t>
      </w:r>
    </w:p>
    <w:p w14:paraId="5D3019A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1.2.3相关导则及技术规范</w:t>
      </w:r>
    </w:p>
    <w:p w14:paraId="6AA5C5D0">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（1）《建设项目环境影响评价技术导则 总纲》（HJ 2.1-2016） ；</w:t>
      </w:r>
    </w:p>
    <w:p w14:paraId="26DE22C8">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 xml:space="preserve">（2）《环境影响评价技术导则一地表水环境》（HJ 2.3-2018）； </w:t>
      </w:r>
    </w:p>
    <w:p w14:paraId="352A2170">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 xml:space="preserve">（3）《建设项目水资源论证导则》（GB /T35580-2017）； </w:t>
      </w:r>
    </w:p>
    <w:p w14:paraId="556D645B">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（4）《入河入海排污口监督管理技术指南 入河排污口设置》（HJ 1386-2024） ；</w:t>
      </w:r>
    </w:p>
    <w:p w14:paraId="63BDB6EE">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（5）《入河排污口管理技术导则》（SL532-2011）；</w:t>
      </w:r>
    </w:p>
    <w:p w14:paraId="19F8F4BA">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（6）《水域纳污能力计算规程》（GB/T25173-2010）；</w:t>
      </w:r>
    </w:p>
    <w:p w14:paraId="12F8A00E">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（7）《饮用水水源保护区划分技术规范》（HJ/T338-2018）；</w:t>
      </w:r>
    </w:p>
    <w:p w14:paraId="7CB4CD9E">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（8）《水环境监测规范》（SL219-2018）；</w:t>
      </w:r>
    </w:p>
    <w:p w14:paraId="6186FAA9">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（9）《地表水水资源质量评价技术规程》（SL395-2007）；</w:t>
      </w:r>
    </w:p>
    <w:p w14:paraId="56B9B29C">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（10）《水资源评价导则》（SL/T238-1999）；</w:t>
      </w:r>
    </w:p>
    <w:p w14:paraId="46D2D49E">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（11）《水利工程水利计算规范》（SL104-2015）；</w:t>
      </w:r>
    </w:p>
    <w:p w14:paraId="400D4D90">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（12）《水文调查规范》（SL196-2015）；</w:t>
      </w:r>
    </w:p>
    <w:p w14:paraId="0C3DB0B1">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（13）《水利水电工程水文计算规范》（SL/T 278—2020）；</w:t>
      </w:r>
    </w:p>
    <w:p w14:paraId="0074F3E1">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（14）《入河入海排污口监督管理技术指南 排污口分类》（HJ 1312-2023）；</w:t>
      </w:r>
    </w:p>
    <w:p w14:paraId="1D221B4B">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（15）《入河入海排污口监督管理技术指南 入河排污口规范化建设》（HJ1309-2023）；</w:t>
      </w:r>
    </w:p>
    <w:p w14:paraId="0E0D2599">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（16）《排污许可证申请与核发技术规范水处理（试行）》（HJ 978-2018）；</w:t>
      </w:r>
    </w:p>
    <w:p w14:paraId="1D3DD477">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（17）《城镇污水处理厂污染物排放标准》（GB18918-2002）；</w:t>
      </w:r>
    </w:p>
    <w:p w14:paraId="4C3C86EA">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（18）《污水综合排放标准》（GB8979-1996）；</w:t>
      </w:r>
    </w:p>
    <w:p w14:paraId="1B5DE104">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（19）《地表水环境质量标准》（GB3838-2002）；</w:t>
      </w:r>
    </w:p>
    <w:p w14:paraId="48881D3A">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（2</w:t>
      </w:r>
      <w:r>
        <w:rPr>
          <w:rFonts w:hint="eastAsia" w:cs="Times New Roman"/>
          <w:kern w:val="2"/>
          <w:sz w:val="24"/>
          <w:szCs w:val="20"/>
          <w:lang w:val="en-US" w:eastAsia="zh-CN" w:bidi="ar-SA"/>
        </w:rPr>
        <w:t>0</w:t>
      </w:r>
      <w:r>
        <w:rPr>
          <w:rFonts w:hint="default" w:ascii="Times New Roman" w:hAnsi="Times New Roman" w:eastAsia="宋体" w:cs="Times New Roman"/>
          <w:kern w:val="2"/>
          <w:sz w:val="24"/>
          <w:szCs w:val="20"/>
          <w:lang w:val="en-US" w:eastAsia="zh-CN" w:bidi="ar-SA"/>
        </w:rPr>
        <w:t>）《污水排入城镇下水道水质标准》（GB/T31962-2015）；</w:t>
      </w:r>
    </w:p>
    <w:p w14:paraId="4CB66E4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1.2.4项目相关资料</w:t>
      </w:r>
    </w:p>
    <w:p w14:paraId="7F8B0229">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（1）《湖南大通湖洞庭食品工业园废水处理工程变更环境影响报告书》，湖南省国际工程咨询中心有限公司，2020 年 1 月；</w:t>
      </w:r>
    </w:p>
    <w:p w14:paraId="4D3D9825">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（2）《关于湖南大通湖洞庭食品工业园废水处理工程变更环境影响报告书的批复》，益阳市生态环境局，（益环审（书）【2020】4 号）；</w:t>
      </w:r>
    </w:p>
    <w:p w14:paraId="2CC0DA86">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（3）《湖南大通湖洞庭食品工业园废水处理工程竣工环境保护验收报告》（精检竣监[2019]209号）；</w:t>
      </w:r>
    </w:p>
    <w:p w14:paraId="43F628C3">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（4）排污许可证（发证日期：2022 年 6 月 21 日）；</w:t>
      </w:r>
    </w:p>
    <w:p w14:paraId="1FDE1DDC">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（5）建设单位提供的其它相关资料。</w:t>
      </w:r>
    </w:p>
    <w:p w14:paraId="39C5F538">
      <w:pPr>
        <w:keepNext/>
        <w:keepLines/>
        <w:widowControl w:val="0"/>
        <w:numPr>
          <w:ilvl w:val="0"/>
          <w:numId w:val="0"/>
        </w:numPr>
        <w:ind w:left="0" w:leftChars="0" w:firstLine="0"/>
        <w:jc w:val="both"/>
        <w:outlineLvl w:val="1"/>
        <w:rPr>
          <w:rFonts w:hint="default" w:ascii="Times New Roman" w:hAnsi="Times New Roman" w:eastAsia="宋体" w:cs="Times New Roman"/>
          <w:b/>
          <w:bCs/>
          <w:kern w:val="2"/>
          <w:sz w:val="28"/>
          <w:szCs w:val="32"/>
          <w:lang w:val="en-US" w:eastAsia="zh-CN" w:bidi="ar-SA"/>
        </w:rPr>
      </w:pPr>
      <w:bookmarkStart w:id="262" w:name="_Toc29802"/>
      <w:r>
        <w:rPr>
          <w:rFonts w:hint="default" w:ascii="Times New Roman" w:hAnsi="Times New Roman" w:eastAsia="宋体" w:cs="Times New Roman"/>
          <w:b/>
          <w:bCs/>
          <w:kern w:val="2"/>
          <w:sz w:val="28"/>
          <w:szCs w:val="32"/>
          <w:lang w:val="en-US" w:eastAsia="zh-CN" w:bidi="ar-SA"/>
        </w:rPr>
        <w:t>1.3论证范围</w:t>
      </w:r>
      <w:bookmarkEnd w:id="262"/>
    </w:p>
    <w:p w14:paraId="1134E1E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kern w:val="2"/>
          <w:sz w:val="24"/>
          <w:szCs w:val="24"/>
          <w:lang w:val="en-US" w:eastAsia="zh-CN"/>
        </w:rPr>
      </w:pPr>
      <w:r>
        <w:rPr>
          <w:rFonts w:hint="default" w:ascii="Times New Roman" w:hAnsi="Times New Roman" w:eastAsia="宋体" w:cs="Times New Roman"/>
          <w:kern w:val="2"/>
          <w:sz w:val="24"/>
          <w:szCs w:val="20"/>
          <w:u w:val="none"/>
          <w:lang w:val="en-US" w:eastAsia="zh-CN" w:bidi="ar-SA"/>
        </w:rPr>
        <w:t>根据《益阳市水功能区划》</w:t>
      </w:r>
      <w:r>
        <w:rPr>
          <w:rFonts w:hint="eastAsia" w:cs="Times New Roman"/>
          <w:b w:val="0"/>
          <w:bCs/>
          <w:kern w:val="2"/>
          <w:sz w:val="24"/>
          <w:szCs w:val="24"/>
          <w:lang w:val="en-US" w:eastAsia="zh-CN"/>
        </w:rPr>
        <w:t>、益阳市大通湖区农业农村和水利局关于机排二十渠功能的情况说明，机排二十渠现有两个排污口，属于排污明渠，</w:t>
      </w:r>
      <w:r>
        <w:rPr>
          <w:rFonts w:hint="default" w:ascii="Times New Roman" w:hAnsi="Times New Roman" w:eastAsia="宋体" w:cs="Times New Roman"/>
          <w:b w:val="0"/>
          <w:bCs/>
          <w:kern w:val="2"/>
          <w:sz w:val="24"/>
          <w:szCs w:val="24"/>
          <w:lang w:val="en-US" w:eastAsia="zh-CN"/>
        </w:rPr>
        <w:t>本次论证机排二十渠水质目标</w:t>
      </w:r>
      <w:r>
        <w:rPr>
          <w:rFonts w:hint="eastAsia" w:cs="Times New Roman"/>
          <w:b w:val="0"/>
          <w:bCs/>
          <w:kern w:val="2"/>
          <w:sz w:val="24"/>
          <w:szCs w:val="24"/>
          <w:lang w:val="en-US" w:eastAsia="zh-CN"/>
        </w:rPr>
        <w:t>参照</w:t>
      </w:r>
      <w:r>
        <w:rPr>
          <w:rFonts w:hint="default" w:ascii="Times New Roman" w:hAnsi="Times New Roman" w:eastAsia="宋体" w:cs="Times New Roman"/>
          <w:b w:val="0"/>
          <w:bCs/>
          <w:kern w:val="2"/>
          <w:sz w:val="24"/>
          <w:szCs w:val="24"/>
          <w:lang w:val="en-US" w:eastAsia="zh-CN"/>
        </w:rPr>
        <w:t>《地表水环境质量标准》（GB3838-2002）</w:t>
      </w:r>
      <w:r>
        <w:rPr>
          <w:rFonts w:hint="eastAsia" w:cs="Times New Roman"/>
          <w:b w:val="0"/>
          <w:bCs/>
          <w:kern w:val="2"/>
          <w:sz w:val="24"/>
          <w:szCs w:val="24"/>
          <w:lang w:val="en-US" w:eastAsia="zh-CN"/>
        </w:rPr>
        <w:t>水域功能划分的一般工业用水区，按IV</w:t>
      </w:r>
      <w:r>
        <w:rPr>
          <w:rFonts w:hint="default" w:ascii="Times New Roman" w:hAnsi="Times New Roman" w:eastAsia="宋体" w:cs="Times New Roman"/>
          <w:b w:val="0"/>
          <w:bCs/>
          <w:kern w:val="2"/>
          <w:sz w:val="24"/>
          <w:szCs w:val="24"/>
          <w:lang w:val="en-US" w:eastAsia="zh-CN"/>
        </w:rPr>
        <w:t>类</w:t>
      </w:r>
      <w:r>
        <w:rPr>
          <w:rFonts w:hint="eastAsia" w:cs="Times New Roman"/>
          <w:b w:val="0"/>
          <w:bCs/>
          <w:kern w:val="2"/>
          <w:sz w:val="24"/>
          <w:szCs w:val="24"/>
          <w:lang w:val="en-US" w:eastAsia="zh-CN"/>
        </w:rPr>
        <w:t>标准</w:t>
      </w:r>
      <w:r>
        <w:rPr>
          <w:rFonts w:hint="default" w:ascii="Times New Roman" w:hAnsi="Times New Roman" w:eastAsia="宋体" w:cs="Times New Roman"/>
          <w:color w:val="000000"/>
          <w:kern w:val="0"/>
          <w:sz w:val="24"/>
          <w:szCs w:val="24"/>
          <w:lang w:val="en-US" w:eastAsia="zh-CN" w:bidi="ar"/>
        </w:rPr>
        <w:t>进行评价</w:t>
      </w:r>
      <w:r>
        <w:rPr>
          <w:rFonts w:hint="eastAsia" w:cs="Times New Roman"/>
          <w:color w:val="000000"/>
          <w:kern w:val="0"/>
          <w:sz w:val="24"/>
          <w:szCs w:val="24"/>
          <w:lang w:val="en-US" w:eastAsia="zh-CN" w:bidi="ar"/>
        </w:rPr>
        <w:t>；根据大通湖区洞庭食品工业园废水处理厂现有排污许可证，受纳水体</w:t>
      </w:r>
      <w:r>
        <w:rPr>
          <w:rFonts w:hint="default" w:ascii="Times New Roman" w:hAnsi="Times New Roman" w:eastAsia="宋体" w:cs="Times New Roman"/>
          <w:color w:val="000000"/>
          <w:kern w:val="0"/>
          <w:sz w:val="24"/>
          <w:szCs w:val="24"/>
          <w:lang w:val="en-US" w:eastAsia="zh-CN" w:bidi="ar"/>
        </w:rPr>
        <w:t>老三运河</w:t>
      </w:r>
      <w:r>
        <w:rPr>
          <w:rFonts w:hint="default" w:ascii="Times New Roman" w:hAnsi="Times New Roman" w:eastAsia="宋体" w:cs="Times New Roman"/>
          <w:b w:val="0"/>
          <w:bCs/>
          <w:kern w:val="2"/>
          <w:sz w:val="24"/>
          <w:szCs w:val="24"/>
          <w:lang w:val="en-US" w:eastAsia="zh-CN"/>
        </w:rPr>
        <w:t>水</w:t>
      </w:r>
      <w:r>
        <w:rPr>
          <w:rFonts w:hint="eastAsia" w:cs="Times New Roman"/>
          <w:b w:val="0"/>
          <w:bCs/>
          <w:kern w:val="2"/>
          <w:sz w:val="24"/>
          <w:szCs w:val="24"/>
          <w:lang w:val="en-US" w:eastAsia="zh-CN"/>
        </w:rPr>
        <w:t>功能目标为</w:t>
      </w:r>
      <w:r>
        <w:rPr>
          <w:rFonts w:hint="default" w:ascii="Times New Roman" w:hAnsi="Times New Roman" w:eastAsia="宋体" w:cs="Times New Roman"/>
          <w:b w:val="0"/>
          <w:bCs/>
          <w:kern w:val="2"/>
          <w:sz w:val="24"/>
          <w:szCs w:val="24"/>
          <w:lang w:val="en-US" w:eastAsia="zh-CN"/>
        </w:rPr>
        <w:t>Ⅲ类</w:t>
      </w:r>
      <w:r>
        <w:rPr>
          <w:rFonts w:hint="eastAsia" w:cs="Times New Roman"/>
          <w:b w:val="0"/>
          <w:bCs/>
          <w:kern w:val="2"/>
          <w:sz w:val="24"/>
          <w:szCs w:val="24"/>
          <w:lang w:val="en-US" w:eastAsia="zh-CN"/>
        </w:rPr>
        <w:t>，</w:t>
      </w:r>
      <w:r>
        <w:rPr>
          <w:rFonts w:hint="default" w:ascii="Times New Roman" w:hAnsi="Times New Roman" w:eastAsia="宋体" w:cs="Times New Roman"/>
          <w:b w:val="0"/>
          <w:bCs/>
          <w:kern w:val="2"/>
          <w:sz w:val="24"/>
          <w:szCs w:val="24"/>
          <w:lang w:val="en-US" w:eastAsia="zh-CN"/>
        </w:rPr>
        <w:t>本次论证</w:t>
      </w:r>
      <w:r>
        <w:rPr>
          <w:rFonts w:hint="eastAsia" w:cs="Times New Roman"/>
          <w:b w:val="0"/>
          <w:bCs/>
          <w:kern w:val="2"/>
          <w:sz w:val="24"/>
          <w:szCs w:val="24"/>
          <w:lang w:val="en-US" w:eastAsia="zh-CN"/>
        </w:rPr>
        <w:t>老三运河</w:t>
      </w:r>
      <w:r>
        <w:rPr>
          <w:rFonts w:hint="default" w:ascii="Times New Roman" w:hAnsi="Times New Roman" w:eastAsia="宋体" w:cs="Times New Roman"/>
          <w:b w:val="0"/>
          <w:bCs/>
          <w:kern w:val="2"/>
          <w:sz w:val="24"/>
          <w:szCs w:val="24"/>
          <w:lang w:val="en-US" w:eastAsia="zh-CN"/>
        </w:rPr>
        <w:t>水质目标</w:t>
      </w:r>
      <w:r>
        <w:rPr>
          <w:rFonts w:hint="eastAsia" w:cs="Times New Roman"/>
          <w:b w:val="0"/>
          <w:bCs/>
          <w:kern w:val="2"/>
          <w:sz w:val="24"/>
          <w:szCs w:val="24"/>
          <w:lang w:val="en-US" w:eastAsia="zh-CN"/>
        </w:rPr>
        <w:t>参照</w:t>
      </w:r>
      <w:r>
        <w:rPr>
          <w:rFonts w:hint="default" w:ascii="Times New Roman" w:hAnsi="Times New Roman" w:eastAsia="宋体" w:cs="Times New Roman"/>
          <w:b w:val="0"/>
          <w:bCs/>
          <w:kern w:val="2"/>
          <w:sz w:val="24"/>
          <w:szCs w:val="24"/>
          <w:lang w:val="en-US" w:eastAsia="zh-CN"/>
        </w:rPr>
        <w:t>《地表水环境质量标准》（GB3838-2002</w:t>
      </w:r>
      <w:r>
        <w:rPr>
          <w:rFonts w:hint="eastAsia" w:cs="Times New Roman"/>
          <w:b w:val="0"/>
          <w:bCs/>
          <w:kern w:val="2"/>
          <w:sz w:val="24"/>
          <w:szCs w:val="24"/>
          <w:lang w:val="en-US" w:eastAsia="zh-CN"/>
        </w:rPr>
        <w:t>）</w:t>
      </w:r>
      <w:r>
        <w:rPr>
          <w:rFonts w:hint="default" w:ascii="Times New Roman" w:hAnsi="Times New Roman" w:eastAsia="宋体" w:cs="Times New Roman"/>
          <w:b w:val="0"/>
          <w:bCs/>
          <w:kern w:val="2"/>
          <w:sz w:val="24"/>
          <w:szCs w:val="24"/>
          <w:lang w:val="en-US" w:eastAsia="zh-CN"/>
        </w:rPr>
        <w:t>Ⅲ类</w:t>
      </w:r>
      <w:r>
        <w:rPr>
          <w:rFonts w:hint="eastAsia" w:cs="Times New Roman"/>
          <w:b w:val="0"/>
          <w:bCs/>
          <w:kern w:val="2"/>
          <w:sz w:val="24"/>
          <w:szCs w:val="24"/>
          <w:lang w:val="en-US" w:eastAsia="zh-CN"/>
        </w:rPr>
        <w:t>标准</w:t>
      </w:r>
      <w:r>
        <w:rPr>
          <w:rFonts w:hint="default" w:ascii="Times New Roman" w:hAnsi="Times New Roman" w:eastAsia="宋体" w:cs="Times New Roman"/>
          <w:color w:val="000000"/>
          <w:kern w:val="0"/>
          <w:sz w:val="24"/>
          <w:szCs w:val="24"/>
          <w:lang w:val="en-US" w:eastAsia="zh-CN" w:bidi="ar"/>
        </w:rPr>
        <w:t>进行评价</w:t>
      </w:r>
      <w:r>
        <w:rPr>
          <w:rFonts w:hint="default" w:ascii="Times New Roman" w:hAnsi="Times New Roman" w:eastAsia="宋体" w:cs="Times New Roman"/>
          <w:b w:val="0"/>
          <w:bCs/>
          <w:kern w:val="2"/>
          <w:sz w:val="24"/>
          <w:szCs w:val="24"/>
          <w:lang w:val="en-US" w:eastAsia="zh-CN"/>
        </w:rPr>
        <w:t>。</w:t>
      </w:r>
    </w:p>
    <w:p w14:paraId="2C8554CE">
      <w:pPr>
        <w:widowControl w:val="0"/>
        <w:spacing w:line="360" w:lineRule="auto"/>
        <w:ind w:firstLine="480" w:firstLineChars="200"/>
        <w:jc w:val="both"/>
        <w:rPr>
          <w:rFonts w:hint="default" w:ascii="Times New Roman" w:hAnsi="Times New Roman" w:eastAsia="宋体" w:cs="Times New Roman"/>
          <w:color w:val="000000"/>
          <w:kern w:val="2"/>
          <w:sz w:val="24"/>
          <w:szCs w:val="20"/>
          <w:u w:val="none"/>
          <w:lang w:val="en-US" w:eastAsia="zh-CN" w:bidi="ar-SA"/>
        </w:rPr>
      </w:pPr>
      <w:r>
        <w:rPr>
          <w:rFonts w:hint="default" w:ascii="Times New Roman" w:hAnsi="Times New Roman" w:eastAsia="宋体" w:cs="Times New Roman"/>
          <w:kern w:val="2"/>
          <w:sz w:val="24"/>
          <w:szCs w:val="20"/>
          <w:u w:val="none"/>
          <w:lang w:val="en-US" w:eastAsia="zh-CN" w:bidi="ar-SA"/>
        </w:rPr>
        <w:t>根据《入河排污口管理技术导则》（SL532-2011）的规定：“原则上以受入河排污口影响的主要水域和其影响范围内的第三方取、用水户为论证范围。论证工作的基础单元为水功能区，其中入河排污口所在水功能区和可能受到影响的周边水功能区，是论证的重点区域”。污水处理厂尾水排放路径为总排口下游机排二十渠 2.1km、老三运河段3.8km（与机排二十渠交汇处至与大通湖泄洪道交汇处）、大通湖泄洪道5.35km、金盆河段12km（与大通湖泄洪道交汇处至与塞阳河交汇处）、塞阳河段2.6km（与金盆河交汇处至与漉湖农灌渠交汇处）、漉湖农灌渠17.8km，全长为43.65km。根据排污口影响范围，参照《环境影响评价技术导则-地表水环境》HJ/T2.3-2018，应满足覆盖对照断面、控制断面与消减断面等关心断面的要求；本次论证范围主要为尾水总排口下游机排二十渠 2.1km、老三运河段 3.8km（与机排二十渠交汇处至与大通湖泄洪道交汇处），论证范围全长为5.9km。根据以上原则确定论证范围如</w:t>
      </w:r>
      <w:r>
        <w:rPr>
          <w:rFonts w:hint="default" w:ascii="Times New Roman" w:hAnsi="Times New Roman" w:eastAsia="宋体" w:cs="Times New Roman"/>
          <w:color w:val="000000"/>
          <w:kern w:val="2"/>
          <w:sz w:val="24"/>
          <w:szCs w:val="20"/>
          <w:u w:val="none"/>
          <w:lang w:val="en-US" w:eastAsia="zh-CN" w:bidi="ar-SA"/>
        </w:rPr>
        <w:t>下图。</w:t>
      </w:r>
    </w:p>
    <w:p w14:paraId="5D81D762">
      <w:pPr>
        <w:widowControl w:val="0"/>
        <w:spacing w:line="360" w:lineRule="auto"/>
        <w:ind w:left="0" w:leftChars="0" w:firstLine="0" w:firstLineChars="0"/>
        <w:jc w:val="both"/>
        <w:rPr>
          <w:rFonts w:hint="default" w:ascii="Times New Roman" w:hAnsi="Times New Roman" w:eastAsia="宋体" w:cs="Times New Roman"/>
          <w:b/>
          <w:bCs/>
          <w:color w:val="FF0000"/>
          <w:kern w:val="2"/>
          <w:sz w:val="24"/>
          <w:szCs w:val="20"/>
          <w:lang w:val="en-US" w:eastAsia="zh-CN" w:bidi="ar-SA"/>
        </w:rPr>
      </w:pPr>
      <w:r>
        <w:rPr>
          <w:rFonts w:hint="default" w:ascii="Times New Roman" w:hAnsi="Times New Roman" w:eastAsia="宋体" w:cs="Times New Roman"/>
          <w:kern w:val="2"/>
          <w:sz w:val="24"/>
          <w:szCs w:val="20"/>
          <w:lang w:val="en-US" w:eastAsia="zh-CN" w:bidi="ar-SA"/>
        </w:rPr>
        <w:drawing>
          <wp:inline distT="0" distB="0" distL="114300" distR="114300">
            <wp:extent cx="5270500" cy="3361055"/>
            <wp:effectExtent l="0" t="0" r="6350" b="127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51"/>
                    <a:stretch>
                      <a:fillRect/>
                    </a:stretch>
                  </pic:blipFill>
                  <pic:spPr>
                    <a:xfrm>
                      <a:off x="0" y="0"/>
                      <a:ext cx="5270500" cy="3361055"/>
                    </a:xfrm>
                    <a:prstGeom prst="rect">
                      <a:avLst/>
                    </a:prstGeom>
                    <a:noFill/>
                    <a:ln>
                      <a:noFill/>
                    </a:ln>
                  </pic:spPr>
                </pic:pic>
              </a:graphicData>
            </a:graphic>
          </wp:inline>
        </w:drawing>
      </w:r>
    </w:p>
    <w:p w14:paraId="7B6DAB6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图 1.3-1 入河排污口论证范围图</w:t>
      </w:r>
    </w:p>
    <w:p w14:paraId="62F0E05E">
      <w:pPr>
        <w:keepNext/>
        <w:keepLines/>
        <w:widowControl w:val="0"/>
        <w:numPr>
          <w:ilvl w:val="0"/>
          <w:numId w:val="0"/>
        </w:numPr>
        <w:ind w:left="0" w:leftChars="0" w:firstLine="0"/>
        <w:jc w:val="both"/>
        <w:outlineLvl w:val="1"/>
        <w:rPr>
          <w:rFonts w:hint="default" w:ascii="Times New Roman" w:hAnsi="Times New Roman" w:eastAsia="宋体" w:cs="Times New Roman"/>
          <w:b/>
          <w:bCs/>
          <w:kern w:val="2"/>
          <w:sz w:val="28"/>
          <w:szCs w:val="32"/>
          <w:lang w:val="en-US" w:eastAsia="zh-CN" w:bidi="ar-SA"/>
        </w:rPr>
      </w:pPr>
      <w:bookmarkStart w:id="263" w:name="_Toc6725"/>
      <w:r>
        <w:rPr>
          <w:rFonts w:hint="default" w:ascii="Times New Roman" w:hAnsi="Times New Roman" w:eastAsia="宋体" w:cs="Times New Roman"/>
          <w:b/>
          <w:bCs/>
          <w:kern w:val="2"/>
          <w:sz w:val="28"/>
          <w:szCs w:val="32"/>
          <w:lang w:val="en-US" w:eastAsia="zh-CN" w:bidi="ar-SA"/>
        </w:rPr>
        <w:t>1.4论证工作程序</w:t>
      </w:r>
      <w:bookmarkEnd w:id="263"/>
    </w:p>
    <w:p w14:paraId="2E1A57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（1）现场查勘与资料收集</w:t>
      </w:r>
    </w:p>
    <w:p w14:paraId="4CA03E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根据入河排污口设置的方案，组织技术人员对现场进行查勘，调查和收集该</w:t>
      </w:r>
    </w:p>
    <w:p w14:paraId="7F123B4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项目所在区域的自然环境和社会环境资料，排污口设置河段的水文、水质和水生</w:t>
      </w:r>
    </w:p>
    <w:p w14:paraId="6F41CF5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态资料等，同时收集可能影响的其他取排水用户资料。</w:t>
      </w:r>
    </w:p>
    <w:p w14:paraId="1B717C9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（2）资料整理</w:t>
      </w:r>
    </w:p>
    <w:p w14:paraId="66F2A6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根据所收集的资料，整理分析，明确入河排污口位置、主要污染物排放量及污染特性等基本情况；分析所属河段水资源保护管理要求，水环境现状和水生态</w:t>
      </w:r>
    </w:p>
    <w:p w14:paraId="4E02F31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现状等情况，以及其他取排水用户分布情况等。</w:t>
      </w:r>
    </w:p>
    <w:p w14:paraId="4F3050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（3）入河排污口设置方案设计</w:t>
      </w:r>
    </w:p>
    <w:p w14:paraId="75D963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根据水功能区水质和水生态保护要求，结合废污水处理排放情况，项目所处</w:t>
      </w:r>
    </w:p>
    <w:p w14:paraId="1ED619C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河段河道水文特性，按照《水域纳污能力计算规程》，选定合适的数学模型，拟</w:t>
      </w:r>
    </w:p>
    <w:p w14:paraId="43D403B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定模型预测计算工况，进行污染物扩散浓度预测计算，统计分析不同条件下入河</w:t>
      </w:r>
    </w:p>
    <w:p w14:paraId="492B76D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废污水的影响程度及范围。</w:t>
      </w:r>
    </w:p>
    <w:p w14:paraId="38BD5F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（4）影响分析 </w:t>
      </w:r>
    </w:p>
    <w:p w14:paraId="4A108E9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根据计算结果，得出的入河排污口污染物排放产生的影响范围，以及所处河 </w:t>
      </w:r>
    </w:p>
    <w:p w14:paraId="621577A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段水生态现状，论证分析入河排污口对地表水水质、水生态的影响程度。论证分 </w:t>
      </w:r>
    </w:p>
    <w:p w14:paraId="6E088AA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析排污口对下游水环境风险，提出入河排污口设置的制约因素。 </w:t>
      </w:r>
    </w:p>
    <w:p w14:paraId="04A16A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（5）排污口设置合理性分析 </w:t>
      </w:r>
    </w:p>
    <w:p w14:paraId="4DE511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结合入河排污口设置方案设计及设置影响分析结果，分析入河排污口位置、 </w:t>
      </w:r>
    </w:p>
    <w:p w14:paraId="22FD983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污染物排放浓度和总量是否符合法律法规政策、水生态环境保护目标要求，是否 </w:t>
      </w:r>
    </w:p>
    <w:p w14:paraId="09A06F2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有制约因素，制约因素能否采取水生态环境保护措施减免。 </w:t>
      </w:r>
    </w:p>
    <w:p w14:paraId="781EF0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（6）结论与建议 </w:t>
      </w:r>
    </w:p>
    <w:p w14:paraId="53741B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根据入河排污口设置情况及水功能区相关要求，经综合分析，给出排污口设 </w:t>
      </w:r>
    </w:p>
    <w:p w14:paraId="02BADE6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置的结论及合理性建议。 </w:t>
      </w:r>
    </w:p>
    <w:p w14:paraId="0005DF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1"/>
        </w:rPr>
      </w:pPr>
      <w:r>
        <w:rPr>
          <w:rFonts w:hint="default" w:ascii="Times New Roman" w:hAnsi="Times New Roman" w:eastAsia="宋体" w:cs="Times New Roman"/>
          <w:color w:val="000000"/>
          <w:kern w:val="0"/>
          <w:sz w:val="24"/>
          <w:szCs w:val="24"/>
          <w:lang w:val="en-US" w:eastAsia="zh-CN" w:bidi="ar"/>
        </w:rPr>
        <w:t>入河排污口论证工作程序见图 1.8-1。</w:t>
      </w:r>
      <w:r>
        <w:rPr>
          <w:rFonts w:hint="default" w:ascii="Times New Roman" w:hAnsi="Times New Roman" w:eastAsia="宋体" w:cs="Times New Roman"/>
          <w:kern w:val="2"/>
          <w:sz w:val="21"/>
        </w:rPr>
        <w:drawing>
          <wp:inline distT="0" distB="0" distL="114300" distR="114300">
            <wp:extent cx="5267960" cy="4149725"/>
            <wp:effectExtent l="0" t="0" r="8890" b="317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52"/>
                    <a:stretch>
                      <a:fillRect/>
                    </a:stretch>
                  </pic:blipFill>
                  <pic:spPr>
                    <a:xfrm>
                      <a:off x="0" y="0"/>
                      <a:ext cx="5267960" cy="4149725"/>
                    </a:xfrm>
                    <a:prstGeom prst="rect">
                      <a:avLst/>
                    </a:prstGeom>
                    <a:noFill/>
                    <a:ln>
                      <a:noFill/>
                    </a:ln>
                  </pic:spPr>
                </pic:pic>
              </a:graphicData>
            </a:graphic>
          </wp:inline>
        </w:drawing>
      </w:r>
    </w:p>
    <w:p w14:paraId="2D6981E5">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图 1.4-1 入河排污口论证流程图</w:t>
      </w:r>
    </w:p>
    <w:p w14:paraId="152AF4ED">
      <w:pPr>
        <w:keepNext/>
        <w:keepLines/>
        <w:widowControl w:val="0"/>
        <w:numPr>
          <w:ilvl w:val="0"/>
          <w:numId w:val="0"/>
        </w:numPr>
        <w:ind w:left="0" w:leftChars="0" w:firstLine="0"/>
        <w:jc w:val="both"/>
        <w:outlineLvl w:val="1"/>
        <w:rPr>
          <w:rFonts w:hint="default" w:ascii="Times New Roman" w:hAnsi="Times New Roman" w:eastAsia="宋体" w:cs="Times New Roman"/>
          <w:b/>
          <w:bCs/>
          <w:kern w:val="2"/>
          <w:sz w:val="28"/>
          <w:szCs w:val="32"/>
          <w:lang w:val="en-US" w:eastAsia="zh-CN" w:bidi="ar-SA"/>
        </w:rPr>
      </w:pPr>
      <w:bookmarkStart w:id="264" w:name="_Toc25007"/>
      <w:r>
        <w:rPr>
          <w:rFonts w:hint="default" w:ascii="Times New Roman" w:hAnsi="Times New Roman" w:eastAsia="宋体" w:cs="Times New Roman"/>
          <w:b/>
          <w:bCs/>
          <w:kern w:val="2"/>
          <w:sz w:val="28"/>
          <w:szCs w:val="32"/>
          <w:lang w:val="en-US" w:eastAsia="zh-CN" w:bidi="ar-SA"/>
        </w:rPr>
        <w:t>1.5论证的主要内容</w:t>
      </w:r>
      <w:bookmarkEnd w:id="264"/>
    </w:p>
    <w:p w14:paraId="411452B5">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根据《湖南省入河排污口监督管理办法（湘政办法〔2018〕44 号）》等相</w:t>
      </w:r>
    </w:p>
    <w:p w14:paraId="646D6B86">
      <w:pPr>
        <w:widowControl w:val="0"/>
        <w:spacing w:line="360" w:lineRule="auto"/>
        <w:ind w:left="0" w:leftChars="0" w:firstLine="0" w:firstLineChars="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关文件要求，论证的主要内容如下：</w:t>
      </w:r>
    </w:p>
    <w:p w14:paraId="25AD8CBD">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1）建设项目基本情况及产排污分析；</w:t>
      </w:r>
    </w:p>
    <w:p w14:paraId="4F14F9CC">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p>
    <w:p w14:paraId="6B5D90B2">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2）调查入河排污口所在水功能区（水域）水质，进行水生态现状调查分析；</w:t>
      </w:r>
    </w:p>
    <w:p w14:paraId="3D78A336">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3）入河排污口设置可行性分析论证及入河排污口设置方案；</w:t>
      </w:r>
    </w:p>
    <w:p w14:paraId="75084C18">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4）入河排污口设置对水功能区（水域）水质和水生态影响分析；</w:t>
      </w:r>
    </w:p>
    <w:p w14:paraId="1615D54B">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5）入河排污口设置对水环境风险影响分析；</w:t>
      </w:r>
    </w:p>
    <w:p w14:paraId="5B5DDD99">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6）入河排污口设置合理性分析；</w:t>
      </w:r>
    </w:p>
    <w:p w14:paraId="0B58CD78">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7）结论与建议。</w:t>
      </w:r>
    </w:p>
    <w:p w14:paraId="79136D68">
      <w:pPr>
        <w:autoSpaceDE/>
        <w:autoSpaceDN/>
        <w:adjustRightInd/>
        <w:spacing w:line="240" w:lineRule="auto"/>
        <w:ind w:firstLine="0" w:firstLineChars="0"/>
        <w:rPr>
          <w:rFonts w:hint="default" w:ascii="Times New Roman" w:hAnsi="Times New Roman" w:eastAsia="宋体" w:cs="Times New Roman"/>
          <w:kern w:val="2"/>
          <w:sz w:val="21"/>
        </w:rPr>
      </w:pPr>
    </w:p>
    <w:p w14:paraId="433CEC0F">
      <w:pPr>
        <w:rPr>
          <w:rFonts w:hint="default" w:ascii="Times New Roman" w:hAnsi="Times New Roman" w:cs="Times New Roman"/>
        </w:rPr>
        <w:sectPr>
          <w:footerReference r:id="rId2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EE9552F">
      <w:pPr>
        <w:keepNext/>
        <w:keepLines/>
        <w:pageBreakBefore w:val="0"/>
        <w:widowControl w:val="0"/>
        <w:numPr>
          <w:ilvl w:val="1"/>
          <w:numId w:val="0"/>
        </w:numPr>
        <w:tabs>
          <w:tab w:val="left" w:pos="567"/>
        </w:tabs>
        <w:kinsoku/>
        <w:wordWrap/>
        <w:overflowPunct/>
        <w:topLinePunct w:val="0"/>
        <w:autoSpaceDE/>
        <w:autoSpaceDN/>
        <w:bidi w:val="0"/>
        <w:adjustRightInd/>
        <w:snapToGrid/>
        <w:spacing w:line="360" w:lineRule="auto"/>
        <w:ind w:leftChars="0"/>
        <w:jc w:val="center"/>
        <w:textAlignment w:val="auto"/>
        <w:outlineLvl w:val="0"/>
        <w:rPr>
          <w:rFonts w:hint="default" w:ascii="Times New Roman" w:hAnsi="Times New Roman" w:eastAsia="宋体" w:cs="Times New Roman"/>
          <w:b/>
          <w:bCs/>
          <w:color w:val="000000"/>
          <w:kern w:val="44"/>
          <w:sz w:val="36"/>
          <w:szCs w:val="36"/>
          <w:lang w:val="en-US" w:eastAsia="zh-CN" w:bidi="ar-SA"/>
        </w:rPr>
      </w:pPr>
      <w:bookmarkStart w:id="265" w:name="_Toc27307"/>
      <w:r>
        <w:rPr>
          <w:rFonts w:hint="default" w:ascii="Times New Roman" w:hAnsi="Times New Roman" w:eastAsia="宋体" w:cs="Times New Roman"/>
          <w:b/>
          <w:bCs/>
          <w:color w:val="000000"/>
          <w:kern w:val="44"/>
          <w:sz w:val="36"/>
          <w:szCs w:val="36"/>
          <w:lang w:val="en-US" w:eastAsia="zh-CN" w:bidi="ar-SA"/>
        </w:rPr>
        <w:t>2 责任主体基本情况</w:t>
      </w:r>
      <w:bookmarkEnd w:id="265"/>
      <w:r>
        <w:rPr>
          <w:rFonts w:hint="default" w:ascii="Times New Roman" w:hAnsi="Times New Roman" w:eastAsia="宋体" w:cs="Times New Roman"/>
          <w:b/>
          <w:bCs/>
          <w:color w:val="000000"/>
          <w:kern w:val="44"/>
          <w:sz w:val="36"/>
          <w:szCs w:val="36"/>
          <w:lang w:val="en-US" w:eastAsia="zh-CN" w:bidi="ar-SA"/>
        </w:rPr>
        <w:t xml:space="preserve"> </w:t>
      </w:r>
    </w:p>
    <w:p w14:paraId="0775CD8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28"/>
          <w:szCs w:val="28"/>
          <w:lang w:val="en-US" w:eastAsia="zh-CN" w:bidi="ar"/>
        </w:rPr>
      </w:pPr>
    </w:p>
    <w:p w14:paraId="3F9867C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8"/>
          <w:szCs w:val="28"/>
        </w:rPr>
      </w:pPr>
      <w:r>
        <w:rPr>
          <w:rFonts w:hint="default" w:ascii="Times New Roman" w:hAnsi="Times New Roman" w:eastAsia="宋体" w:cs="Times New Roman"/>
          <w:b/>
          <w:bCs/>
          <w:color w:val="000000"/>
          <w:kern w:val="0"/>
          <w:sz w:val="28"/>
          <w:szCs w:val="28"/>
          <w:lang w:val="en-US" w:eastAsia="zh-CN" w:bidi="ar"/>
        </w:rPr>
        <w:t xml:space="preserve">2.1 责任主体名称、单位性质、地址 </w:t>
      </w:r>
    </w:p>
    <w:p w14:paraId="18813FA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单位名称：大通湖产业发展中心 </w:t>
      </w:r>
    </w:p>
    <w:p w14:paraId="5BAF19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lang w:val="en-US"/>
        </w:rPr>
      </w:pPr>
      <w:r>
        <w:rPr>
          <w:rFonts w:hint="default" w:ascii="Times New Roman" w:hAnsi="Times New Roman" w:eastAsia="宋体" w:cs="Times New Roman"/>
          <w:color w:val="000000"/>
          <w:kern w:val="0"/>
          <w:sz w:val="24"/>
          <w:szCs w:val="24"/>
          <w:lang w:val="en-US" w:eastAsia="zh-CN" w:bidi="ar"/>
        </w:rPr>
        <w:t>法定代表人：伍杰</w:t>
      </w:r>
    </w:p>
    <w:p w14:paraId="681EEE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机构性质：事业单位 </w:t>
      </w:r>
    </w:p>
    <w:p w14:paraId="5FA348F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单位地址：湖南省益阳市大通湖区河坝镇文化北路498号 </w:t>
      </w:r>
    </w:p>
    <w:p w14:paraId="43DFB1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lang w:val="en-US"/>
        </w:rPr>
      </w:pPr>
      <w:r>
        <w:rPr>
          <w:rFonts w:hint="default" w:ascii="Times New Roman" w:hAnsi="Times New Roman" w:eastAsia="宋体" w:cs="Times New Roman"/>
          <w:color w:val="000000"/>
          <w:kern w:val="0"/>
          <w:sz w:val="24"/>
          <w:szCs w:val="24"/>
          <w:lang w:val="en-US" w:eastAsia="zh-CN" w:bidi="ar"/>
        </w:rPr>
        <w:t>统一社会信用代码：12430904MB1U68071U</w:t>
      </w:r>
    </w:p>
    <w:p w14:paraId="3AE3D3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lang w:val="en-US"/>
        </w:rPr>
      </w:pPr>
      <w:r>
        <w:rPr>
          <w:rFonts w:hint="default" w:ascii="Times New Roman" w:hAnsi="Times New Roman" w:eastAsia="宋体" w:cs="Times New Roman"/>
          <w:color w:val="000000"/>
          <w:kern w:val="0"/>
          <w:sz w:val="24"/>
          <w:szCs w:val="24"/>
          <w:lang w:val="en-US" w:eastAsia="zh-CN" w:bidi="ar"/>
        </w:rPr>
        <w:t>有效期：2025年05月09日至2030年05月08日</w:t>
      </w:r>
    </w:p>
    <w:p w14:paraId="3C19BD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8"/>
          <w:szCs w:val="28"/>
        </w:rPr>
      </w:pPr>
      <w:r>
        <w:rPr>
          <w:rFonts w:hint="default" w:ascii="Times New Roman" w:hAnsi="Times New Roman" w:eastAsia="宋体" w:cs="Times New Roman"/>
          <w:b/>
          <w:bCs/>
          <w:color w:val="000000"/>
          <w:kern w:val="0"/>
          <w:sz w:val="28"/>
          <w:szCs w:val="28"/>
          <w:lang w:val="en-US" w:eastAsia="zh-CN" w:bidi="ar"/>
        </w:rPr>
        <w:t xml:space="preserve">2.2 责任主体生产经营状况 </w:t>
      </w:r>
    </w:p>
    <w:p w14:paraId="45EAD9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大通湖产业发展中心为益阳市大通湖区管委会直属公益一类事业单位，正科级。贯彻执行省、市关于开发区的方针政策和决策部署；根据相关法律法规和市委、市政府及区委、区管委会授权（委托）履行组织领导、发展规划、区域开发、产业发展、协调服务等职能。</w:t>
      </w:r>
    </w:p>
    <w:p w14:paraId="63FD695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72DB7F5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05FD624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24AED94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56CD128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4F5EC56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158EE12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6FCA241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203AC71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607057B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5050125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3718AEE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3593DBA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7F5468E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p>
    <w:p w14:paraId="6389A681">
      <w:pPr>
        <w:keepNext/>
        <w:keepLines/>
        <w:pageBreakBefore w:val="0"/>
        <w:widowControl w:val="0"/>
        <w:numPr>
          <w:ilvl w:val="1"/>
          <w:numId w:val="0"/>
        </w:numPr>
        <w:tabs>
          <w:tab w:val="left" w:pos="567"/>
        </w:tabs>
        <w:kinsoku/>
        <w:wordWrap/>
        <w:overflowPunct/>
        <w:topLinePunct w:val="0"/>
        <w:autoSpaceDE/>
        <w:autoSpaceDN/>
        <w:bidi w:val="0"/>
        <w:adjustRightInd/>
        <w:snapToGrid/>
        <w:spacing w:line="360" w:lineRule="auto"/>
        <w:ind w:leftChars="0"/>
        <w:jc w:val="center"/>
        <w:textAlignment w:val="auto"/>
        <w:outlineLvl w:val="0"/>
        <w:rPr>
          <w:rFonts w:hint="default" w:ascii="Times New Roman" w:hAnsi="Times New Roman" w:eastAsia="宋体" w:cs="Times New Roman"/>
          <w:b/>
          <w:bCs/>
          <w:color w:val="000000"/>
          <w:kern w:val="44"/>
          <w:sz w:val="36"/>
          <w:szCs w:val="36"/>
          <w:lang w:val="en-US" w:eastAsia="zh-CN" w:bidi="ar-SA"/>
        </w:rPr>
      </w:pPr>
      <w:bookmarkStart w:id="266" w:name="_Toc21371"/>
      <w:r>
        <w:rPr>
          <w:rFonts w:hint="default" w:ascii="Times New Roman" w:hAnsi="Times New Roman" w:eastAsia="宋体" w:cs="Times New Roman"/>
          <w:b/>
          <w:bCs/>
          <w:color w:val="000000"/>
          <w:kern w:val="44"/>
          <w:sz w:val="36"/>
          <w:szCs w:val="36"/>
          <w:lang w:val="en-US" w:eastAsia="zh-CN" w:bidi="ar-SA"/>
        </w:rPr>
        <w:t>3建设项目基本情况及产排污分析</w:t>
      </w:r>
      <w:bookmarkEnd w:id="266"/>
    </w:p>
    <w:p w14:paraId="7226D0E3">
      <w:pPr>
        <w:keepNext/>
        <w:keepLines/>
        <w:widowControl w:val="0"/>
        <w:numPr>
          <w:ilvl w:val="0"/>
          <w:numId w:val="0"/>
        </w:numPr>
        <w:ind w:left="0" w:leftChars="0" w:firstLine="0"/>
        <w:jc w:val="both"/>
        <w:outlineLvl w:val="1"/>
        <w:rPr>
          <w:rFonts w:hint="default" w:ascii="Times New Roman" w:hAnsi="Times New Roman" w:eastAsia="宋体" w:cs="Times New Roman"/>
          <w:b/>
          <w:bCs/>
          <w:kern w:val="2"/>
          <w:sz w:val="28"/>
          <w:szCs w:val="28"/>
          <w:lang w:val="en-US" w:eastAsia="zh-CN" w:bidi="ar-SA"/>
        </w:rPr>
      </w:pPr>
      <w:bookmarkStart w:id="267" w:name="_Toc26995"/>
      <w:r>
        <w:rPr>
          <w:rFonts w:hint="default" w:ascii="Times New Roman" w:hAnsi="Times New Roman" w:eastAsia="宋体" w:cs="Times New Roman"/>
          <w:b/>
          <w:bCs/>
          <w:kern w:val="2"/>
          <w:sz w:val="28"/>
          <w:szCs w:val="28"/>
          <w:lang w:val="en-US" w:eastAsia="zh-CN" w:bidi="ar-SA"/>
        </w:rPr>
        <w:t>3.1建设项目基本情况</w:t>
      </w:r>
      <w:bookmarkEnd w:id="267"/>
    </w:p>
    <w:p w14:paraId="6CCD21F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项目名称：大通湖工业园污水处理厂提质改造建设项目</w:t>
      </w:r>
      <w:r>
        <w:rPr>
          <w:rFonts w:hint="eastAsia" w:cs="Times New Roman"/>
          <w:kern w:val="2"/>
          <w:sz w:val="24"/>
          <w:szCs w:val="24"/>
          <w:lang w:val="en-US" w:eastAsia="zh-CN" w:bidi="ar-SA"/>
        </w:rPr>
        <w:t>（一期）</w:t>
      </w:r>
      <w:r>
        <w:rPr>
          <w:rFonts w:hint="default" w:ascii="Times New Roman" w:hAnsi="Times New Roman" w:eastAsia="宋体" w:cs="Times New Roman"/>
          <w:kern w:val="2"/>
          <w:sz w:val="24"/>
          <w:szCs w:val="24"/>
          <w:lang w:val="en-US" w:eastAsia="zh-CN" w:bidi="ar-SA"/>
        </w:rPr>
        <w:t>入河排污口</w:t>
      </w:r>
      <w:r>
        <w:rPr>
          <w:rFonts w:hint="eastAsia" w:cs="Times New Roman"/>
          <w:kern w:val="2"/>
          <w:sz w:val="24"/>
          <w:szCs w:val="24"/>
          <w:lang w:val="en-US" w:eastAsia="zh-CN" w:bidi="ar-SA"/>
        </w:rPr>
        <w:t>；</w:t>
      </w:r>
    </w:p>
    <w:p w14:paraId="4CFF05E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建设单位：</w:t>
      </w:r>
      <w:r>
        <w:rPr>
          <w:rFonts w:hint="default" w:ascii="Times New Roman" w:hAnsi="Times New Roman" w:eastAsia="宋体" w:cs="Times New Roman"/>
          <w:color w:val="000000"/>
          <w:kern w:val="0"/>
          <w:sz w:val="24"/>
          <w:szCs w:val="24"/>
          <w:lang w:val="en-US" w:eastAsia="zh-CN" w:bidi="ar"/>
        </w:rPr>
        <w:t>大通湖产业发展中心；</w:t>
      </w:r>
    </w:p>
    <w:p w14:paraId="063B568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建设地点：益阳市大通湖区工业园污水处理厂，机排二十渠右岸。排污口坐标</w:t>
      </w:r>
      <w:r>
        <w:rPr>
          <w:rFonts w:hint="default" w:ascii="Times New Roman" w:hAnsi="Times New Roman" w:eastAsia="宋体" w:cs="Times New Roman"/>
          <w:kern w:val="2"/>
          <w:sz w:val="24"/>
          <w:szCs w:val="24"/>
          <w:lang w:val="en-US" w:eastAsia="zh-CN" w:bidi="ar-SA"/>
        </w:rPr>
        <w:t>E112°36′49.72347″、N29°11′3.06811″</w:t>
      </w:r>
      <w:r>
        <w:rPr>
          <w:rFonts w:hint="default" w:ascii="Times New Roman" w:hAnsi="Times New Roman" w:eastAsia="宋体" w:cs="Times New Roman"/>
          <w:kern w:val="2"/>
          <w:sz w:val="24"/>
          <w:szCs w:val="24"/>
          <w:lang w:val="en-US" w:eastAsia="zh-CN" w:bidi="ar-SA"/>
        </w:rPr>
        <w:t>；</w:t>
      </w:r>
    </w:p>
    <w:p w14:paraId="46C4432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建设性质：扩建</w:t>
      </w:r>
    </w:p>
    <w:p w14:paraId="32DEAB4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排放规模：外排废水量3000m³/d</w:t>
      </w:r>
      <w:r>
        <w:rPr>
          <w:rFonts w:hint="eastAsia" w:cs="Times New Roman"/>
          <w:kern w:val="2"/>
          <w:sz w:val="24"/>
          <w:szCs w:val="24"/>
          <w:lang w:val="en-US" w:eastAsia="zh-CN" w:bidi="ar-SA"/>
        </w:rPr>
        <w:t>，109.5</w:t>
      </w:r>
      <w:r>
        <w:rPr>
          <w:rFonts w:hint="default" w:cs="Times New Roman"/>
          <w:kern w:val="2"/>
          <w:sz w:val="24"/>
          <w:szCs w:val="24"/>
          <w:lang w:val="en-US" w:eastAsia="zh-CN" w:bidi="ar-SA"/>
        </w:rPr>
        <w:t>万m³/a</w:t>
      </w:r>
      <w:r>
        <w:rPr>
          <w:rFonts w:hint="eastAsia" w:cs="Times New Roman"/>
          <w:kern w:val="2"/>
          <w:sz w:val="24"/>
          <w:szCs w:val="24"/>
          <w:lang w:val="en-US" w:eastAsia="zh-CN" w:bidi="ar-SA"/>
        </w:rPr>
        <w:t>；</w:t>
      </w:r>
    </w:p>
    <w:p w14:paraId="2D97A3C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入河排污口类型：工业及其他各类园区污水处理厂排污口</w:t>
      </w:r>
    </w:p>
    <w:p w14:paraId="2A59292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排放规律：</w:t>
      </w:r>
      <w:r>
        <w:rPr>
          <w:rFonts w:hint="eastAsia" w:cs="Times New Roman"/>
          <w:kern w:val="2"/>
          <w:sz w:val="24"/>
          <w:szCs w:val="24"/>
          <w:lang w:val="en-US" w:eastAsia="zh-CN" w:bidi="ar-SA"/>
        </w:rPr>
        <w:t>连续</w:t>
      </w:r>
      <w:r>
        <w:rPr>
          <w:rFonts w:hint="default" w:ascii="Times New Roman" w:hAnsi="Times New Roman" w:eastAsia="宋体" w:cs="Times New Roman"/>
          <w:kern w:val="2"/>
          <w:sz w:val="24"/>
          <w:szCs w:val="24"/>
          <w:lang w:val="en-US" w:eastAsia="zh-CN" w:bidi="ar-SA"/>
        </w:rPr>
        <w:t>排放</w:t>
      </w:r>
    </w:p>
    <w:p w14:paraId="4A7C053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入河方式：管道排放</w:t>
      </w:r>
    </w:p>
    <w:p w14:paraId="345AEA5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纳污水体：机排二十渠</w:t>
      </w:r>
    </w:p>
    <w:p w14:paraId="1A51C2D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排放标准：污水处理厂出水执行《城镇污水处理厂污染物排放标准》（GB18918-2002）</w:t>
      </w:r>
      <w:r>
        <w:rPr>
          <w:rFonts w:hint="eastAsia" w:cs="Times New Roman"/>
          <w:kern w:val="2"/>
          <w:sz w:val="24"/>
          <w:szCs w:val="24"/>
          <w:lang w:val="en-US" w:eastAsia="zh-CN" w:bidi="ar-SA"/>
        </w:rPr>
        <w:t>及修改单中</w:t>
      </w:r>
      <w:r>
        <w:rPr>
          <w:rFonts w:hint="default" w:ascii="Times New Roman" w:hAnsi="Times New Roman" w:eastAsia="宋体" w:cs="Times New Roman"/>
          <w:kern w:val="2"/>
          <w:sz w:val="24"/>
          <w:szCs w:val="24"/>
          <w:lang w:val="en-US" w:eastAsia="zh-CN" w:bidi="ar-SA"/>
        </w:rPr>
        <w:t>一级A标准。</w:t>
      </w:r>
    </w:p>
    <w:p w14:paraId="28EFA3D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val="0"/>
          <w:color w:val="FF0000"/>
          <w:kern w:val="2"/>
          <w:sz w:val="24"/>
          <w:szCs w:val="24"/>
          <w:lang w:val="en-US" w:eastAsia="zh-CN"/>
        </w:rPr>
      </w:pPr>
      <w:r>
        <w:rPr>
          <w:rFonts w:hint="default" w:ascii="Times New Roman" w:hAnsi="Times New Roman" w:eastAsia="宋体" w:cs="Times New Roman"/>
          <w:color w:val="FF0000"/>
          <w:kern w:val="2"/>
          <w:sz w:val="24"/>
          <w:szCs w:val="24"/>
          <w:lang w:val="en-US" w:eastAsia="zh-CN" w:bidi="ar-SA"/>
        </w:rPr>
        <w:t>大通湖工业园污水处理厂提质改造建设项目</w:t>
      </w:r>
      <w:r>
        <w:rPr>
          <w:rFonts w:hint="eastAsia" w:cs="Times New Roman"/>
          <w:color w:val="FF0000"/>
          <w:kern w:val="2"/>
          <w:sz w:val="24"/>
          <w:szCs w:val="24"/>
          <w:lang w:val="en-US" w:eastAsia="zh-CN" w:bidi="ar-SA"/>
        </w:rPr>
        <w:t>（一期）</w:t>
      </w:r>
      <w:r>
        <w:rPr>
          <w:rFonts w:hint="default" w:ascii="Times New Roman" w:hAnsi="Times New Roman" w:cs="Times New Roman"/>
          <w:color w:val="FF0000"/>
          <w:sz w:val="24"/>
          <w:szCs w:val="32"/>
          <w:highlight w:val="none"/>
          <w:u w:val="none" w:color="auto"/>
          <w:lang w:val="en-US" w:eastAsia="zh-CN"/>
        </w:rPr>
        <w:t>服务范围为大通湖工业园的工业污水</w:t>
      </w:r>
      <w:r>
        <w:rPr>
          <w:rFonts w:hint="eastAsia" w:ascii="Times New Roman" w:hAnsi="Times New Roman" w:cs="Times New Roman"/>
          <w:color w:val="FF0000"/>
          <w:sz w:val="24"/>
          <w:szCs w:val="32"/>
          <w:highlight w:val="none"/>
          <w:u w:val="none" w:color="auto"/>
          <w:lang w:val="en-US" w:eastAsia="zh-CN"/>
        </w:rPr>
        <w:t>，园区现有企业主要为医药制造及食品加工。园区规划定位以植物提取物产业为主导、光电制造业为特色。根据现有企业排污情况及初步设计方案，确定本污水处理厂收集处理的工业废水中</w:t>
      </w:r>
      <w:r>
        <w:rPr>
          <w:rFonts w:hint="default" w:ascii="Times New Roman" w:hAnsi="Times New Roman" w:eastAsia="宋体" w:cs="Times New Roman"/>
          <w:b w:val="0"/>
          <w:bCs w:val="0"/>
          <w:color w:val="FF0000"/>
          <w:kern w:val="2"/>
          <w:sz w:val="24"/>
          <w:szCs w:val="24"/>
          <w:lang w:val="en-US" w:eastAsia="zh-CN"/>
        </w:rPr>
        <w:t>主要</w:t>
      </w:r>
      <w:r>
        <w:rPr>
          <w:rFonts w:hint="eastAsia" w:ascii="Times New Roman" w:hAnsi="Times New Roman" w:eastAsia="宋体" w:cs="Times New Roman"/>
          <w:b w:val="0"/>
          <w:bCs w:val="0"/>
          <w:color w:val="FF0000"/>
          <w:kern w:val="2"/>
          <w:sz w:val="24"/>
          <w:szCs w:val="24"/>
          <w:lang w:val="en-US" w:eastAsia="zh-CN"/>
        </w:rPr>
        <w:t>污染因子为pH、</w:t>
      </w:r>
      <w:r>
        <w:rPr>
          <w:rFonts w:hint="default" w:ascii="Times New Roman" w:hAnsi="Times New Roman" w:eastAsia="宋体" w:cs="Times New Roman"/>
          <w:b w:val="0"/>
          <w:bCs w:val="0"/>
          <w:color w:val="FF0000"/>
          <w:kern w:val="2"/>
          <w:sz w:val="24"/>
          <w:szCs w:val="24"/>
          <w:lang w:val="en-US" w:eastAsia="zh-CN"/>
        </w:rPr>
        <w:t>CODcr、BOD</w:t>
      </w:r>
      <w:r>
        <w:rPr>
          <w:rFonts w:hint="default" w:ascii="Times New Roman" w:hAnsi="Times New Roman" w:eastAsia="宋体" w:cs="Times New Roman"/>
          <w:b w:val="0"/>
          <w:bCs w:val="0"/>
          <w:color w:val="FF0000"/>
          <w:kern w:val="2"/>
          <w:sz w:val="24"/>
          <w:szCs w:val="24"/>
          <w:vertAlign w:val="subscript"/>
          <w:lang w:val="en-US" w:eastAsia="zh-CN"/>
        </w:rPr>
        <w:t>5</w:t>
      </w:r>
      <w:r>
        <w:rPr>
          <w:rFonts w:hint="default" w:ascii="Times New Roman" w:hAnsi="Times New Roman" w:eastAsia="宋体" w:cs="Times New Roman"/>
          <w:b w:val="0"/>
          <w:bCs w:val="0"/>
          <w:color w:val="FF0000"/>
          <w:kern w:val="2"/>
          <w:sz w:val="24"/>
          <w:szCs w:val="24"/>
          <w:lang w:val="en-US" w:eastAsia="zh-CN"/>
        </w:rPr>
        <w:t>、NH</w:t>
      </w:r>
      <w:r>
        <w:rPr>
          <w:rFonts w:hint="default" w:ascii="Times New Roman" w:hAnsi="Times New Roman" w:eastAsia="宋体" w:cs="Times New Roman"/>
          <w:b w:val="0"/>
          <w:bCs w:val="0"/>
          <w:color w:val="FF0000"/>
          <w:kern w:val="2"/>
          <w:sz w:val="24"/>
          <w:szCs w:val="24"/>
          <w:vertAlign w:val="subscript"/>
          <w:lang w:val="en-US" w:eastAsia="zh-CN"/>
        </w:rPr>
        <w:t>3</w:t>
      </w:r>
      <w:r>
        <w:rPr>
          <w:rFonts w:hint="default" w:ascii="Times New Roman" w:hAnsi="Times New Roman" w:eastAsia="宋体" w:cs="Times New Roman"/>
          <w:b w:val="0"/>
          <w:bCs w:val="0"/>
          <w:color w:val="FF0000"/>
          <w:kern w:val="2"/>
          <w:sz w:val="24"/>
          <w:szCs w:val="24"/>
          <w:lang w:val="en-US" w:eastAsia="zh-CN"/>
        </w:rPr>
        <w:t xml:space="preserve">-N、SS、TN、TP </w:t>
      </w:r>
      <w:r>
        <w:rPr>
          <w:rFonts w:hint="eastAsia" w:ascii="Times New Roman" w:hAnsi="Times New Roman" w:eastAsia="宋体" w:cs="Times New Roman"/>
          <w:b w:val="0"/>
          <w:bCs w:val="0"/>
          <w:color w:val="FF0000"/>
          <w:kern w:val="2"/>
          <w:sz w:val="24"/>
          <w:szCs w:val="24"/>
          <w:lang w:val="en-US" w:eastAsia="zh-CN"/>
        </w:rPr>
        <w:t>，无其他特殊因子。</w:t>
      </w:r>
    </w:p>
    <w:p w14:paraId="024C6FA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本</w:t>
      </w:r>
      <w:r>
        <w:rPr>
          <w:rFonts w:hint="eastAsia" w:cs="Times New Roman"/>
          <w:color w:val="FF0000"/>
          <w:kern w:val="2"/>
          <w:sz w:val="24"/>
          <w:szCs w:val="24"/>
          <w:lang w:val="en-US" w:eastAsia="zh-CN" w:bidi="ar-SA"/>
        </w:rPr>
        <w:t>入河排污口类型</w:t>
      </w:r>
      <w:r>
        <w:rPr>
          <w:rFonts w:hint="eastAsia" w:ascii="Times New Roman" w:hAnsi="Times New Roman" w:eastAsia="宋体" w:cs="Times New Roman"/>
          <w:color w:val="FF0000"/>
          <w:kern w:val="2"/>
          <w:sz w:val="24"/>
          <w:szCs w:val="24"/>
          <w:lang w:val="en-US" w:eastAsia="zh-CN" w:bidi="ar-SA"/>
        </w:rPr>
        <w:t>为</w:t>
      </w:r>
      <w:r>
        <w:rPr>
          <w:rFonts w:hint="default" w:ascii="Times New Roman" w:hAnsi="Times New Roman" w:eastAsia="宋体" w:cs="Times New Roman"/>
          <w:color w:val="FF0000"/>
          <w:kern w:val="2"/>
          <w:sz w:val="24"/>
          <w:szCs w:val="24"/>
          <w:lang w:val="en-US" w:eastAsia="zh-CN" w:bidi="ar-SA"/>
        </w:rPr>
        <w:t>工业及其他各类园区污水处理厂入河排污口</w:t>
      </w:r>
      <w:r>
        <w:rPr>
          <w:rFonts w:hint="eastAsia" w:cs="Times New Roman"/>
          <w:color w:val="FF0000"/>
          <w:kern w:val="2"/>
          <w:sz w:val="24"/>
          <w:szCs w:val="24"/>
          <w:lang w:val="en-US" w:eastAsia="zh-CN" w:bidi="ar-SA"/>
        </w:rPr>
        <w:t>，园区规划及批复情况、园区规划环评及审查情况详见《大通湖工业园污水处理厂提质改造建设项目（一期）环境影响报告书》第1章；纳管企业基本信息、所属行业及排水情况、污水处理工艺、管网布设情况、污水处理厂运行情况详见《大通湖工业园污水处理厂提质改造建设项目（一期）环境影响报告书》第3章。</w:t>
      </w:r>
    </w:p>
    <w:p w14:paraId="59E60E5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1"/>
        <w:rPr>
          <w:rFonts w:hint="default" w:cs="Times New Roman"/>
          <w:b/>
          <w:bCs/>
          <w:color w:val="auto"/>
          <w:kern w:val="2"/>
          <w:sz w:val="28"/>
          <w:szCs w:val="28"/>
          <w:u w:val="none" w:color="auto"/>
          <w:lang w:val="en-US" w:eastAsia="zh-CN" w:bidi="ar-SA"/>
        </w:rPr>
      </w:pPr>
      <w:bookmarkStart w:id="268" w:name="_Toc13523"/>
      <w:r>
        <w:rPr>
          <w:rFonts w:hint="default" w:ascii="Times New Roman" w:hAnsi="Times New Roman" w:eastAsia="宋体" w:cs="Times New Roman"/>
          <w:b/>
          <w:bCs/>
          <w:color w:val="auto"/>
          <w:kern w:val="2"/>
          <w:sz w:val="28"/>
          <w:szCs w:val="28"/>
          <w:u w:val="none" w:color="auto"/>
          <w:lang w:val="en-US" w:eastAsia="zh-CN" w:bidi="ar-SA"/>
        </w:rPr>
        <w:t>3.2</w:t>
      </w:r>
      <w:r>
        <w:rPr>
          <w:rFonts w:hint="eastAsia" w:cs="Times New Roman"/>
          <w:b/>
          <w:bCs/>
          <w:color w:val="auto"/>
          <w:kern w:val="2"/>
          <w:sz w:val="28"/>
          <w:szCs w:val="28"/>
          <w:u w:val="none" w:color="auto"/>
          <w:lang w:val="en-US" w:eastAsia="zh-CN" w:bidi="ar-SA"/>
        </w:rPr>
        <w:t>原有入河排污口设置论证报告情况</w:t>
      </w:r>
    </w:p>
    <w:p w14:paraId="0F177E2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益阳市大通湖区村镇建设投资开发有限公司委托于</w:t>
      </w:r>
      <w:r>
        <w:rPr>
          <w:rFonts w:hint="eastAsia" w:cs="Times New Roman"/>
          <w:kern w:val="2"/>
          <w:sz w:val="24"/>
          <w:szCs w:val="24"/>
          <w:lang w:val="en-US" w:eastAsia="zh-CN" w:bidi="ar-SA"/>
        </w:rPr>
        <w:t>2022</w:t>
      </w:r>
      <w:r>
        <w:rPr>
          <w:rFonts w:hint="default" w:ascii="Times New Roman" w:hAnsi="Times New Roman" w:eastAsia="宋体" w:cs="Times New Roman"/>
          <w:kern w:val="2"/>
          <w:sz w:val="24"/>
          <w:szCs w:val="24"/>
          <w:lang w:val="en-US" w:eastAsia="zh-CN" w:bidi="ar-SA"/>
        </w:rPr>
        <w:t>年</w:t>
      </w:r>
      <w:r>
        <w:rPr>
          <w:rFonts w:hint="eastAsia" w:cs="Times New Roman"/>
          <w:kern w:val="2"/>
          <w:sz w:val="24"/>
          <w:szCs w:val="24"/>
          <w:lang w:val="en-US" w:eastAsia="zh-CN" w:bidi="ar-SA"/>
        </w:rPr>
        <w:t>8月</w:t>
      </w:r>
      <w:r>
        <w:rPr>
          <w:rFonts w:hint="default" w:ascii="Times New Roman" w:hAnsi="Times New Roman" w:eastAsia="宋体" w:cs="Times New Roman"/>
          <w:kern w:val="2"/>
          <w:sz w:val="24"/>
          <w:szCs w:val="24"/>
          <w:lang w:val="en-US" w:eastAsia="zh-CN" w:bidi="ar-SA"/>
        </w:rPr>
        <w:t>委托湖南湘尚环境服务有限公司编制了《湖南大通湖洞庭食品工业园废水处理工程入河排污口设置论证报告》</w:t>
      </w:r>
      <w:r>
        <w:rPr>
          <w:rFonts w:hint="eastAsia" w:cs="Times New Roman"/>
          <w:kern w:val="2"/>
          <w:sz w:val="24"/>
          <w:szCs w:val="24"/>
          <w:lang w:val="en-US" w:eastAsia="zh-CN" w:bidi="ar-SA"/>
        </w:rPr>
        <w:t>。论证范围主要为尾水总排口下游机排二十渠 2.1km、老三河段 3.8km（与机排二十渠交汇处至与大通湖泄洪道交汇处）、大通湖泄洪道 5.35km、塞阳运河段 14.6km（与大通湖泄洪道交汇处至与漉湖农灌渠交汇处）、漉湖农灌渠 17.8km，总论证范围为 43.65km。论证规模为1200m³/d。目前</w:t>
      </w:r>
      <w:r>
        <w:rPr>
          <w:rFonts w:hint="default" w:ascii="Times New Roman" w:hAnsi="Times New Roman" w:cs="Times New Roman"/>
          <w:color w:val="auto"/>
          <w:highlight w:val="none"/>
          <w:u w:val="none" w:color="auto"/>
          <w:lang w:val="en-US" w:eastAsia="zh-CN"/>
        </w:rPr>
        <w:t>大通湖工业污水处理厂</w:t>
      </w:r>
      <w:r>
        <w:rPr>
          <w:rFonts w:hint="eastAsia" w:cs="Times New Roman"/>
          <w:kern w:val="2"/>
          <w:sz w:val="24"/>
          <w:szCs w:val="24"/>
          <w:lang w:val="en-US" w:eastAsia="zh-CN" w:bidi="ar-SA"/>
        </w:rPr>
        <w:t>运行良好，废水能做到达标排放。</w:t>
      </w:r>
    </w:p>
    <w:p w14:paraId="04E627D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cs="Times New Roman"/>
          <w:b/>
          <w:bCs/>
          <w:kern w:val="2"/>
          <w:sz w:val="24"/>
          <w:szCs w:val="24"/>
          <w:lang w:val="en-US" w:eastAsia="zh-CN" w:bidi="ar-SA"/>
        </w:rPr>
      </w:pPr>
      <w:r>
        <w:rPr>
          <w:rFonts w:hint="eastAsia" w:cs="Times New Roman"/>
          <w:b/>
          <w:bCs/>
          <w:kern w:val="2"/>
          <w:sz w:val="24"/>
          <w:szCs w:val="24"/>
          <w:lang w:val="en-US" w:eastAsia="zh-CN" w:bidi="ar-SA"/>
        </w:rPr>
        <w:t>3.2.1原有入河</w:t>
      </w:r>
      <w:r>
        <w:rPr>
          <w:rFonts w:hint="default" w:cs="Times New Roman"/>
          <w:b/>
          <w:bCs/>
          <w:kern w:val="2"/>
          <w:sz w:val="24"/>
          <w:szCs w:val="24"/>
          <w:lang w:val="en-US" w:eastAsia="zh-CN" w:bidi="ar-SA"/>
        </w:rPr>
        <w:t>排污口设置情况</w:t>
      </w:r>
    </w:p>
    <w:p w14:paraId="47E5F2D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kern w:val="2"/>
          <w:sz w:val="24"/>
          <w:szCs w:val="24"/>
          <w:lang w:val="en-US" w:eastAsia="zh-CN" w:bidi="ar-SA"/>
        </w:rPr>
      </w:pPr>
      <w:r>
        <w:rPr>
          <w:rFonts w:hint="default" w:cs="Times New Roman"/>
          <w:kern w:val="2"/>
          <w:sz w:val="24"/>
          <w:szCs w:val="24"/>
          <w:lang w:val="en-US" w:eastAsia="zh-CN" w:bidi="ar-SA"/>
        </w:rPr>
        <w:t>排污口设置地点：在厂区西南侧</w:t>
      </w:r>
      <w:r>
        <w:rPr>
          <w:rFonts w:hint="default" w:ascii="Times New Roman" w:hAnsi="Times New Roman" w:eastAsia="宋体" w:cs="Times New Roman"/>
          <w:kern w:val="2"/>
          <w:sz w:val="24"/>
          <w:szCs w:val="24"/>
          <w:lang w:val="en-US" w:eastAsia="zh-CN" w:bidi="ar-SA"/>
        </w:rPr>
        <w:t>（E112°36′49.72347″、N29°11′3.06811″）设置 1</w:t>
      </w:r>
      <w:r>
        <w:rPr>
          <w:rFonts w:hint="default" w:cs="Times New Roman"/>
          <w:kern w:val="2"/>
          <w:sz w:val="24"/>
          <w:szCs w:val="24"/>
          <w:lang w:val="en-US" w:eastAsia="zh-CN" w:bidi="ar-SA"/>
        </w:rPr>
        <w:t>个总排污口；</w:t>
      </w:r>
    </w:p>
    <w:p w14:paraId="1285D0D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kern w:val="2"/>
          <w:sz w:val="24"/>
          <w:szCs w:val="24"/>
          <w:lang w:val="en-US" w:eastAsia="zh-CN" w:bidi="ar-SA"/>
        </w:rPr>
      </w:pPr>
      <w:r>
        <w:rPr>
          <w:rFonts w:hint="default" w:cs="Times New Roman"/>
          <w:kern w:val="2"/>
          <w:sz w:val="24"/>
          <w:szCs w:val="24"/>
          <w:lang w:val="en-US" w:eastAsia="zh-CN" w:bidi="ar-SA"/>
        </w:rPr>
        <w:t>排污口排放方式：</w:t>
      </w:r>
      <w:r>
        <w:rPr>
          <w:rFonts w:hint="eastAsia" w:cs="Times New Roman"/>
          <w:kern w:val="2"/>
          <w:sz w:val="24"/>
          <w:szCs w:val="24"/>
          <w:lang w:val="en-US" w:eastAsia="zh-CN" w:bidi="ar-SA"/>
        </w:rPr>
        <w:t>连续</w:t>
      </w:r>
      <w:r>
        <w:rPr>
          <w:rFonts w:hint="default" w:cs="Times New Roman"/>
          <w:kern w:val="2"/>
          <w:sz w:val="24"/>
          <w:szCs w:val="24"/>
          <w:lang w:val="en-US" w:eastAsia="zh-CN" w:bidi="ar-SA"/>
        </w:rPr>
        <w:t>排放；</w:t>
      </w:r>
    </w:p>
    <w:p w14:paraId="245EFBF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kern w:val="2"/>
          <w:sz w:val="24"/>
          <w:szCs w:val="24"/>
          <w:lang w:val="en-US" w:eastAsia="zh-CN" w:bidi="ar-SA"/>
        </w:rPr>
      </w:pPr>
      <w:r>
        <w:rPr>
          <w:rFonts w:hint="default" w:cs="Times New Roman"/>
          <w:kern w:val="2"/>
          <w:sz w:val="24"/>
          <w:szCs w:val="24"/>
          <w:lang w:val="en-US" w:eastAsia="zh-CN" w:bidi="ar-SA"/>
        </w:rPr>
        <w:t>排污口入河方式：管道排放；</w:t>
      </w:r>
    </w:p>
    <w:p w14:paraId="3DEF2CB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kern w:val="2"/>
          <w:sz w:val="24"/>
          <w:szCs w:val="24"/>
          <w:lang w:val="en-US" w:eastAsia="zh-CN" w:bidi="ar-SA"/>
        </w:rPr>
      </w:pPr>
      <w:r>
        <w:rPr>
          <w:rFonts w:hint="default" w:cs="Times New Roman"/>
          <w:kern w:val="2"/>
          <w:sz w:val="24"/>
          <w:szCs w:val="24"/>
          <w:lang w:val="en-US" w:eastAsia="zh-CN" w:bidi="ar-SA"/>
        </w:rPr>
        <w:t>排污口规模：排水能力为 1200m³/d，43.8 万 m³/a</w:t>
      </w:r>
      <w:r>
        <w:rPr>
          <w:rFonts w:hint="eastAsia" w:cs="Times New Roman"/>
          <w:kern w:val="2"/>
          <w:sz w:val="24"/>
          <w:szCs w:val="24"/>
          <w:lang w:val="en-US" w:eastAsia="zh-CN" w:bidi="ar-SA"/>
        </w:rPr>
        <w:t>；</w:t>
      </w:r>
    </w:p>
    <w:p w14:paraId="2859AA5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kern w:val="2"/>
          <w:sz w:val="24"/>
          <w:szCs w:val="24"/>
          <w:lang w:val="en-US" w:eastAsia="zh-CN" w:bidi="ar-SA"/>
        </w:rPr>
      </w:pPr>
      <w:r>
        <w:rPr>
          <w:rFonts w:hint="default" w:cs="Times New Roman"/>
          <w:kern w:val="2"/>
          <w:sz w:val="24"/>
          <w:szCs w:val="24"/>
          <w:lang w:val="en-US" w:eastAsia="zh-CN" w:bidi="ar-SA"/>
        </w:rPr>
        <w:t>排放去向：机排二十渠→老三河→大通湖泄洪道→塞阳运河→漉湖农灌渠→漉湖。</w:t>
      </w:r>
    </w:p>
    <w:p w14:paraId="53A753B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 xml:space="preserve">3.2.2原有入河排污口设置结论 </w:t>
      </w:r>
    </w:p>
    <w:p w14:paraId="680EEC8F">
      <w:pPr>
        <w:keepNext w:val="0"/>
        <w:keepLines w:val="0"/>
        <w:widowControl/>
        <w:suppressLineNumbers w:val="0"/>
        <w:jc w:val="left"/>
      </w:pPr>
      <w:r>
        <w:rPr>
          <w:rFonts w:hint="eastAsia" w:ascii="宋体" w:hAnsi="宋体" w:eastAsia="宋体" w:cs="宋体"/>
          <w:color w:val="000000"/>
          <w:kern w:val="0"/>
          <w:sz w:val="24"/>
          <w:szCs w:val="24"/>
          <w:lang w:val="en-US" w:eastAsia="zh-CN" w:bidi="ar"/>
        </w:rPr>
        <w:t>湖南大通湖洞庭食品工业园废水处理工程采用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预处理</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水解酸 化</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生物接触氧化</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水解酸化</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生物接触氧化</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混絮凝池</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二沉池</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砂滤罐</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接触消毒</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污水处理工艺，废水经处理后，废污水总排口出水水质可达《城镇污水处理厂污染物排放标准》（</w:t>
      </w:r>
      <w:r>
        <w:rPr>
          <w:rFonts w:hint="default" w:ascii="Times New Roman" w:hAnsi="Times New Roman" w:eastAsia="宋体" w:cs="Times New Roman"/>
          <w:color w:val="000000"/>
          <w:kern w:val="0"/>
          <w:sz w:val="24"/>
          <w:szCs w:val="24"/>
          <w:lang w:val="en-US" w:eastAsia="zh-CN" w:bidi="ar"/>
        </w:rPr>
        <w:t>GB18918-2002</w:t>
      </w:r>
      <w:r>
        <w:rPr>
          <w:rFonts w:hint="eastAsia" w:ascii="宋体" w:hAnsi="宋体" w:eastAsia="宋体" w:cs="宋体"/>
          <w:color w:val="000000"/>
          <w:kern w:val="0"/>
          <w:sz w:val="24"/>
          <w:szCs w:val="24"/>
          <w:lang w:val="en-US" w:eastAsia="zh-CN" w:bidi="ar"/>
        </w:rPr>
        <w:t xml:space="preserve">）一级 </w:t>
      </w:r>
      <w:r>
        <w:rPr>
          <w:rFonts w:hint="default" w:ascii="Times New Roman" w:hAnsi="Times New Roman" w:eastAsia="宋体" w:cs="Times New Roman"/>
          <w:color w:val="000000"/>
          <w:kern w:val="0"/>
          <w:sz w:val="24"/>
          <w:szCs w:val="24"/>
          <w:lang w:val="en-US" w:eastAsia="zh-CN" w:bidi="ar"/>
        </w:rPr>
        <w:t xml:space="preserve">A </w:t>
      </w:r>
      <w:r>
        <w:rPr>
          <w:rFonts w:hint="eastAsia" w:ascii="宋体" w:hAnsi="宋体" w:eastAsia="宋体" w:cs="宋体"/>
          <w:color w:val="000000"/>
          <w:kern w:val="0"/>
          <w:sz w:val="24"/>
          <w:szCs w:val="24"/>
          <w:lang w:val="en-US" w:eastAsia="zh-CN" w:bidi="ar"/>
        </w:rPr>
        <w:t xml:space="preserve">标准要求；项目污水正常排放时，对受纳水体的水质及生态无明显影响；对第三者权益无明显影响；排污口设定后不会改变排入水体的水质类别，对下游水功能区水质目标不会造成明显的影响。 </w:t>
      </w:r>
    </w:p>
    <w:p w14:paraId="62E88A8C">
      <w:pPr>
        <w:keepNext w:val="0"/>
        <w:keepLines w:val="0"/>
        <w:widowControl/>
        <w:suppressLineNumbers w:val="0"/>
        <w:jc w:val="left"/>
      </w:pPr>
      <w:r>
        <w:rPr>
          <w:rFonts w:hint="eastAsia" w:ascii="宋体" w:hAnsi="宋体" w:eastAsia="宋体" w:cs="宋体"/>
          <w:color w:val="000000"/>
          <w:kern w:val="0"/>
          <w:sz w:val="24"/>
          <w:szCs w:val="24"/>
          <w:lang w:val="en-US" w:eastAsia="zh-CN" w:bidi="ar"/>
        </w:rPr>
        <w:t>因此，</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湖南大通湖洞庭食品工业园废水处理工程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入河排污口设置合理。</w:t>
      </w:r>
    </w:p>
    <w:p w14:paraId="6C858B5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1"/>
        <w:rPr>
          <w:rFonts w:hint="default" w:ascii="Times New Roman" w:hAnsi="Times New Roman" w:eastAsia="宋体" w:cs="Times New Roman"/>
          <w:b/>
          <w:bCs/>
          <w:color w:val="auto"/>
          <w:kern w:val="2"/>
          <w:sz w:val="28"/>
          <w:szCs w:val="28"/>
          <w:u w:val="none" w:color="auto"/>
          <w:lang w:val="en-US" w:eastAsia="zh-CN" w:bidi="ar-SA"/>
        </w:rPr>
      </w:pPr>
      <w:r>
        <w:rPr>
          <w:rFonts w:hint="eastAsia" w:cs="Times New Roman"/>
          <w:b/>
          <w:bCs/>
          <w:color w:val="auto"/>
          <w:kern w:val="2"/>
          <w:sz w:val="28"/>
          <w:szCs w:val="28"/>
          <w:u w:val="none" w:color="auto"/>
          <w:lang w:val="en-US" w:eastAsia="zh-CN" w:bidi="ar-SA"/>
        </w:rPr>
        <w:t>3.3</w:t>
      </w:r>
      <w:r>
        <w:rPr>
          <w:rFonts w:hint="default" w:ascii="Times New Roman" w:hAnsi="Times New Roman" w:eastAsia="宋体" w:cs="Times New Roman"/>
          <w:b/>
          <w:bCs/>
          <w:color w:val="auto"/>
          <w:kern w:val="2"/>
          <w:sz w:val="28"/>
          <w:szCs w:val="28"/>
          <w:u w:val="none" w:color="auto"/>
          <w:lang w:val="en-US" w:eastAsia="zh-CN" w:bidi="ar-SA"/>
        </w:rPr>
        <w:t>建设项目废污水排放分析</w:t>
      </w:r>
      <w:bookmarkEnd w:id="268"/>
    </w:p>
    <w:p w14:paraId="2146D8F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color w:val="000000" w:themeColor="text1"/>
          <w:kern w:val="2"/>
          <w:sz w:val="24"/>
          <w:szCs w:val="24"/>
          <w:u w:val="wav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4"/>
          <w:u w:val="wave"/>
          <w:lang w:val="en-US" w:eastAsia="zh-CN" w:bidi="ar-SA"/>
          <w14:textFill>
            <w14:solidFill>
              <w14:schemeClr w14:val="tx1"/>
            </w14:solidFill>
          </w14:textFill>
        </w:rPr>
        <w:t>为了解污水处理厂现状运行情况，本次分析收集了污水处理厂2025年9~10月份在线监测及2025年1~9月（其中4、5月停产）委托国检测试控股集团湖南华科科技有限公司对本污水厂废水总排口进行的自行检测数据，检测结果详见下表。</w:t>
      </w:r>
    </w:p>
    <w:p w14:paraId="4E68A34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color w:val="000000" w:themeColor="text1"/>
          <w:kern w:val="2"/>
          <w:sz w:val="24"/>
          <w:szCs w:val="24"/>
          <w:u w:val="wav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u w:val="wave"/>
          <w:lang w:val="en-US" w:eastAsia="zh-CN" w:bidi="ar"/>
          <w14:textFill>
            <w14:solidFill>
              <w14:schemeClr w14:val="tx1"/>
            </w14:solidFill>
          </w14:textFill>
        </w:rPr>
        <w:t>表 3.4-1 污水处理厂在线监测数据</w:t>
      </w:r>
    </w:p>
    <w:tbl>
      <w:tblPr>
        <w:tblStyle w:val="76"/>
        <w:tblW w:w="505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43"/>
        <w:gridCol w:w="1571"/>
        <w:gridCol w:w="1230"/>
        <w:gridCol w:w="1605"/>
        <w:gridCol w:w="1455"/>
        <w:gridCol w:w="1155"/>
        <w:gridCol w:w="1635"/>
      </w:tblGrid>
      <w:tr w14:paraId="133FAE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395" w:type="pct"/>
            <w:vMerge w:val="restart"/>
            <w:tcBorders>
              <w:tl2br w:val="nil"/>
              <w:tr2bl w:val="nil"/>
            </w:tcBorders>
            <w:noWrap w:val="0"/>
            <w:vAlign w:val="center"/>
          </w:tcPr>
          <w:p w14:paraId="743E3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t>采样点位</w:t>
            </w:r>
          </w:p>
        </w:tc>
        <w:tc>
          <w:tcPr>
            <w:tcW w:w="836" w:type="pct"/>
            <w:vMerge w:val="restart"/>
            <w:tcBorders>
              <w:tl2br w:val="nil"/>
              <w:tr2bl w:val="nil"/>
            </w:tcBorders>
            <w:noWrap w:val="0"/>
            <w:vAlign w:val="center"/>
          </w:tcPr>
          <w:p w14:paraId="0B57DD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t>采样日期</w:t>
            </w:r>
          </w:p>
        </w:tc>
        <w:tc>
          <w:tcPr>
            <w:tcW w:w="3768" w:type="pct"/>
            <w:gridSpan w:val="5"/>
            <w:tcBorders>
              <w:tl2br w:val="nil"/>
              <w:tr2bl w:val="nil"/>
            </w:tcBorders>
            <w:noWrap w:val="0"/>
            <w:vAlign w:val="center"/>
          </w:tcPr>
          <w:p w14:paraId="4212F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t>检测结果（mg/L，pH：无量纲）</w:t>
            </w:r>
          </w:p>
        </w:tc>
      </w:tr>
      <w:tr w14:paraId="736622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395" w:type="pct"/>
            <w:vMerge w:val="continue"/>
            <w:tcBorders>
              <w:tl2br w:val="nil"/>
              <w:tr2bl w:val="nil"/>
            </w:tcBorders>
            <w:noWrap w:val="0"/>
            <w:vAlign w:val="center"/>
          </w:tcPr>
          <w:p w14:paraId="61B4F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pPr>
          </w:p>
        </w:tc>
        <w:tc>
          <w:tcPr>
            <w:tcW w:w="836" w:type="pct"/>
            <w:vMerge w:val="continue"/>
            <w:tcBorders>
              <w:tl2br w:val="nil"/>
              <w:tr2bl w:val="nil"/>
            </w:tcBorders>
            <w:noWrap w:val="0"/>
            <w:vAlign w:val="center"/>
          </w:tcPr>
          <w:p w14:paraId="16CE2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pPr>
          </w:p>
        </w:tc>
        <w:tc>
          <w:tcPr>
            <w:tcW w:w="654" w:type="pct"/>
            <w:tcBorders>
              <w:tl2br w:val="nil"/>
              <w:tr2bl w:val="nil"/>
            </w:tcBorders>
            <w:noWrap w:val="0"/>
            <w:vAlign w:val="center"/>
          </w:tcPr>
          <w:p w14:paraId="7BF6D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t>pH</w:t>
            </w:r>
          </w:p>
        </w:tc>
        <w:tc>
          <w:tcPr>
            <w:tcW w:w="854" w:type="pct"/>
            <w:tcBorders>
              <w:tl2br w:val="nil"/>
              <w:tr2bl w:val="nil"/>
            </w:tcBorders>
            <w:noWrap w:val="0"/>
            <w:vAlign w:val="center"/>
          </w:tcPr>
          <w:p w14:paraId="74DA6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t>CODcr</w:t>
            </w:r>
          </w:p>
        </w:tc>
        <w:tc>
          <w:tcPr>
            <w:tcW w:w="774" w:type="pct"/>
            <w:tcBorders>
              <w:tl2br w:val="nil"/>
              <w:tr2bl w:val="nil"/>
            </w:tcBorders>
            <w:noWrap w:val="0"/>
            <w:vAlign w:val="center"/>
          </w:tcPr>
          <w:p w14:paraId="1BD62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t>氨氮</w:t>
            </w:r>
          </w:p>
        </w:tc>
        <w:tc>
          <w:tcPr>
            <w:tcW w:w="614" w:type="pct"/>
            <w:tcBorders>
              <w:tl2br w:val="nil"/>
              <w:tr2bl w:val="nil"/>
            </w:tcBorders>
            <w:noWrap w:val="0"/>
            <w:vAlign w:val="center"/>
          </w:tcPr>
          <w:p w14:paraId="00AA9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t>总氮</w:t>
            </w:r>
          </w:p>
        </w:tc>
        <w:tc>
          <w:tcPr>
            <w:tcW w:w="870" w:type="pct"/>
            <w:tcBorders>
              <w:tl2br w:val="nil"/>
              <w:tr2bl w:val="nil"/>
            </w:tcBorders>
            <w:noWrap w:val="0"/>
            <w:vAlign w:val="center"/>
          </w:tcPr>
          <w:p w14:paraId="12790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u w:val="wave"/>
                <w:lang w:val="en-US" w:eastAsia="zh-CN" w:bidi="ar-SA"/>
                <w14:textFill>
                  <w14:solidFill>
                    <w14:schemeClr w14:val="tx1"/>
                  </w14:solidFill>
                </w14:textFill>
              </w:rPr>
              <w:t>总磷</w:t>
            </w:r>
          </w:p>
        </w:tc>
      </w:tr>
      <w:tr w14:paraId="6CE367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395" w:type="pct"/>
            <w:vMerge w:val="restart"/>
            <w:tcBorders>
              <w:tl2br w:val="nil"/>
              <w:tr2bl w:val="nil"/>
            </w:tcBorders>
            <w:noWrap w:val="0"/>
            <w:vAlign w:val="center"/>
          </w:tcPr>
          <w:p w14:paraId="270A782F">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highlight w:val="none"/>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废水总排口</w:t>
            </w:r>
          </w:p>
        </w:tc>
        <w:tc>
          <w:tcPr>
            <w:tcW w:w="836" w:type="pct"/>
            <w:tcBorders>
              <w:tl2br w:val="nil"/>
              <w:tr2bl w:val="nil"/>
            </w:tcBorders>
            <w:noWrap w:val="0"/>
            <w:vAlign w:val="center"/>
          </w:tcPr>
          <w:p w14:paraId="11C85B8E">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2025.9</w:t>
            </w:r>
          </w:p>
        </w:tc>
        <w:tc>
          <w:tcPr>
            <w:tcW w:w="654" w:type="pct"/>
            <w:tcBorders>
              <w:tl2br w:val="nil"/>
              <w:tr2bl w:val="nil"/>
            </w:tcBorders>
            <w:noWrap w:val="0"/>
            <w:vAlign w:val="center"/>
          </w:tcPr>
          <w:p w14:paraId="4BA642C1">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7.70~8.76</w:t>
            </w:r>
          </w:p>
        </w:tc>
        <w:tc>
          <w:tcPr>
            <w:tcW w:w="854" w:type="pct"/>
            <w:tcBorders>
              <w:tl2br w:val="nil"/>
              <w:tr2bl w:val="nil"/>
            </w:tcBorders>
            <w:noWrap w:val="0"/>
            <w:vAlign w:val="center"/>
          </w:tcPr>
          <w:p w14:paraId="49358900">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21.09~40.28</w:t>
            </w:r>
          </w:p>
        </w:tc>
        <w:tc>
          <w:tcPr>
            <w:tcW w:w="774" w:type="pct"/>
            <w:tcBorders>
              <w:tl2br w:val="nil"/>
              <w:tr2bl w:val="nil"/>
            </w:tcBorders>
            <w:noWrap w:val="0"/>
            <w:vAlign w:val="center"/>
          </w:tcPr>
          <w:p w14:paraId="0E386BD9">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0.001~0.34</w:t>
            </w:r>
          </w:p>
        </w:tc>
        <w:tc>
          <w:tcPr>
            <w:tcW w:w="614" w:type="pct"/>
            <w:tcBorders>
              <w:tl2br w:val="nil"/>
              <w:tr2bl w:val="nil"/>
            </w:tcBorders>
            <w:noWrap w:val="0"/>
            <w:vAlign w:val="center"/>
          </w:tcPr>
          <w:p w14:paraId="3A7FA2FC">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3.19~6.11</w:t>
            </w:r>
          </w:p>
        </w:tc>
        <w:tc>
          <w:tcPr>
            <w:tcW w:w="870" w:type="pct"/>
            <w:tcBorders>
              <w:tl2br w:val="nil"/>
              <w:tr2bl w:val="nil"/>
            </w:tcBorders>
            <w:noWrap w:val="0"/>
            <w:vAlign w:val="center"/>
          </w:tcPr>
          <w:p w14:paraId="115B06AB">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0.15~0.23</w:t>
            </w:r>
          </w:p>
        </w:tc>
      </w:tr>
      <w:tr w14:paraId="267C77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395" w:type="pct"/>
            <w:vMerge w:val="continue"/>
            <w:tcBorders>
              <w:tl2br w:val="nil"/>
              <w:tr2bl w:val="nil"/>
            </w:tcBorders>
            <w:noWrap w:val="0"/>
            <w:vAlign w:val="center"/>
          </w:tcPr>
          <w:p w14:paraId="34240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p>
        </w:tc>
        <w:tc>
          <w:tcPr>
            <w:tcW w:w="836" w:type="pct"/>
            <w:tcBorders>
              <w:tl2br w:val="nil"/>
              <w:tr2bl w:val="nil"/>
            </w:tcBorders>
            <w:noWrap w:val="0"/>
            <w:vAlign w:val="center"/>
          </w:tcPr>
          <w:p w14:paraId="59CA27A5">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2025.10</w:t>
            </w:r>
          </w:p>
        </w:tc>
        <w:tc>
          <w:tcPr>
            <w:tcW w:w="654" w:type="pct"/>
            <w:tcBorders>
              <w:tl2br w:val="nil"/>
              <w:tr2bl w:val="nil"/>
            </w:tcBorders>
            <w:noWrap w:val="0"/>
            <w:vAlign w:val="center"/>
          </w:tcPr>
          <w:p w14:paraId="130B2EE5">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7.26~8.79</w:t>
            </w:r>
          </w:p>
        </w:tc>
        <w:tc>
          <w:tcPr>
            <w:tcW w:w="854" w:type="pct"/>
            <w:tcBorders>
              <w:tl2br w:val="nil"/>
              <w:tr2bl w:val="nil"/>
            </w:tcBorders>
            <w:noWrap w:val="0"/>
            <w:vAlign w:val="center"/>
          </w:tcPr>
          <w:p w14:paraId="72BCD26F">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14.01~34.67</w:t>
            </w:r>
          </w:p>
        </w:tc>
        <w:tc>
          <w:tcPr>
            <w:tcW w:w="774" w:type="pct"/>
            <w:tcBorders>
              <w:tl2br w:val="nil"/>
              <w:tr2bl w:val="nil"/>
            </w:tcBorders>
            <w:noWrap w:val="0"/>
            <w:vAlign w:val="center"/>
          </w:tcPr>
          <w:p w14:paraId="059DE194">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0.001~0.18</w:t>
            </w:r>
          </w:p>
        </w:tc>
        <w:tc>
          <w:tcPr>
            <w:tcW w:w="614" w:type="pct"/>
            <w:tcBorders>
              <w:tl2br w:val="nil"/>
              <w:tr2bl w:val="nil"/>
            </w:tcBorders>
            <w:noWrap w:val="0"/>
            <w:vAlign w:val="center"/>
          </w:tcPr>
          <w:p w14:paraId="66FC8A7B">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1.40~3.82</w:t>
            </w:r>
          </w:p>
        </w:tc>
        <w:tc>
          <w:tcPr>
            <w:tcW w:w="870" w:type="pct"/>
            <w:tcBorders>
              <w:tl2br w:val="nil"/>
              <w:tr2bl w:val="nil"/>
            </w:tcBorders>
            <w:noWrap w:val="0"/>
            <w:vAlign w:val="center"/>
          </w:tcPr>
          <w:p w14:paraId="18281D8E">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0.16~0.43</w:t>
            </w:r>
          </w:p>
        </w:tc>
      </w:tr>
      <w:tr w14:paraId="791C8B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1231" w:type="pct"/>
            <w:gridSpan w:val="2"/>
            <w:tcBorders>
              <w:tl2br w:val="nil"/>
              <w:tr2bl w:val="nil"/>
            </w:tcBorders>
            <w:noWrap w:val="0"/>
            <w:vAlign w:val="center"/>
          </w:tcPr>
          <w:p w14:paraId="5F80E69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《城镇污水处理厂污染物排放标准》（GB18918-2002）一级标准中A标准</w:t>
            </w:r>
          </w:p>
        </w:tc>
        <w:tc>
          <w:tcPr>
            <w:tcW w:w="654" w:type="pct"/>
            <w:tcBorders>
              <w:tl2br w:val="nil"/>
              <w:tr2bl w:val="nil"/>
            </w:tcBorders>
            <w:noWrap w:val="0"/>
            <w:vAlign w:val="center"/>
          </w:tcPr>
          <w:p w14:paraId="42FC42C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6~9</w:t>
            </w:r>
          </w:p>
        </w:tc>
        <w:tc>
          <w:tcPr>
            <w:tcW w:w="854" w:type="pct"/>
            <w:tcBorders>
              <w:tl2br w:val="nil"/>
              <w:tr2bl w:val="nil"/>
            </w:tcBorders>
            <w:noWrap w:val="0"/>
            <w:vAlign w:val="center"/>
          </w:tcPr>
          <w:p w14:paraId="03DE5C85">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50</w:t>
            </w:r>
          </w:p>
        </w:tc>
        <w:tc>
          <w:tcPr>
            <w:tcW w:w="774" w:type="pct"/>
            <w:tcBorders>
              <w:tl2br w:val="nil"/>
              <w:tr2bl w:val="nil"/>
            </w:tcBorders>
            <w:noWrap w:val="0"/>
            <w:vAlign w:val="center"/>
          </w:tcPr>
          <w:p w14:paraId="747E069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lang w:val="en-US" w:eastAsia="zh-CN" w:bidi="ar-SA"/>
                <w14:textFill>
                  <w14:solidFill>
                    <w14:schemeClr w14:val="tx1"/>
                  </w14:solidFill>
                </w14:textFill>
              </w:rPr>
              <w:t>5</w:t>
            </w:r>
          </w:p>
        </w:tc>
        <w:tc>
          <w:tcPr>
            <w:tcW w:w="614" w:type="pct"/>
            <w:tcBorders>
              <w:tl2br w:val="nil"/>
              <w:tr2bl w:val="nil"/>
            </w:tcBorders>
            <w:noWrap w:val="0"/>
            <w:vAlign w:val="center"/>
          </w:tcPr>
          <w:p w14:paraId="3CA2064D">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lang w:val="en-US" w:eastAsia="zh-CN" w:bidi="ar-SA"/>
                <w14:textFill>
                  <w14:solidFill>
                    <w14:schemeClr w14:val="tx1"/>
                  </w14:solidFill>
                </w14:textFill>
              </w:rPr>
              <w:t>15</w:t>
            </w:r>
          </w:p>
        </w:tc>
        <w:tc>
          <w:tcPr>
            <w:tcW w:w="870" w:type="pct"/>
            <w:tcBorders>
              <w:tl2br w:val="nil"/>
              <w:tr2bl w:val="nil"/>
            </w:tcBorders>
            <w:noWrap w:val="0"/>
            <w:vAlign w:val="center"/>
          </w:tcPr>
          <w:p w14:paraId="17FF6AA9">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lang w:val="en-US" w:eastAsia="zh-CN" w:bidi="ar-SA"/>
                <w14:textFill>
                  <w14:solidFill>
                    <w14:schemeClr w14:val="tx1"/>
                  </w14:solidFill>
                </w14:textFill>
              </w:rPr>
              <w:t>0.5</w:t>
            </w:r>
          </w:p>
        </w:tc>
      </w:tr>
    </w:tbl>
    <w:p w14:paraId="19346CD8">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sectPr>
          <w:footerReference r:id="rId21"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8430A6A">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表3.4-2污水处理厂总排口检测结果</w:t>
      </w:r>
    </w:p>
    <w:tbl>
      <w:tblPr>
        <w:tblStyle w:val="76"/>
        <w:tblW w:w="5093" w:type="pct"/>
        <w:tblInd w:w="-39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660"/>
        <w:gridCol w:w="1066"/>
        <w:gridCol w:w="494"/>
        <w:gridCol w:w="690"/>
        <w:gridCol w:w="840"/>
        <w:gridCol w:w="795"/>
        <w:gridCol w:w="854"/>
        <w:gridCol w:w="720"/>
        <w:gridCol w:w="960"/>
        <w:gridCol w:w="896"/>
        <w:gridCol w:w="765"/>
        <w:gridCol w:w="840"/>
        <w:gridCol w:w="885"/>
        <w:gridCol w:w="1099"/>
        <w:gridCol w:w="759"/>
        <w:gridCol w:w="735"/>
        <w:gridCol w:w="735"/>
      </w:tblGrid>
      <w:tr w14:paraId="26349B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238" w:type="pct"/>
            <w:vMerge w:val="restart"/>
            <w:tcBorders>
              <w:tl2br w:val="nil"/>
              <w:tr2bl w:val="nil"/>
            </w:tcBorders>
            <w:noWrap w:val="0"/>
            <w:vAlign w:val="center"/>
          </w:tcPr>
          <w:p w14:paraId="3EFE40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采样     点位</w:t>
            </w:r>
          </w:p>
        </w:tc>
        <w:tc>
          <w:tcPr>
            <w:tcW w:w="227" w:type="pct"/>
            <w:vMerge w:val="restart"/>
            <w:tcBorders>
              <w:tl2br w:val="nil"/>
              <w:tr2bl w:val="nil"/>
            </w:tcBorders>
            <w:noWrap w:val="0"/>
            <w:vAlign w:val="center"/>
          </w:tcPr>
          <w:p w14:paraId="4E45D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采样       日期</w:t>
            </w:r>
          </w:p>
        </w:tc>
        <w:tc>
          <w:tcPr>
            <w:tcW w:w="367" w:type="pct"/>
            <w:vMerge w:val="restart"/>
            <w:tcBorders>
              <w:tl2br w:val="nil"/>
              <w:tr2bl w:val="nil"/>
            </w:tcBorders>
            <w:noWrap w:val="0"/>
            <w:vAlign w:val="center"/>
          </w:tcPr>
          <w:p w14:paraId="21F2A2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样品状态</w:t>
            </w:r>
          </w:p>
        </w:tc>
        <w:tc>
          <w:tcPr>
            <w:tcW w:w="4166" w:type="pct"/>
            <w:gridSpan w:val="15"/>
            <w:tcBorders>
              <w:tl2br w:val="nil"/>
              <w:tr2bl w:val="nil"/>
            </w:tcBorders>
            <w:noWrap w:val="0"/>
            <w:vAlign w:val="center"/>
          </w:tcPr>
          <w:p w14:paraId="1F3A68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检测结果（mg/L，色度：倍，粪大肠菌群：MPN/L）</w:t>
            </w:r>
          </w:p>
        </w:tc>
      </w:tr>
      <w:tr w14:paraId="2A9E7A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64" w:hRule="atLeast"/>
        </w:trPr>
        <w:tc>
          <w:tcPr>
            <w:tcW w:w="238" w:type="pct"/>
            <w:vMerge w:val="continue"/>
            <w:tcBorders>
              <w:tl2br w:val="nil"/>
              <w:tr2bl w:val="nil"/>
            </w:tcBorders>
            <w:noWrap w:val="0"/>
            <w:vAlign w:val="center"/>
          </w:tcPr>
          <w:p w14:paraId="2BE58D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227" w:type="pct"/>
            <w:vMerge w:val="continue"/>
            <w:tcBorders>
              <w:tl2br w:val="nil"/>
              <w:tr2bl w:val="nil"/>
            </w:tcBorders>
            <w:noWrap w:val="0"/>
            <w:vAlign w:val="center"/>
          </w:tcPr>
          <w:p w14:paraId="1BE08F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67" w:type="pct"/>
            <w:vMerge w:val="continue"/>
            <w:tcBorders>
              <w:tl2br w:val="nil"/>
              <w:tr2bl w:val="nil"/>
            </w:tcBorders>
            <w:noWrap w:val="0"/>
            <w:vAlign w:val="center"/>
          </w:tcPr>
          <w:p w14:paraId="48538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170" w:type="pct"/>
            <w:tcBorders>
              <w:tl2br w:val="nil"/>
              <w:tr2bl w:val="nil"/>
            </w:tcBorders>
            <w:noWrap w:val="0"/>
            <w:vAlign w:val="center"/>
          </w:tcPr>
          <w:p w14:paraId="23F21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色度</w:t>
            </w:r>
          </w:p>
        </w:tc>
        <w:tc>
          <w:tcPr>
            <w:tcW w:w="238" w:type="pct"/>
            <w:tcBorders>
              <w:tl2br w:val="nil"/>
              <w:tr2bl w:val="nil"/>
            </w:tcBorders>
            <w:noWrap w:val="0"/>
            <w:vAlign w:val="center"/>
          </w:tcPr>
          <w:p w14:paraId="20DFA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SS</w:t>
            </w:r>
          </w:p>
        </w:tc>
        <w:tc>
          <w:tcPr>
            <w:tcW w:w="289" w:type="pct"/>
            <w:tcBorders>
              <w:tl2br w:val="nil"/>
              <w:tr2bl w:val="nil"/>
            </w:tcBorders>
            <w:noWrap w:val="0"/>
            <w:vAlign w:val="center"/>
          </w:tcPr>
          <w:p w14:paraId="69200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bCs/>
                <w:color w:val="000000" w:themeColor="text1"/>
                <w:spacing w:val="0"/>
                <w:kern w:val="0"/>
                <w:sz w:val="21"/>
                <w:szCs w:val="21"/>
                <w:highlight w:val="none"/>
                <w:lang w:val="en-US" w:eastAsia="zh-CN" w:bidi="ar-SA"/>
                <w14:textFill>
                  <w14:solidFill>
                    <w14:schemeClr w14:val="tx1"/>
                  </w14:solidFill>
                </w14:textFill>
              </w:rPr>
              <w:t>B</w:t>
            </w: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OD</w:t>
            </w:r>
            <w:r>
              <w:rPr>
                <w:rFonts w:hint="default" w:ascii="Times New Roman" w:hAnsi="Times New Roman" w:eastAsia="宋体" w:cs="Times New Roman"/>
                <w:b/>
                <w:bCs/>
                <w:color w:val="000000" w:themeColor="text1"/>
                <w:spacing w:val="0"/>
                <w:kern w:val="0"/>
                <w:sz w:val="21"/>
                <w:szCs w:val="21"/>
                <w:highlight w:val="none"/>
                <w:vertAlign w:val="subscript"/>
                <w:lang w:val="en-US" w:eastAsia="zh-CN" w:bidi="ar-SA"/>
                <w14:textFill>
                  <w14:solidFill>
                    <w14:schemeClr w14:val="tx1"/>
                  </w14:solidFill>
                </w14:textFill>
              </w:rPr>
              <w:t>5</w:t>
            </w:r>
          </w:p>
        </w:tc>
        <w:tc>
          <w:tcPr>
            <w:tcW w:w="274" w:type="pct"/>
            <w:tcBorders>
              <w:tl2br w:val="nil"/>
              <w:tr2bl w:val="nil"/>
            </w:tcBorders>
            <w:noWrap w:val="0"/>
            <w:vAlign w:val="center"/>
          </w:tcPr>
          <w:p w14:paraId="4B327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汞</w:t>
            </w:r>
          </w:p>
        </w:tc>
        <w:tc>
          <w:tcPr>
            <w:tcW w:w="295" w:type="pct"/>
            <w:tcBorders>
              <w:tl2br w:val="nil"/>
              <w:tr2bl w:val="nil"/>
            </w:tcBorders>
            <w:noWrap w:val="0"/>
            <w:vAlign w:val="center"/>
          </w:tcPr>
          <w:p w14:paraId="47E1A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镉</w:t>
            </w:r>
          </w:p>
        </w:tc>
        <w:tc>
          <w:tcPr>
            <w:tcW w:w="248" w:type="pct"/>
            <w:tcBorders>
              <w:tl2br w:val="nil"/>
              <w:tr2bl w:val="nil"/>
            </w:tcBorders>
            <w:noWrap w:val="0"/>
            <w:vAlign w:val="center"/>
          </w:tcPr>
          <w:p w14:paraId="55AFD5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铬</w:t>
            </w:r>
          </w:p>
        </w:tc>
        <w:tc>
          <w:tcPr>
            <w:tcW w:w="331" w:type="pct"/>
            <w:tcBorders>
              <w:tl2br w:val="nil"/>
              <w:tr2bl w:val="nil"/>
            </w:tcBorders>
            <w:noWrap w:val="0"/>
            <w:vAlign w:val="center"/>
          </w:tcPr>
          <w:p w14:paraId="4F4614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六价铬</w:t>
            </w:r>
          </w:p>
        </w:tc>
        <w:tc>
          <w:tcPr>
            <w:tcW w:w="308" w:type="pct"/>
            <w:tcBorders>
              <w:tl2br w:val="nil"/>
              <w:tr2bl w:val="nil"/>
            </w:tcBorders>
            <w:noWrap w:val="0"/>
            <w:vAlign w:val="center"/>
          </w:tcPr>
          <w:p w14:paraId="506F7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砷</w:t>
            </w:r>
          </w:p>
        </w:tc>
        <w:tc>
          <w:tcPr>
            <w:tcW w:w="264" w:type="pct"/>
            <w:tcBorders>
              <w:tl2br w:val="nil"/>
              <w:tr2bl w:val="nil"/>
            </w:tcBorders>
            <w:noWrap w:val="0"/>
            <w:vAlign w:val="center"/>
          </w:tcPr>
          <w:p w14:paraId="0ABCF3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铅</w:t>
            </w:r>
          </w:p>
        </w:tc>
        <w:tc>
          <w:tcPr>
            <w:tcW w:w="289" w:type="pct"/>
            <w:tcBorders>
              <w:tl2br w:val="nil"/>
              <w:tr2bl w:val="nil"/>
            </w:tcBorders>
            <w:noWrap w:val="0"/>
            <w:vAlign w:val="center"/>
          </w:tcPr>
          <w:p w14:paraId="16D29E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石油类</w:t>
            </w:r>
          </w:p>
        </w:tc>
        <w:tc>
          <w:tcPr>
            <w:tcW w:w="305" w:type="pct"/>
            <w:tcBorders>
              <w:tl2br w:val="nil"/>
              <w:tr2bl w:val="nil"/>
            </w:tcBorders>
            <w:noWrap w:val="0"/>
            <w:vAlign w:val="center"/>
          </w:tcPr>
          <w:p w14:paraId="7CE60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粪大肠菌群</w:t>
            </w:r>
          </w:p>
        </w:tc>
        <w:tc>
          <w:tcPr>
            <w:tcW w:w="379" w:type="pct"/>
            <w:tcBorders>
              <w:tl2br w:val="nil"/>
              <w:tr2bl w:val="nil"/>
            </w:tcBorders>
            <w:noWrap w:val="0"/>
            <w:vAlign w:val="center"/>
          </w:tcPr>
          <w:p w14:paraId="536D4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阴离子表面活性剂</w:t>
            </w:r>
          </w:p>
        </w:tc>
        <w:tc>
          <w:tcPr>
            <w:tcW w:w="262" w:type="pct"/>
            <w:tcBorders>
              <w:tl2br w:val="nil"/>
              <w:tr2bl w:val="nil"/>
            </w:tcBorders>
            <w:noWrap w:val="0"/>
            <w:vAlign w:val="center"/>
          </w:tcPr>
          <w:p w14:paraId="46280F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动植物油</w:t>
            </w:r>
          </w:p>
        </w:tc>
        <w:tc>
          <w:tcPr>
            <w:tcW w:w="253" w:type="pct"/>
            <w:tcBorders>
              <w:tl2br w:val="nil"/>
              <w:tr2bl w:val="nil"/>
            </w:tcBorders>
            <w:noWrap w:val="0"/>
            <w:vAlign w:val="center"/>
          </w:tcPr>
          <w:p w14:paraId="066434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甲基汞</w:t>
            </w:r>
          </w:p>
        </w:tc>
        <w:tc>
          <w:tcPr>
            <w:tcW w:w="253" w:type="pct"/>
            <w:tcBorders>
              <w:tl2br w:val="nil"/>
              <w:tr2bl w:val="nil"/>
            </w:tcBorders>
            <w:noWrap w:val="0"/>
            <w:vAlign w:val="center"/>
          </w:tcPr>
          <w:p w14:paraId="679EB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乙基汞</w:t>
            </w:r>
          </w:p>
        </w:tc>
      </w:tr>
      <w:tr w14:paraId="3AFAD7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7" w:hRule="atLeast"/>
        </w:trPr>
        <w:tc>
          <w:tcPr>
            <w:tcW w:w="238" w:type="pct"/>
            <w:vMerge w:val="restart"/>
            <w:tcBorders>
              <w:tl2br w:val="nil"/>
              <w:tr2bl w:val="nil"/>
            </w:tcBorders>
            <w:noWrap w:val="0"/>
            <w:vAlign w:val="center"/>
          </w:tcPr>
          <w:p w14:paraId="46447B8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highlight w:val="none"/>
                <w:lang w:val="en-US" w:eastAsia="zh-CN" w:bidi="ar-SA"/>
              </w:rPr>
            </w:pPr>
            <w:r>
              <w:rPr>
                <w:rFonts w:hint="default" w:ascii="Times New Roman" w:hAnsi="Times New Roman" w:eastAsia="宋体" w:cs="Times New Roman"/>
                <w:spacing w:val="0"/>
                <w:kern w:val="0"/>
                <w:sz w:val="21"/>
                <w:szCs w:val="21"/>
                <w:lang w:val="en-US" w:eastAsia="zh-CN" w:bidi="ar-SA"/>
              </w:rPr>
              <w:t>废水总排口</w:t>
            </w:r>
          </w:p>
        </w:tc>
        <w:tc>
          <w:tcPr>
            <w:tcW w:w="227" w:type="pct"/>
            <w:tcBorders>
              <w:tl2br w:val="nil"/>
              <w:tr2bl w:val="nil"/>
            </w:tcBorders>
            <w:noWrap w:val="0"/>
            <w:vAlign w:val="center"/>
          </w:tcPr>
          <w:p w14:paraId="778F82C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2025.1.22</w:t>
            </w:r>
          </w:p>
        </w:tc>
        <w:tc>
          <w:tcPr>
            <w:tcW w:w="367" w:type="pct"/>
            <w:tcBorders>
              <w:tl2br w:val="nil"/>
              <w:tr2bl w:val="nil"/>
            </w:tcBorders>
            <w:noWrap w:val="0"/>
            <w:vAlign w:val="center"/>
          </w:tcPr>
          <w:p w14:paraId="5B6191B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微黄透明无异味</w:t>
            </w:r>
          </w:p>
        </w:tc>
        <w:tc>
          <w:tcPr>
            <w:tcW w:w="170" w:type="pct"/>
            <w:tcBorders>
              <w:tl2br w:val="nil"/>
              <w:tr2bl w:val="nil"/>
            </w:tcBorders>
            <w:noWrap w:val="0"/>
            <w:vAlign w:val="center"/>
          </w:tcPr>
          <w:p w14:paraId="7395058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5</w:t>
            </w:r>
          </w:p>
        </w:tc>
        <w:tc>
          <w:tcPr>
            <w:tcW w:w="238" w:type="pct"/>
            <w:tcBorders>
              <w:tl2br w:val="nil"/>
              <w:tr2bl w:val="nil"/>
            </w:tcBorders>
            <w:noWrap w:val="0"/>
            <w:vAlign w:val="center"/>
          </w:tcPr>
          <w:p w14:paraId="4A0C0DB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7</w:t>
            </w:r>
          </w:p>
        </w:tc>
        <w:tc>
          <w:tcPr>
            <w:tcW w:w="289" w:type="pct"/>
            <w:tcBorders>
              <w:tl2br w:val="nil"/>
              <w:tr2bl w:val="nil"/>
            </w:tcBorders>
            <w:noWrap w:val="0"/>
            <w:vAlign w:val="center"/>
          </w:tcPr>
          <w:p w14:paraId="30063D5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9.3</w:t>
            </w:r>
          </w:p>
        </w:tc>
        <w:tc>
          <w:tcPr>
            <w:tcW w:w="274" w:type="pct"/>
            <w:tcBorders>
              <w:tl2br w:val="nil"/>
              <w:tr2bl w:val="nil"/>
            </w:tcBorders>
            <w:noWrap w:val="0"/>
            <w:vAlign w:val="center"/>
          </w:tcPr>
          <w:p w14:paraId="074C38E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 xml:space="preserve">0.0002 </w:t>
            </w:r>
          </w:p>
        </w:tc>
        <w:tc>
          <w:tcPr>
            <w:tcW w:w="295" w:type="pct"/>
            <w:tcBorders>
              <w:tl2br w:val="nil"/>
              <w:tr2bl w:val="nil"/>
            </w:tcBorders>
            <w:noWrap w:val="0"/>
            <w:vAlign w:val="center"/>
          </w:tcPr>
          <w:p w14:paraId="64AEBBC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0.005L</w:t>
            </w:r>
          </w:p>
        </w:tc>
        <w:tc>
          <w:tcPr>
            <w:tcW w:w="248" w:type="pct"/>
            <w:tcBorders>
              <w:tl2br w:val="nil"/>
              <w:tr2bl w:val="nil"/>
            </w:tcBorders>
            <w:noWrap/>
            <w:vAlign w:val="center"/>
          </w:tcPr>
          <w:p w14:paraId="4934410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bidi="ar-SA"/>
              </w:rPr>
              <w:t>0.03L</w:t>
            </w:r>
          </w:p>
        </w:tc>
        <w:tc>
          <w:tcPr>
            <w:tcW w:w="331" w:type="pct"/>
            <w:tcBorders>
              <w:tl2br w:val="nil"/>
              <w:tr2bl w:val="nil"/>
            </w:tcBorders>
            <w:noWrap/>
            <w:vAlign w:val="center"/>
          </w:tcPr>
          <w:p w14:paraId="6FE4D81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0.004L</w:t>
            </w:r>
          </w:p>
        </w:tc>
        <w:tc>
          <w:tcPr>
            <w:tcW w:w="308" w:type="pct"/>
            <w:tcBorders>
              <w:tl2br w:val="nil"/>
              <w:tr2bl w:val="nil"/>
            </w:tcBorders>
            <w:noWrap/>
            <w:vAlign w:val="center"/>
          </w:tcPr>
          <w:p w14:paraId="431E7C8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0.0008</w:t>
            </w:r>
          </w:p>
        </w:tc>
        <w:tc>
          <w:tcPr>
            <w:tcW w:w="264" w:type="pct"/>
            <w:tcBorders>
              <w:tl2br w:val="nil"/>
              <w:tr2bl w:val="nil"/>
            </w:tcBorders>
            <w:noWrap/>
            <w:vAlign w:val="center"/>
          </w:tcPr>
          <w:p w14:paraId="46C8376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0.07L</w:t>
            </w:r>
          </w:p>
        </w:tc>
        <w:tc>
          <w:tcPr>
            <w:tcW w:w="289" w:type="pct"/>
            <w:tcBorders>
              <w:tl2br w:val="nil"/>
              <w:tr2bl w:val="nil"/>
            </w:tcBorders>
            <w:noWrap/>
            <w:vAlign w:val="center"/>
          </w:tcPr>
          <w:p w14:paraId="6A0775E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0.06L</w:t>
            </w:r>
          </w:p>
        </w:tc>
        <w:tc>
          <w:tcPr>
            <w:tcW w:w="305" w:type="pct"/>
            <w:tcBorders>
              <w:tl2br w:val="nil"/>
              <w:tr2bl w:val="nil"/>
            </w:tcBorders>
            <w:noWrap/>
            <w:vAlign w:val="center"/>
          </w:tcPr>
          <w:p w14:paraId="373DA18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379" w:type="pct"/>
            <w:tcBorders>
              <w:tl2br w:val="nil"/>
              <w:tr2bl w:val="nil"/>
            </w:tcBorders>
            <w:noWrap/>
            <w:vAlign w:val="center"/>
          </w:tcPr>
          <w:p w14:paraId="22005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62" w:type="pct"/>
            <w:tcBorders>
              <w:tl2br w:val="nil"/>
              <w:tr2bl w:val="nil"/>
            </w:tcBorders>
            <w:noWrap/>
            <w:vAlign w:val="center"/>
          </w:tcPr>
          <w:p w14:paraId="3FA80F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53" w:type="pct"/>
            <w:tcBorders>
              <w:tl2br w:val="nil"/>
              <w:tr2bl w:val="nil"/>
            </w:tcBorders>
            <w:noWrap/>
            <w:vAlign w:val="center"/>
          </w:tcPr>
          <w:p w14:paraId="16CA0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53" w:type="pct"/>
            <w:tcBorders>
              <w:tl2br w:val="nil"/>
              <w:tr2bl w:val="nil"/>
            </w:tcBorders>
            <w:noWrap/>
            <w:vAlign w:val="center"/>
          </w:tcPr>
          <w:p w14:paraId="4A573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r>
      <w:tr w14:paraId="40EDFB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238" w:type="pct"/>
            <w:vMerge w:val="continue"/>
            <w:tcBorders>
              <w:tl2br w:val="nil"/>
              <w:tr2bl w:val="nil"/>
            </w:tcBorders>
            <w:noWrap w:val="0"/>
            <w:vAlign w:val="center"/>
          </w:tcPr>
          <w:p w14:paraId="38599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p>
        </w:tc>
        <w:tc>
          <w:tcPr>
            <w:tcW w:w="227" w:type="pct"/>
            <w:tcBorders>
              <w:tl2br w:val="nil"/>
              <w:tr2bl w:val="nil"/>
            </w:tcBorders>
            <w:noWrap w:val="0"/>
            <w:vAlign w:val="center"/>
          </w:tcPr>
          <w:p w14:paraId="715AC41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2025.2.28</w:t>
            </w:r>
          </w:p>
        </w:tc>
        <w:tc>
          <w:tcPr>
            <w:tcW w:w="367" w:type="pct"/>
            <w:tcBorders>
              <w:tl2br w:val="nil"/>
              <w:tr2bl w:val="nil"/>
            </w:tcBorders>
            <w:noWrap w:val="0"/>
            <w:vAlign w:val="center"/>
          </w:tcPr>
          <w:p w14:paraId="27420A7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微黄透明无异味</w:t>
            </w:r>
          </w:p>
        </w:tc>
        <w:tc>
          <w:tcPr>
            <w:tcW w:w="170" w:type="pct"/>
            <w:tcBorders>
              <w:tl2br w:val="nil"/>
              <w:tr2bl w:val="nil"/>
            </w:tcBorders>
            <w:noWrap w:val="0"/>
            <w:vAlign w:val="center"/>
          </w:tcPr>
          <w:p w14:paraId="4DCF06D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 xml:space="preserve">2 </w:t>
            </w:r>
          </w:p>
        </w:tc>
        <w:tc>
          <w:tcPr>
            <w:tcW w:w="238" w:type="pct"/>
            <w:tcBorders>
              <w:tl2br w:val="nil"/>
              <w:tr2bl w:val="nil"/>
            </w:tcBorders>
            <w:noWrap w:val="0"/>
            <w:vAlign w:val="center"/>
          </w:tcPr>
          <w:p w14:paraId="179E947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8</w:t>
            </w:r>
          </w:p>
        </w:tc>
        <w:tc>
          <w:tcPr>
            <w:tcW w:w="289" w:type="pct"/>
            <w:tcBorders>
              <w:tl2br w:val="nil"/>
              <w:tr2bl w:val="nil"/>
            </w:tcBorders>
            <w:noWrap w:val="0"/>
            <w:vAlign w:val="center"/>
          </w:tcPr>
          <w:p w14:paraId="4F3D16C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 xml:space="preserve">8.9 </w:t>
            </w:r>
          </w:p>
        </w:tc>
        <w:tc>
          <w:tcPr>
            <w:tcW w:w="274" w:type="pct"/>
            <w:tcBorders>
              <w:tl2br w:val="nil"/>
              <w:tr2bl w:val="nil"/>
            </w:tcBorders>
            <w:noWrap w:val="0"/>
            <w:vAlign w:val="center"/>
          </w:tcPr>
          <w:p w14:paraId="159FC265">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0.00004L</w:t>
            </w:r>
          </w:p>
        </w:tc>
        <w:tc>
          <w:tcPr>
            <w:tcW w:w="295" w:type="pct"/>
            <w:tcBorders>
              <w:tl2br w:val="nil"/>
              <w:tr2bl w:val="nil"/>
            </w:tcBorders>
            <w:noWrap w:val="0"/>
            <w:vAlign w:val="center"/>
          </w:tcPr>
          <w:p w14:paraId="743B0B5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0.005L</w:t>
            </w:r>
          </w:p>
        </w:tc>
        <w:tc>
          <w:tcPr>
            <w:tcW w:w="248" w:type="pct"/>
            <w:tcBorders>
              <w:tl2br w:val="nil"/>
              <w:tr2bl w:val="nil"/>
            </w:tcBorders>
            <w:noWrap/>
            <w:vAlign w:val="center"/>
          </w:tcPr>
          <w:p w14:paraId="1057046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bidi="ar-SA"/>
              </w:rPr>
              <w:t>0.03L</w:t>
            </w:r>
          </w:p>
        </w:tc>
        <w:tc>
          <w:tcPr>
            <w:tcW w:w="331" w:type="pct"/>
            <w:tcBorders>
              <w:tl2br w:val="nil"/>
              <w:tr2bl w:val="nil"/>
            </w:tcBorders>
            <w:noWrap/>
            <w:vAlign w:val="center"/>
          </w:tcPr>
          <w:p w14:paraId="3ECAE865">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0.004L</w:t>
            </w:r>
          </w:p>
        </w:tc>
        <w:tc>
          <w:tcPr>
            <w:tcW w:w="308" w:type="pct"/>
            <w:tcBorders>
              <w:tl2br w:val="nil"/>
              <w:tr2bl w:val="nil"/>
            </w:tcBorders>
            <w:noWrap/>
            <w:vAlign w:val="center"/>
          </w:tcPr>
          <w:p w14:paraId="06DE29A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0.0023</w:t>
            </w:r>
          </w:p>
        </w:tc>
        <w:tc>
          <w:tcPr>
            <w:tcW w:w="264" w:type="pct"/>
            <w:tcBorders>
              <w:tl2br w:val="nil"/>
              <w:tr2bl w:val="nil"/>
            </w:tcBorders>
            <w:noWrap/>
            <w:vAlign w:val="center"/>
          </w:tcPr>
          <w:p w14:paraId="56412E2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0.07L</w:t>
            </w:r>
          </w:p>
        </w:tc>
        <w:tc>
          <w:tcPr>
            <w:tcW w:w="289" w:type="pct"/>
            <w:tcBorders>
              <w:tl2br w:val="nil"/>
              <w:tr2bl w:val="nil"/>
            </w:tcBorders>
            <w:noWrap/>
            <w:vAlign w:val="center"/>
          </w:tcPr>
          <w:p w14:paraId="08DD6D45">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0.06L</w:t>
            </w:r>
          </w:p>
        </w:tc>
        <w:tc>
          <w:tcPr>
            <w:tcW w:w="305" w:type="pct"/>
            <w:tcBorders>
              <w:tl2br w:val="nil"/>
              <w:tr2bl w:val="nil"/>
            </w:tcBorders>
            <w:noWrap/>
            <w:vAlign w:val="center"/>
          </w:tcPr>
          <w:p w14:paraId="5A16680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379" w:type="pct"/>
            <w:tcBorders>
              <w:tl2br w:val="nil"/>
              <w:tr2bl w:val="nil"/>
            </w:tcBorders>
            <w:noWrap/>
            <w:vAlign w:val="center"/>
          </w:tcPr>
          <w:p w14:paraId="25BCE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18"/>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62" w:type="pct"/>
            <w:tcBorders>
              <w:tl2br w:val="nil"/>
              <w:tr2bl w:val="nil"/>
            </w:tcBorders>
            <w:noWrap/>
            <w:vAlign w:val="center"/>
          </w:tcPr>
          <w:p w14:paraId="7D634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53" w:type="pct"/>
            <w:tcBorders>
              <w:tl2br w:val="nil"/>
              <w:tr2bl w:val="nil"/>
            </w:tcBorders>
            <w:noWrap/>
            <w:vAlign w:val="center"/>
          </w:tcPr>
          <w:p w14:paraId="33E08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53" w:type="pct"/>
            <w:tcBorders>
              <w:tl2br w:val="nil"/>
              <w:tr2bl w:val="nil"/>
            </w:tcBorders>
            <w:noWrap/>
            <w:vAlign w:val="center"/>
          </w:tcPr>
          <w:p w14:paraId="43222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r>
      <w:tr w14:paraId="3FBAE3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7" w:hRule="atLeast"/>
        </w:trPr>
        <w:tc>
          <w:tcPr>
            <w:tcW w:w="238" w:type="pct"/>
            <w:vMerge w:val="continue"/>
            <w:tcBorders>
              <w:tl2br w:val="nil"/>
              <w:tr2bl w:val="nil"/>
            </w:tcBorders>
            <w:noWrap w:val="0"/>
            <w:vAlign w:val="center"/>
          </w:tcPr>
          <w:p w14:paraId="39453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p>
        </w:tc>
        <w:tc>
          <w:tcPr>
            <w:tcW w:w="227" w:type="pct"/>
            <w:tcBorders>
              <w:tl2br w:val="nil"/>
              <w:tr2bl w:val="nil"/>
            </w:tcBorders>
            <w:noWrap w:val="0"/>
            <w:vAlign w:val="center"/>
          </w:tcPr>
          <w:p w14:paraId="5B0D302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2025.3.24</w:t>
            </w:r>
          </w:p>
        </w:tc>
        <w:tc>
          <w:tcPr>
            <w:tcW w:w="367" w:type="pct"/>
            <w:tcBorders>
              <w:tl2br w:val="nil"/>
              <w:tr2bl w:val="nil"/>
            </w:tcBorders>
            <w:noWrap w:val="0"/>
            <w:vAlign w:val="center"/>
          </w:tcPr>
          <w:p w14:paraId="0525000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微黄微浊无味</w:t>
            </w:r>
          </w:p>
        </w:tc>
        <w:tc>
          <w:tcPr>
            <w:tcW w:w="170" w:type="pct"/>
            <w:tcBorders>
              <w:tl2br w:val="nil"/>
              <w:tr2bl w:val="nil"/>
            </w:tcBorders>
            <w:noWrap w:val="0"/>
            <w:vAlign w:val="center"/>
          </w:tcPr>
          <w:p w14:paraId="2BB7591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 xml:space="preserve">4 </w:t>
            </w:r>
          </w:p>
        </w:tc>
        <w:tc>
          <w:tcPr>
            <w:tcW w:w="238" w:type="pct"/>
            <w:tcBorders>
              <w:tl2br w:val="nil"/>
              <w:tr2bl w:val="nil"/>
            </w:tcBorders>
            <w:noWrap w:val="0"/>
            <w:vAlign w:val="center"/>
          </w:tcPr>
          <w:p w14:paraId="5E32B3B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9</w:t>
            </w:r>
          </w:p>
        </w:tc>
        <w:tc>
          <w:tcPr>
            <w:tcW w:w="289" w:type="pct"/>
            <w:tcBorders>
              <w:tl2br w:val="nil"/>
              <w:tr2bl w:val="nil"/>
            </w:tcBorders>
            <w:noWrap w:val="0"/>
            <w:vAlign w:val="center"/>
          </w:tcPr>
          <w:p w14:paraId="030A7AD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9.0</w:t>
            </w:r>
          </w:p>
        </w:tc>
        <w:tc>
          <w:tcPr>
            <w:tcW w:w="274" w:type="pct"/>
            <w:tcBorders>
              <w:tl2br w:val="nil"/>
              <w:tr2bl w:val="nil"/>
            </w:tcBorders>
            <w:noWrap w:val="0"/>
            <w:vAlign w:val="center"/>
          </w:tcPr>
          <w:p w14:paraId="456B1C2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0.00004L</w:t>
            </w:r>
          </w:p>
        </w:tc>
        <w:tc>
          <w:tcPr>
            <w:tcW w:w="295" w:type="pct"/>
            <w:tcBorders>
              <w:tl2br w:val="nil"/>
              <w:tr2bl w:val="nil"/>
            </w:tcBorders>
            <w:noWrap w:val="0"/>
            <w:vAlign w:val="center"/>
          </w:tcPr>
          <w:p w14:paraId="6413038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0.005L</w:t>
            </w:r>
          </w:p>
        </w:tc>
        <w:tc>
          <w:tcPr>
            <w:tcW w:w="248" w:type="pct"/>
            <w:tcBorders>
              <w:tl2br w:val="nil"/>
              <w:tr2bl w:val="nil"/>
            </w:tcBorders>
            <w:noWrap/>
            <w:vAlign w:val="center"/>
          </w:tcPr>
          <w:p w14:paraId="36624F8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bidi="ar-SA"/>
              </w:rPr>
              <w:t>0.03L</w:t>
            </w:r>
          </w:p>
        </w:tc>
        <w:tc>
          <w:tcPr>
            <w:tcW w:w="331" w:type="pct"/>
            <w:tcBorders>
              <w:tl2br w:val="nil"/>
              <w:tr2bl w:val="nil"/>
            </w:tcBorders>
            <w:noWrap/>
            <w:vAlign w:val="center"/>
          </w:tcPr>
          <w:p w14:paraId="3980F77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0.004L</w:t>
            </w:r>
          </w:p>
        </w:tc>
        <w:tc>
          <w:tcPr>
            <w:tcW w:w="308" w:type="pct"/>
            <w:tcBorders>
              <w:tl2br w:val="nil"/>
              <w:tr2bl w:val="nil"/>
            </w:tcBorders>
            <w:noWrap/>
            <w:vAlign w:val="center"/>
          </w:tcPr>
          <w:p w14:paraId="49D4BF2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0.0006</w:t>
            </w:r>
          </w:p>
        </w:tc>
        <w:tc>
          <w:tcPr>
            <w:tcW w:w="264" w:type="pct"/>
            <w:tcBorders>
              <w:tl2br w:val="nil"/>
              <w:tr2bl w:val="nil"/>
            </w:tcBorders>
            <w:noWrap/>
            <w:vAlign w:val="center"/>
          </w:tcPr>
          <w:p w14:paraId="27A2E6E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0.07L</w:t>
            </w:r>
          </w:p>
        </w:tc>
        <w:tc>
          <w:tcPr>
            <w:tcW w:w="289" w:type="pct"/>
            <w:tcBorders>
              <w:tl2br w:val="nil"/>
              <w:tr2bl w:val="nil"/>
            </w:tcBorders>
            <w:noWrap/>
            <w:vAlign w:val="center"/>
          </w:tcPr>
          <w:p w14:paraId="662E34B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0.06L</w:t>
            </w:r>
          </w:p>
        </w:tc>
        <w:tc>
          <w:tcPr>
            <w:tcW w:w="305" w:type="pct"/>
            <w:tcBorders>
              <w:tl2br w:val="nil"/>
              <w:tr2bl w:val="nil"/>
            </w:tcBorders>
            <w:noWrap/>
            <w:vAlign w:val="center"/>
          </w:tcPr>
          <w:p w14:paraId="0A1BA19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4.9×10</w:t>
            </w:r>
            <w:r>
              <w:rPr>
                <w:rFonts w:hint="default" w:ascii="Times New Roman" w:hAnsi="Times New Roman" w:eastAsia="宋体" w:cs="Times New Roman"/>
                <w:spacing w:val="0"/>
                <w:kern w:val="0"/>
                <w:sz w:val="21"/>
                <w:szCs w:val="21"/>
                <w:vertAlign w:val="superscript"/>
                <w:lang w:val="en-US" w:eastAsia="zh-CN" w:bidi="ar-SA"/>
              </w:rPr>
              <w:t>2</w:t>
            </w:r>
          </w:p>
        </w:tc>
        <w:tc>
          <w:tcPr>
            <w:tcW w:w="379" w:type="pct"/>
            <w:tcBorders>
              <w:tl2br w:val="nil"/>
              <w:tr2bl w:val="nil"/>
            </w:tcBorders>
            <w:noWrap/>
            <w:vAlign w:val="center"/>
          </w:tcPr>
          <w:p w14:paraId="0CCAC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18"/>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0.19</w:t>
            </w:r>
          </w:p>
        </w:tc>
        <w:tc>
          <w:tcPr>
            <w:tcW w:w="262" w:type="pct"/>
            <w:tcBorders>
              <w:tl2br w:val="nil"/>
              <w:tr2bl w:val="nil"/>
            </w:tcBorders>
            <w:noWrap/>
            <w:vAlign w:val="center"/>
          </w:tcPr>
          <w:p w14:paraId="1270E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0.06L</w:t>
            </w:r>
          </w:p>
        </w:tc>
        <w:tc>
          <w:tcPr>
            <w:tcW w:w="253" w:type="pct"/>
            <w:tcBorders>
              <w:tl2br w:val="nil"/>
              <w:tr2bl w:val="nil"/>
            </w:tcBorders>
            <w:noWrap/>
            <w:vAlign w:val="center"/>
          </w:tcPr>
          <w:p w14:paraId="59AA8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0.00001L</w:t>
            </w:r>
          </w:p>
        </w:tc>
        <w:tc>
          <w:tcPr>
            <w:tcW w:w="253" w:type="pct"/>
            <w:tcBorders>
              <w:tl2br w:val="nil"/>
              <w:tr2bl w:val="nil"/>
            </w:tcBorders>
            <w:noWrap/>
            <w:vAlign w:val="center"/>
          </w:tcPr>
          <w:p w14:paraId="46E60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0.00002L</w:t>
            </w:r>
          </w:p>
        </w:tc>
      </w:tr>
      <w:tr w14:paraId="738EDB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238" w:type="pct"/>
            <w:vMerge w:val="continue"/>
            <w:tcBorders>
              <w:tl2br w:val="nil"/>
              <w:tr2bl w:val="nil"/>
            </w:tcBorders>
            <w:noWrap w:val="0"/>
            <w:vAlign w:val="center"/>
          </w:tcPr>
          <w:p w14:paraId="326FD4D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p>
        </w:tc>
        <w:tc>
          <w:tcPr>
            <w:tcW w:w="227" w:type="pct"/>
            <w:tcBorders>
              <w:tl2br w:val="nil"/>
              <w:tr2bl w:val="nil"/>
            </w:tcBorders>
            <w:noWrap w:val="0"/>
            <w:vAlign w:val="center"/>
          </w:tcPr>
          <w:p w14:paraId="7D62EC2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2025.6.11</w:t>
            </w:r>
          </w:p>
        </w:tc>
        <w:tc>
          <w:tcPr>
            <w:tcW w:w="367" w:type="pct"/>
            <w:tcBorders>
              <w:tl2br w:val="nil"/>
              <w:tr2bl w:val="nil"/>
            </w:tcBorders>
            <w:noWrap w:val="0"/>
            <w:vAlign w:val="center"/>
          </w:tcPr>
          <w:p w14:paraId="372F8A4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微黄透明无味</w:t>
            </w:r>
          </w:p>
        </w:tc>
        <w:tc>
          <w:tcPr>
            <w:tcW w:w="170" w:type="pct"/>
            <w:tcBorders>
              <w:tl2br w:val="nil"/>
              <w:tr2bl w:val="nil"/>
            </w:tcBorders>
            <w:noWrap w:val="0"/>
            <w:vAlign w:val="center"/>
          </w:tcPr>
          <w:p w14:paraId="09BDD12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4</w:t>
            </w:r>
          </w:p>
        </w:tc>
        <w:tc>
          <w:tcPr>
            <w:tcW w:w="238" w:type="pct"/>
            <w:tcBorders>
              <w:tl2br w:val="nil"/>
              <w:tr2bl w:val="nil"/>
            </w:tcBorders>
            <w:noWrap w:val="0"/>
            <w:vAlign w:val="center"/>
          </w:tcPr>
          <w:p w14:paraId="19FB4C8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7</w:t>
            </w:r>
          </w:p>
        </w:tc>
        <w:tc>
          <w:tcPr>
            <w:tcW w:w="289" w:type="pct"/>
            <w:tcBorders>
              <w:tl2br w:val="nil"/>
              <w:tr2bl w:val="nil"/>
            </w:tcBorders>
            <w:noWrap w:val="0"/>
            <w:vAlign w:val="center"/>
          </w:tcPr>
          <w:p w14:paraId="074CE7D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8.8</w:t>
            </w:r>
          </w:p>
        </w:tc>
        <w:tc>
          <w:tcPr>
            <w:tcW w:w="274" w:type="pct"/>
            <w:tcBorders>
              <w:tl2br w:val="nil"/>
              <w:tr2bl w:val="nil"/>
            </w:tcBorders>
            <w:noWrap w:val="0"/>
            <w:vAlign w:val="center"/>
          </w:tcPr>
          <w:p w14:paraId="39278FF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0.00004L</w:t>
            </w:r>
          </w:p>
        </w:tc>
        <w:tc>
          <w:tcPr>
            <w:tcW w:w="295" w:type="pct"/>
            <w:tcBorders>
              <w:tl2br w:val="nil"/>
              <w:tr2bl w:val="nil"/>
            </w:tcBorders>
            <w:noWrap w:val="0"/>
            <w:vAlign w:val="center"/>
          </w:tcPr>
          <w:p w14:paraId="1D2F987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0.005L</w:t>
            </w:r>
          </w:p>
        </w:tc>
        <w:tc>
          <w:tcPr>
            <w:tcW w:w="248" w:type="pct"/>
            <w:tcBorders>
              <w:tl2br w:val="nil"/>
              <w:tr2bl w:val="nil"/>
            </w:tcBorders>
            <w:noWrap/>
            <w:vAlign w:val="center"/>
          </w:tcPr>
          <w:p w14:paraId="52A7ABB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bidi="ar-SA"/>
              </w:rPr>
              <w:t>0.03L</w:t>
            </w:r>
          </w:p>
        </w:tc>
        <w:tc>
          <w:tcPr>
            <w:tcW w:w="331" w:type="pct"/>
            <w:tcBorders>
              <w:tl2br w:val="nil"/>
              <w:tr2bl w:val="nil"/>
            </w:tcBorders>
            <w:noWrap/>
            <w:vAlign w:val="center"/>
          </w:tcPr>
          <w:p w14:paraId="285BAEC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0.004L</w:t>
            </w:r>
          </w:p>
        </w:tc>
        <w:tc>
          <w:tcPr>
            <w:tcW w:w="308" w:type="pct"/>
            <w:tcBorders>
              <w:tl2br w:val="nil"/>
              <w:tr2bl w:val="nil"/>
            </w:tcBorders>
            <w:noWrap/>
            <w:vAlign w:val="center"/>
          </w:tcPr>
          <w:p w14:paraId="329E311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0.0011</w:t>
            </w:r>
          </w:p>
        </w:tc>
        <w:tc>
          <w:tcPr>
            <w:tcW w:w="264" w:type="pct"/>
            <w:tcBorders>
              <w:tl2br w:val="nil"/>
              <w:tr2bl w:val="nil"/>
            </w:tcBorders>
            <w:noWrap/>
            <w:vAlign w:val="center"/>
          </w:tcPr>
          <w:p w14:paraId="6FC563B7">
            <w:pPr>
              <w:keepNext w:val="0"/>
              <w:keepLines w:val="0"/>
              <w:suppressLineNumbers w:val="0"/>
              <w:autoSpaceDE/>
              <w:autoSpaceDN/>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rPr>
              <w:t>0.07L</w:t>
            </w:r>
          </w:p>
        </w:tc>
        <w:tc>
          <w:tcPr>
            <w:tcW w:w="289" w:type="pct"/>
            <w:tcBorders>
              <w:tl2br w:val="nil"/>
              <w:tr2bl w:val="nil"/>
            </w:tcBorders>
            <w:noWrap/>
            <w:vAlign w:val="center"/>
          </w:tcPr>
          <w:p w14:paraId="11F1FAF6">
            <w:pPr>
              <w:keepNext w:val="0"/>
              <w:keepLines w:val="0"/>
              <w:suppressLineNumbers w:val="0"/>
              <w:autoSpaceDE/>
              <w:autoSpaceDN/>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rPr>
              <w:t>0.06L</w:t>
            </w:r>
          </w:p>
        </w:tc>
        <w:tc>
          <w:tcPr>
            <w:tcW w:w="305" w:type="pct"/>
            <w:tcBorders>
              <w:tl2br w:val="nil"/>
              <w:tr2bl w:val="nil"/>
            </w:tcBorders>
            <w:noWrap/>
            <w:vAlign w:val="center"/>
          </w:tcPr>
          <w:p w14:paraId="4FEA33FE">
            <w:pPr>
              <w:keepNext w:val="0"/>
              <w:keepLines w:val="0"/>
              <w:suppressLineNumbers w:val="0"/>
              <w:autoSpaceDE/>
              <w:autoSpaceDN/>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3.9×10</w:t>
            </w:r>
            <w:r>
              <w:rPr>
                <w:rFonts w:hint="default" w:ascii="Times New Roman" w:hAnsi="Times New Roman" w:eastAsia="宋体" w:cs="Times New Roman"/>
                <w:kern w:val="2"/>
                <w:sz w:val="21"/>
                <w:szCs w:val="21"/>
                <w:vertAlign w:val="superscript"/>
                <w:lang w:val="en-US" w:eastAsia="zh-CN"/>
              </w:rPr>
              <w:t>2</w:t>
            </w:r>
          </w:p>
        </w:tc>
        <w:tc>
          <w:tcPr>
            <w:tcW w:w="379" w:type="pct"/>
            <w:tcBorders>
              <w:tl2br w:val="nil"/>
              <w:tr2bl w:val="nil"/>
            </w:tcBorders>
            <w:noWrap/>
            <w:vAlign w:val="center"/>
          </w:tcPr>
          <w:p w14:paraId="7AC31E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0.32</w:t>
            </w:r>
          </w:p>
        </w:tc>
        <w:tc>
          <w:tcPr>
            <w:tcW w:w="262" w:type="pct"/>
            <w:tcBorders>
              <w:tl2br w:val="nil"/>
              <w:tr2bl w:val="nil"/>
            </w:tcBorders>
            <w:noWrap/>
            <w:vAlign w:val="center"/>
          </w:tcPr>
          <w:p w14:paraId="0C507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0.06L</w:t>
            </w:r>
          </w:p>
        </w:tc>
        <w:tc>
          <w:tcPr>
            <w:tcW w:w="253" w:type="pct"/>
            <w:tcBorders>
              <w:tl2br w:val="nil"/>
              <w:tr2bl w:val="nil"/>
            </w:tcBorders>
            <w:noWrap/>
            <w:vAlign w:val="center"/>
          </w:tcPr>
          <w:p w14:paraId="78AC14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0.00001L</w:t>
            </w:r>
          </w:p>
        </w:tc>
        <w:tc>
          <w:tcPr>
            <w:tcW w:w="253" w:type="pct"/>
            <w:tcBorders>
              <w:tl2br w:val="nil"/>
              <w:tr2bl w:val="nil"/>
            </w:tcBorders>
            <w:noWrap/>
            <w:vAlign w:val="center"/>
          </w:tcPr>
          <w:p w14:paraId="6EA21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0.00002L</w:t>
            </w:r>
          </w:p>
        </w:tc>
      </w:tr>
      <w:tr w14:paraId="610336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0" w:hRule="atLeast"/>
        </w:trPr>
        <w:tc>
          <w:tcPr>
            <w:tcW w:w="238" w:type="pct"/>
            <w:vMerge w:val="continue"/>
            <w:tcBorders>
              <w:tl2br w:val="nil"/>
              <w:tr2bl w:val="nil"/>
            </w:tcBorders>
            <w:noWrap w:val="0"/>
            <w:vAlign w:val="center"/>
          </w:tcPr>
          <w:p w14:paraId="73139D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p>
        </w:tc>
        <w:tc>
          <w:tcPr>
            <w:tcW w:w="227" w:type="pct"/>
            <w:tcBorders>
              <w:tl2br w:val="nil"/>
              <w:tr2bl w:val="nil"/>
            </w:tcBorders>
            <w:noWrap w:val="0"/>
            <w:vAlign w:val="center"/>
          </w:tcPr>
          <w:p w14:paraId="21A1E5F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2025.7.10</w:t>
            </w:r>
          </w:p>
        </w:tc>
        <w:tc>
          <w:tcPr>
            <w:tcW w:w="367" w:type="pct"/>
            <w:tcBorders>
              <w:tl2br w:val="nil"/>
              <w:tr2bl w:val="nil"/>
            </w:tcBorders>
            <w:noWrap w:val="0"/>
            <w:vAlign w:val="center"/>
          </w:tcPr>
          <w:p w14:paraId="1D63DD7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微黄微浊无味</w:t>
            </w:r>
          </w:p>
        </w:tc>
        <w:tc>
          <w:tcPr>
            <w:tcW w:w="170" w:type="pct"/>
            <w:tcBorders>
              <w:tl2br w:val="nil"/>
              <w:tr2bl w:val="nil"/>
            </w:tcBorders>
            <w:noWrap w:val="0"/>
            <w:vAlign w:val="center"/>
          </w:tcPr>
          <w:p w14:paraId="70941FE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5</w:t>
            </w:r>
          </w:p>
        </w:tc>
        <w:tc>
          <w:tcPr>
            <w:tcW w:w="238" w:type="pct"/>
            <w:tcBorders>
              <w:tl2br w:val="nil"/>
              <w:tr2bl w:val="nil"/>
            </w:tcBorders>
            <w:noWrap w:val="0"/>
            <w:vAlign w:val="center"/>
          </w:tcPr>
          <w:p w14:paraId="4A1AA3F5">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9</w:t>
            </w:r>
          </w:p>
        </w:tc>
        <w:tc>
          <w:tcPr>
            <w:tcW w:w="289" w:type="pct"/>
            <w:tcBorders>
              <w:tl2br w:val="nil"/>
              <w:tr2bl w:val="nil"/>
            </w:tcBorders>
            <w:noWrap w:val="0"/>
            <w:vAlign w:val="center"/>
          </w:tcPr>
          <w:p w14:paraId="65B3F13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8.6</w:t>
            </w:r>
          </w:p>
        </w:tc>
        <w:tc>
          <w:tcPr>
            <w:tcW w:w="274" w:type="pct"/>
            <w:tcBorders>
              <w:tl2br w:val="nil"/>
              <w:tr2bl w:val="nil"/>
            </w:tcBorders>
            <w:noWrap w:val="0"/>
            <w:vAlign w:val="center"/>
          </w:tcPr>
          <w:p w14:paraId="7BE6097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0.00004L</w:t>
            </w:r>
          </w:p>
        </w:tc>
        <w:tc>
          <w:tcPr>
            <w:tcW w:w="295" w:type="pct"/>
            <w:tcBorders>
              <w:tl2br w:val="nil"/>
              <w:tr2bl w:val="nil"/>
            </w:tcBorders>
            <w:noWrap w:val="0"/>
            <w:vAlign w:val="center"/>
          </w:tcPr>
          <w:p w14:paraId="3F6918A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0.005L</w:t>
            </w:r>
          </w:p>
        </w:tc>
        <w:tc>
          <w:tcPr>
            <w:tcW w:w="248" w:type="pct"/>
            <w:tcBorders>
              <w:tl2br w:val="nil"/>
              <w:tr2bl w:val="nil"/>
            </w:tcBorders>
            <w:noWrap/>
            <w:vAlign w:val="center"/>
          </w:tcPr>
          <w:p w14:paraId="4422B31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bidi="ar-SA"/>
              </w:rPr>
              <w:t>0.03L</w:t>
            </w:r>
          </w:p>
        </w:tc>
        <w:tc>
          <w:tcPr>
            <w:tcW w:w="331" w:type="pct"/>
            <w:tcBorders>
              <w:tl2br w:val="nil"/>
              <w:tr2bl w:val="nil"/>
            </w:tcBorders>
            <w:noWrap/>
            <w:vAlign w:val="center"/>
          </w:tcPr>
          <w:p w14:paraId="3A59190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0.004L</w:t>
            </w:r>
          </w:p>
        </w:tc>
        <w:tc>
          <w:tcPr>
            <w:tcW w:w="308" w:type="pct"/>
            <w:tcBorders>
              <w:tl2br w:val="nil"/>
              <w:tr2bl w:val="nil"/>
            </w:tcBorders>
            <w:noWrap/>
            <w:vAlign w:val="center"/>
          </w:tcPr>
          <w:p w14:paraId="7BEF707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0.0007</w:t>
            </w:r>
          </w:p>
        </w:tc>
        <w:tc>
          <w:tcPr>
            <w:tcW w:w="264" w:type="pct"/>
            <w:tcBorders>
              <w:tl2br w:val="nil"/>
              <w:tr2bl w:val="nil"/>
            </w:tcBorders>
            <w:noWrap/>
            <w:vAlign w:val="center"/>
          </w:tcPr>
          <w:p w14:paraId="111C8BBC">
            <w:pPr>
              <w:keepNext w:val="0"/>
              <w:keepLines w:val="0"/>
              <w:suppressLineNumbers w:val="0"/>
              <w:autoSpaceDE/>
              <w:autoSpaceDN/>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rPr>
              <w:t>0.07L</w:t>
            </w:r>
          </w:p>
        </w:tc>
        <w:tc>
          <w:tcPr>
            <w:tcW w:w="289" w:type="pct"/>
            <w:tcBorders>
              <w:tl2br w:val="nil"/>
              <w:tr2bl w:val="nil"/>
            </w:tcBorders>
            <w:noWrap/>
            <w:vAlign w:val="center"/>
          </w:tcPr>
          <w:p w14:paraId="2B13DFAA">
            <w:pPr>
              <w:keepNext w:val="0"/>
              <w:keepLines w:val="0"/>
              <w:suppressLineNumbers w:val="0"/>
              <w:autoSpaceDE/>
              <w:autoSpaceDN/>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rPr>
              <w:t>0.06L</w:t>
            </w:r>
          </w:p>
        </w:tc>
        <w:tc>
          <w:tcPr>
            <w:tcW w:w="305" w:type="pct"/>
            <w:tcBorders>
              <w:tl2br w:val="nil"/>
              <w:tr2bl w:val="nil"/>
            </w:tcBorders>
            <w:noWrap/>
            <w:vAlign w:val="center"/>
          </w:tcPr>
          <w:p w14:paraId="062C27F8">
            <w:pPr>
              <w:keepNext w:val="0"/>
              <w:keepLines w:val="0"/>
              <w:suppressLineNumbers w:val="0"/>
              <w:autoSpaceDE/>
              <w:autoSpaceDN/>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2.2×10</w:t>
            </w:r>
            <w:r>
              <w:rPr>
                <w:rFonts w:hint="default" w:ascii="Times New Roman" w:hAnsi="Times New Roman" w:eastAsia="宋体" w:cs="Times New Roman"/>
                <w:kern w:val="2"/>
                <w:sz w:val="21"/>
                <w:szCs w:val="21"/>
                <w:vertAlign w:val="superscript"/>
                <w:lang w:val="en-US" w:eastAsia="zh-CN"/>
              </w:rPr>
              <w:t>2</w:t>
            </w:r>
          </w:p>
        </w:tc>
        <w:tc>
          <w:tcPr>
            <w:tcW w:w="379" w:type="pct"/>
            <w:tcBorders>
              <w:tl2br w:val="nil"/>
              <w:tr2bl w:val="nil"/>
            </w:tcBorders>
            <w:noWrap/>
            <w:vAlign w:val="center"/>
          </w:tcPr>
          <w:p w14:paraId="1DBF4F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18"/>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0.25</w:t>
            </w:r>
          </w:p>
        </w:tc>
        <w:tc>
          <w:tcPr>
            <w:tcW w:w="262" w:type="pct"/>
            <w:tcBorders>
              <w:tl2br w:val="nil"/>
              <w:tr2bl w:val="nil"/>
            </w:tcBorders>
            <w:noWrap/>
            <w:vAlign w:val="center"/>
          </w:tcPr>
          <w:p w14:paraId="405DC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0.06L</w:t>
            </w:r>
          </w:p>
        </w:tc>
        <w:tc>
          <w:tcPr>
            <w:tcW w:w="253" w:type="pct"/>
            <w:tcBorders>
              <w:tl2br w:val="nil"/>
              <w:tr2bl w:val="nil"/>
            </w:tcBorders>
            <w:noWrap/>
            <w:vAlign w:val="center"/>
          </w:tcPr>
          <w:p w14:paraId="12BD8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0.00001L</w:t>
            </w:r>
          </w:p>
        </w:tc>
        <w:tc>
          <w:tcPr>
            <w:tcW w:w="253" w:type="pct"/>
            <w:tcBorders>
              <w:tl2br w:val="nil"/>
              <w:tr2bl w:val="nil"/>
            </w:tcBorders>
            <w:noWrap/>
            <w:vAlign w:val="center"/>
          </w:tcPr>
          <w:p w14:paraId="4735AA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0.00002L</w:t>
            </w:r>
          </w:p>
        </w:tc>
      </w:tr>
      <w:tr w14:paraId="3D1D37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0" w:hRule="atLeast"/>
        </w:trPr>
        <w:tc>
          <w:tcPr>
            <w:tcW w:w="238" w:type="pct"/>
            <w:vMerge w:val="continue"/>
            <w:tcBorders>
              <w:tl2br w:val="nil"/>
              <w:tr2bl w:val="nil"/>
            </w:tcBorders>
            <w:noWrap w:val="0"/>
            <w:vAlign w:val="center"/>
          </w:tcPr>
          <w:p w14:paraId="351DC8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p>
        </w:tc>
        <w:tc>
          <w:tcPr>
            <w:tcW w:w="227" w:type="pct"/>
            <w:tcBorders>
              <w:tl2br w:val="nil"/>
              <w:tr2bl w:val="nil"/>
            </w:tcBorders>
            <w:noWrap w:val="0"/>
            <w:vAlign w:val="center"/>
          </w:tcPr>
          <w:p w14:paraId="01C4F79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2025.8.27</w:t>
            </w:r>
          </w:p>
        </w:tc>
        <w:tc>
          <w:tcPr>
            <w:tcW w:w="367" w:type="pct"/>
            <w:tcBorders>
              <w:tl2br w:val="nil"/>
              <w:tr2bl w:val="nil"/>
            </w:tcBorders>
            <w:noWrap w:val="0"/>
            <w:vAlign w:val="center"/>
          </w:tcPr>
          <w:p w14:paraId="4F5EE61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微黄透明无异味</w:t>
            </w:r>
          </w:p>
        </w:tc>
        <w:tc>
          <w:tcPr>
            <w:tcW w:w="170" w:type="pct"/>
            <w:tcBorders>
              <w:tl2br w:val="nil"/>
              <w:tr2bl w:val="nil"/>
            </w:tcBorders>
            <w:noWrap w:val="0"/>
            <w:vAlign w:val="center"/>
          </w:tcPr>
          <w:p w14:paraId="4B74675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8</w:t>
            </w:r>
          </w:p>
        </w:tc>
        <w:tc>
          <w:tcPr>
            <w:tcW w:w="238" w:type="pct"/>
            <w:tcBorders>
              <w:tl2br w:val="nil"/>
              <w:tr2bl w:val="nil"/>
            </w:tcBorders>
            <w:noWrap w:val="0"/>
            <w:vAlign w:val="center"/>
          </w:tcPr>
          <w:p w14:paraId="21F9178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7</w:t>
            </w:r>
          </w:p>
        </w:tc>
        <w:tc>
          <w:tcPr>
            <w:tcW w:w="289" w:type="pct"/>
            <w:tcBorders>
              <w:tl2br w:val="nil"/>
              <w:tr2bl w:val="nil"/>
            </w:tcBorders>
            <w:noWrap w:val="0"/>
            <w:vAlign w:val="center"/>
          </w:tcPr>
          <w:p w14:paraId="7CA4ED0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8.5</w:t>
            </w:r>
          </w:p>
        </w:tc>
        <w:tc>
          <w:tcPr>
            <w:tcW w:w="274" w:type="pct"/>
            <w:tcBorders>
              <w:tl2br w:val="nil"/>
              <w:tr2bl w:val="nil"/>
            </w:tcBorders>
            <w:noWrap w:val="0"/>
            <w:vAlign w:val="center"/>
          </w:tcPr>
          <w:p w14:paraId="332AE51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0.00004L</w:t>
            </w:r>
          </w:p>
        </w:tc>
        <w:tc>
          <w:tcPr>
            <w:tcW w:w="295" w:type="pct"/>
            <w:tcBorders>
              <w:tl2br w:val="nil"/>
              <w:tr2bl w:val="nil"/>
            </w:tcBorders>
            <w:noWrap w:val="0"/>
            <w:vAlign w:val="center"/>
          </w:tcPr>
          <w:p w14:paraId="7BCF7D0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0.005L</w:t>
            </w:r>
          </w:p>
        </w:tc>
        <w:tc>
          <w:tcPr>
            <w:tcW w:w="248" w:type="pct"/>
            <w:tcBorders>
              <w:tl2br w:val="nil"/>
              <w:tr2bl w:val="nil"/>
            </w:tcBorders>
            <w:noWrap/>
            <w:vAlign w:val="center"/>
          </w:tcPr>
          <w:p w14:paraId="2054B5B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bidi="ar-SA"/>
              </w:rPr>
              <w:t>0.03L</w:t>
            </w:r>
          </w:p>
        </w:tc>
        <w:tc>
          <w:tcPr>
            <w:tcW w:w="331" w:type="pct"/>
            <w:tcBorders>
              <w:tl2br w:val="nil"/>
              <w:tr2bl w:val="nil"/>
            </w:tcBorders>
            <w:noWrap/>
            <w:vAlign w:val="center"/>
          </w:tcPr>
          <w:p w14:paraId="402AAC0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0.004L</w:t>
            </w:r>
          </w:p>
        </w:tc>
        <w:tc>
          <w:tcPr>
            <w:tcW w:w="308" w:type="pct"/>
            <w:tcBorders>
              <w:tl2br w:val="nil"/>
              <w:tr2bl w:val="nil"/>
            </w:tcBorders>
            <w:noWrap/>
            <w:vAlign w:val="center"/>
          </w:tcPr>
          <w:p w14:paraId="32C5533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0.0018</w:t>
            </w:r>
          </w:p>
        </w:tc>
        <w:tc>
          <w:tcPr>
            <w:tcW w:w="264" w:type="pct"/>
            <w:tcBorders>
              <w:tl2br w:val="nil"/>
              <w:tr2bl w:val="nil"/>
            </w:tcBorders>
            <w:noWrap/>
            <w:vAlign w:val="center"/>
          </w:tcPr>
          <w:p w14:paraId="14260DEF">
            <w:pPr>
              <w:keepNext w:val="0"/>
              <w:keepLines w:val="0"/>
              <w:suppressLineNumbers w:val="0"/>
              <w:autoSpaceDE/>
              <w:autoSpaceDN/>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rPr>
              <w:t>0.07L</w:t>
            </w:r>
          </w:p>
        </w:tc>
        <w:tc>
          <w:tcPr>
            <w:tcW w:w="289" w:type="pct"/>
            <w:tcBorders>
              <w:tl2br w:val="nil"/>
              <w:tr2bl w:val="nil"/>
            </w:tcBorders>
            <w:noWrap/>
            <w:vAlign w:val="center"/>
          </w:tcPr>
          <w:p w14:paraId="349E6AA8">
            <w:pPr>
              <w:keepNext w:val="0"/>
              <w:keepLines w:val="0"/>
              <w:suppressLineNumbers w:val="0"/>
              <w:autoSpaceDE/>
              <w:autoSpaceDN/>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rPr>
              <w:t>0.06L</w:t>
            </w:r>
          </w:p>
        </w:tc>
        <w:tc>
          <w:tcPr>
            <w:tcW w:w="305" w:type="pct"/>
            <w:tcBorders>
              <w:tl2br w:val="nil"/>
              <w:tr2bl w:val="nil"/>
            </w:tcBorders>
            <w:noWrap/>
            <w:vAlign w:val="center"/>
          </w:tcPr>
          <w:p w14:paraId="7E5C053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379" w:type="pct"/>
            <w:tcBorders>
              <w:tl2br w:val="nil"/>
              <w:tr2bl w:val="nil"/>
            </w:tcBorders>
            <w:noWrap/>
            <w:vAlign w:val="center"/>
          </w:tcPr>
          <w:p w14:paraId="68B50E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18"/>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62" w:type="pct"/>
            <w:tcBorders>
              <w:tl2br w:val="nil"/>
              <w:tr2bl w:val="nil"/>
            </w:tcBorders>
            <w:noWrap/>
            <w:vAlign w:val="center"/>
          </w:tcPr>
          <w:p w14:paraId="2CC87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53" w:type="pct"/>
            <w:tcBorders>
              <w:tl2br w:val="nil"/>
              <w:tr2bl w:val="nil"/>
            </w:tcBorders>
            <w:noWrap/>
            <w:vAlign w:val="center"/>
          </w:tcPr>
          <w:p w14:paraId="5A520D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53" w:type="pct"/>
            <w:tcBorders>
              <w:tl2br w:val="nil"/>
              <w:tr2bl w:val="nil"/>
            </w:tcBorders>
            <w:noWrap/>
            <w:vAlign w:val="center"/>
          </w:tcPr>
          <w:p w14:paraId="2C9CBE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r>
      <w:tr w14:paraId="443AC8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238" w:type="pct"/>
            <w:vMerge w:val="continue"/>
            <w:tcBorders>
              <w:tl2br w:val="nil"/>
              <w:tr2bl w:val="nil"/>
            </w:tcBorders>
            <w:noWrap w:val="0"/>
            <w:vAlign w:val="center"/>
          </w:tcPr>
          <w:p w14:paraId="64C50FF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p>
        </w:tc>
        <w:tc>
          <w:tcPr>
            <w:tcW w:w="227" w:type="pct"/>
            <w:tcBorders>
              <w:tl2br w:val="nil"/>
              <w:tr2bl w:val="nil"/>
            </w:tcBorders>
            <w:noWrap w:val="0"/>
            <w:vAlign w:val="center"/>
          </w:tcPr>
          <w:p w14:paraId="3F0F354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2025.9.18</w:t>
            </w:r>
          </w:p>
        </w:tc>
        <w:tc>
          <w:tcPr>
            <w:tcW w:w="367" w:type="pct"/>
            <w:tcBorders>
              <w:tl2br w:val="nil"/>
              <w:tr2bl w:val="nil"/>
            </w:tcBorders>
            <w:noWrap w:val="0"/>
            <w:vAlign w:val="center"/>
          </w:tcPr>
          <w:p w14:paraId="0C182B5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微黄透明无异味</w:t>
            </w:r>
          </w:p>
        </w:tc>
        <w:tc>
          <w:tcPr>
            <w:tcW w:w="170" w:type="pct"/>
            <w:tcBorders>
              <w:tl2br w:val="nil"/>
              <w:tr2bl w:val="nil"/>
            </w:tcBorders>
            <w:noWrap w:val="0"/>
            <w:vAlign w:val="center"/>
          </w:tcPr>
          <w:p w14:paraId="59100C0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8</w:t>
            </w:r>
          </w:p>
        </w:tc>
        <w:tc>
          <w:tcPr>
            <w:tcW w:w="238" w:type="pct"/>
            <w:tcBorders>
              <w:tl2br w:val="nil"/>
              <w:tr2bl w:val="nil"/>
            </w:tcBorders>
            <w:noWrap w:val="0"/>
            <w:vAlign w:val="center"/>
          </w:tcPr>
          <w:p w14:paraId="2E17048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8</w:t>
            </w:r>
          </w:p>
        </w:tc>
        <w:tc>
          <w:tcPr>
            <w:tcW w:w="289" w:type="pct"/>
            <w:tcBorders>
              <w:tl2br w:val="nil"/>
              <w:tr2bl w:val="nil"/>
            </w:tcBorders>
            <w:noWrap w:val="0"/>
            <w:vAlign w:val="center"/>
          </w:tcPr>
          <w:p w14:paraId="4BA8807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8.5</w:t>
            </w:r>
          </w:p>
        </w:tc>
        <w:tc>
          <w:tcPr>
            <w:tcW w:w="274" w:type="pct"/>
            <w:tcBorders>
              <w:tl2br w:val="nil"/>
              <w:tr2bl w:val="nil"/>
            </w:tcBorders>
            <w:noWrap w:val="0"/>
            <w:vAlign w:val="center"/>
          </w:tcPr>
          <w:p w14:paraId="151A2FB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0.00004L</w:t>
            </w:r>
          </w:p>
        </w:tc>
        <w:tc>
          <w:tcPr>
            <w:tcW w:w="295" w:type="pct"/>
            <w:tcBorders>
              <w:tl2br w:val="nil"/>
              <w:tr2bl w:val="nil"/>
            </w:tcBorders>
            <w:noWrap w:val="0"/>
            <w:vAlign w:val="center"/>
          </w:tcPr>
          <w:p w14:paraId="08B6786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0.005L</w:t>
            </w:r>
          </w:p>
        </w:tc>
        <w:tc>
          <w:tcPr>
            <w:tcW w:w="248" w:type="pct"/>
            <w:tcBorders>
              <w:tl2br w:val="nil"/>
              <w:tr2bl w:val="nil"/>
            </w:tcBorders>
            <w:noWrap/>
            <w:vAlign w:val="center"/>
          </w:tcPr>
          <w:p w14:paraId="0ED991F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bidi="ar-SA"/>
              </w:rPr>
              <w:t>0.03L</w:t>
            </w:r>
          </w:p>
        </w:tc>
        <w:tc>
          <w:tcPr>
            <w:tcW w:w="331" w:type="pct"/>
            <w:tcBorders>
              <w:tl2br w:val="nil"/>
              <w:tr2bl w:val="nil"/>
            </w:tcBorders>
            <w:noWrap/>
            <w:vAlign w:val="center"/>
          </w:tcPr>
          <w:p w14:paraId="3488EFD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0.004L</w:t>
            </w:r>
          </w:p>
        </w:tc>
        <w:tc>
          <w:tcPr>
            <w:tcW w:w="308" w:type="pct"/>
            <w:tcBorders>
              <w:tl2br w:val="nil"/>
              <w:tr2bl w:val="nil"/>
            </w:tcBorders>
            <w:noWrap/>
            <w:vAlign w:val="center"/>
          </w:tcPr>
          <w:p w14:paraId="1B88C74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0.0003L</w:t>
            </w:r>
          </w:p>
        </w:tc>
        <w:tc>
          <w:tcPr>
            <w:tcW w:w="264" w:type="pct"/>
            <w:tcBorders>
              <w:tl2br w:val="nil"/>
              <w:tr2bl w:val="nil"/>
            </w:tcBorders>
            <w:noWrap/>
            <w:vAlign w:val="center"/>
          </w:tcPr>
          <w:p w14:paraId="4B654DCB">
            <w:pPr>
              <w:keepNext w:val="0"/>
              <w:keepLines w:val="0"/>
              <w:suppressLineNumbers w:val="0"/>
              <w:autoSpaceDE/>
              <w:autoSpaceDN/>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rPr>
              <w:t>0.07L</w:t>
            </w:r>
          </w:p>
        </w:tc>
        <w:tc>
          <w:tcPr>
            <w:tcW w:w="289" w:type="pct"/>
            <w:tcBorders>
              <w:tl2br w:val="nil"/>
              <w:tr2bl w:val="nil"/>
            </w:tcBorders>
            <w:noWrap/>
            <w:vAlign w:val="center"/>
          </w:tcPr>
          <w:p w14:paraId="2014B833">
            <w:pPr>
              <w:keepNext w:val="0"/>
              <w:keepLines w:val="0"/>
              <w:suppressLineNumbers w:val="0"/>
              <w:autoSpaceDE/>
              <w:autoSpaceDN/>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rPr>
              <w:t>0.06L</w:t>
            </w:r>
          </w:p>
        </w:tc>
        <w:tc>
          <w:tcPr>
            <w:tcW w:w="305" w:type="pct"/>
            <w:tcBorders>
              <w:tl2br w:val="nil"/>
              <w:tr2bl w:val="nil"/>
            </w:tcBorders>
            <w:noWrap/>
            <w:vAlign w:val="center"/>
          </w:tcPr>
          <w:p w14:paraId="2B9F5C7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379" w:type="pct"/>
            <w:tcBorders>
              <w:tl2br w:val="nil"/>
              <w:tr2bl w:val="nil"/>
            </w:tcBorders>
            <w:noWrap/>
            <w:vAlign w:val="center"/>
          </w:tcPr>
          <w:p w14:paraId="45503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62" w:type="pct"/>
            <w:tcBorders>
              <w:tl2br w:val="nil"/>
              <w:tr2bl w:val="nil"/>
            </w:tcBorders>
            <w:noWrap/>
            <w:vAlign w:val="center"/>
          </w:tcPr>
          <w:p w14:paraId="4FDF4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53" w:type="pct"/>
            <w:tcBorders>
              <w:tl2br w:val="nil"/>
              <w:tr2bl w:val="nil"/>
            </w:tcBorders>
            <w:noWrap/>
            <w:vAlign w:val="center"/>
          </w:tcPr>
          <w:p w14:paraId="60F90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c>
          <w:tcPr>
            <w:tcW w:w="253" w:type="pct"/>
            <w:tcBorders>
              <w:tl2br w:val="nil"/>
              <w:tr2bl w:val="nil"/>
            </w:tcBorders>
            <w:noWrap/>
            <w:vAlign w:val="center"/>
          </w:tcPr>
          <w:p w14:paraId="67431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w:t>
            </w:r>
          </w:p>
        </w:tc>
      </w:tr>
      <w:tr w14:paraId="136527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7" w:hRule="atLeast"/>
        </w:trPr>
        <w:tc>
          <w:tcPr>
            <w:tcW w:w="833" w:type="pct"/>
            <w:gridSpan w:val="3"/>
            <w:tcBorders>
              <w:tl2br w:val="nil"/>
              <w:tr2bl w:val="nil"/>
            </w:tcBorders>
            <w:noWrap w:val="0"/>
            <w:vAlign w:val="center"/>
          </w:tcPr>
          <w:p w14:paraId="19438B4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《城镇污水处理厂污染物排放标准》（GB18918-2002）表1一级标准中A标准、表2中限值</w:t>
            </w:r>
          </w:p>
        </w:tc>
        <w:tc>
          <w:tcPr>
            <w:tcW w:w="170" w:type="pct"/>
            <w:tcBorders>
              <w:tl2br w:val="nil"/>
              <w:tr2bl w:val="nil"/>
            </w:tcBorders>
            <w:noWrap w:val="0"/>
            <w:vAlign w:val="center"/>
          </w:tcPr>
          <w:p w14:paraId="328E8E2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30</w:t>
            </w:r>
          </w:p>
        </w:tc>
        <w:tc>
          <w:tcPr>
            <w:tcW w:w="238" w:type="pct"/>
            <w:tcBorders>
              <w:tl2br w:val="nil"/>
              <w:tr2bl w:val="nil"/>
            </w:tcBorders>
            <w:noWrap w:val="0"/>
            <w:vAlign w:val="center"/>
          </w:tcPr>
          <w:p w14:paraId="7184087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10</w:t>
            </w:r>
          </w:p>
        </w:tc>
        <w:tc>
          <w:tcPr>
            <w:tcW w:w="289" w:type="pct"/>
            <w:tcBorders>
              <w:tl2br w:val="nil"/>
              <w:tr2bl w:val="nil"/>
            </w:tcBorders>
            <w:noWrap w:val="0"/>
            <w:vAlign w:val="center"/>
          </w:tcPr>
          <w:p w14:paraId="2A08720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10</w:t>
            </w:r>
          </w:p>
        </w:tc>
        <w:tc>
          <w:tcPr>
            <w:tcW w:w="274" w:type="pct"/>
            <w:tcBorders>
              <w:tl2br w:val="nil"/>
              <w:tr2bl w:val="nil"/>
            </w:tcBorders>
            <w:noWrap w:val="0"/>
            <w:vAlign w:val="center"/>
          </w:tcPr>
          <w:p w14:paraId="5ACEA9D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0.001</w:t>
            </w:r>
          </w:p>
        </w:tc>
        <w:tc>
          <w:tcPr>
            <w:tcW w:w="295" w:type="pct"/>
            <w:tcBorders>
              <w:tl2br w:val="nil"/>
              <w:tr2bl w:val="nil"/>
            </w:tcBorders>
            <w:noWrap w:val="0"/>
            <w:vAlign w:val="center"/>
          </w:tcPr>
          <w:p w14:paraId="350BD48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0.01</w:t>
            </w:r>
          </w:p>
        </w:tc>
        <w:tc>
          <w:tcPr>
            <w:tcW w:w="248" w:type="pct"/>
            <w:tcBorders>
              <w:tl2br w:val="nil"/>
              <w:tr2bl w:val="nil"/>
            </w:tcBorders>
            <w:noWrap/>
            <w:vAlign w:val="center"/>
          </w:tcPr>
          <w:p w14:paraId="69F1C36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0.1</w:t>
            </w:r>
          </w:p>
        </w:tc>
        <w:tc>
          <w:tcPr>
            <w:tcW w:w="331" w:type="pct"/>
            <w:tcBorders>
              <w:tl2br w:val="nil"/>
              <w:tr2bl w:val="nil"/>
            </w:tcBorders>
            <w:noWrap/>
            <w:vAlign w:val="center"/>
          </w:tcPr>
          <w:p w14:paraId="00C5319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0.05</w:t>
            </w:r>
          </w:p>
        </w:tc>
        <w:tc>
          <w:tcPr>
            <w:tcW w:w="308" w:type="pct"/>
            <w:tcBorders>
              <w:tl2br w:val="nil"/>
              <w:tr2bl w:val="nil"/>
            </w:tcBorders>
            <w:noWrap/>
            <w:vAlign w:val="center"/>
          </w:tcPr>
          <w:p w14:paraId="57A7953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0.1</w:t>
            </w:r>
          </w:p>
        </w:tc>
        <w:tc>
          <w:tcPr>
            <w:tcW w:w="264" w:type="pct"/>
            <w:tcBorders>
              <w:tl2br w:val="nil"/>
              <w:tr2bl w:val="nil"/>
            </w:tcBorders>
            <w:noWrap/>
            <w:vAlign w:val="center"/>
          </w:tcPr>
          <w:p w14:paraId="6FC96DE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0.1</w:t>
            </w:r>
          </w:p>
        </w:tc>
        <w:tc>
          <w:tcPr>
            <w:tcW w:w="289" w:type="pct"/>
            <w:tcBorders>
              <w:tl2br w:val="nil"/>
              <w:tr2bl w:val="nil"/>
            </w:tcBorders>
            <w:noWrap/>
            <w:vAlign w:val="center"/>
          </w:tcPr>
          <w:p w14:paraId="51C89B4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1</w:t>
            </w:r>
          </w:p>
        </w:tc>
        <w:tc>
          <w:tcPr>
            <w:tcW w:w="305" w:type="pct"/>
            <w:tcBorders>
              <w:tl2br w:val="nil"/>
              <w:tr2bl w:val="nil"/>
            </w:tcBorders>
            <w:noWrap/>
            <w:vAlign w:val="center"/>
          </w:tcPr>
          <w:p w14:paraId="1E6E789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10000</w:t>
            </w:r>
          </w:p>
        </w:tc>
        <w:tc>
          <w:tcPr>
            <w:tcW w:w="379" w:type="pct"/>
            <w:tcBorders>
              <w:tl2br w:val="nil"/>
              <w:tr2bl w:val="nil"/>
            </w:tcBorders>
            <w:noWrap/>
            <w:vAlign w:val="center"/>
          </w:tcPr>
          <w:p w14:paraId="3BA1616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0.5</w:t>
            </w:r>
          </w:p>
        </w:tc>
        <w:tc>
          <w:tcPr>
            <w:tcW w:w="262" w:type="pct"/>
            <w:tcBorders>
              <w:tl2br w:val="nil"/>
              <w:tr2bl w:val="nil"/>
            </w:tcBorders>
            <w:noWrap/>
            <w:vAlign w:val="center"/>
          </w:tcPr>
          <w:p w14:paraId="35A4ED65">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1</w:t>
            </w:r>
          </w:p>
        </w:tc>
        <w:tc>
          <w:tcPr>
            <w:tcW w:w="507" w:type="pct"/>
            <w:gridSpan w:val="2"/>
            <w:tcBorders>
              <w:tl2br w:val="nil"/>
              <w:tr2bl w:val="nil"/>
            </w:tcBorders>
            <w:noWrap/>
            <w:vAlign w:val="center"/>
          </w:tcPr>
          <w:p w14:paraId="6DD9497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不得检出</w:t>
            </w:r>
          </w:p>
        </w:tc>
      </w:tr>
    </w:tbl>
    <w:p w14:paraId="2AD4FD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kern w:val="2"/>
          <w:sz w:val="24"/>
          <w:lang w:val="en-US" w:eastAsia="zh-CN"/>
        </w:rPr>
        <w:t>根据上表监测结果，可见</w:t>
      </w:r>
      <w:r>
        <w:rPr>
          <w:rFonts w:hint="default" w:ascii="Times New Roman" w:hAnsi="Times New Roman" w:eastAsia="宋体" w:cs="Times New Roman"/>
          <w:kern w:val="2"/>
          <w:sz w:val="24"/>
          <w:lang w:eastAsia="zh-CN"/>
        </w:rPr>
        <w:t>大通湖工业园污水处理厂</w:t>
      </w:r>
      <w:r>
        <w:rPr>
          <w:rFonts w:hint="default" w:ascii="Times New Roman" w:hAnsi="Times New Roman" w:eastAsia="宋体" w:cs="Times New Roman"/>
          <w:kern w:val="2"/>
          <w:sz w:val="24"/>
          <w:lang w:val="en-US" w:eastAsia="zh-CN"/>
        </w:rPr>
        <w:t>现状废水经处理后可满足《城镇污水处理厂污染物排放标准》（GB18918-2002）一级 A 标准要求。</w:t>
      </w:r>
    </w:p>
    <w:p w14:paraId="3C677A59">
      <w:pPr>
        <w:keepNext/>
        <w:keepLines/>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0"/>
        <w:rPr>
          <w:rFonts w:hint="default" w:ascii="Times New Roman" w:hAnsi="Times New Roman" w:eastAsia="宋体" w:cs="Times New Roman"/>
          <w:b/>
          <w:bCs/>
          <w:kern w:val="44"/>
          <w:sz w:val="36"/>
          <w:szCs w:val="36"/>
          <w:lang w:val="en-US" w:eastAsia="zh-CN" w:bidi="ar-SA"/>
        </w:rPr>
      </w:pPr>
      <w:bookmarkStart w:id="269" w:name="_Toc1232"/>
      <w:r>
        <w:rPr>
          <w:rFonts w:hint="default" w:ascii="Times New Roman" w:hAnsi="Times New Roman" w:eastAsia="宋体" w:cs="Times New Roman"/>
          <w:b/>
          <w:bCs/>
          <w:kern w:val="44"/>
          <w:sz w:val="36"/>
          <w:szCs w:val="36"/>
          <w:lang w:val="en-US" w:eastAsia="zh-CN" w:bidi="ar-SA"/>
        </w:rPr>
        <w:t>4水生态环境现状调查分析</w:t>
      </w:r>
      <w:bookmarkEnd w:id="269"/>
    </w:p>
    <w:p w14:paraId="578716A6">
      <w:pPr>
        <w:keepNext/>
        <w:keepLines/>
        <w:pageBreakBefore w:val="0"/>
        <w:widowControl w:val="0"/>
        <w:numPr>
          <w:ilvl w:val="0"/>
          <w:numId w:val="0"/>
        </w:numPr>
        <w:tabs>
          <w:tab w:val="left" w:pos="425"/>
        </w:tabs>
        <w:kinsoku/>
        <w:wordWrap/>
        <w:overflowPunct/>
        <w:topLinePunct w:val="0"/>
        <w:autoSpaceDE/>
        <w:autoSpaceDN/>
        <w:bidi w:val="0"/>
        <w:adjustRightInd/>
        <w:snapToGrid/>
        <w:spacing w:line="360" w:lineRule="auto"/>
        <w:ind w:left="0" w:leftChars="0" w:firstLine="0"/>
        <w:jc w:val="both"/>
        <w:textAlignment w:val="auto"/>
        <w:outlineLvl w:val="1"/>
        <w:rPr>
          <w:rFonts w:hint="default" w:ascii="Times New Roman" w:hAnsi="Times New Roman" w:eastAsia="宋体" w:cs="Times New Roman"/>
          <w:b/>
          <w:bCs/>
          <w:kern w:val="2"/>
          <w:sz w:val="28"/>
          <w:szCs w:val="28"/>
          <w:lang w:val="en-US" w:eastAsia="zh-CN" w:bidi="ar-SA"/>
        </w:rPr>
      </w:pPr>
      <w:bookmarkStart w:id="270" w:name="_Toc7396"/>
      <w:r>
        <w:rPr>
          <w:rFonts w:hint="default" w:ascii="Times New Roman" w:hAnsi="Times New Roman" w:eastAsia="宋体" w:cs="Times New Roman"/>
          <w:b/>
          <w:bCs/>
          <w:kern w:val="2"/>
          <w:sz w:val="28"/>
          <w:szCs w:val="28"/>
          <w:lang w:val="en-US" w:eastAsia="zh-CN" w:bidi="ar-SA"/>
        </w:rPr>
        <w:t>4.</w:t>
      </w:r>
      <w:r>
        <w:rPr>
          <w:rFonts w:hint="eastAsia" w:cs="Times New Roman"/>
          <w:b/>
          <w:bCs/>
          <w:kern w:val="2"/>
          <w:sz w:val="28"/>
          <w:szCs w:val="28"/>
          <w:lang w:val="en-US" w:eastAsia="zh-CN" w:bidi="ar-SA"/>
        </w:rPr>
        <w:t>1</w:t>
      </w:r>
      <w:r>
        <w:rPr>
          <w:rFonts w:hint="default" w:ascii="Times New Roman" w:hAnsi="Times New Roman" w:eastAsia="宋体" w:cs="Times New Roman"/>
          <w:b/>
          <w:bCs/>
          <w:kern w:val="2"/>
          <w:sz w:val="28"/>
          <w:szCs w:val="28"/>
          <w:lang w:val="en-US" w:eastAsia="zh-CN" w:bidi="ar-SA"/>
        </w:rPr>
        <w:t>水环境现状调查分析</w:t>
      </w:r>
      <w:bookmarkEnd w:id="270"/>
    </w:p>
    <w:p w14:paraId="4175C1BB">
      <w:pPr>
        <w:pageBreakBefore w:val="0"/>
        <w:numPr>
          <w:ilvl w:val="1"/>
          <w:numId w:val="0"/>
        </w:numPr>
        <w:tabs>
          <w:tab w:val="left" w:pos="567"/>
        </w:tabs>
        <w:kinsoku/>
        <w:wordWrap/>
        <w:overflowPunct/>
        <w:topLinePunct w:val="0"/>
        <w:autoSpaceDE/>
        <w:autoSpaceDN/>
        <w:bidi w:val="0"/>
        <w:adjustRightInd/>
        <w:snapToGrid/>
        <w:spacing w:line="360" w:lineRule="auto"/>
        <w:ind w:leftChars="0" w:firstLine="0" w:firstLineChars="0"/>
        <w:textAlignment w:val="auto"/>
        <w:outlineLvl w:val="9"/>
        <w:rPr>
          <w:rFonts w:hint="default" w:ascii="Times New Roman" w:hAnsi="Times New Roman" w:eastAsia="宋体" w:cs="Times New Roman"/>
          <w:b/>
          <w:bCs/>
          <w:color w:val="000000"/>
          <w:kern w:val="0"/>
          <w:sz w:val="24"/>
          <w:szCs w:val="24"/>
          <w:lang w:val="en-US" w:eastAsia="zh-CN" w:bidi="ar"/>
        </w:rPr>
      </w:pPr>
      <w:bookmarkStart w:id="271" w:name="_Toc15858"/>
      <w:bookmarkStart w:id="272" w:name="_Toc6569"/>
      <w:r>
        <w:rPr>
          <w:rFonts w:hint="default" w:ascii="Times New Roman" w:hAnsi="Times New Roman" w:eastAsia="宋体" w:cs="Times New Roman"/>
          <w:b/>
          <w:bCs/>
          <w:color w:val="000000"/>
          <w:kern w:val="0"/>
          <w:sz w:val="24"/>
          <w:szCs w:val="24"/>
          <w:lang w:val="en-US" w:eastAsia="zh-CN" w:bidi="ar"/>
        </w:rPr>
        <w:t>4.</w:t>
      </w:r>
      <w:r>
        <w:rPr>
          <w:rFonts w:hint="eastAsia" w:cs="Times New Roman"/>
          <w:b/>
          <w:bCs/>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CN" w:bidi="ar"/>
        </w:rPr>
        <w:t>.</w:t>
      </w:r>
      <w:r>
        <w:rPr>
          <w:rFonts w:hint="eastAsia" w:cs="Times New Roman"/>
          <w:b/>
          <w:bCs/>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CN" w:bidi="ar"/>
        </w:rPr>
        <w:t>水功能区管理要求</w:t>
      </w:r>
      <w:bookmarkEnd w:id="271"/>
    </w:p>
    <w:p w14:paraId="219A964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kern w:val="2"/>
          <w:sz w:val="24"/>
          <w:szCs w:val="24"/>
          <w:lang w:val="en-US" w:eastAsia="zh-CN"/>
        </w:rPr>
      </w:pPr>
      <w:r>
        <w:rPr>
          <w:rFonts w:hint="default" w:ascii="Times New Roman" w:hAnsi="Times New Roman" w:eastAsia="宋体" w:cs="Times New Roman"/>
          <w:b w:val="0"/>
          <w:bCs/>
          <w:kern w:val="2"/>
          <w:sz w:val="24"/>
          <w:szCs w:val="24"/>
          <w:lang w:val="en-US" w:eastAsia="zh-CN"/>
        </w:rPr>
        <w:t>本项目入河排污口位于益阳市大通湖区机排二十渠右岸，根据《益阳市水功能区划》</w:t>
      </w:r>
      <w:r>
        <w:rPr>
          <w:rFonts w:hint="eastAsia" w:cs="Times New Roman"/>
          <w:b w:val="0"/>
          <w:bCs/>
          <w:kern w:val="2"/>
          <w:sz w:val="24"/>
          <w:szCs w:val="24"/>
          <w:lang w:val="en-US" w:eastAsia="zh-CN"/>
        </w:rPr>
        <w:t>、益阳市大通湖区农业农村和水利局关于机排二十渠功能的情况说明，机排二十渠现有两个排污口，属于排污明渠，</w:t>
      </w:r>
      <w:r>
        <w:rPr>
          <w:rFonts w:hint="default" w:ascii="Times New Roman" w:hAnsi="Times New Roman" w:eastAsia="宋体" w:cs="Times New Roman"/>
          <w:b w:val="0"/>
          <w:bCs/>
          <w:kern w:val="2"/>
          <w:sz w:val="24"/>
          <w:szCs w:val="24"/>
          <w:lang w:val="en-US" w:eastAsia="zh-CN"/>
        </w:rPr>
        <w:t>本次论证机排二十渠水质目标</w:t>
      </w:r>
      <w:r>
        <w:rPr>
          <w:rFonts w:hint="eastAsia" w:cs="Times New Roman"/>
          <w:b w:val="0"/>
          <w:bCs/>
          <w:kern w:val="2"/>
          <w:sz w:val="24"/>
          <w:szCs w:val="24"/>
          <w:lang w:val="en-US" w:eastAsia="zh-CN"/>
        </w:rPr>
        <w:t>参照</w:t>
      </w:r>
      <w:r>
        <w:rPr>
          <w:rFonts w:hint="default" w:ascii="Times New Roman" w:hAnsi="Times New Roman" w:eastAsia="宋体" w:cs="Times New Roman"/>
          <w:b w:val="0"/>
          <w:bCs/>
          <w:kern w:val="2"/>
          <w:sz w:val="24"/>
          <w:szCs w:val="24"/>
          <w:lang w:val="en-US" w:eastAsia="zh-CN"/>
        </w:rPr>
        <w:t>《地表水环境质量标准》（GB3838-2002）</w:t>
      </w:r>
      <w:r>
        <w:rPr>
          <w:rFonts w:hint="eastAsia" w:cs="Times New Roman"/>
          <w:b w:val="0"/>
          <w:bCs/>
          <w:kern w:val="2"/>
          <w:sz w:val="24"/>
          <w:szCs w:val="24"/>
          <w:lang w:val="en-US" w:eastAsia="zh-CN"/>
        </w:rPr>
        <w:t>水域功能划分的一般工业用水区，按IV</w:t>
      </w:r>
      <w:r>
        <w:rPr>
          <w:rFonts w:hint="default" w:ascii="Times New Roman" w:hAnsi="Times New Roman" w:eastAsia="宋体" w:cs="Times New Roman"/>
          <w:b w:val="0"/>
          <w:bCs/>
          <w:kern w:val="2"/>
          <w:sz w:val="24"/>
          <w:szCs w:val="24"/>
          <w:lang w:val="en-US" w:eastAsia="zh-CN"/>
        </w:rPr>
        <w:t>类</w:t>
      </w:r>
      <w:r>
        <w:rPr>
          <w:rFonts w:hint="eastAsia" w:cs="Times New Roman"/>
          <w:b w:val="0"/>
          <w:bCs/>
          <w:kern w:val="2"/>
          <w:sz w:val="24"/>
          <w:szCs w:val="24"/>
          <w:lang w:val="en-US" w:eastAsia="zh-CN"/>
        </w:rPr>
        <w:t>标准</w:t>
      </w:r>
      <w:r>
        <w:rPr>
          <w:rFonts w:hint="default" w:ascii="Times New Roman" w:hAnsi="Times New Roman" w:eastAsia="宋体" w:cs="Times New Roman"/>
          <w:color w:val="000000"/>
          <w:kern w:val="0"/>
          <w:sz w:val="24"/>
          <w:szCs w:val="24"/>
          <w:lang w:val="en-US" w:eastAsia="zh-CN" w:bidi="ar"/>
        </w:rPr>
        <w:t>进行评价</w:t>
      </w:r>
      <w:r>
        <w:rPr>
          <w:rFonts w:hint="eastAsia" w:cs="Times New Roman"/>
          <w:color w:val="000000"/>
          <w:kern w:val="0"/>
          <w:sz w:val="24"/>
          <w:szCs w:val="24"/>
          <w:lang w:val="en-US" w:eastAsia="zh-CN" w:bidi="ar"/>
        </w:rPr>
        <w:t>；根据大通湖区洞庭食品工业园废水处理厂现有排污许可证，受纳水体</w:t>
      </w:r>
      <w:r>
        <w:rPr>
          <w:rFonts w:hint="default" w:ascii="Times New Roman" w:hAnsi="Times New Roman" w:eastAsia="宋体" w:cs="Times New Roman"/>
          <w:color w:val="000000"/>
          <w:kern w:val="0"/>
          <w:sz w:val="24"/>
          <w:szCs w:val="24"/>
          <w:lang w:val="en-US" w:eastAsia="zh-CN" w:bidi="ar"/>
        </w:rPr>
        <w:t>老三运河</w:t>
      </w:r>
      <w:r>
        <w:rPr>
          <w:rFonts w:hint="default" w:ascii="Times New Roman" w:hAnsi="Times New Roman" w:eastAsia="宋体" w:cs="Times New Roman"/>
          <w:b w:val="0"/>
          <w:bCs/>
          <w:kern w:val="2"/>
          <w:sz w:val="24"/>
          <w:szCs w:val="24"/>
          <w:lang w:val="en-US" w:eastAsia="zh-CN"/>
        </w:rPr>
        <w:t>水</w:t>
      </w:r>
      <w:r>
        <w:rPr>
          <w:rFonts w:hint="eastAsia" w:cs="Times New Roman"/>
          <w:b w:val="0"/>
          <w:bCs/>
          <w:kern w:val="2"/>
          <w:sz w:val="24"/>
          <w:szCs w:val="24"/>
          <w:lang w:val="en-US" w:eastAsia="zh-CN"/>
        </w:rPr>
        <w:t>功能目标为</w:t>
      </w:r>
      <w:r>
        <w:rPr>
          <w:rFonts w:hint="default" w:ascii="Times New Roman" w:hAnsi="Times New Roman" w:eastAsia="宋体" w:cs="Times New Roman"/>
          <w:b w:val="0"/>
          <w:bCs/>
          <w:kern w:val="2"/>
          <w:sz w:val="24"/>
          <w:szCs w:val="24"/>
          <w:lang w:val="en-US" w:eastAsia="zh-CN"/>
        </w:rPr>
        <w:t>Ⅲ类</w:t>
      </w:r>
      <w:r>
        <w:rPr>
          <w:rFonts w:hint="eastAsia" w:cs="Times New Roman"/>
          <w:b w:val="0"/>
          <w:bCs/>
          <w:kern w:val="2"/>
          <w:sz w:val="24"/>
          <w:szCs w:val="24"/>
          <w:lang w:val="en-US" w:eastAsia="zh-CN"/>
        </w:rPr>
        <w:t>，</w:t>
      </w:r>
      <w:r>
        <w:rPr>
          <w:rFonts w:hint="default" w:ascii="Times New Roman" w:hAnsi="Times New Roman" w:eastAsia="宋体" w:cs="Times New Roman"/>
          <w:b w:val="0"/>
          <w:bCs/>
          <w:kern w:val="2"/>
          <w:sz w:val="24"/>
          <w:szCs w:val="24"/>
          <w:lang w:val="en-US" w:eastAsia="zh-CN"/>
        </w:rPr>
        <w:t>本次论证</w:t>
      </w:r>
      <w:r>
        <w:rPr>
          <w:rFonts w:hint="eastAsia" w:cs="Times New Roman"/>
          <w:b w:val="0"/>
          <w:bCs/>
          <w:kern w:val="2"/>
          <w:sz w:val="24"/>
          <w:szCs w:val="24"/>
          <w:lang w:val="en-US" w:eastAsia="zh-CN"/>
        </w:rPr>
        <w:t>老三运河</w:t>
      </w:r>
      <w:r>
        <w:rPr>
          <w:rFonts w:hint="default" w:ascii="Times New Roman" w:hAnsi="Times New Roman" w:eastAsia="宋体" w:cs="Times New Roman"/>
          <w:b w:val="0"/>
          <w:bCs/>
          <w:kern w:val="2"/>
          <w:sz w:val="24"/>
          <w:szCs w:val="24"/>
          <w:lang w:val="en-US" w:eastAsia="zh-CN"/>
        </w:rPr>
        <w:t>水质目标</w:t>
      </w:r>
      <w:r>
        <w:rPr>
          <w:rFonts w:hint="eastAsia" w:cs="Times New Roman"/>
          <w:b w:val="0"/>
          <w:bCs/>
          <w:kern w:val="2"/>
          <w:sz w:val="24"/>
          <w:szCs w:val="24"/>
          <w:lang w:val="en-US" w:eastAsia="zh-CN"/>
        </w:rPr>
        <w:t>参照</w:t>
      </w:r>
      <w:r>
        <w:rPr>
          <w:rFonts w:hint="default" w:ascii="Times New Roman" w:hAnsi="Times New Roman" w:eastAsia="宋体" w:cs="Times New Roman"/>
          <w:b w:val="0"/>
          <w:bCs/>
          <w:kern w:val="2"/>
          <w:sz w:val="24"/>
          <w:szCs w:val="24"/>
          <w:lang w:val="en-US" w:eastAsia="zh-CN"/>
        </w:rPr>
        <w:t>《地表水环境质量标准》（GB3838-2002</w:t>
      </w:r>
      <w:r>
        <w:rPr>
          <w:rFonts w:hint="eastAsia" w:cs="Times New Roman"/>
          <w:b w:val="0"/>
          <w:bCs/>
          <w:kern w:val="2"/>
          <w:sz w:val="24"/>
          <w:szCs w:val="24"/>
          <w:lang w:val="en-US" w:eastAsia="zh-CN"/>
        </w:rPr>
        <w:t>）</w:t>
      </w:r>
      <w:r>
        <w:rPr>
          <w:rFonts w:hint="default" w:ascii="Times New Roman" w:hAnsi="Times New Roman" w:eastAsia="宋体" w:cs="Times New Roman"/>
          <w:b w:val="0"/>
          <w:bCs/>
          <w:kern w:val="2"/>
          <w:sz w:val="24"/>
          <w:szCs w:val="24"/>
          <w:lang w:val="en-US" w:eastAsia="zh-CN"/>
        </w:rPr>
        <w:t>Ⅲ类</w:t>
      </w:r>
      <w:r>
        <w:rPr>
          <w:rFonts w:hint="eastAsia" w:cs="Times New Roman"/>
          <w:b w:val="0"/>
          <w:bCs/>
          <w:kern w:val="2"/>
          <w:sz w:val="24"/>
          <w:szCs w:val="24"/>
          <w:lang w:val="en-US" w:eastAsia="zh-CN"/>
        </w:rPr>
        <w:t>标准</w:t>
      </w:r>
      <w:r>
        <w:rPr>
          <w:rFonts w:hint="default" w:ascii="Times New Roman" w:hAnsi="Times New Roman" w:eastAsia="宋体" w:cs="Times New Roman"/>
          <w:color w:val="000000"/>
          <w:kern w:val="0"/>
          <w:sz w:val="24"/>
          <w:szCs w:val="24"/>
          <w:lang w:val="en-US" w:eastAsia="zh-CN" w:bidi="ar"/>
        </w:rPr>
        <w:t>进行评价</w:t>
      </w:r>
      <w:r>
        <w:rPr>
          <w:rFonts w:hint="default" w:ascii="Times New Roman" w:hAnsi="Times New Roman" w:eastAsia="宋体" w:cs="Times New Roman"/>
          <w:b w:val="0"/>
          <w:bCs/>
          <w:kern w:val="2"/>
          <w:sz w:val="24"/>
          <w:szCs w:val="24"/>
          <w:lang w:val="en-US" w:eastAsia="zh-CN"/>
        </w:rPr>
        <w:t>。</w:t>
      </w:r>
    </w:p>
    <w:p w14:paraId="4695FCAA">
      <w:pPr>
        <w:keepNext w:val="0"/>
        <w:keepLines w:val="0"/>
        <w:pageBreakBefore w:val="0"/>
        <w:numPr>
          <w:ilvl w:val="1"/>
          <w:numId w:val="0"/>
        </w:numPr>
        <w:tabs>
          <w:tab w:val="left" w:pos="567"/>
        </w:tabs>
        <w:kinsoku/>
        <w:wordWrap/>
        <w:overflowPunct/>
        <w:topLinePunct w:val="0"/>
        <w:autoSpaceDE/>
        <w:autoSpaceDN/>
        <w:bidi w:val="0"/>
        <w:adjustRightInd/>
        <w:snapToGrid/>
        <w:spacing w:line="360" w:lineRule="auto"/>
        <w:ind w:leftChars="0" w:firstLine="0" w:firstLineChars="0"/>
        <w:textAlignment w:val="auto"/>
        <w:outlineLvl w:val="9"/>
        <w:rPr>
          <w:rFonts w:hint="default" w:ascii="Times New Roman" w:hAnsi="Times New Roman" w:eastAsia="宋体" w:cs="Times New Roman"/>
          <w:b/>
          <w:bCs/>
          <w:color w:val="FF0000"/>
          <w:kern w:val="0"/>
          <w:sz w:val="24"/>
          <w:szCs w:val="24"/>
          <w:u w:val="wave"/>
          <w:lang w:val="en-US" w:eastAsia="zh-CN" w:bidi="ar"/>
        </w:rPr>
      </w:pPr>
      <w:r>
        <w:rPr>
          <w:rFonts w:hint="default" w:ascii="Times New Roman" w:hAnsi="Times New Roman" w:eastAsia="宋体" w:cs="Times New Roman"/>
          <w:b/>
          <w:bCs/>
          <w:color w:val="FF0000"/>
          <w:kern w:val="0"/>
          <w:sz w:val="24"/>
          <w:szCs w:val="24"/>
          <w:u w:val="wave"/>
          <w:lang w:val="en-US" w:eastAsia="zh-CN" w:bidi="ar"/>
        </w:rPr>
        <w:t>4.</w:t>
      </w:r>
      <w:r>
        <w:rPr>
          <w:rFonts w:hint="eastAsia" w:cs="Times New Roman"/>
          <w:b/>
          <w:bCs/>
          <w:color w:val="FF0000"/>
          <w:kern w:val="0"/>
          <w:sz w:val="24"/>
          <w:szCs w:val="24"/>
          <w:u w:val="wave"/>
          <w:lang w:val="en-US" w:eastAsia="zh-CN" w:bidi="ar"/>
        </w:rPr>
        <w:t>1</w:t>
      </w:r>
      <w:r>
        <w:rPr>
          <w:rFonts w:hint="default" w:ascii="Times New Roman" w:hAnsi="Times New Roman" w:eastAsia="宋体" w:cs="Times New Roman"/>
          <w:b/>
          <w:bCs/>
          <w:color w:val="FF0000"/>
          <w:kern w:val="0"/>
          <w:sz w:val="24"/>
          <w:szCs w:val="24"/>
          <w:u w:val="wave"/>
          <w:lang w:val="en-US" w:eastAsia="zh-CN" w:bidi="ar"/>
        </w:rPr>
        <w:t>.</w:t>
      </w:r>
      <w:r>
        <w:rPr>
          <w:rFonts w:hint="eastAsia" w:cs="Times New Roman"/>
          <w:b/>
          <w:bCs/>
          <w:color w:val="FF0000"/>
          <w:kern w:val="0"/>
          <w:sz w:val="24"/>
          <w:szCs w:val="24"/>
          <w:u w:val="wave"/>
          <w:lang w:val="en-US" w:eastAsia="zh-CN" w:bidi="ar"/>
        </w:rPr>
        <w:t>2</w:t>
      </w:r>
      <w:r>
        <w:rPr>
          <w:rFonts w:hint="default" w:ascii="Times New Roman" w:hAnsi="Times New Roman" w:eastAsia="宋体" w:cs="Times New Roman"/>
          <w:b/>
          <w:bCs/>
          <w:color w:val="FF0000"/>
          <w:kern w:val="0"/>
          <w:sz w:val="24"/>
          <w:szCs w:val="24"/>
          <w:u w:val="wave"/>
          <w:lang w:val="en-US" w:eastAsia="zh-CN" w:bidi="ar"/>
        </w:rPr>
        <w:t>水功能区区划及水质管理目标</w:t>
      </w:r>
      <w:bookmarkEnd w:id="272"/>
      <w:r>
        <w:rPr>
          <w:rFonts w:hint="default" w:ascii="Times New Roman" w:hAnsi="Times New Roman" w:eastAsia="宋体" w:cs="Times New Roman"/>
          <w:b/>
          <w:bCs/>
          <w:color w:val="FF0000"/>
          <w:kern w:val="0"/>
          <w:sz w:val="24"/>
          <w:szCs w:val="24"/>
          <w:u w:val="wave"/>
          <w:lang w:val="en-US" w:eastAsia="zh-CN" w:bidi="ar"/>
        </w:rPr>
        <w:t xml:space="preserve"> </w:t>
      </w:r>
    </w:p>
    <w:p w14:paraId="4B4EDF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kern w:val="0"/>
          <w:sz w:val="24"/>
          <w:szCs w:val="24"/>
          <w:u w:val="wave"/>
          <w:lang w:val="en-US" w:eastAsia="zh-CN" w:bidi="ar"/>
        </w:rPr>
      </w:pPr>
      <w:r>
        <w:rPr>
          <w:rFonts w:hint="default" w:ascii="Times New Roman" w:hAnsi="Times New Roman" w:eastAsia="宋体" w:cs="Times New Roman"/>
          <w:color w:val="FF0000"/>
          <w:kern w:val="0"/>
          <w:sz w:val="24"/>
          <w:szCs w:val="24"/>
          <w:u w:val="wave"/>
          <w:lang w:val="en-US" w:eastAsia="zh-CN" w:bidi="ar"/>
        </w:rPr>
        <w:t>水功能区，是指为满足水资源合理开发和有效保护的需求，根据水资源的自然条件、功能要求、开发利用现状，按照流域综合规划、水资源保护规划和经济社会发展要求，在相应水域按其主导功能划定并执行相应质量标准的特定区域。水功能区水质管理目标的确定以满足水域水环境功能，不降低该水域水质使用功能为原则。</w:t>
      </w:r>
    </w:p>
    <w:p w14:paraId="7F7973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kern w:val="0"/>
          <w:sz w:val="24"/>
          <w:szCs w:val="24"/>
          <w:u w:val="wave"/>
          <w:lang w:val="en-US" w:eastAsia="zh-CN" w:bidi="ar"/>
        </w:rPr>
      </w:pPr>
      <w:r>
        <w:rPr>
          <w:rFonts w:hint="default" w:ascii="Times New Roman" w:hAnsi="Times New Roman" w:eastAsia="宋体" w:cs="Times New Roman"/>
          <w:color w:val="FF0000"/>
          <w:kern w:val="0"/>
          <w:sz w:val="24"/>
          <w:szCs w:val="24"/>
          <w:u w:val="wave"/>
          <w:lang w:val="en-US" w:eastAsia="zh-CN" w:bidi="ar"/>
        </w:rPr>
        <w:t>根据《益阳市水功能区划》</w:t>
      </w:r>
      <w:r>
        <w:rPr>
          <w:rFonts w:hint="eastAsia" w:cs="Times New Roman"/>
          <w:color w:val="FF0000"/>
          <w:kern w:val="0"/>
          <w:sz w:val="24"/>
          <w:szCs w:val="24"/>
          <w:u w:val="wave"/>
          <w:lang w:val="en-US" w:eastAsia="zh-CN" w:bidi="ar"/>
        </w:rPr>
        <w:t>、</w:t>
      </w:r>
      <w:r>
        <w:rPr>
          <w:rFonts w:hint="default" w:ascii="Times New Roman" w:hAnsi="Times New Roman" w:eastAsia="宋体" w:cs="Times New Roman"/>
          <w:color w:val="FF0000"/>
          <w:kern w:val="0"/>
          <w:sz w:val="24"/>
          <w:szCs w:val="24"/>
          <w:u w:val="wave"/>
          <w:lang w:val="en-US" w:eastAsia="zh-CN" w:bidi="ar"/>
        </w:rPr>
        <w:t>益阳市大通湖区农业农村和水利局关于机排二十渠功能的情况说明，机排二十渠</w:t>
      </w:r>
      <w:r>
        <w:rPr>
          <w:rFonts w:hint="eastAsia" w:ascii="Times New Roman" w:hAnsi="Times New Roman" w:eastAsia="宋体" w:cs="Times New Roman"/>
          <w:color w:val="FF0000"/>
          <w:kern w:val="0"/>
          <w:sz w:val="24"/>
          <w:szCs w:val="24"/>
          <w:u w:val="wave"/>
          <w:lang w:val="en-US" w:eastAsia="zh-CN" w:bidi="ar"/>
        </w:rPr>
        <w:t>机排二十渠现有两个排污口，属于排污明渠，</w:t>
      </w:r>
      <w:r>
        <w:rPr>
          <w:rFonts w:hint="default" w:ascii="Times New Roman" w:hAnsi="Times New Roman" w:eastAsia="宋体" w:cs="Times New Roman"/>
          <w:color w:val="FF0000"/>
          <w:kern w:val="0"/>
          <w:sz w:val="24"/>
          <w:szCs w:val="24"/>
          <w:u w:val="wave"/>
          <w:lang w:val="en-US" w:eastAsia="zh-CN" w:bidi="ar"/>
        </w:rPr>
        <w:t>水质执行《地表水环境质量标准》（GB 3838-2002）中</w:t>
      </w:r>
      <w:r>
        <w:rPr>
          <w:rFonts w:hint="eastAsia" w:cs="Times New Roman"/>
          <w:color w:val="FF0000"/>
          <w:kern w:val="0"/>
          <w:sz w:val="24"/>
          <w:szCs w:val="24"/>
          <w:u w:val="wave"/>
          <w:lang w:val="en-US" w:eastAsia="zh-CN" w:bidi="ar"/>
        </w:rPr>
        <w:t>IV</w:t>
      </w:r>
      <w:r>
        <w:rPr>
          <w:rFonts w:hint="default" w:ascii="Times New Roman" w:hAnsi="Times New Roman" w:eastAsia="宋体" w:cs="Times New Roman"/>
          <w:color w:val="FF0000"/>
          <w:kern w:val="0"/>
          <w:sz w:val="24"/>
          <w:szCs w:val="24"/>
          <w:u w:val="wave"/>
          <w:lang w:val="en-US" w:eastAsia="zh-CN" w:bidi="ar"/>
        </w:rPr>
        <w:t>类标准</w:t>
      </w:r>
      <w:r>
        <w:rPr>
          <w:rFonts w:hint="eastAsia" w:cs="Times New Roman"/>
          <w:color w:val="FF0000"/>
          <w:kern w:val="0"/>
          <w:sz w:val="24"/>
          <w:szCs w:val="24"/>
          <w:u w:val="wave"/>
          <w:lang w:val="en-US" w:eastAsia="zh-CN" w:bidi="ar"/>
        </w:rPr>
        <w:t>限值；</w:t>
      </w:r>
      <w:r>
        <w:rPr>
          <w:rFonts w:hint="default" w:ascii="Times New Roman" w:hAnsi="Times New Roman" w:eastAsia="宋体" w:cs="Times New Roman"/>
          <w:color w:val="FF0000"/>
          <w:kern w:val="0"/>
          <w:sz w:val="24"/>
          <w:szCs w:val="24"/>
          <w:u w:val="wave"/>
          <w:lang w:val="en-US" w:eastAsia="zh-CN" w:bidi="ar"/>
        </w:rPr>
        <w:t>根据大通湖区洞庭食品工业园废水处理厂现有排污许可证，受纳水体老三运河水功能目标为Ⅲ类，水质执行《地表水环境质量标准》（GB 3838-2002）中III类标准</w:t>
      </w:r>
      <w:r>
        <w:rPr>
          <w:rFonts w:hint="eastAsia" w:cs="Times New Roman"/>
          <w:color w:val="FF0000"/>
          <w:kern w:val="0"/>
          <w:sz w:val="24"/>
          <w:szCs w:val="24"/>
          <w:u w:val="wave"/>
          <w:lang w:val="en-US" w:eastAsia="zh-CN" w:bidi="ar"/>
        </w:rPr>
        <w:t>。</w:t>
      </w:r>
      <w:r>
        <w:rPr>
          <w:rFonts w:hint="default" w:ascii="Times New Roman" w:hAnsi="Times New Roman" w:eastAsia="宋体" w:cs="Times New Roman"/>
          <w:color w:val="FF0000"/>
          <w:kern w:val="0"/>
          <w:sz w:val="24"/>
          <w:szCs w:val="24"/>
          <w:u w:val="wave"/>
          <w:lang w:val="en-US" w:eastAsia="zh-CN" w:bidi="ar"/>
        </w:rPr>
        <w:t>因此，本次机排二十渠水质目标</w:t>
      </w:r>
      <w:r>
        <w:rPr>
          <w:rFonts w:hint="eastAsia" w:cs="Times New Roman"/>
          <w:color w:val="FF0000"/>
          <w:kern w:val="0"/>
          <w:sz w:val="24"/>
          <w:szCs w:val="24"/>
          <w:u w:val="wave"/>
          <w:lang w:val="en-US" w:eastAsia="zh-CN" w:bidi="ar"/>
        </w:rPr>
        <w:t>参照</w:t>
      </w:r>
      <w:r>
        <w:rPr>
          <w:rFonts w:hint="default" w:ascii="Times New Roman" w:hAnsi="Times New Roman" w:eastAsia="宋体" w:cs="Times New Roman"/>
          <w:color w:val="FF0000"/>
          <w:kern w:val="0"/>
          <w:sz w:val="24"/>
          <w:szCs w:val="24"/>
          <w:u w:val="wave"/>
          <w:lang w:val="en-US" w:eastAsia="zh-CN" w:bidi="ar"/>
        </w:rPr>
        <w:t>《地表水环境质量标准》（GB 3838-2002）中</w:t>
      </w:r>
      <w:r>
        <w:rPr>
          <w:rFonts w:hint="eastAsia" w:cs="Times New Roman"/>
          <w:color w:val="FF0000"/>
          <w:kern w:val="0"/>
          <w:sz w:val="24"/>
          <w:szCs w:val="24"/>
          <w:u w:val="wave"/>
          <w:lang w:val="en-US" w:eastAsia="zh-CN" w:bidi="ar"/>
        </w:rPr>
        <w:t>IV</w:t>
      </w:r>
      <w:r>
        <w:rPr>
          <w:rFonts w:hint="default" w:ascii="Times New Roman" w:hAnsi="Times New Roman" w:eastAsia="宋体" w:cs="Times New Roman"/>
          <w:color w:val="FF0000"/>
          <w:kern w:val="0"/>
          <w:sz w:val="24"/>
          <w:szCs w:val="24"/>
          <w:u w:val="wave"/>
          <w:lang w:val="en-US" w:eastAsia="zh-CN" w:bidi="ar"/>
        </w:rPr>
        <w:t>类标准进行评价，其中 CODcr、NH</w:t>
      </w:r>
      <w:r>
        <w:rPr>
          <w:rFonts w:hint="default" w:ascii="Times New Roman" w:hAnsi="Times New Roman" w:eastAsia="宋体" w:cs="Times New Roman"/>
          <w:color w:val="FF0000"/>
          <w:kern w:val="0"/>
          <w:sz w:val="24"/>
          <w:szCs w:val="24"/>
          <w:u w:val="wave"/>
          <w:vertAlign w:val="subscript"/>
          <w:lang w:val="en-US" w:eastAsia="zh-CN" w:bidi="ar"/>
        </w:rPr>
        <w:t>3</w:t>
      </w:r>
      <w:r>
        <w:rPr>
          <w:rFonts w:hint="default" w:ascii="Times New Roman" w:hAnsi="Times New Roman" w:eastAsia="宋体" w:cs="Times New Roman"/>
          <w:color w:val="FF0000"/>
          <w:kern w:val="0"/>
          <w:sz w:val="24"/>
          <w:szCs w:val="24"/>
          <w:u w:val="wave"/>
          <w:lang w:val="en-US" w:eastAsia="zh-CN" w:bidi="ar"/>
        </w:rPr>
        <w:t xml:space="preserve">-N、TP 的标准值分别为 </w:t>
      </w:r>
      <w:r>
        <w:rPr>
          <w:rFonts w:hint="eastAsia" w:cs="Times New Roman"/>
          <w:color w:val="FF0000"/>
          <w:kern w:val="0"/>
          <w:sz w:val="24"/>
          <w:szCs w:val="24"/>
          <w:u w:val="wave"/>
          <w:lang w:val="en-US" w:eastAsia="zh-CN" w:bidi="ar"/>
        </w:rPr>
        <w:t>3</w:t>
      </w:r>
      <w:r>
        <w:rPr>
          <w:rFonts w:hint="default" w:ascii="Times New Roman" w:hAnsi="Times New Roman" w:eastAsia="宋体" w:cs="Times New Roman"/>
          <w:color w:val="FF0000"/>
          <w:kern w:val="0"/>
          <w:sz w:val="24"/>
          <w:szCs w:val="24"/>
          <w:u w:val="wave"/>
          <w:lang w:val="en-US" w:eastAsia="zh-CN" w:bidi="ar"/>
        </w:rPr>
        <w:t>0mg/L、1.</w:t>
      </w:r>
      <w:r>
        <w:rPr>
          <w:rFonts w:hint="eastAsia" w:cs="Times New Roman"/>
          <w:color w:val="FF0000"/>
          <w:kern w:val="0"/>
          <w:sz w:val="24"/>
          <w:szCs w:val="24"/>
          <w:u w:val="wave"/>
          <w:lang w:val="en-US" w:eastAsia="zh-CN" w:bidi="ar"/>
        </w:rPr>
        <w:t>5</w:t>
      </w:r>
      <w:r>
        <w:rPr>
          <w:rFonts w:hint="default" w:ascii="Times New Roman" w:hAnsi="Times New Roman" w:eastAsia="宋体" w:cs="Times New Roman"/>
          <w:color w:val="FF0000"/>
          <w:kern w:val="0"/>
          <w:sz w:val="24"/>
          <w:szCs w:val="24"/>
          <w:u w:val="wave"/>
          <w:lang w:val="en-US" w:eastAsia="zh-CN" w:bidi="ar"/>
        </w:rPr>
        <w:t>mg/L、0.</w:t>
      </w:r>
      <w:r>
        <w:rPr>
          <w:rFonts w:hint="eastAsia" w:cs="Times New Roman"/>
          <w:color w:val="FF0000"/>
          <w:kern w:val="0"/>
          <w:sz w:val="24"/>
          <w:szCs w:val="24"/>
          <w:u w:val="wave"/>
          <w:lang w:val="en-US" w:eastAsia="zh-CN" w:bidi="ar"/>
        </w:rPr>
        <w:t>3</w:t>
      </w:r>
      <w:r>
        <w:rPr>
          <w:rFonts w:hint="default" w:ascii="Times New Roman" w:hAnsi="Times New Roman" w:eastAsia="宋体" w:cs="Times New Roman"/>
          <w:color w:val="FF0000"/>
          <w:kern w:val="0"/>
          <w:sz w:val="24"/>
          <w:szCs w:val="24"/>
          <w:u w:val="wave"/>
          <w:lang w:val="en-US" w:eastAsia="zh-CN" w:bidi="ar"/>
        </w:rPr>
        <w:t>mg/L；老三运河水质目标</w:t>
      </w:r>
      <w:r>
        <w:rPr>
          <w:rFonts w:hint="eastAsia" w:cs="Times New Roman"/>
          <w:color w:val="FF0000"/>
          <w:kern w:val="0"/>
          <w:sz w:val="24"/>
          <w:szCs w:val="24"/>
          <w:u w:val="wave"/>
          <w:lang w:val="en-US" w:eastAsia="zh-CN" w:bidi="ar"/>
        </w:rPr>
        <w:t>参照</w:t>
      </w:r>
      <w:r>
        <w:rPr>
          <w:rFonts w:hint="default" w:ascii="Times New Roman" w:hAnsi="Times New Roman" w:eastAsia="宋体" w:cs="Times New Roman"/>
          <w:color w:val="FF0000"/>
          <w:kern w:val="0"/>
          <w:sz w:val="24"/>
          <w:szCs w:val="24"/>
          <w:u w:val="wave"/>
          <w:lang w:val="en-US" w:eastAsia="zh-CN" w:bidi="ar"/>
        </w:rPr>
        <w:t>《地表水环境质量标准》（GB 3838-2002）中III类标准进行评价，其中 CODcr、NH</w:t>
      </w:r>
      <w:r>
        <w:rPr>
          <w:rFonts w:hint="default" w:ascii="Times New Roman" w:hAnsi="Times New Roman" w:eastAsia="宋体" w:cs="Times New Roman"/>
          <w:color w:val="FF0000"/>
          <w:kern w:val="0"/>
          <w:sz w:val="24"/>
          <w:szCs w:val="24"/>
          <w:u w:val="wave"/>
          <w:vertAlign w:val="subscript"/>
          <w:lang w:val="en-US" w:eastAsia="zh-CN" w:bidi="ar"/>
        </w:rPr>
        <w:t>3</w:t>
      </w:r>
      <w:r>
        <w:rPr>
          <w:rFonts w:hint="default" w:ascii="Times New Roman" w:hAnsi="Times New Roman" w:eastAsia="宋体" w:cs="Times New Roman"/>
          <w:color w:val="FF0000"/>
          <w:kern w:val="0"/>
          <w:sz w:val="24"/>
          <w:szCs w:val="24"/>
          <w:u w:val="wave"/>
          <w:lang w:val="en-US" w:eastAsia="zh-CN" w:bidi="ar"/>
        </w:rPr>
        <w:t>-N、TP 的标准值分别为 20mg/L、1.0mg/L、0.2mg/L。</w:t>
      </w:r>
    </w:p>
    <w:p w14:paraId="2CA3A9F8">
      <w:pPr>
        <w:pageBreakBefore w:val="0"/>
        <w:widowControl w:val="0"/>
        <w:kinsoku/>
        <w:wordWrap/>
        <w:overflowPunct/>
        <w:topLinePunct w:val="0"/>
        <w:autoSpaceDE/>
        <w:autoSpaceDN/>
        <w:bidi w:val="0"/>
        <w:adjustRightInd w:val="0"/>
        <w:snapToGrid/>
        <w:spacing w:before="0" w:after="0" w:line="360" w:lineRule="auto"/>
        <w:ind w:right="0" w:firstLine="480" w:firstLineChars="200"/>
        <w:jc w:val="both"/>
        <w:textAlignment w:val="auto"/>
        <w:rPr>
          <w:rFonts w:hint="default" w:ascii="Times New Roman" w:hAnsi="Times New Roman" w:eastAsia="宋体" w:cs="Times New Roman"/>
          <w:bCs/>
          <w:kern w:val="2"/>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本项目的建设及运行不能影响到所涉及水功能区的功能，根据《中华人民共和国水法》、《中华人民共和国环境保护法》、《中华人民共和国水污染物防治法》、《中华人民共和国河道管理条例》等法律法规，为了避免破坏河流的生态环境，保护水资源，建设项目单位在施工和运行期间应采取措施，使该河段水质达到功能区，</w:t>
      </w:r>
      <w:r>
        <w:rPr>
          <w:rFonts w:hint="default" w:ascii="Times New Roman" w:hAnsi="Times New Roman" w:eastAsia="宋体" w:cs="Times New Roman"/>
          <w:kern w:val="2"/>
          <w:sz w:val="24"/>
          <w:szCs w:val="24"/>
          <w:lang w:val="en-US" w:eastAsia="zh-CN" w:bidi="ar-SA"/>
        </w:rPr>
        <w:t>排污口形成的污染带不得影响其周边水环境功能</w:t>
      </w:r>
      <w:r>
        <w:rPr>
          <w:rFonts w:hint="default" w:ascii="Times New Roman" w:hAnsi="Times New Roman" w:eastAsia="宋体" w:cs="Times New Roman"/>
          <w:bCs/>
          <w:kern w:val="2"/>
          <w:sz w:val="24"/>
          <w:szCs w:val="24"/>
          <w:lang w:val="en-US" w:eastAsia="zh-CN" w:bidi="ar-SA"/>
        </w:rPr>
        <w:t>区的水质目标。</w:t>
      </w:r>
    </w:p>
    <w:p w14:paraId="1D958E76">
      <w:pPr>
        <w:widowControl w:val="0"/>
        <w:adjustRightInd w:val="0"/>
        <w:spacing w:before="0" w:after="0" w:line="360" w:lineRule="auto"/>
        <w:ind w:right="0" w:firstLine="480" w:firstLineChars="200"/>
        <w:jc w:val="both"/>
        <w:rPr>
          <w:rFonts w:hint="default" w:ascii="Times New Roman" w:hAnsi="Times New Roman" w:eastAsia="宋体" w:cs="Times New Roman"/>
          <w:bCs/>
          <w:kern w:val="2"/>
          <w:sz w:val="24"/>
          <w:szCs w:val="24"/>
          <w:lang w:val="zh-CN" w:eastAsia="zh-CN" w:bidi="ar-SA"/>
        </w:rPr>
      </w:pPr>
      <w:r>
        <w:rPr>
          <w:rFonts w:hint="default" w:ascii="Times New Roman" w:hAnsi="Times New Roman" w:eastAsia="宋体" w:cs="Times New Roman"/>
          <w:bCs/>
          <w:kern w:val="2"/>
          <w:sz w:val="24"/>
          <w:szCs w:val="24"/>
          <w:lang w:val="zh-CN" w:eastAsia="zh-CN" w:bidi="ar-SA"/>
        </w:rPr>
        <w:t>本入河排污口</w:t>
      </w:r>
      <w:r>
        <w:rPr>
          <w:rFonts w:hint="default" w:ascii="Times New Roman" w:hAnsi="Times New Roman" w:eastAsia="宋体" w:cs="Times New Roman"/>
          <w:bCs/>
          <w:kern w:val="2"/>
          <w:sz w:val="24"/>
          <w:szCs w:val="24"/>
          <w:lang w:val="en-US" w:eastAsia="zh-CN" w:bidi="ar-SA"/>
        </w:rPr>
        <w:t>论证范围内</w:t>
      </w:r>
      <w:r>
        <w:rPr>
          <w:rFonts w:hint="default" w:ascii="Times New Roman" w:hAnsi="Times New Roman" w:eastAsia="宋体" w:cs="Times New Roman"/>
          <w:bCs/>
          <w:kern w:val="2"/>
          <w:sz w:val="24"/>
          <w:szCs w:val="24"/>
          <w:lang w:val="zh-CN" w:eastAsia="zh-CN" w:bidi="ar-SA"/>
        </w:rPr>
        <w:t>水质控制断面情况详见下表。</w:t>
      </w:r>
    </w:p>
    <w:p w14:paraId="4FC299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jc w:val="center"/>
        <w:textAlignment w:val="auto"/>
        <w:outlineLvl w:val="9"/>
        <w:rPr>
          <w:rFonts w:hint="default" w:ascii="Times New Roman" w:hAnsi="Times New Roman" w:eastAsia="宋体" w:cs="Times New Roman"/>
          <w:b/>
          <w:bCs/>
          <w:kern w:val="0"/>
          <w:sz w:val="24"/>
          <w:szCs w:val="24"/>
          <w:lang w:val="en-US" w:eastAsia="zh-CN" w:bidi="ar-SA"/>
        </w:rPr>
      </w:pPr>
    </w:p>
    <w:p w14:paraId="12711D7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jc w:val="center"/>
        <w:textAlignment w:val="auto"/>
        <w:outlineLvl w:val="9"/>
        <w:rPr>
          <w:rFonts w:hint="default" w:ascii="Times New Roman" w:hAnsi="Times New Roman" w:eastAsia="宋体" w:cs="Times New Roman"/>
          <w:b/>
          <w:bCs/>
          <w:kern w:val="0"/>
          <w:sz w:val="24"/>
          <w:szCs w:val="24"/>
          <w:lang w:val="en-US" w:eastAsia="zh-CN" w:bidi="ar-SA"/>
        </w:rPr>
      </w:pPr>
    </w:p>
    <w:p w14:paraId="3EA0193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jc w:val="center"/>
        <w:textAlignment w:val="auto"/>
        <w:outlineLvl w:val="9"/>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表4.</w:t>
      </w:r>
      <w:r>
        <w:rPr>
          <w:rFonts w:hint="eastAsia" w:cs="Times New Roman"/>
          <w:b/>
          <w:bCs/>
          <w:kern w:val="0"/>
          <w:sz w:val="24"/>
          <w:szCs w:val="24"/>
          <w:lang w:val="en-US" w:eastAsia="zh-CN" w:bidi="ar-SA"/>
        </w:rPr>
        <w:t>1</w:t>
      </w:r>
      <w:r>
        <w:rPr>
          <w:rFonts w:hint="default" w:ascii="Times New Roman" w:hAnsi="Times New Roman" w:eastAsia="宋体" w:cs="Times New Roman"/>
          <w:b/>
          <w:bCs/>
          <w:kern w:val="0"/>
          <w:sz w:val="24"/>
          <w:szCs w:val="24"/>
          <w:lang w:val="en-US" w:eastAsia="zh-CN" w:bidi="ar-SA"/>
        </w:rPr>
        <w:t>-1  下游最近的水质控制断面设置情况</w:t>
      </w:r>
    </w:p>
    <w:tbl>
      <w:tblPr>
        <w:tblStyle w:val="76"/>
        <w:tblW w:w="88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78"/>
        <w:gridCol w:w="1137"/>
        <w:gridCol w:w="498"/>
        <w:gridCol w:w="670"/>
        <w:gridCol w:w="2109"/>
        <w:gridCol w:w="2506"/>
      </w:tblGrid>
      <w:tr w14:paraId="1043C4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78" w:type="dxa"/>
            <w:noWrap w:val="0"/>
            <w:vAlign w:val="center"/>
          </w:tcPr>
          <w:p w14:paraId="0C404400">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断面名称</w:t>
            </w:r>
          </w:p>
        </w:tc>
        <w:tc>
          <w:tcPr>
            <w:tcW w:w="1137" w:type="dxa"/>
            <w:noWrap w:val="0"/>
            <w:vAlign w:val="center"/>
          </w:tcPr>
          <w:p w14:paraId="0AF7E691">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与排污口的位置关系</w:t>
            </w:r>
          </w:p>
        </w:tc>
        <w:tc>
          <w:tcPr>
            <w:tcW w:w="498" w:type="dxa"/>
            <w:noWrap w:val="0"/>
            <w:vAlign w:val="center"/>
          </w:tcPr>
          <w:p w14:paraId="2D254E20">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断面类型</w:t>
            </w:r>
          </w:p>
        </w:tc>
        <w:tc>
          <w:tcPr>
            <w:tcW w:w="670" w:type="dxa"/>
            <w:noWrap w:val="0"/>
            <w:vAlign w:val="center"/>
          </w:tcPr>
          <w:p w14:paraId="530F93C8">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所在水体</w:t>
            </w:r>
          </w:p>
        </w:tc>
        <w:tc>
          <w:tcPr>
            <w:tcW w:w="2109" w:type="dxa"/>
            <w:noWrap w:val="0"/>
            <w:vAlign w:val="center"/>
          </w:tcPr>
          <w:p w14:paraId="40AF26FF">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水质管理类别</w:t>
            </w:r>
          </w:p>
        </w:tc>
        <w:tc>
          <w:tcPr>
            <w:tcW w:w="2506" w:type="dxa"/>
            <w:noWrap w:val="0"/>
            <w:vAlign w:val="center"/>
          </w:tcPr>
          <w:p w14:paraId="3E894F46">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备注</w:t>
            </w:r>
          </w:p>
        </w:tc>
      </w:tr>
      <w:tr w14:paraId="4C1648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78" w:type="dxa"/>
            <w:noWrap w:val="0"/>
            <w:vAlign w:val="center"/>
          </w:tcPr>
          <w:p w14:paraId="03C7B421">
            <w:pPr>
              <w:keepNext w:val="0"/>
              <w:keepLines w:val="0"/>
              <w:widowControl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FF0000"/>
                <w:kern w:val="0"/>
                <w:sz w:val="21"/>
                <w:szCs w:val="20"/>
                <w:lang w:val="en-US" w:eastAsia="zh-CN" w:bidi="ar-SA"/>
              </w:rPr>
            </w:pPr>
            <w:r>
              <w:rPr>
                <w:rFonts w:hint="default" w:ascii="Times New Roman" w:hAnsi="Times New Roman" w:eastAsia="宋体" w:cs="Times New Roman"/>
                <w:kern w:val="0"/>
                <w:sz w:val="21"/>
                <w:szCs w:val="20"/>
                <w:lang w:val="en-US" w:eastAsia="zh-CN" w:bidi="ar-SA"/>
              </w:rPr>
              <w:t>排污口下游300m处</w:t>
            </w:r>
          </w:p>
        </w:tc>
        <w:tc>
          <w:tcPr>
            <w:tcW w:w="1137" w:type="dxa"/>
            <w:noWrap w:val="0"/>
            <w:vAlign w:val="center"/>
          </w:tcPr>
          <w:p w14:paraId="74D71BCB">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排污口下游300m</w:t>
            </w:r>
          </w:p>
        </w:tc>
        <w:tc>
          <w:tcPr>
            <w:tcW w:w="498" w:type="dxa"/>
            <w:noWrap w:val="0"/>
            <w:vAlign w:val="center"/>
          </w:tcPr>
          <w:p w14:paraId="10056B82">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渠道</w:t>
            </w:r>
          </w:p>
        </w:tc>
        <w:tc>
          <w:tcPr>
            <w:tcW w:w="670" w:type="dxa"/>
            <w:noWrap w:val="0"/>
            <w:vAlign w:val="center"/>
          </w:tcPr>
          <w:p w14:paraId="137CB622">
            <w:pPr>
              <w:keepNext w:val="0"/>
              <w:keepLines w:val="0"/>
              <w:widowControl w:val="0"/>
              <w:suppressLineNumbers w:val="0"/>
              <w:spacing w:before="0" w:beforeAutospacing="0" w:after="0" w:afterAutospacing="0"/>
              <w:ind w:left="420" w:leftChars="0" w:right="0" w:hanging="420" w:hangingChars="20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机排二</w:t>
            </w:r>
          </w:p>
          <w:p w14:paraId="2BFCAB48">
            <w:pPr>
              <w:keepNext w:val="0"/>
              <w:keepLines w:val="0"/>
              <w:widowControl w:val="0"/>
              <w:suppressLineNumbers w:val="0"/>
              <w:spacing w:before="0" w:beforeAutospacing="0" w:after="0" w:afterAutospacing="0"/>
              <w:ind w:left="420" w:leftChars="0" w:right="0" w:hanging="420" w:hangingChars="20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十渠</w:t>
            </w:r>
          </w:p>
        </w:tc>
        <w:tc>
          <w:tcPr>
            <w:tcW w:w="2109" w:type="dxa"/>
            <w:noWrap w:val="0"/>
            <w:vAlign w:val="center"/>
          </w:tcPr>
          <w:p w14:paraId="0CC98DE1">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《地表水环境质量标准》（GB3838-2002）</w:t>
            </w:r>
            <w:r>
              <w:rPr>
                <w:rFonts w:hint="eastAsia" w:cs="Times New Roman"/>
                <w:kern w:val="0"/>
                <w:sz w:val="21"/>
                <w:szCs w:val="20"/>
                <w:lang w:val="en-US" w:eastAsia="zh-CN" w:bidi="en-US"/>
              </w:rPr>
              <w:t>IV</w:t>
            </w:r>
            <w:r>
              <w:rPr>
                <w:rFonts w:hint="default" w:ascii="Times New Roman" w:hAnsi="Times New Roman" w:eastAsia="宋体" w:cs="Times New Roman"/>
                <w:kern w:val="0"/>
                <w:sz w:val="21"/>
                <w:szCs w:val="20"/>
                <w:lang w:val="en-US" w:eastAsia="zh-CN" w:bidi="en-US"/>
              </w:rPr>
              <w:t>类</w:t>
            </w:r>
          </w:p>
        </w:tc>
        <w:tc>
          <w:tcPr>
            <w:tcW w:w="2506" w:type="dxa"/>
            <w:noWrap w:val="0"/>
            <w:vAlign w:val="center"/>
          </w:tcPr>
          <w:p w14:paraId="52307100">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 xml:space="preserve">用于监测污水排放对机排二十渠的影响 </w:t>
            </w:r>
          </w:p>
        </w:tc>
      </w:tr>
      <w:tr w14:paraId="0ABC96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78" w:type="dxa"/>
            <w:noWrap w:val="0"/>
            <w:vAlign w:val="center"/>
          </w:tcPr>
          <w:p w14:paraId="2FDCD533">
            <w:pPr>
              <w:keepNext w:val="0"/>
              <w:keepLines w:val="0"/>
              <w:widowControl w:val="0"/>
              <w:suppressLineNumbers w:val="0"/>
              <w:spacing w:before="0" w:beforeAutospacing="0" w:after="0" w:afterAutospacing="0" w:line="240" w:lineRule="auto"/>
              <w:ind w:left="420" w:leftChars="0" w:right="0" w:hanging="420" w:hangingChars="200"/>
              <w:jc w:val="center"/>
              <w:rPr>
                <w:rFonts w:hint="default" w:ascii="Times New Roman" w:hAnsi="Times New Roman" w:eastAsia="宋体" w:cs="Times New Roman"/>
                <w:color w:val="FF0000"/>
                <w:kern w:val="0"/>
                <w:sz w:val="21"/>
                <w:szCs w:val="20"/>
                <w:lang w:val="en-US" w:eastAsia="zh-CN" w:bidi="ar-SA"/>
              </w:rPr>
            </w:pPr>
            <w:r>
              <w:rPr>
                <w:rFonts w:hint="default" w:ascii="Times New Roman" w:hAnsi="Times New Roman" w:eastAsia="宋体" w:cs="Times New Roman"/>
                <w:kern w:val="0"/>
                <w:sz w:val="21"/>
                <w:szCs w:val="20"/>
                <w:lang w:val="en-US" w:eastAsia="zh-CN" w:bidi="ar-SA"/>
              </w:rPr>
              <w:t>机排二十渠与老三运河交汇处上游200m</w:t>
            </w:r>
          </w:p>
        </w:tc>
        <w:tc>
          <w:tcPr>
            <w:tcW w:w="1137" w:type="dxa"/>
            <w:noWrap w:val="0"/>
            <w:vAlign w:val="center"/>
          </w:tcPr>
          <w:p w14:paraId="0A4893E4">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排污口下游1580m</w:t>
            </w:r>
          </w:p>
        </w:tc>
        <w:tc>
          <w:tcPr>
            <w:tcW w:w="498" w:type="dxa"/>
            <w:noWrap w:val="0"/>
            <w:vAlign w:val="center"/>
          </w:tcPr>
          <w:p w14:paraId="70AB03A5">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河流</w:t>
            </w:r>
          </w:p>
        </w:tc>
        <w:tc>
          <w:tcPr>
            <w:tcW w:w="670" w:type="dxa"/>
            <w:noWrap w:val="0"/>
            <w:vAlign w:val="center"/>
          </w:tcPr>
          <w:p w14:paraId="3C5ADBE8">
            <w:pPr>
              <w:keepNext w:val="0"/>
              <w:keepLines w:val="0"/>
              <w:widowControl w:val="0"/>
              <w:suppressLineNumbers w:val="0"/>
              <w:spacing w:before="0" w:beforeAutospacing="0" w:after="0" w:afterAutospacing="0"/>
              <w:ind w:left="420" w:leftChars="0" w:right="0" w:hanging="420" w:hangingChars="20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老三运</w:t>
            </w:r>
          </w:p>
          <w:p w14:paraId="25AAF609">
            <w:pPr>
              <w:keepNext w:val="0"/>
              <w:keepLines w:val="0"/>
              <w:widowControl w:val="0"/>
              <w:suppressLineNumbers w:val="0"/>
              <w:spacing w:before="0" w:beforeAutospacing="0" w:after="0" w:afterAutospacing="0"/>
              <w:ind w:left="420" w:leftChars="0" w:right="0" w:hanging="420" w:hangingChars="20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河</w:t>
            </w:r>
          </w:p>
        </w:tc>
        <w:tc>
          <w:tcPr>
            <w:tcW w:w="2109" w:type="dxa"/>
            <w:vMerge w:val="restart"/>
            <w:noWrap w:val="0"/>
            <w:vAlign w:val="center"/>
          </w:tcPr>
          <w:p w14:paraId="608F8CD7">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《地表水环境质量标准》（GB3838-2002）III类</w:t>
            </w:r>
          </w:p>
        </w:tc>
        <w:tc>
          <w:tcPr>
            <w:tcW w:w="2506" w:type="dxa"/>
            <w:noWrap w:val="0"/>
            <w:vAlign w:val="center"/>
          </w:tcPr>
          <w:p w14:paraId="3C1FA70D">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 xml:space="preserve">用于评估污水排放后下游老三运河水质的变化情况。 </w:t>
            </w:r>
          </w:p>
        </w:tc>
      </w:tr>
      <w:tr w14:paraId="5BEE46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78" w:type="dxa"/>
            <w:noWrap w:val="0"/>
            <w:vAlign w:val="center"/>
          </w:tcPr>
          <w:p w14:paraId="3116B56A">
            <w:pPr>
              <w:keepNext w:val="0"/>
              <w:keepLines w:val="0"/>
              <w:widowControl w:val="0"/>
              <w:suppressLineNumbers w:val="0"/>
              <w:spacing w:before="0" w:beforeAutospacing="0" w:after="0" w:afterAutospacing="0" w:line="240" w:lineRule="auto"/>
              <w:ind w:left="420" w:leftChars="0" w:right="0" w:hanging="420" w:hangingChars="200"/>
              <w:jc w:val="center"/>
              <w:rPr>
                <w:rFonts w:hint="default" w:ascii="Times New Roman" w:hAnsi="Times New Roman" w:eastAsia="宋体" w:cs="Times New Roman"/>
                <w:color w:val="FF0000"/>
                <w:kern w:val="0"/>
                <w:sz w:val="21"/>
                <w:szCs w:val="20"/>
                <w:lang w:val="en-US" w:eastAsia="zh-CN" w:bidi="ar-SA"/>
              </w:rPr>
            </w:pPr>
            <w:r>
              <w:rPr>
                <w:rFonts w:hint="default" w:ascii="Times New Roman" w:hAnsi="Times New Roman" w:eastAsia="宋体" w:cs="Times New Roman"/>
                <w:kern w:val="0"/>
                <w:sz w:val="21"/>
                <w:szCs w:val="20"/>
                <w:lang w:val="en-US" w:eastAsia="zh-CN" w:bidi="ar-SA"/>
              </w:rPr>
              <w:t>机排二十渠与老三运河交汇处下游500m</w:t>
            </w:r>
          </w:p>
        </w:tc>
        <w:tc>
          <w:tcPr>
            <w:tcW w:w="1137" w:type="dxa"/>
            <w:noWrap w:val="0"/>
            <w:vAlign w:val="center"/>
          </w:tcPr>
          <w:p w14:paraId="5B757D37">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排污口下游3130m</w:t>
            </w:r>
          </w:p>
        </w:tc>
        <w:tc>
          <w:tcPr>
            <w:tcW w:w="498" w:type="dxa"/>
            <w:noWrap w:val="0"/>
            <w:vAlign w:val="center"/>
          </w:tcPr>
          <w:p w14:paraId="069098BE">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河流</w:t>
            </w:r>
          </w:p>
        </w:tc>
        <w:tc>
          <w:tcPr>
            <w:tcW w:w="670" w:type="dxa"/>
            <w:noWrap w:val="0"/>
            <w:vAlign w:val="center"/>
          </w:tcPr>
          <w:p w14:paraId="56DCEABA">
            <w:pPr>
              <w:keepNext w:val="0"/>
              <w:keepLines w:val="0"/>
              <w:widowControl w:val="0"/>
              <w:suppressLineNumbers w:val="0"/>
              <w:spacing w:before="0" w:beforeAutospacing="0" w:after="0" w:afterAutospacing="0"/>
              <w:ind w:left="420" w:leftChars="0" w:right="0" w:hanging="420" w:hangingChars="20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老三运</w:t>
            </w:r>
          </w:p>
          <w:p w14:paraId="523B8531">
            <w:pPr>
              <w:keepNext w:val="0"/>
              <w:keepLines w:val="0"/>
              <w:widowControl w:val="0"/>
              <w:suppressLineNumbers w:val="0"/>
              <w:spacing w:before="0" w:beforeAutospacing="0" w:after="0" w:afterAutospacing="0"/>
              <w:ind w:left="420" w:leftChars="0" w:right="0" w:hanging="420" w:hangingChars="20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河</w:t>
            </w:r>
          </w:p>
        </w:tc>
        <w:tc>
          <w:tcPr>
            <w:tcW w:w="2109" w:type="dxa"/>
            <w:vMerge w:val="continue"/>
            <w:noWrap w:val="0"/>
            <w:vAlign w:val="center"/>
          </w:tcPr>
          <w:p w14:paraId="079BFB02">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p>
        </w:tc>
        <w:tc>
          <w:tcPr>
            <w:tcW w:w="2506" w:type="dxa"/>
            <w:noWrap w:val="0"/>
            <w:vAlign w:val="center"/>
          </w:tcPr>
          <w:p w14:paraId="2E96255D">
            <w:pPr>
              <w:keepNext w:val="0"/>
              <w:keepLines w:val="0"/>
              <w:widowControl/>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0"/>
                <w:lang w:val="en-US" w:eastAsia="zh-CN" w:bidi="en-US"/>
              </w:rPr>
            </w:pPr>
            <w:r>
              <w:rPr>
                <w:rFonts w:hint="default" w:ascii="Times New Roman" w:hAnsi="Times New Roman" w:eastAsia="宋体" w:cs="Times New Roman"/>
                <w:kern w:val="0"/>
                <w:sz w:val="21"/>
                <w:szCs w:val="20"/>
                <w:lang w:val="en-US" w:eastAsia="zh-CN" w:bidi="en-US"/>
              </w:rPr>
              <w:t>用于反映污水排放对最终下游水质的影响。</w:t>
            </w:r>
          </w:p>
        </w:tc>
      </w:tr>
    </w:tbl>
    <w:p w14:paraId="159F8EC6">
      <w:pPr>
        <w:keepNext/>
        <w:keepLines/>
        <w:pageBreakBefore w:val="0"/>
        <w:widowControl w:val="0"/>
        <w:numPr>
          <w:ilvl w:val="0"/>
          <w:numId w:val="0"/>
        </w:numPr>
        <w:tabs>
          <w:tab w:val="left" w:pos="425"/>
        </w:tabs>
        <w:kinsoku/>
        <w:wordWrap/>
        <w:overflowPunct/>
        <w:topLinePunct w:val="0"/>
        <w:autoSpaceDE/>
        <w:autoSpaceDN/>
        <w:bidi w:val="0"/>
        <w:adjustRightInd/>
        <w:snapToGrid/>
        <w:spacing w:line="360" w:lineRule="auto"/>
        <w:ind w:left="0" w:leftChars="0" w:firstLine="0"/>
        <w:jc w:val="both"/>
        <w:textAlignment w:val="auto"/>
        <w:outlineLvl w:val="1"/>
        <w:rPr>
          <w:rFonts w:hint="default" w:ascii="Times New Roman" w:hAnsi="Times New Roman" w:eastAsia="宋体" w:cs="Times New Roman"/>
          <w:b/>
          <w:bCs/>
          <w:color w:val="000000" w:themeColor="text1"/>
          <w:kern w:val="2"/>
          <w:sz w:val="28"/>
          <w:szCs w:val="28"/>
          <w:u w:val="wave" w:color="auto"/>
          <w:lang w:val="en-US" w:eastAsia="zh-CN" w:bidi="ar-SA"/>
          <w14:textFill>
            <w14:solidFill>
              <w14:schemeClr w14:val="tx1"/>
            </w14:solidFill>
          </w14:textFill>
        </w:rPr>
      </w:pPr>
      <w:bookmarkStart w:id="273" w:name="_Toc23361"/>
      <w:bookmarkStart w:id="274" w:name="_Toc9721"/>
      <w:r>
        <w:rPr>
          <w:rFonts w:hint="default" w:ascii="Times New Roman" w:hAnsi="Times New Roman" w:eastAsia="宋体" w:cs="Times New Roman"/>
          <w:b/>
          <w:bCs/>
          <w:color w:val="000000" w:themeColor="text1"/>
          <w:kern w:val="2"/>
          <w:sz w:val="28"/>
          <w:szCs w:val="28"/>
          <w:u w:val="wave" w:color="auto"/>
          <w:lang w:val="en-US" w:eastAsia="zh-CN" w:bidi="ar-SA"/>
          <w14:textFill>
            <w14:solidFill>
              <w14:schemeClr w14:val="tx1"/>
            </w14:solidFill>
          </w14:textFill>
        </w:rPr>
        <w:t>4.</w:t>
      </w:r>
      <w:r>
        <w:rPr>
          <w:rFonts w:hint="eastAsia" w:cs="Times New Roman"/>
          <w:b/>
          <w:bCs/>
          <w:color w:val="000000" w:themeColor="text1"/>
          <w:kern w:val="2"/>
          <w:sz w:val="28"/>
          <w:szCs w:val="28"/>
          <w:u w:val="wave" w:color="auto"/>
          <w:lang w:val="en-US" w:eastAsia="zh-CN" w:bidi="ar-SA"/>
          <w14:textFill>
            <w14:solidFill>
              <w14:schemeClr w14:val="tx1"/>
            </w14:solidFill>
          </w14:textFill>
        </w:rPr>
        <w:t>2论证范围</w:t>
      </w:r>
      <w:r>
        <w:rPr>
          <w:rFonts w:hint="default" w:ascii="Times New Roman" w:hAnsi="Times New Roman" w:eastAsia="宋体" w:cs="Times New Roman"/>
          <w:b/>
          <w:bCs/>
          <w:color w:val="000000" w:themeColor="text1"/>
          <w:kern w:val="2"/>
          <w:sz w:val="28"/>
          <w:szCs w:val="28"/>
          <w:u w:val="wave" w:color="auto"/>
          <w:lang w:val="en-US" w:eastAsia="zh-CN" w:bidi="ar-SA"/>
          <w14:textFill>
            <w14:solidFill>
              <w14:schemeClr w14:val="tx1"/>
            </w14:solidFill>
          </w14:textFill>
        </w:rPr>
        <w:t>现有</w:t>
      </w:r>
      <w:r>
        <w:rPr>
          <w:rFonts w:hint="eastAsia" w:cs="Times New Roman"/>
          <w:b/>
          <w:bCs/>
          <w:color w:val="000000" w:themeColor="text1"/>
          <w:kern w:val="2"/>
          <w:sz w:val="28"/>
          <w:szCs w:val="28"/>
          <w:u w:val="wave" w:color="auto"/>
          <w:lang w:val="en-US" w:eastAsia="zh-CN" w:bidi="ar-SA"/>
          <w14:textFill>
            <w14:solidFill>
              <w14:schemeClr w14:val="tx1"/>
            </w14:solidFill>
          </w14:textFill>
        </w:rPr>
        <w:t>取排水</w:t>
      </w:r>
      <w:r>
        <w:rPr>
          <w:rFonts w:hint="default" w:ascii="Times New Roman" w:hAnsi="Times New Roman" w:eastAsia="宋体" w:cs="Times New Roman"/>
          <w:b/>
          <w:bCs/>
          <w:color w:val="000000" w:themeColor="text1"/>
          <w:kern w:val="2"/>
          <w:sz w:val="28"/>
          <w:szCs w:val="28"/>
          <w:u w:val="wave" w:color="auto"/>
          <w:lang w:val="en-US" w:eastAsia="zh-CN" w:bidi="ar-SA"/>
          <w14:textFill>
            <w14:solidFill>
              <w14:schemeClr w14:val="tx1"/>
            </w14:solidFill>
          </w14:textFill>
        </w:rPr>
        <w:t>调查分析</w:t>
      </w:r>
      <w:bookmarkEnd w:id="273"/>
    </w:p>
    <w:p w14:paraId="2D344918">
      <w:pPr>
        <w:pageBreakBefore w:val="0"/>
        <w:numPr>
          <w:ilvl w:val="1"/>
          <w:numId w:val="0"/>
        </w:numPr>
        <w:tabs>
          <w:tab w:val="left" w:pos="567"/>
        </w:tabs>
        <w:kinsoku/>
        <w:wordWrap/>
        <w:overflowPunct/>
        <w:topLinePunct w:val="0"/>
        <w:autoSpaceDE/>
        <w:autoSpaceDN/>
        <w:bidi w:val="0"/>
        <w:adjustRightInd/>
        <w:snapToGrid/>
        <w:spacing w:line="360" w:lineRule="auto"/>
        <w:ind w:leftChars="0" w:firstLine="0" w:firstLineChars="0"/>
        <w:textAlignment w:val="auto"/>
        <w:outlineLvl w:val="9"/>
        <w:rPr>
          <w:rFonts w:hint="default" w:ascii="Times New Roman" w:hAnsi="Times New Roman" w:eastAsia="宋体" w:cs="Times New Roman"/>
          <w:b/>
          <w:bCs/>
          <w:color w:val="000000" w:themeColor="text1"/>
          <w:kern w:val="0"/>
          <w:sz w:val="24"/>
          <w:szCs w:val="24"/>
          <w:u w:val="wave" w:color="auto"/>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wave" w:color="auto"/>
          <w:lang w:val="en-US" w:eastAsia="zh-CN" w:bidi="ar"/>
          <w14:textFill>
            <w14:solidFill>
              <w14:schemeClr w14:val="tx1"/>
            </w14:solidFill>
          </w14:textFill>
        </w:rPr>
        <w:t>4.2.</w:t>
      </w:r>
      <w:r>
        <w:rPr>
          <w:rFonts w:hint="eastAsia" w:cs="Times New Roman"/>
          <w:b/>
          <w:bCs/>
          <w:color w:val="000000" w:themeColor="text1"/>
          <w:kern w:val="0"/>
          <w:sz w:val="24"/>
          <w:szCs w:val="24"/>
          <w:u w:val="wave" w:color="auto"/>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0"/>
          <w:sz w:val="24"/>
          <w:szCs w:val="24"/>
          <w:u w:val="wave" w:color="auto"/>
          <w:lang w:val="en-US" w:eastAsia="zh-CN" w:bidi="ar"/>
          <w14:textFill>
            <w14:solidFill>
              <w14:schemeClr w14:val="tx1"/>
            </w14:solidFill>
          </w14:textFill>
        </w:rPr>
        <w:t xml:space="preserve">现有取水状况 </w:t>
      </w:r>
    </w:p>
    <w:p w14:paraId="58F643A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t>下游机排二十渠 2.1km、老三运河段3.8km（与机排二十渠交汇处至与大通湖泄洪道交汇处），总论证范围为</w:t>
      </w:r>
      <w:r>
        <w:rPr>
          <w:rFonts w:hint="eastAsia" w:cs="Times New Roman"/>
          <w:b w:val="0"/>
          <w:bCs/>
          <w:color w:val="000000" w:themeColor="text1"/>
          <w:kern w:val="2"/>
          <w:sz w:val="24"/>
          <w:szCs w:val="24"/>
          <w:u w:val="wave" w:color="auto"/>
          <w:lang w:val="en-US" w:eastAsia="zh-CN"/>
          <w14:textFill>
            <w14:solidFill>
              <w14:schemeClr w14:val="tx1"/>
            </w14:solidFill>
          </w14:textFill>
        </w:rPr>
        <w:t>5.9</w:t>
      </w:r>
      <w:r>
        <w:rPr>
          <w:rFonts w:hint="default"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t>km；河段范围内均未调查到饮用水源取水口，论证范围内机排二十渠、老三运河不存在其他规模化取水情况。论证范围</w:t>
      </w:r>
      <w:r>
        <w:rPr>
          <w:rFonts w:hint="eastAsia" w:cs="Times New Roman"/>
          <w:b w:val="0"/>
          <w:bCs/>
          <w:color w:val="000000" w:themeColor="text1"/>
          <w:kern w:val="2"/>
          <w:sz w:val="24"/>
          <w:szCs w:val="24"/>
          <w:u w:val="wave" w:color="auto"/>
          <w:lang w:val="en-US" w:eastAsia="zh-CN"/>
          <w14:textFill>
            <w14:solidFill>
              <w14:schemeClr w14:val="tx1"/>
            </w14:solidFill>
          </w14:textFill>
        </w:rPr>
        <w:t>内</w:t>
      </w:r>
      <w:r>
        <w:rPr>
          <w:rFonts w:hint="default"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t xml:space="preserve">机排二十渠、老三运河对农灌取水水质无特殊要求，不涉及集中式饮用水源取水口、饮用水源保护区。老三运河设有机排二渠、机排四渠、机排五渠、横干六渠等农业取水口，无工业取水口。 </w:t>
      </w:r>
    </w:p>
    <w:p w14:paraId="44728612">
      <w:pPr>
        <w:pageBreakBefore w:val="0"/>
        <w:numPr>
          <w:ilvl w:val="1"/>
          <w:numId w:val="0"/>
        </w:numPr>
        <w:tabs>
          <w:tab w:val="left" w:pos="567"/>
        </w:tabs>
        <w:kinsoku/>
        <w:wordWrap/>
        <w:overflowPunct/>
        <w:topLinePunct w:val="0"/>
        <w:autoSpaceDE/>
        <w:autoSpaceDN/>
        <w:bidi w:val="0"/>
        <w:adjustRightInd/>
        <w:snapToGrid/>
        <w:spacing w:line="360" w:lineRule="auto"/>
        <w:ind w:leftChars="0" w:firstLine="0" w:firstLineChars="0"/>
        <w:textAlignment w:val="auto"/>
        <w:outlineLvl w:val="9"/>
        <w:rPr>
          <w:rFonts w:hint="default"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u w:val="wave" w:color="auto"/>
          <w:lang w:val="en-US" w:eastAsia="zh-CN" w:bidi="ar"/>
          <w14:textFill>
            <w14:solidFill>
              <w14:schemeClr w14:val="tx1"/>
            </w14:solidFill>
          </w14:textFill>
        </w:rPr>
        <w:t>4.2.2现有</w:t>
      </w:r>
      <w:r>
        <w:rPr>
          <w:rFonts w:hint="eastAsia" w:cs="Times New Roman"/>
          <w:b/>
          <w:bCs/>
          <w:color w:val="000000" w:themeColor="text1"/>
          <w:kern w:val="0"/>
          <w:sz w:val="24"/>
          <w:szCs w:val="24"/>
          <w:u w:val="wave" w:color="auto"/>
          <w:lang w:val="en-US" w:eastAsia="zh-CN" w:bidi="ar"/>
          <w14:textFill>
            <w14:solidFill>
              <w14:schemeClr w14:val="tx1"/>
            </w14:solidFill>
          </w14:textFill>
        </w:rPr>
        <w:t>排</w:t>
      </w:r>
      <w:r>
        <w:rPr>
          <w:rFonts w:hint="default" w:ascii="Times New Roman" w:hAnsi="Times New Roman" w:eastAsia="宋体" w:cs="Times New Roman"/>
          <w:b/>
          <w:bCs/>
          <w:color w:val="000000" w:themeColor="text1"/>
          <w:kern w:val="0"/>
          <w:sz w:val="24"/>
          <w:szCs w:val="24"/>
          <w:u w:val="wave" w:color="auto"/>
          <w:lang w:val="en-US" w:eastAsia="zh-CN" w:bidi="ar"/>
          <w14:textFill>
            <w14:solidFill>
              <w14:schemeClr w14:val="tx1"/>
            </w14:solidFill>
          </w14:textFill>
        </w:rPr>
        <w:t xml:space="preserve">水状况 </w:t>
      </w:r>
    </w:p>
    <w:p w14:paraId="59D84FC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t>根据现场勘查可知，本项目所在区域已完善雨污分流，周边企业外排废水均进入本 污水厂处理，经处理达到《城镇污水处理厂污染物排放标准》（GB18918-2002）一级A 标准后排入机排二十渠。</w:t>
      </w:r>
      <w:r>
        <w:rPr>
          <w:rFonts w:hint="eastAsia" w:cs="Times New Roman"/>
          <w:b w:val="0"/>
          <w:bCs/>
          <w:color w:val="000000" w:themeColor="text1"/>
          <w:kern w:val="2"/>
          <w:sz w:val="24"/>
          <w:szCs w:val="24"/>
          <w:u w:val="wave" w:color="auto"/>
          <w:lang w:val="en-US" w:eastAsia="zh-CN"/>
          <w14:textFill>
            <w14:solidFill>
              <w14:schemeClr w14:val="tx1"/>
            </w14:solidFill>
          </w14:textFill>
        </w:rPr>
        <w:t>本项目入河排污口上游有</w:t>
      </w:r>
      <w:r>
        <w:rPr>
          <w:rFonts w:hint="default"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t>大通湖中心城区生活污水处理厂</w:t>
      </w:r>
      <w:r>
        <w:rPr>
          <w:rFonts w:hint="eastAsia"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t>入河排污口，</w:t>
      </w:r>
      <w:r>
        <w:rPr>
          <w:rFonts w:hint="default"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t>大通湖中心城区居民生活污水均进入大通湖中心城区生活污水处理厂，日处理规模为10000m</w:t>
      </w:r>
      <w:r>
        <w:rPr>
          <w:rFonts w:hint="default" w:ascii="Times New Roman" w:hAnsi="Times New Roman" w:eastAsia="宋体" w:cs="Times New Roman"/>
          <w:b w:val="0"/>
          <w:bCs/>
          <w:color w:val="000000" w:themeColor="text1"/>
          <w:kern w:val="2"/>
          <w:sz w:val="24"/>
          <w:szCs w:val="24"/>
          <w:u w:val="wave" w:color="auto"/>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t>/d，处理后达到《城镇污水处理厂污染物排放标准》 （GB18918-2002）一级 A 标准后排入机排二十渠。雨水随排水沟排入机排二十渠和老三运河。另外机排二渠、横干六渠、机排五渠均</w:t>
      </w:r>
      <w:r>
        <w:rPr>
          <w:rFonts w:hint="eastAsia" w:cs="Times New Roman"/>
          <w:b w:val="0"/>
          <w:bCs/>
          <w:color w:val="000000" w:themeColor="text1"/>
          <w:kern w:val="2"/>
          <w:sz w:val="24"/>
          <w:szCs w:val="24"/>
          <w:u w:val="wave" w:color="auto"/>
          <w:lang w:val="en-US" w:eastAsia="zh-CN"/>
          <w14:textFill>
            <w14:solidFill>
              <w14:schemeClr w14:val="tx1"/>
            </w14:solidFill>
          </w14:textFill>
        </w:rPr>
        <w:t>与</w:t>
      </w:r>
      <w:r>
        <w:rPr>
          <w:rFonts w:hint="default" w:ascii="Times New Roman" w:hAnsi="Times New Roman" w:eastAsia="宋体" w:cs="Times New Roman"/>
          <w:b w:val="0"/>
          <w:bCs/>
          <w:color w:val="000000" w:themeColor="text1"/>
          <w:kern w:val="2"/>
          <w:sz w:val="24"/>
          <w:szCs w:val="24"/>
          <w:u w:val="wave" w:color="auto"/>
          <w:lang w:val="en-US" w:eastAsia="zh-CN"/>
          <w14:textFill>
            <w14:solidFill>
              <w14:schemeClr w14:val="tx1"/>
            </w14:solidFill>
          </w14:textFill>
        </w:rPr>
        <w:t>老三运河相通。</w:t>
      </w:r>
    </w:p>
    <w:bookmarkEnd w:id="274"/>
    <w:p w14:paraId="59D49E75">
      <w:pPr>
        <w:keepNext/>
        <w:keepLines/>
        <w:pageBreakBefore w:val="0"/>
        <w:widowControl w:val="0"/>
        <w:numPr>
          <w:ilvl w:val="0"/>
          <w:numId w:val="0"/>
        </w:numPr>
        <w:tabs>
          <w:tab w:val="left" w:pos="425"/>
        </w:tabs>
        <w:kinsoku/>
        <w:wordWrap/>
        <w:overflowPunct/>
        <w:topLinePunct w:val="0"/>
        <w:autoSpaceDE/>
        <w:autoSpaceDN/>
        <w:bidi w:val="0"/>
        <w:adjustRightInd/>
        <w:snapToGrid/>
        <w:spacing w:line="360" w:lineRule="auto"/>
        <w:ind w:left="0" w:leftChars="0" w:firstLine="0"/>
        <w:jc w:val="both"/>
        <w:textAlignment w:val="auto"/>
        <w:outlineLvl w:val="1"/>
        <w:rPr>
          <w:rFonts w:hint="default" w:ascii="Times New Roman" w:hAnsi="Times New Roman" w:eastAsia="宋体" w:cs="Times New Roman"/>
          <w:b/>
          <w:bCs/>
          <w:color w:val="000000" w:themeColor="text1"/>
          <w:kern w:val="2"/>
          <w:sz w:val="28"/>
          <w:szCs w:val="28"/>
          <w:u w:val="wave" w:color="auto"/>
          <w:lang w:val="en-US" w:eastAsia="zh-CN" w:bidi="ar-SA"/>
          <w14:textFill>
            <w14:solidFill>
              <w14:schemeClr w14:val="tx1"/>
            </w14:solidFill>
          </w14:textFill>
        </w:rPr>
      </w:pPr>
      <w:bookmarkStart w:id="275" w:name="_Toc1019"/>
      <w:bookmarkStart w:id="276" w:name="_Toc11970"/>
      <w:r>
        <w:rPr>
          <w:rFonts w:hint="eastAsia" w:ascii="Times New Roman" w:hAnsi="Times New Roman" w:eastAsia="宋体" w:cs="Times New Roman"/>
          <w:b/>
          <w:bCs/>
          <w:color w:val="000000" w:themeColor="text1"/>
          <w:kern w:val="2"/>
          <w:sz w:val="28"/>
          <w:szCs w:val="28"/>
          <w:u w:val="wave" w:color="auto"/>
          <w:lang w:val="en-US" w:eastAsia="zh-CN" w:bidi="ar-SA"/>
          <w14:textFill>
            <w14:solidFill>
              <w14:schemeClr w14:val="tx1"/>
            </w14:solidFill>
          </w14:textFill>
        </w:rPr>
        <w:t>4.3</w:t>
      </w:r>
      <w:r>
        <w:rPr>
          <w:rFonts w:hint="default" w:ascii="Times New Roman" w:hAnsi="Times New Roman" w:eastAsia="宋体" w:cs="Times New Roman"/>
          <w:b/>
          <w:bCs/>
          <w:color w:val="000000" w:themeColor="text1"/>
          <w:kern w:val="2"/>
          <w:sz w:val="28"/>
          <w:szCs w:val="28"/>
          <w:u w:val="wave" w:color="auto"/>
          <w:lang w:val="en-US" w:eastAsia="zh-CN" w:bidi="ar-SA"/>
          <w14:textFill>
            <w14:solidFill>
              <w14:schemeClr w14:val="tx1"/>
            </w14:solidFill>
          </w14:textFill>
        </w:rPr>
        <w:t xml:space="preserve"> </w:t>
      </w:r>
      <w:r>
        <w:rPr>
          <w:rFonts w:hint="eastAsia" w:cs="Times New Roman"/>
          <w:b/>
          <w:bCs/>
          <w:color w:val="000000" w:themeColor="text1"/>
          <w:kern w:val="2"/>
          <w:sz w:val="28"/>
          <w:szCs w:val="28"/>
          <w:u w:val="wave" w:color="auto"/>
          <w:lang w:val="en-US" w:eastAsia="zh-CN" w:bidi="ar-SA"/>
          <w14:textFill>
            <w14:solidFill>
              <w14:schemeClr w14:val="tx1"/>
            </w14:solidFill>
          </w14:textFill>
        </w:rPr>
        <w:t>论证范围</w:t>
      </w:r>
      <w:r>
        <w:rPr>
          <w:rFonts w:hint="default" w:ascii="Times New Roman" w:hAnsi="Times New Roman" w:eastAsia="宋体" w:cs="Times New Roman"/>
          <w:b/>
          <w:bCs/>
          <w:color w:val="000000" w:themeColor="text1"/>
          <w:kern w:val="2"/>
          <w:sz w:val="28"/>
          <w:szCs w:val="28"/>
          <w:u w:val="wave" w:color="auto"/>
          <w:lang w:val="en-US" w:eastAsia="zh-CN" w:bidi="ar-SA"/>
          <w14:textFill>
            <w14:solidFill>
              <w14:schemeClr w14:val="tx1"/>
            </w14:solidFill>
          </w14:textFill>
        </w:rPr>
        <w:t>水文调查</w:t>
      </w:r>
      <w:bookmarkEnd w:id="275"/>
      <w:r>
        <w:rPr>
          <w:rFonts w:hint="default" w:ascii="Times New Roman" w:hAnsi="Times New Roman" w:eastAsia="宋体" w:cs="Times New Roman"/>
          <w:b/>
          <w:bCs/>
          <w:color w:val="000000" w:themeColor="text1"/>
          <w:kern w:val="2"/>
          <w:sz w:val="28"/>
          <w:szCs w:val="28"/>
          <w:u w:val="wave" w:color="auto"/>
          <w:lang w:val="en-US" w:eastAsia="zh-CN" w:bidi="ar-SA"/>
          <w14:textFill>
            <w14:solidFill>
              <w14:schemeClr w14:val="tx1"/>
            </w14:solidFill>
          </w14:textFill>
        </w:rPr>
        <w:t xml:space="preserve"> </w:t>
      </w:r>
    </w:p>
    <w:p w14:paraId="4AAE17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本项目</w:t>
      </w:r>
      <w:r>
        <w:rPr>
          <w:rFonts w:hint="eastAsia" w:cs="Times New Roman"/>
          <w:color w:val="000000" w:themeColor="text1"/>
          <w:kern w:val="0"/>
          <w:sz w:val="24"/>
          <w:szCs w:val="24"/>
          <w:u w:val="wave" w:color="auto"/>
          <w:lang w:val="en-US" w:eastAsia="zh-CN" w:bidi="ar"/>
          <w14:textFill>
            <w14:solidFill>
              <w14:schemeClr w14:val="tx1"/>
            </w14:solidFill>
          </w14:textFill>
        </w:rPr>
        <w:t>经处理达标后的尾水排入机排二十渠再入老三运河</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，为了解</w:t>
      </w:r>
      <w:r>
        <w:rPr>
          <w:rFonts w:hint="eastAsia" w:cs="Times New Roman"/>
          <w:color w:val="000000" w:themeColor="text1"/>
          <w:kern w:val="0"/>
          <w:sz w:val="24"/>
          <w:szCs w:val="24"/>
          <w:u w:val="wave" w:color="auto"/>
          <w:lang w:val="en-US" w:eastAsia="zh-CN" w:bidi="ar"/>
          <w14:textFill>
            <w14:solidFill>
              <w14:schemeClr w14:val="tx1"/>
            </w14:solidFill>
          </w14:textFill>
        </w:rPr>
        <w:t>机排二十渠、老三运河</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水文参数，本次论证于2025年</w:t>
      </w:r>
      <w:r>
        <w:rPr>
          <w:rFonts w:hint="eastAsia" w:cs="Times New Roman"/>
          <w:color w:val="000000" w:themeColor="text1"/>
          <w:kern w:val="0"/>
          <w:sz w:val="24"/>
          <w:szCs w:val="24"/>
          <w:u w:val="wave" w:color="auto"/>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月</w:t>
      </w:r>
      <w:r>
        <w:rPr>
          <w:rFonts w:hint="eastAsia" w:cs="Times New Roman"/>
          <w:color w:val="000000" w:themeColor="text1"/>
          <w:kern w:val="0"/>
          <w:sz w:val="24"/>
          <w:szCs w:val="24"/>
          <w:u w:val="wave" w:color="auto"/>
          <w:lang w:val="en-US" w:eastAsia="zh-CN" w:bidi="ar"/>
          <w14:textFill>
            <w14:solidFill>
              <w14:schemeClr w14:val="tx1"/>
            </w14:solidFill>
          </w14:textFill>
        </w:rPr>
        <w:t>18</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日-</w:t>
      </w:r>
      <w:r>
        <w:rPr>
          <w:rFonts w:hint="eastAsia" w:cs="Times New Roman"/>
          <w:color w:val="000000" w:themeColor="text1"/>
          <w:kern w:val="0"/>
          <w:sz w:val="24"/>
          <w:szCs w:val="24"/>
          <w:u w:val="wave" w:color="auto"/>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月</w:t>
      </w:r>
      <w:r>
        <w:rPr>
          <w:rFonts w:hint="eastAsia" w:cs="Times New Roman"/>
          <w:color w:val="000000" w:themeColor="text1"/>
          <w:kern w:val="0"/>
          <w:sz w:val="24"/>
          <w:szCs w:val="24"/>
          <w:u w:val="wave" w:color="auto"/>
          <w:lang w:val="en-US" w:eastAsia="zh-CN" w:bidi="ar"/>
          <w14:textFill>
            <w14:solidFill>
              <w14:schemeClr w14:val="tx1"/>
            </w14:solidFill>
          </w14:textFill>
        </w:rPr>
        <w:t>20</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日委托</w:t>
      </w:r>
      <w:r>
        <w:rPr>
          <w:rFonts w:hint="default" w:ascii="Times New Roman" w:hAnsi="Times New Roman" w:eastAsia="宋体" w:cs="Times New Roman"/>
          <w:b w:val="0"/>
          <w:bCs/>
          <w:color w:val="000000" w:themeColor="text1"/>
          <w:szCs w:val="24"/>
          <w:highlight w:val="none"/>
          <w:u w:val="wave" w:color="auto"/>
          <w:lang w:eastAsia="zh-CN"/>
          <w14:textFill>
            <w14:solidFill>
              <w14:schemeClr w14:val="tx1"/>
            </w14:solidFill>
          </w14:textFill>
        </w:rPr>
        <w:t>湖南瑞鉴检测有限公司</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对</w:t>
      </w:r>
      <w:r>
        <w:rPr>
          <w:rFonts w:hint="eastAsia" w:cs="Times New Roman"/>
          <w:color w:val="000000" w:themeColor="text1"/>
          <w:kern w:val="0"/>
          <w:sz w:val="24"/>
          <w:szCs w:val="24"/>
          <w:u w:val="wave" w:color="auto"/>
          <w:lang w:val="en-US" w:eastAsia="zh-CN" w:bidi="ar"/>
          <w14:textFill>
            <w14:solidFill>
              <w14:schemeClr w14:val="tx1"/>
            </w14:solidFill>
          </w14:textFill>
        </w:rPr>
        <w:t>机排二十渠、老三运河</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水水文参数进行现场调查。</w:t>
      </w:r>
    </w:p>
    <w:p w14:paraId="4B22E81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themeColor="text1"/>
          <w:kern w:val="0"/>
          <w:sz w:val="24"/>
          <w:szCs w:val="24"/>
          <w:u w:val="wave" w:color="auto"/>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wave" w:color="auto"/>
          <w:lang w:val="en-US" w:eastAsia="zh-CN" w:bidi="ar"/>
          <w14:textFill>
            <w14:solidFill>
              <w14:schemeClr w14:val="tx1"/>
            </w14:solidFill>
          </w14:textFill>
        </w:rPr>
        <w:t>表4.2-1 水文参数情况表</w:t>
      </w:r>
    </w:p>
    <w:tbl>
      <w:tblPr>
        <w:tblStyle w:val="7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230"/>
        <w:gridCol w:w="1815"/>
        <w:gridCol w:w="1795"/>
        <w:gridCol w:w="1430"/>
        <w:gridCol w:w="1666"/>
      </w:tblGrid>
      <w:tr w14:paraId="43C88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2" w:type="dxa"/>
            <w:tcBorders>
              <w:tl2br w:val="nil"/>
              <w:tr2bl w:val="nil"/>
            </w:tcBorders>
            <w:noWrap w:val="0"/>
            <w:vAlign w:val="top"/>
          </w:tcPr>
          <w:p w14:paraId="292C36A8">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t>河流</w:t>
            </w:r>
          </w:p>
        </w:tc>
        <w:tc>
          <w:tcPr>
            <w:tcW w:w="1230" w:type="dxa"/>
            <w:tcBorders>
              <w:tl2br w:val="nil"/>
              <w:tr2bl w:val="nil"/>
            </w:tcBorders>
            <w:noWrap w:val="0"/>
            <w:vAlign w:val="top"/>
          </w:tcPr>
          <w:p w14:paraId="153ED4D2">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t>时期</w:t>
            </w:r>
          </w:p>
        </w:tc>
        <w:tc>
          <w:tcPr>
            <w:tcW w:w="1815" w:type="dxa"/>
            <w:tcBorders>
              <w:tl2br w:val="nil"/>
              <w:tr2bl w:val="nil"/>
            </w:tcBorders>
            <w:noWrap w:val="0"/>
            <w:vAlign w:val="top"/>
          </w:tcPr>
          <w:p w14:paraId="404F1B86">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t>平均河宽（m）</w:t>
            </w:r>
          </w:p>
        </w:tc>
        <w:tc>
          <w:tcPr>
            <w:tcW w:w="1795" w:type="dxa"/>
            <w:tcBorders>
              <w:tl2br w:val="nil"/>
              <w:tr2bl w:val="nil"/>
            </w:tcBorders>
            <w:noWrap w:val="0"/>
            <w:vAlign w:val="top"/>
          </w:tcPr>
          <w:p w14:paraId="61761843">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t>平均水深（m）</w:t>
            </w:r>
          </w:p>
        </w:tc>
        <w:tc>
          <w:tcPr>
            <w:tcW w:w="1430" w:type="dxa"/>
            <w:tcBorders>
              <w:tl2br w:val="nil"/>
              <w:tr2bl w:val="nil"/>
            </w:tcBorders>
            <w:noWrap w:val="0"/>
            <w:vAlign w:val="top"/>
          </w:tcPr>
          <w:p w14:paraId="645DBAB4">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t>流速（m/s）</w:t>
            </w:r>
          </w:p>
        </w:tc>
        <w:tc>
          <w:tcPr>
            <w:tcW w:w="1666" w:type="dxa"/>
            <w:tcBorders>
              <w:tl2br w:val="nil"/>
              <w:tr2bl w:val="nil"/>
            </w:tcBorders>
            <w:noWrap w:val="0"/>
            <w:vAlign w:val="top"/>
          </w:tcPr>
          <w:p w14:paraId="0A91240D">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t>平均流量（m</w:t>
            </w:r>
            <w:r>
              <w:rPr>
                <w:rFonts w:hint="default" w:ascii="Times New Roman" w:hAnsi="Times New Roman" w:eastAsia="宋体" w:cs="Times New Roman"/>
                <w:b/>
                <w:bCs w:val="0"/>
                <w:color w:val="000000" w:themeColor="text1"/>
                <w:kern w:val="2"/>
                <w:sz w:val="21"/>
                <w:szCs w:val="21"/>
                <w:u w:val="wave" w:color="auto"/>
                <w:vertAlign w:val="superscript"/>
                <w:lang w:val="en-US" w:eastAsia="zh-CN" w:bidi="ar-SA"/>
                <w14:textFill>
                  <w14:solidFill>
                    <w14:schemeClr w14:val="tx1"/>
                  </w14:solidFill>
                </w14:textFill>
              </w:rPr>
              <w:t>3</w:t>
            </w:r>
            <w:r>
              <w:rPr>
                <w:rFonts w:hint="default" w:ascii="Times New Roman" w:hAnsi="Times New Roman" w:eastAsia="宋体" w:cs="Times New Roman"/>
                <w:b/>
                <w:bCs w:val="0"/>
                <w:color w:val="000000" w:themeColor="text1"/>
                <w:kern w:val="2"/>
                <w:sz w:val="21"/>
                <w:szCs w:val="21"/>
                <w:u w:val="wave" w:color="auto"/>
                <w:vertAlign w:val="baseline"/>
                <w:lang w:val="en-US" w:eastAsia="zh-CN" w:bidi="ar-SA"/>
                <w14:textFill>
                  <w14:solidFill>
                    <w14:schemeClr w14:val="tx1"/>
                  </w14:solidFill>
                </w14:textFill>
              </w:rPr>
              <w:t>/s）</w:t>
            </w:r>
          </w:p>
        </w:tc>
      </w:tr>
      <w:tr w14:paraId="4490C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2" w:type="dxa"/>
            <w:tcBorders>
              <w:tl2br w:val="nil"/>
              <w:tr2bl w:val="nil"/>
            </w:tcBorders>
            <w:noWrap w:val="0"/>
            <w:vAlign w:val="top"/>
          </w:tcPr>
          <w:p w14:paraId="3AC80A5D">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机排二十渠</w:t>
            </w:r>
          </w:p>
        </w:tc>
        <w:tc>
          <w:tcPr>
            <w:tcW w:w="1230" w:type="dxa"/>
            <w:tcBorders>
              <w:tl2br w:val="nil"/>
              <w:tr2bl w:val="nil"/>
            </w:tcBorders>
            <w:noWrap w:val="0"/>
            <w:vAlign w:val="top"/>
          </w:tcPr>
          <w:p w14:paraId="0AAFA370">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枯水期</w:t>
            </w:r>
          </w:p>
        </w:tc>
        <w:tc>
          <w:tcPr>
            <w:tcW w:w="1815" w:type="dxa"/>
            <w:tcBorders>
              <w:tl2br w:val="nil"/>
              <w:tr2bl w:val="nil"/>
            </w:tcBorders>
            <w:noWrap w:val="0"/>
            <w:vAlign w:val="top"/>
          </w:tcPr>
          <w:p w14:paraId="7D5635A9">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10.3</w:t>
            </w:r>
          </w:p>
        </w:tc>
        <w:tc>
          <w:tcPr>
            <w:tcW w:w="1795" w:type="dxa"/>
            <w:tcBorders>
              <w:tl2br w:val="nil"/>
              <w:tr2bl w:val="nil"/>
            </w:tcBorders>
            <w:noWrap w:val="0"/>
            <w:vAlign w:val="top"/>
          </w:tcPr>
          <w:p w14:paraId="66BF4B8A">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0.51</w:t>
            </w:r>
          </w:p>
        </w:tc>
        <w:tc>
          <w:tcPr>
            <w:tcW w:w="1430" w:type="dxa"/>
            <w:tcBorders>
              <w:tl2br w:val="nil"/>
              <w:tr2bl w:val="nil"/>
            </w:tcBorders>
            <w:noWrap w:val="0"/>
            <w:vAlign w:val="top"/>
          </w:tcPr>
          <w:p w14:paraId="3CB6A910">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0.11</w:t>
            </w:r>
          </w:p>
        </w:tc>
        <w:tc>
          <w:tcPr>
            <w:tcW w:w="1666" w:type="dxa"/>
            <w:tcBorders>
              <w:tl2br w:val="nil"/>
              <w:tr2bl w:val="nil"/>
            </w:tcBorders>
            <w:noWrap w:val="0"/>
            <w:vAlign w:val="top"/>
          </w:tcPr>
          <w:p w14:paraId="64853638">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0.</w:t>
            </w:r>
            <w:r>
              <w:rPr>
                <w:rFonts w:hint="eastAsia" w:cs="Times New Roman"/>
                <w:b w:val="0"/>
                <w:bCs/>
                <w:color w:val="000000" w:themeColor="text1"/>
                <w:kern w:val="2"/>
                <w:sz w:val="21"/>
                <w:szCs w:val="21"/>
                <w:u w:val="wave" w:color="auto"/>
                <w:vertAlign w:val="baseline"/>
                <w:lang w:val="en-US" w:eastAsia="zh-CN" w:bidi="ar-SA"/>
                <w14:textFill>
                  <w14:solidFill>
                    <w14:schemeClr w14:val="tx1"/>
                  </w14:solidFill>
                </w14:textFill>
              </w:rPr>
              <w:t>76</w:t>
            </w:r>
          </w:p>
        </w:tc>
      </w:tr>
      <w:tr w14:paraId="06019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2" w:type="dxa"/>
            <w:tcBorders>
              <w:tl2br w:val="nil"/>
              <w:tr2bl w:val="nil"/>
            </w:tcBorders>
            <w:noWrap w:val="0"/>
            <w:vAlign w:val="top"/>
          </w:tcPr>
          <w:p w14:paraId="0E876163">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老三运河</w:t>
            </w:r>
          </w:p>
        </w:tc>
        <w:tc>
          <w:tcPr>
            <w:tcW w:w="1230" w:type="dxa"/>
            <w:tcBorders>
              <w:tl2br w:val="nil"/>
              <w:tr2bl w:val="nil"/>
            </w:tcBorders>
            <w:noWrap w:val="0"/>
            <w:vAlign w:val="top"/>
          </w:tcPr>
          <w:p w14:paraId="5483CF4C">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枯水期</w:t>
            </w:r>
          </w:p>
        </w:tc>
        <w:tc>
          <w:tcPr>
            <w:tcW w:w="1815" w:type="dxa"/>
            <w:tcBorders>
              <w:tl2br w:val="nil"/>
              <w:tr2bl w:val="nil"/>
            </w:tcBorders>
            <w:noWrap w:val="0"/>
            <w:vAlign w:val="top"/>
          </w:tcPr>
          <w:p w14:paraId="7AE09518">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27.3</w:t>
            </w:r>
          </w:p>
        </w:tc>
        <w:tc>
          <w:tcPr>
            <w:tcW w:w="1795" w:type="dxa"/>
            <w:tcBorders>
              <w:tl2br w:val="nil"/>
              <w:tr2bl w:val="nil"/>
            </w:tcBorders>
            <w:noWrap w:val="0"/>
            <w:vAlign w:val="top"/>
          </w:tcPr>
          <w:p w14:paraId="22895180">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0.96</w:t>
            </w:r>
          </w:p>
        </w:tc>
        <w:tc>
          <w:tcPr>
            <w:tcW w:w="1430" w:type="dxa"/>
            <w:tcBorders>
              <w:tl2br w:val="nil"/>
              <w:tr2bl w:val="nil"/>
            </w:tcBorders>
            <w:noWrap w:val="0"/>
            <w:vAlign w:val="top"/>
          </w:tcPr>
          <w:p w14:paraId="6C80FEE9">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0.14</w:t>
            </w:r>
          </w:p>
        </w:tc>
        <w:tc>
          <w:tcPr>
            <w:tcW w:w="1666" w:type="dxa"/>
            <w:tcBorders>
              <w:tl2br w:val="nil"/>
              <w:tr2bl w:val="nil"/>
            </w:tcBorders>
            <w:noWrap w:val="0"/>
            <w:vAlign w:val="top"/>
          </w:tcPr>
          <w:p w14:paraId="0EEB0FC6">
            <w:pPr>
              <w:keepNext/>
              <w:keepLines/>
              <w:widowControl w:val="0"/>
              <w:suppressLineNumbers w:val="0"/>
              <w:spacing w:before="0" w:beforeAutospacing="0" w:after="0" w:afterAutospacing="0" w:line="36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wave" w:color="auto"/>
                <w:vertAlign w:val="baseline"/>
                <w:lang w:val="en-US" w:eastAsia="zh-CN" w:bidi="ar-SA"/>
                <w14:textFill>
                  <w14:solidFill>
                    <w14:schemeClr w14:val="tx1"/>
                  </w14:solidFill>
                </w14:textFill>
              </w:rPr>
              <w:t>3.64</w:t>
            </w:r>
          </w:p>
        </w:tc>
      </w:tr>
    </w:tbl>
    <w:p w14:paraId="7E0ECD8A">
      <w:pPr>
        <w:pStyle w:val="444"/>
        <w:numPr>
          <w:ilvl w:val="0"/>
          <w:numId w:val="0"/>
        </w:numPr>
        <w:spacing w:beforeLines="0"/>
        <w:rPr>
          <w:rFonts w:hint="eastAsia"/>
          <w:color w:val="FF0000"/>
          <w:sz w:val="28"/>
          <w:szCs w:val="28"/>
          <w:u w:val="wave" w:color="auto"/>
        </w:rPr>
      </w:pPr>
      <w:bookmarkStart w:id="277" w:name="_Toc13034"/>
      <w:bookmarkStart w:id="278" w:name="_Toc6034"/>
      <w:r>
        <w:rPr>
          <w:rFonts w:hint="eastAsia"/>
          <w:color w:val="FF0000"/>
          <w:sz w:val="28"/>
          <w:szCs w:val="28"/>
          <w:u w:val="wave" w:color="auto"/>
          <w:lang w:val="en-US" w:eastAsia="zh-CN"/>
        </w:rPr>
        <w:t>4.4</w:t>
      </w:r>
      <w:r>
        <w:rPr>
          <w:rFonts w:hint="eastAsia"/>
          <w:color w:val="FF0000"/>
          <w:sz w:val="28"/>
          <w:szCs w:val="28"/>
          <w:u w:val="wave" w:color="auto"/>
        </w:rPr>
        <w:t>论证范围内水工建筑调查</w:t>
      </w:r>
      <w:bookmarkEnd w:id="277"/>
      <w:bookmarkEnd w:id="278"/>
    </w:p>
    <w:p w14:paraId="0F243811">
      <w:pPr>
        <w:pStyle w:val="18"/>
        <w:tabs>
          <w:tab w:val="left" w:pos="1021"/>
        </w:tabs>
        <w:adjustRightInd w:val="0"/>
        <w:snapToGrid w:val="0"/>
        <w:spacing w:line="360" w:lineRule="auto"/>
        <w:ind w:firstLine="480"/>
        <w:rPr>
          <w:rFonts w:hint="eastAsia"/>
          <w:bCs/>
          <w:color w:val="FF0000"/>
          <w:sz w:val="24"/>
          <w:u w:val="wave" w:color="auto"/>
        </w:rPr>
      </w:pPr>
      <w:r>
        <w:rPr>
          <w:rFonts w:hint="eastAsia"/>
          <w:bCs/>
          <w:color w:val="FF0000"/>
          <w:sz w:val="24"/>
          <w:u w:val="wave" w:color="auto"/>
        </w:rPr>
        <w:t>论证水域</w:t>
      </w:r>
      <w:r>
        <w:rPr>
          <w:rFonts w:hint="eastAsia"/>
          <w:bCs/>
          <w:color w:val="FF0000"/>
          <w:sz w:val="24"/>
          <w:u w:val="wave" w:color="auto"/>
          <w:lang w:val="en-US" w:eastAsia="zh-CN"/>
        </w:rPr>
        <w:t>范围</w:t>
      </w:r>
      <w:r>
        <w:rPr>
          <w:rFonts w:hint="eastAsia"/>
          <w:bCs/>
          <w:color w:val="FF0000"/>
          <w:sz w:val="24"/>
          <w:u w:val="wave" w:color="auto"/>
        </w:rPr>
        <w:t>内共设置</w:t>
      </w:r>
      <w:r>
        <w:rPr>
          <w:rFonts w:hint="eastAsia"/>
          <w:bCs/>
          <w:color w:val="FF0000"/>
          <w:sz w:val="24"/>
          <w:u w:val="wave" w:color="auto"/>
          <w:lang w:val="en-US" w:eastAsia="zh-CN"/>
        </w:rPr>
        <w:t>有2</w:t>
      </w:r>
      <w:r>
        <w:rPr>
          <w:rFonts w:hint="eastAsia"/>
          <w:bCs/>
          <w:color w:val="FF0000"/>
          <w:sz w:val="24"/>
          <w:u w:val="wave" w:color="auto"/>
        </w:rPr>
        <w:t>个</w:t>
      </w:r>
      <w:r>
        <w:rPr>
          <w:rFonts w:hint="eastAsia"/>
          <w:bCs/>
          <w:color w:val="FF0000"/>
          <w:sz w:val="24"/>
          <w:u w:val="wave" w:color="auto"/>
          <w:lang w:val="en-US" w:eastAsia="zh-CN"/>
        </w:rPr>
        <w:t>排</w:t>
      </w:r>
      <w:r>
        <w:rPr>
          <w:rFonts w:hint="eastAsia"/>
          <w:bCs/>
          <w:color w:val="FF0000"/>
          <w:sz w:val="24"/>
          <w:u w:val="wave" w:color="auto"/>
        </w:rPr>
        <w:t>水泵站，分别为</w:t>
      </w:r>
      <w:r>
        <w:rPr>
          <w:rFonts w:hint="eastAsia"/>
          <w:bCs/>
          <w:color w:val="FF0000"/>
          <w:sz w:val="24"/>
          <w:u w:val="wave" w:color="auto"/>
          <w:lang w:val="en-US" w:eastAsia="zh-CN"/>
        </w:rPr>
        <w:t>机排二十渠的</w:t>
      </w:r>
      <w:r>
        <w:rPr>
          <w:rFonts w:hint="eastAsia"/>
          <w:bCs/>
          <w:color w:val="FF0000"/>
          <w:sz w:val="24"/>
          <w:u w:val="wave" w:color="auto"/>
        </w:rPr>
        <w:t>河坝二十电排泵站、</w:t>
      </w:r>
      <w:r>
        <w:rPr>
          <w:rFonts w:hint="eastAsia"/>
          <w:bCs/>
          <w:color w:val="FF0000"/>
          <w:sz w:val="24"/>
          <w:u w:val="wave" w:color="auto"/>
          <w:lang w:val="en-US" w:eastAsia="zh-CN"/>
        </w:rPr>
        <w:t>老三运河的</w:t>
      </w:r>
      <w:r>
        <w:rPr>
          <w:rFonts w:hint="eastAsia"/>
          <w:bCs/>
          <w:color w:val="FF0000"/>
          <w:sz w:val="24"/>
          <w:u w:val="wave" w:color="auto"/>
        </w:rPr>
        <w:t>河坝二电排泵站。</w:t>
      </w:r>
    </w:p>
    <w:p w14:paraId="40C99F4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eastAsia" w:ascii="Times New Roman" w:hAnsi="Times New Roman" w:eastAsia="宋体" w:cs="Times New Roman"/>
          <w:b/>
          <w:bCs/>
          <w:color w:val="FF0000"/>
          <w:kern w:val="0"/>
          <w:sz w:val="24"/>
          <w:szCs w:val="24"/>
          <w:lang w:val="en-US" w:eastAsia="zh-CN" w:bidi="ar"/>
        </w:rPr>
      </w:pPr>
      <w:bookmarkStart w:id="279" w:name="_Toc133"/>
      <w:r>
        <w:rPr>
          <w:rFonts w:hint="eastAsia" w:ascii="Times New Roman" w:hAnsi="Times New Roman" w:eastAsia="宋体" w:cs="Times New Roman"/>
          <w:b/>
          <w:bCs/>
          <w:color w:val="FF0000"/>
          <w:kern w:val="0"/>
          <w:sz w:val="24"/>
          <w:szCs w:val="24"/>
          <w:lang w:val="en-US" w:eastAsia="zh-CN" w:bidi="ar"/>
        </w:rPr>
        <w:t>4.5水生态状况调查</w:t>
      </w:r>
      <w:bookmarkEnd w:id="279"/>
    </w:p>
    <w:p w14:paraId="2F3E8380">
      <w:pPr>
        <w:keepNext w:val="0"/>
        <w:keepLines w:val="0"/>
        <w:pageBreakBefore w:val="0"/>
        <w:widowControl/>
        <w:suppressLineNumbers w:val="0"/>
        <w:kinsoku/>
        <w:wordWrap/>
        <w:overflowPunct/>
        <w:topLinePunct w:val="0"/>
        <w:autoSpaceDE/>
        <w:autoSpaceDN/>
        <w:bidi w:val="0"/>
        <w:adjustRightIn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kern w:val="0"/>
          <w:sz w:val="24"/>
          <w:szCs w:val="24"/>
          <w:lang w:val="en-US" w:eastAsia="zh-CN" w:bidi="ar"/>
        </w:rPr>
        <w:t>为了解项目所在水域水生生物现状，本次评价引用《洞庭湖流域大通湖片区水环境综合治理项目环境影响报告书》</w:t>
      </w:r>
      <w:r>
        <w:rPr>
          <w:rFonts w:hint="eastAsia" w:ascii="Times New Roman" w:hAnsi="Times New Roman" w:eastAsia="宋体" w:cs="Times New Roman"/>
          <w:color w:val="FF0000"/>
          <w:kern w:val="0"/>
          <w:sz w:val="24"/>
          <w:szCs w:val="24"/>
          <w:lang w:val="en-US" w:eastAsia="zh-CN" w:bidi="ar"/>
        </w:rPr>
        <w:t>分别于2024年9月、12月对项目</w:t>
      </w:r>
      <w:r>
        <w:rPr>
          <w:rFonts w:hint="eastAsia" w:cs="Times New Roman"/>
          <w:color w:val="FF0000"/>
          <w:kern w:val="0"/>
          <w:sz w:val="24"/>
          <w:szCs w:val="24"/>
          <w:lang w:val="en-US" w:eastAsia="zh-CN" w:bidi="ar"/>
        </w:rPr>
        <w:t>所在区域</w:t>
      </w:r>
      <w:r>
        <w:rPr>
          <w:rFonts w:hint="default" w:ascii="Times New Roman" w:hAnsi="Times New Roman" w:eastAsia="宋体" w:cs="Times New Roman"/>
          <w:color w:val="FF0000"/>
          <w:kern w:val="0"/>
          <w:sz w:val="24"/>
          <w:szCs w:val="24"/>
          <w:lang w:val="en-US" w:eastAsia="zh-CN" w:bidi="ar"/>
        </w:rPr>
        <w:t>中</w:t>
      </w:r>
      <w:r>
        <w:rPr>
          <w:rFonts w:hint="eastAsia" w:ascii="Times New Roman" w:hAnsi="Times New Roman" w:eastAsia="宋体" w:cs="Times New Roman"/>
          <w:color w:val="FF0000"/>
          <w:kern w:val="0"/>
          <w:sz w:val="24"/>
          <w:szCs w:val="24"/>
          <w:lang w:val="en-US" w:eastAsia="zh-CN" w:bidi="ar"/>
        </w:rPr>
        <w:t>老三运河</w:t>
      </w:r>
      <w:r>
        <w:rPr>
          <w:rFonts w:hint="default" w:ascii="Times New Roman" w:hAnsi="Times New Roman" w:eastAsia="宋体" w:cs="Times New Roman"/>
          <w:color w:val="FF0000"/>
          <w:kern w:val="0"/>
          <w:sz w:val="24"/>
          <w:szCs w:val="24"/>
          <w:lang w:val="en-US" w:eastAsia="zh-CN" w:bidi="ar"/>
        </w:rPr>
        <w:t>水生生物现状调查结果。</w:t>
      </w:r>
    </w:p>
    <w:p w14:paraId="64E7F56C">
      <w:pPr>
        <w:spacing w:line="360" w:lineRule="auto"/>
        <w:ind w:firstLine="482" w:firstLineChars="200"/>
        <w:jc w:val="both"/>
        <w:rPr>
          <w:rFonts w:hint="default" w:ascii="Times New Roman" w:hAnsi="Times New Roman" w:cs="Times New Roman" w:eastAsiaTheme="minorEastAsia"/>
          <w:color w:val="FF0000"/>
          <w:sz w:val="24"/>
          <w:lang w:val="en-US"/>
        </w:rPr>
      </w:pPr>
      <w:r>
        <w:rPr>
          <w:rFonts w:hint="eastAsia" w:cs="Times New Roman"/>
          <w:b/>
          <w:color w:val="FF0000"/>
          <w:sz w:val="24"/>
          <w:szCs w:val="24"/>
          <w:lang w:val="en-US" w:eastAsia="zh-CN"/>
        </w:rPr>
        <w:t>（1）</w:t>
      </w:r>
      <w:r>
        <w:rPr>
          <w:rFonts w:hint="eastAsia" w:ascii="Times New Roman" w:hAnsi="Times New Roman" w:cs="Times New Roman"/>
          <w:b/>
          <w:color w:val="FF0000"/>
          <w:sz w:val="24"/>
          <w:szCs w:val="24"/>
          <w:lang w:val="en-US" w:eastAsia="zh-CN"/>
        </w:rPr>
        <w:t>浮游植物</w:t>
      </w:r>
    </w:p>
    <w:p w14:paraId="7DB4E372">
      <w:pPr>
        <w:spacing w:line="360" w:lineRule="auto"/>
        <w:ind w:firstLine="480" w:firstLineChars="200"/>
        <w:jc w:val="both"/>
        <w:rPr>
          <w:rFonts w:hint="eastAsia" w:ascii="Times New Roman" w:hAnsi="Times New Roman" w:cs="Times New Roman" w:eastAsiaTheme="minorEastAsia"/>
          <w:color w:val="FF0000"/>
          <w:sz w:val="24"/>
          <w:lang w:val="en-US" w:eastAsia="zh-CN"/>
        </w:rPr>
      </w:pPr>
      <w:r>
        <w:rPr>
          <w:rFonts w:hint="eastAsia" w:ascii="Times New Roman" w:hAnsi="Times New Roman" w:cs="Times New Roman" w:eastAsiaTheme="minorEastAsia"/>
          <w:color w:val="FF0000"/>
          <w:sz w:val="24"/>
          <w:lang w:val="en-US" w:eastAsia="zh-CN"/>
        </w:rPr>
        <w:t>评价区浮游植物较为丰富，现状调查共采集到绿藻门（Chlorophyta）、裸藻门（Euglenophyta）、蓝藻门（Cyanophyta）、硅藻门（Bacillariophyta）、隐藻门（Cryptophyta）、甲藻门（Pyrrophyta）、金藻门（Chrysophyta）等7门类浮游植物。其中，绿藻门最多，26属46种，裸藻门次之，4属19种，甲藻门和金藻门最少，均为1属2种。</w:t>
      </w:r>
    </w:p>
    <w:p w14:paraId="5F868CAE">
      <w:pPr>
        <w:spacing w:line="360" w:lineRule="auto"/>
        <w:ind w:firstLine="480" w:firstLineChars="200"/>
        <w:jc w:val="both"/>
        <w:rPr>
          <w:rFonts w:hint="eastAsia" w:ascii="Times New Roman" w:hAnsi="Times New Roman" w:cs="Times New Roman" w:eastAsiaTheme="minorEastAsia"/>
          <w:color w:val="FF0000"/>
          <w:sz w:val="24"/>
          <w:lang w:val="en-US" w:eastAsia="zh-CN"/>
        </w:rPr>
      </w:pPr>
      <w:r>
        <w:rPr>
          <w:rFonts w:hint="eastAsia" w:ascii="Times New Roman" w:hAnsi="Times New Roman" w:cs="Times New Roman" w:eastAsiaTheme="minorEastAsia"/>
          <w:color w:val="FF0000"/>
          <w:sz w:val="24"/>
          <w:lang w:val="en-US" w:eastAsia="zh-CN"/>
        </w:rPr>
        <w:t>夏末（9月）和冬季（12月）浮游植物种类数为44种。其中各季浮游植物种类均以绿藻门为主，裸藻门和蓝藻门次之，其中冬季（12月）以绿藻门和裸藻门种类为主，而夏末（9月）则以绿藻门和蓝藻门种类为主。</w:t>
      </w:r>
    </w:p>
    <w:p w14:paraId="28F53B73">
      <w:pPr>
        <w:spacing w:line="360" w:lineRule="auto"/>
        <w:ind w:firstLine="480" w:firstLineChars="200"/>
        <w:jc w:val="both"/>
        <w:rPr>
          <w:rFonts w:hint="eastAsia" w:ascii="Times New Roman" w:hAnsi="Times New Roman" w:cs="Times New Roman" w:eastAsiaTheme="minorEastAsia"/>
          <w:color w:val="FF0000"/>
          <w:sz w:val="24"/>
          <w:lang w:val="en-US" w:eastAsia="zh-CN"/>
        </w:rPr>
      </w:pPr>
      <w:r>
        <w:rPr>
          <w:rFonts w:hint="eastAsia" w:ascii="Times New Roman" w:hAnsi="Times New Roman" w:cs="Times New Roman" w:eastAsiaTheme="minorEastAsia"/>
          <w:color w:val="FF0000"/>
          <w:sz w:val="24"/>
          <w:lang w:val="en-US" w:eastAsia="zh-CN"/>
        </w:rPr>
        <w:t>若以出现频率大于50%的种类确定为优势种，则夏末（9月）的优势种（出现频率）：卷曲鱼腥藻（Anabaena circinalis）（92.6%）、铜绿微囊藻（Microcystis aeruginosa）（74.1%）、固氮鱼腥藻（Anabaena azotica）（63.0%）；冬季（12月）的优势种（出现频率）为：二角多甲藻（Peridinium bipes）（85.2%）、尖尾蓝隐藻（Chroomona acuta）（74.1%）、小球藻（Chlorella vulgaris）（74.1%）、卵形隐藻（Crytomonas ovate）（70.3%）、梅尼小环藻（Cyclotella meneghiniana）（51.9%）。</w:t>
      </w:r>
    </w:p>
    <w:p w14:paraId="0D2C6919">
      <w:pPr>
        <w:pStyle w:val="456"/>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color w:val="FF0000"/>
          <w:highlight w:val="none"/>
          <w:lang w:val="en-US" w:eastAsia="zh-CN"/>
        </w:rPr>
      </w:pPr>
    </w:p>
    <w:p w14:paraId="0FFF6437">
      <w:pPr>
        <w:pStyle w:val="456"/>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color w:val="FF0000"/>
          <w:highlight w:val="none"/>
          <w:lang w:val="en-US"/>
        </w:rPr>
      </w:pPr>
      <w:r>
        <w:rPr>
          <w:rFonts w:hint="default" w:ascii="Times New Roman" w:hAnsi="Times New Roman" w:eastAsia="宋体" w:cs="Times New Roman"/>
          <w:b/>
          <w:bCs/>
          <w:color w:val="FF0000"/>
          <w:highlight w:val="none"/>
          <w:lang w:val="en-US" w:eastAsia="zh-CN"/>
        </w:rPr>
        <w:t>表4.</w:t>
      </w:r>
      <w:r>
        <w:rPr>
          <w:rFonts w:hint="eastAsia" w:ascii="Times New Roman" w:hAnsi="Times New Roman" w:eastAsia="宋体" w:cs="Times New Roman"/>
          <w:b/>
          <w:bCs/>
          <w:color w:val="FF0000"/>
          <w:highlight w:val="none"/>
          <w:lang w:val="en-US" w:eastAsia="zh-CN"/>
        </w:rPr>
        <w:t>2</w:t>
      </w:r>
      <w:r>
        <w:rPr>
          <w:rFonts w:hint="default" w:ascii="Times New Roman" w:hAnsi="Times New Roman" w:eastAsia="宋体" w:cs="Times New Roman"/>
          <w:b/>
          <w:bCs/>
          <w:color w:val="FF0000"/>
          <w:highlight w:val="none"/>
          <w:lang w:val="en-US" w:eastAsia="zh-CN"/>
        </w:rPr>
        <w:t>-</w:t>
      </w:r>
      <w:r>
        <w:rPr>
          <w:rFonts w:hint="eastAsia" w:ascii="Times New Roman" w:hAnsi="Times New Roman" w:eastAsia="宋体" w:cs="Times New Roman"/>
          <w:b/>
          <w:bCs/>
          <w:color w:val="FF0000"/>
          <w:highlight w:val="none"/>
          <w:lang w:val="en-US" w:eastAsia="zh-CN"/>
        </w:rPr>
        <w:t>2</w:t>
      </w:r>
      <w:r>
        <w:rPr>
          <w:rFonts w:hint="default" w:ascii="Times New Roman" w:hAnsi="Times New Roman" w:eastAsia="宋体" w:cs="Times New Roman"/>
          <w:b/>
          <w:bCs/>
          <w:color w:val="FF0000"/>
          <w:highlight w:val="none"/>
          <w:lang w:val="en-US" w:eastAsia="zh-CN"/>
        </w:rPr>
        <w:t xml:space="preserve">  浮游植物调查统计</w:t>
      </w:r>
    </w:p>
    <w:tbl>
      <w:tblPr>
        <w:tblStyle w:val="76"/>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98"/>
        <w:gridCol w:w="1668"/>
        <w:gridCol w:w="1814"/>
        <w:gridCol w:w="2589"/>
        <w:gridCol w:w="1812"/>
      </w:tblGrid>
      <w:tr w14:paraId="2EFC86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753" w:type="pct"/>
            <w:tcBorders>
              <w:tl2br w:val="nil"/>
              <w:tr2bl w:val="nil"/>
            </w:tcBorders>
            <w:shd w:val="clear" w:color="auto" w:fill="auto"/>
            <w:vAlign w:val="center"/>
          </w:tcPr>
          <w:p w14:paraId="1792F945">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default"/>
                <w:color w:val="FF0000"/>
                <w:lang w:val="en-US" w:eastAsia="zh-CN"/>
              </w:rPr>
            </w:pPr>
            <w:r>
              <w:rPr>
                <w:rFonts w:hint="eastAsia"/>
                <w:color w:val="FF0000"/>
                <w:lang w:val="en-US" w:eastAsia="zh-CN"/>
              </w:rPr>
              <w:t>调查点位</w:t>
            </w:r>
          </w:p>
        </w:tc>
        <w:tc>
          <w:tcPr>
            <w:tcW w:w="898" w:type="pct"/>
            <w:tcBorders>
              <w:tl2br w:val="nil"/>
              <w:tr2bl w:val="nil"/>
            </w:tcBorders>
            <w:shd w:val="clear" w:color="auto" w:fill="auto"/>
            <w:vAlign w:val="center"/>
          </w:tcPr>
          <w:p w14:paraId="65A0DF44">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default"/>
                <w:color w:val="FF0000"/>
                <w:lang w:val="en-US" w:eastAsia="zh-CN"/>
              </w:rPr>
            </w:pPr>
            <w:r>
              <w:rPr>
                <w:rFonts w:hint="eastAsia"/>
                <w:color w:val="FF0000"/>
                <w:lang w:val="en-US" w:eastAsia="zh-CN"/>
              </w:rPr>
              <w:t>所在位置</w:t>
            </w:r>
          </w:p>
        </w:tc>
        <w:tc>
          <w:tcPr>
            <w:tcW w:w="977" w:type="pct"/>
            <w:tcBorders>
              <w:tl2br w:val="nil"/>
              <w:tr2bl w:val="nil"/>
            </w:tcBorders>
            <w:shd w:val="clear" w:color="auto" w:fill="auto"/>
            <w:vAlign w:val="center"/>
          </w:tcPr>
          <w:p w14:paraId="3BE01A1F">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color w:val="FF0000"/>
                <w:lang w:val="en-US" w:eastAsia="zh-CN"/>
              </w:rPr>
            </w:pPr>
            <w:r>
              <w:rPr>
                <w:rFonts w:hint="eastAsia"/>
                <w:color w:val="FF0000"/>
                <w:lang w:val="en-US" w:eastAsia="zh-CN"/>
              </w:rPr>
              <w:t>种类数</w:t>
            </w:r>
          </w:p>
          <w:p w14:paraId="216C96AB">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default"/>
                <w:color w:val="FF0000"/>
                <w:lang w:val="en-US" w:eastAsia="zh-CN"/>
              </w:rPr>
            </w:pPr>
            <w:r>
              <w:rPr>
                <w:rFonts w:hint="eastAsia"/>
                <w:color w:val="FF0000"/>
                <w:lang w:val="en-US" w:eastAsia="zh-CN"/>
              </w:rPr>
              <w:t>（种）</w:t>
            </w:r>
          </w:p>
        </w:tc>
        <w:tc>
          <w:tcPr>
            <w:tcW w:w="1394" w:type="pct"/>
            <w:tcBorders>
              <w:tl2br w:val="nil"/>
              <w:tr2bl w:val="nil"/>
            </w:tcBorders>
            <w:shd w:val="clear" w:color="auto" w:fill="auto"/>
            <w:vAlign w:val="center"/>
          </w:tcPr>
          <w:p w14:paraId="4F4DC15C">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color w:val="FF0000"/>
                <w:lang w:val="en-US" w:eastAsia="zh-CN"/>
              </w:rPr>
            </w:pPr>
            <w:r>
              <w:rPr>
                <w:rFonts w:hint="eastAsia"/>
                <w:color w:val="FF0000"/>
                <w:lang w:val="en-US" w:eastAsia="zh-CN"/>
              </w:rPr>
              <w:t>平均密度</w:t>
            </w:r>
          </w:p>
          <w:p w14:paraId="42001774">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default"/>
                <w:color w:val="FF0000"/>
                <w:lang w:val="en-US" w:eastAsia="zh-CN"/>
              </w:rPr>
            </w:pPr>
            <w:r>
              <w:rPr>
                <w:rFonts w:hint="eastAsia"/>
                <w:color w:val="FF0000"/>
                <w:lang w:val="en-US" w:eastAsia="zh-CN"/>
              </w:rPr>
              <w:t>（×10</w:t>
            </w:r>
            <w:r>
              <w:rPr>
                <w:rFonts w:hint="eastAsia"/>
                <w:color w:val="FF0000"/>
                <w:vertAlign w:val="superscript"/>
                <w:lang w:val="en-US" w:eastAsia="zh-CN"/>
              </w:rPr>
              <w:t>7</w:t>
            </w:r>
            <w:r>
              <w:rPr>
                <w:rFonts w:hint="eastAsia"/>
                <w:color w:val="FF0000"/>
                <w:lang w:val="en-US" w:eastAsia="zh-CN"/>
              </w:rPr>
              <w:t>cells/L）</w:t>
            </w:r>
          </w:p>
        </w:tc>
        <w:tc>
          <w:tcPr>
            <w:tcW w:w="976" w:type="pct"/>
            <w:tcBorders>
              <w:tl2br w:val="nil"/>
              <w:tr2bl w:val="nil"/>
            </w:tcBorders>
            <w:shd w:val="clear" w:color="auto" w:fill="auto"/>
            <w:vAlign w:val="center"/>
          </w:tcPr>
          <w:p w14:paraId="2B6079E6">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color w:val="FF0000"/>
                <w:lang w:val="en-US" w:eastAsia="zh-CN"/>
              </w:rPr>
            </w:pPr>
            <w:r>
              <w:rPr>
                <w:rFonts w:hint="eastAsia"/>
                <w:color w:val="FF0000"/>
                <w:lang w:val="en-US" w:eastAsia="zh-CN"/>
              </w:rPr>
              <w:t>平均生物量</w:t>
            </w:r>
          </w:p>
          <w:p w14:paraId="7CDDE64B">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default"/>
                <w:color w:val="FF0000"/>
                <w:lang w:val="en-US" w:eastAsia="zh-CN"/>
              </w:rPr>
            </w:pPr>
            <w:r>
              <w:rPr>
                <w:rFonts w:hint="default"/>
                <w:color w:val="FF0000"/>
                <w:lang w:val="en-US" w:eastAsia="zh-CN"/>
              </w:rPr>
              <w:t>（mg/L）</w:t>
            </w:r>
          </w:p>
        </w:tc>
      </w:tr>
      <w:tr w14:paraId="75B534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753" w:type="pct"/>
            <w:tcBorders>
              <w:tl2br w:val="nil"/>
              <w:tr2bl w:val="nil"/>
            </w:tcBorders>
            <w:shd w:val="clear" w:color="auto" w:fill="auto"/>
            <w:vAlign w:val="center"/>
          </w:tcPr>
          <w:p w14:paraId="2667A451">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default"/>
                <w:color w:val="FF0000"/>
                <w:lang w:val="en-US" w:eastAsia="zh-CN"/>
              </w:rPr>
            </w:pPr>
            <w:r>
              <w:rPr>
                <w:rFonts w:hint="eastAsia"/>
                <w:color w:val="FF0000"/>
                <w:lang w:val="en-US" w:eastAsia="zh-CN"/>
              </w:rPr>
              <w:t>S04</w:t>
            </w:r>
          </w:p>
        </w:tc>
        <w:tc>
          <w:tcPr>
            <w:tcW w:w="898" w:type="pct"/>
            <w:tcBorders>
              <w:tl2br w:val="nil"/>
              <w:tr2bl w:val="nil"/>
            </w:tcBorders>
            <w:shd w:val="clear" w:color="auto" w:fill="auto"/>
            <w:vAlign w:val="center"/>
          </w:tcPr>
          <w:p w14:paraId="49142C20">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default"/>
                <w:color w:val="FF0000"/>
                <w:lang w:val="en-US" w:eastAsia="zh-CN"/>
              </w:rPr>
            </w:pPr>
            <w:r>
              <w:rPr>
                <w:rFonts w:hint="eastAsia"/>
                <w:color w:val="FF0000"/>
                <w:lang w:val="en-US" w:eastAsia="zh-CN"/>
              </w:rPr>
              <w:t>老三运河</w:t>
            </w:r>
          </w:p>
        </w:tc>
        <w:tc>
          <w:tcPr>
            <w:tcW w:w="977" w:type="pct"/>
            <w:tcBorders>
              <w:tl2br w:val="nil"/>
              <w:tr2bl w:val="nil"/>
            </w:tcBorders>
            <w:shd w:val="clear" w:color="auto" w:fill="auto"/>
            <w:vAlign w:val="center"/>
          </w:tcPr>
          <w:p w14:paraId="1C8B354D">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color w:val="FF0000"/>
                <w:lang w:val="en-US" w:eastAsia="zh-CN"/>
              </w:rPr>
            </w:pPr>
            <w:r>
              <w:rPr>
                <w:rFonts w:hint="eastAsia"/>
                <w:color w:val="FF0000"/>
                <w:lang w:val="en-US" w:eastAsia="zh-CN"/>
              </w:rPr>
              <w:t>44</w:t>
            </w:r>
          </w:p>
        </w:tc>
        <w:tc>
          <w:tcPr>
            <w:tcW w:w="1394" w:type="pct"/>
            <w:tcBorders>
              <w:tl2br w:val="nil"/>
              <w:tr2bl w:val="nil"/>
            </w:tcBorders>
            <w:shd w:val="clear" w:color="auto" w:fill="auto"/>
            <w:vAlign w:val="center"/>
          </w:tcPr>
          <w:p w14:paraId="33511083">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default"/>
                <w:color w:val="FF0000"/>
                <w:lang w:val="en-US" w:eastAsia="zh-CN"/>
              </w:rPr>
            </w:pPr>
            <w:r>
              <w:rPr>
                <w:rFonts w:hint="eastAsia"/>
                <w:color w:val="FF0000"/>
                <w:lang w:val="en-US" w:eastAsia="zh-CN"/>
              </w:rPr>
              <w:t>3.94</w:t>
            </w:r>
          </w:p>
        </w:tc>
        <w:tc>
          <w:tcPr>
            <w:tcW w:w="976" w:type="pct"/>
            <w:tcBorders>
              <w:tl2br w:val="nil"/>
              <w:tr2bl w:val="nil"/>
            </w:tcBorders>
            <w:shd w:val="clear" w:color="auto" w:fill="auto"/>
            <w:vAlign w:val="center"/>
          </w:tcPr>
          <w:p w14:paraId="11F174E8">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default"/>
                <w:color w:val="FF0000"/>
                <w:lang w:val="en-US" w:eastAsia="zh-CN"/>
              </w:rPr>
            </w:pPr>
            <w:r>
              <w:rPr>
                <w:rFonts w:hint="eastAsia"/>
                <w:color w:val="FF0000"/>
                <w:lang w:val="en-US" w:eastAsia="zh-CN"/>
              </w:rPr>
              <w:t>23.13</w:t>
            </w:r>
          </w:p>
        </w:tc>
      </w:tr>
    </w:tbl>
    <w:p w14:paraId="1147EFBB">
      <w:pPr>
        <w:spacing w:line="360" w:lineRule="auto"/>
        <w:ind w:firstLine="482" w:firstLineChars="200"/>
        <w:jc w:val="both"/>
        <w:rPr>
          <w:rFonts w:hint="default" w:ascii="Times New Roman" w:hAnsi="Times New Roman" w:cs="Times New Roman" w:eastAsiaTheme="minorEastAsia"/>
          <w:color w:val="FF0000"/>
          <w:sz w:val="24"/>
          <w:lang w:val="en-US"/>
        </w:rPr>
      </w:pPr>
      <w:r>
        <w:rPr>
          <w:rFonts w:hint="eastAsia" w:cs="Times New Roman"/>
          <w:b/>
          <w:color w:val="FF0000"/>
          <w:sz w:val="24"/>
          <w:szCs w:val="24"/>
          <w:lang w:val="en-US" w:eastAsia="zh-CN"/>
        </w:rPr>
        <w:t>（2）</w:t>
      </w:r>
      <w:r>
        <w:rPr>
          <w:rFonts w:hint="eastAsia" w:ascii="Times New Roman" w:hAnsi="Times New Roman" w:cs="Times New Roman"/>
          <w:b/>
          <w:color w:val="FF0000"/>
          <w:sz w:val="24"/>
          <w:szCs w:val="24"/>
          <w:lang w:val="en-US" w:eastAsia="zh-CN"/>
        </w:rPr>
        <w:t>浮游动物</w:t>
      </w:r>
    </w:p>
    <w:p w14:paraId="70752C8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eastAsiaTheme="minorEastAsia"/>
          <w:color w:val="FF0000"/>
          <w:sz w:val="24"/>
          <w:szCs w:val="22"/>
          <w:lang w:val="en-US" w:eastAsia="zh-CN" w:bidi="zh-CN"/>
        </w:rPr>
      </w:pPr>
      <w:r>
        <w:rPr>
          <w:rFonts w:hint="eastAsia" w:ascii="Times New Roman" w:hAnsi="Times New Roman" w:cs="Times New Roman" w:eastAsiaTheme="minorEastAsia"/>
          <w:color w:val="FF0000"/>
          <w:sz w:val="24"/>
          <w:szCs w:val="22"/>
          <w:lang w:val="en-US" w:eastAsia="zh-CN" w:bidi="zh-CN"/>
        </w:rPr>
        <w:t>老三运河S04点位</w:t>
      </w:r>
      <w:r>
        <w:rPr>
          <w:rFonts w:hint="default" w:ascii="Times New Roman" w:hAnsi="Times New Roman" w:cs="Times New Roman" w:eastAsiaTheme="minorEastAsia"/>
          <w:color w:val="FF0000"/>
          <w:sz w:val="24"/>
          <w:szCs w:val="22"/>
          <w:lang w:val="en-US" w:eastAsia="zh-CN" w:bidi="zh-CN"/>
        </w:rPr>
        <w:t>共采集到浮游动物51种，包括原生动物11种、轮虫25种、枝角类10种、桡足类5种；浮游动物密度平均值为</w:t>
      </w:r>
      <w:r>
        <w:rPr>
          <w:rFonts w:hint="eastAsia" w:ascii="Times New Roman" w:hAnsi="Times New Roman" w:cs="Times New Roman" w:eastAsiaTheme="minorEastAsia"/>
          <w:color w:val="FF0000"/>
          <w:sz w:val="24"/>
          <w:szCs w:val="22"/>
          <w:lang w:val="en-US" w:eastAsia="zh-CN" w:bidi="zh-CN"/>
        </w:rPr>
        <w:t>2140.00</w:t>
      </w:r>
      <w:r>
        <w:rPr>
          <w:rFonts w:hint="default" w:ascii="Times New Roman" w:hAnsi="Times New Roman" w:cs="Times New Roman" w:eastAsiaTheme="minorEastAsia"/>
          <w:color w:val="FF0000"/>
          <w:sz w:val="24"/>
          <w:szCs w:val="22"/>
          <w:lang w:val="en-US" w:eastAsia="zh-CN" w:bidi="zh-CN"/>
        </w:rPr>
        <w:t>ind./L；生物量平均值为</w:t>
      </w:r>
      <w:r>
        <w:rPr>
          <w:rFonts w:hint="eastAsia" w:ascii="Times New Roman" w:hAnsi="Times New Roman" w:cs="Times New Roman" w:eastAsiaTheme="minorEastAsia"/>
          <w:color w:val="FF0000"/>
          <w:sz w:val="24"/>
          <w:szCs w:val="22"/>
          <w:lang w:val="en-US" w:eastAsia="zh-CN" w:bidi="zh-CN"/>
        </w:rPr>
        <w:t>7.07</w:t>
      </w:r>
      <w:r>
        <w:rPr>
          <w:rFonts w:hint="default" w:ascii="Times New Roman" w:hAnsi="Times New Roman" w:cs="Times New Roman" w:eastAsiaTheme="minorEastAsia"/>
          <w:color w:val="FF0000"/>
          <w:sz w:val="24"/>
          <w:szCs w:val="22"/>
          <w:lang w:val="en-US" w:eastAsia="zh-CN" w:bidi="zh-CN"/>
        </w:rPr>
        <w:t>mg/L。</w:t>
      </w:r>
    </w:p>
    <w:p w14:paraId="6757A05E">
      <w:pPr>
        <w:pStyle w:val="456"/>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color w:val="FF0000"/>
          <w:highlight w:val="none"/>
          <w:lang w:val="en-US" w:eastAsia="zh-CN"/>
        </w:rPr>
      </w:pPr>
      <w:r>
        <w:rPr>
          <w:rFonts w:hint="default" w:ascii="Times New Roman" w:hAnsi="Times New Roman" w:eastAsia="宋体" w:cs="Times New Roman"/>
          <w:b/>
          <w:bCs/>
          <w:color w:val="FF0000"/>
          <w:highlight w:val="none"/>
          <w:lang w:val="en-US" w:eastAsia="zh-CN"/>
        </w:rPr>
        <w:t>表</w:t>
      </w:r>
      <w:r>
        <w:rPr>
          <w:rFonts w:hint="eastAsia" w:ascii="Times New Roman" w:hAnsi="Times New Roman" w:eastAsia="宋体" w:cs="Times New Roman"/>
          <w:b/>
          <w:bCs/>
          <w:color w:val="FF0000"/>
          <w:highlight w:val="none"/>
          <w:lang w:val="en-US" w:eastAsia="zh-CN"/>
        </w:rPr>
        <w:t>4.3-3</w:t>
      </w:r>
      <w:r>
        <w:rPr>
          <w:rFonts w:hint="default" w:ascii="Times New Roman" w:hAnsi="Times New Roman" w:eastAsia="宋体" w:cs="Times New Roman"/>
          <w:b/>
          <w:bCs/>
          <w:color w:val="FF0000"/>
          <w:highlight w:val="none"/>
          <w:lang w:val="en-US" w:eastAsia="zh-CN"/>
        </w:rPr>
        <w:t xml:space="preserve"> </w:t>
      </w:r>
      <w:r>
        <w:rPr>
          <w:rFonts w:hint="eastAsia" w:ascii="Times New Roman" w:hAnsi="Times New Roman" w:eastAsia="宋体" w:cs="Times New Roman"/>
          <w:b/>
          <w:bCs/>
          <w:color w:val="FF0000"/>
          <w:highlight w:val="none"/>
          <w:lang w:val="en-US" w:eastAsia="zh-CN"/>
        </w:rPr>
        <w:t>浮游动物空间分布</w:t>
      </w:r>
    </w:p>
    <w:tbl>
      <w:tblPr>
        <w:tblStyle w:val="76"/>
        <w:tblW w:w="84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688"/>
        <w:gridCol w:w="1688"/>
        <w:gridCol w:w="1308"/>
        <w:gridCol w:w="1836"/>
        <w:gridCol w:w="1905"/>
      </w:tblGrid>
      <w:tr w14:paraId="4F38F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688" w:type="dxa"/>
            <w:tcBorders>
              <w:tl2br w:val="nil"/>
              <w:tr2bl w:val="nil"/>
            </w:tcBorders>
            <w:shd w:val="clear" w:color="auto" w:fill="auto"/>
            <w:vAlign w:val="center"/>
          </w:tcPr>
          <w:p w14:paraId="046D23D7">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default" w:ascii="Times New Roman" w:hAnsi="Times New Roman" w:eastAsia="宋体" w:cs="Times New Roman"/>
                <w:color w:val="FF0000"/>
                <w:lang w:val="en-US" w:eastAsia="zh-CN"/>
              </w:rPr>
            </w:pPr>
            <w:r>
              <w:rPr>
                <w:rFonts w:hint="eastAsia"/>
                <w:color w:val="FF0000"/>
                <w:lang w:val="en-US" w:eastAsia="zh-CN"/>
              </w:rPr>
              <w:t>调查点位</w:t>
            </w:r>
          </w:p>
        </w:tc>
        <w:tc>
          <w:tcPr>
            <w:tcW w:w="1688" w:type="dxa"/>
            <w:tcBorders>
              <w:tl2br w:val="nil"/>
              <w:tr2bl w:val="nil"/>
            </w:tcBorders>
            <w:shd w:val="clear" w:color="auto" w:fill="auto"/>
            <w:vAlign w:val="center"/>
          </w:tcPr>
          <w:p w14:paraId="0C7EB5B9">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水系</w:t>
            </w:r>
          </w:p>
        </w:tc>
        <w:tc>
          <w:tcPr>
            <w:tcW w:w="1308" w:type="dxa"/>
            <w:tcBorders>
              <w:tl2br w:val="nil"/>
              <w:tr2bl w:val="nil"/>
            </w:tcBorders>
            <w:shd w:val="clear" w:color="auto" w:fill="auto"/>
            <w:vAlign w:val="center"/>
          </w:tcPr>
          <w:p w14:paraId="11D73486">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种类数</w:t>
            </w:r>
          </w:p>
          <w:p w14:paraId="751DF2F0">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cs="Times New Roman"/>
                <w:color w:val="FF0000"/>
                <w:lang w:val="en-US" w:eastAsia="zh-CN"/>
              </w:rPr>
              <w:t>（</w:t>
            </w:r>
            <w:r>
              <w:rPr>
                <w:rFonts w:hint="eastAsia" w:ascii="Times New Roman" w:hAnsi="Times New Roman" w:eastAsia="宋体" w:cs="Times New Roman"/>
                <w:color w:val="FF0000"/>
                <w:lang w:val="en-US" w:eastAsia="zh-CN"/>
              </w:rPr>
              <w:t>种</w:t>
            </w:r>
            <w:r>
              <w:rPr>
                <w:rFonts w:hint="eastAsia" w:cs="Times New Roman"/>
                <w:color w:val="FF0000"/>
                <w:lang w:val="en-US" w:eastAsia="zh-CN"/>
              </w:rPr>
              <w:t>）</w:t>
            </w:r>
          </w:p>
        </w:tc>
        <w:tc>
          <w:tcPr>
            <w:tcW w:w="1836" w:type="dxa"/>
            <w:tcBorders>
              <w:tl2br w:val="nil"/>
              <w:tr2bl w:val="nil"/>
            </w:tcBorders>
            <w:shd w:val="clear" w:color="auto" w:fill="auto"/>
            <w:vAlign w:val="center"/>
          </w:tcPr>
          <w:p w14:paraId="5A5B375E">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平均密度</w:t>
            </w:r>
          </w:p>
          <w:p w14:paraId="450387D6">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cs="Times New Roman"/>
                <w:color w:val="FF0000"/>
                <w:lang w:val="en-US" w:eastAsia="zh-CN"/>
              </w:rPr>
              <w:t>（</w:t>
            </w:r>
            <w:r>
              <w:rPr>
                <w:rFonts w:hint="eastAsia" w:ascii="Times New Roman" w:hAnsi="Times New Roman" w:eastAsia="宋体" w:cs="Times New Roman"/>
                <w:color w:val="FF0000"/>
                <w:lang w:val="en-US" w:eastAsia="zh-CN"/>
              </w:rPr>
              <w:t>ind./L</w:t>
            </w:r>
            <w:r>
              <w:rPr>
                <w:rFonts w:hint="eastAsia" w:cs="Times New Roman"/>
                <w:color w:val="FF0000"/>
                <w:lang w:val="en-US" w:eastAsia="zh-CN"/>
              </w:rPr>
              <w:t>）</w:t>
            </w:r>
          </w:p>
        </w:tc>
        <w:tc>
          <w:tcPr>
            <w:tcW w:w="1905" w:type="dxa"/>
            <w:tcBorders>
              <w:tl2br w:val="nil"/>
              <w:tr2bl w:val="nil"/>
            </w:tcBorders>
            <w:shd w:val="clear" w:color="auto" w:fill="auto"/>
            <w:vAlign w:val="center"/>
          </w:tcPr>
          <w:p w14:paraId="12ECFA76">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平均生物量</w:t>
            </w:r>
          </w:p>
          <w:p w14:paraId="414C9E1E">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cs="Times New Roman"/>
                <w:color w:val="FF0000"/>
                <w:lang w:val="en-US" w:eastAsia="zh-CN"/>
              </w:rPr>
              <w:t>（</w:t>
            </w:r>
            <w:r>
              <w:rPr>
                <w:rFonts w:hint="eastAsia" w:ascii="Times New Roman" w:hAnsi="Times New Roman" w:eastAsia="宋体" w:cs="Times New Roman"/>
                <w:color w:val="FF0000"/>
                <w:lang w:val="en-US" w:eastAsia="zh-CN"/>
              </w:rPr>
              <w:t>mg/L</w:t>
            </w:r>
            <w:r>
              <w:rPr>
                <w:rFonts w:hint="eastAsia" w:cs="Times New Roman"/>
                <w:color w:val="FF0000"/>
                <w:lang w:val="en-US" w:eastAsia="zh-CN"/>
              </w:rPr>
              <w:t>）</w:t>
            </w:r>
          </w:p>
        </w:tc>
      </w:tr>
      <w:tr w14:paraId="4F4414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688" w:type="dxa"/>
            <w:tcBorders>
              <w:tl2br w:val="nil"/>
              <w:tr2bl w:val="nil"/>
            </w:tcBorders>
            <w:shd w:val="clear" w:color="auto" w:fill="auto"/>
            <w:vAlign w:val="center"/>
          </w:tcPr>
          <w:p w14:paraId="313309C2">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S04</w:t>
            </w:r>
          </w:p>
        </w:tc>
        <w:tc>
          <w:tcPr>
            <w:tcW w:w="1688" w:type="dxa"/>
            <w:tcBorders>
              <w:tl2br w:val="nil"/>
              <w:tr2bl w:val="nil"/>
            </w:tcBorders>
            <w:shd w:val="clear" w:color="auto" w:fill="auto"/>
            <w:vAlign w:val="center"/>
          </w:tcPr>
          <w:p w14:paraId="3D5D4302">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老三运河</w:t>
            </w:r>
          </w:p>
        </w:tc>
        <w:tc>
          <w:tcPr>
            <w:tcW w:w="1308" w:type="dxa"/>
            <w:tcBorders>
              <w:tl2br w:val="nil"/>
              <w:tr2bl w:val="nil"/>
            </w:tcBorders>
            <w:shd w:val="clear" w:color="auto" w:fill="auto"/>
            <w:vAlign w:val="center"/>
          </w:tcPr>
          <w:p w14:paraId="7FE5E379">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51</w:t>
            </w:r>
          </w:p>
        </w:tc>
        <w:tc>
          <w:tcPr>
            <w:tcW w:w="1836" w:type="dxa"/>
            <w:tcBorders>
              <w:tl2br w:val="nil"/>
              <w:tr2bl w:val="nil"/>
            </w:tcBorders>
            <w:shd w:val="clear" w:color="auto" w:fill="auto"/>
            <w:vAlign w:val="center"/>
          </w:tcPr>
          <w:p w14:paraId="0E9F8B7A">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2140.00</w:t>
            </w:r>
          </w:p>
        </w:tc>
        <w:tc>
          <w:tcPr>
            <w:tcW w:w="1905" w:type="dxa"/>
            <w:tcBorders>
              <w:tl2br w:val="nil"/>
              <w:tr2bl w:val="nil"/>
            </w:tcBorders>
            <w:shd w:val="clear" w:color="auto" w:fill="auto"/>
            <w:vAlign w:val="center"/>
          </w:tcPr>
          <w:p w14:paraId="7BF91A1C">
            <w:pPr>
              <w:pStyle w:val="163"/>
              <w:keepNext w:val="0"/>
              <w:keepLines w:val="0"/>
              <w:pageBreakBefore w:val="0"/>
              <w:widowControl w:val="0"/>
              <w:kinsoku/>
              <w:wordWrap/>
              <w:overflowPunct/>
              <w:topLinePunct w:val="0"/>
              <w:autoSpaceDE w:val="0"/>
              <w:autoSpaceDN w:val="0"/>
              <w:bidi w:val="0"/>
              <w:adjustRightInd w:val="0"/>
              <w:snapToGrid w:val="0"/>
              <w:spacing w:before="0"/>
              <w:ind w:left="0"/>
              <w:jc w:val="center"/>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7.07</w:t>
            </w:r>
          </w:p>
        </w:tc>
      </w:tr>
    </w:tbl>
    <w:p w14:paraId="0A100CCA">
      <w:pPr>
        <w:keepNext w:val="0"/>
        <w:keepLines w:val="0"/>
        <w:pageBreakBefore w:val="0"/>
        <w:widowControl w:val="0"/>
        <w:kinsoku/>
        <w:wordWrap/>
        <w:overflowPunct/>
        <w:topLinePunct w:val="0"/>
        <w:autoSpaceDE w:val="0"/>
        <w:autoSpaceDN w:val="0"/>
        <w:bidi w:val="0"/>
        <w:adjustRightInd w:val="0"/>
        <w:spacing w:line="360" w:lineRule="auto"/>
        <w:ind w:firstLine="482" w:firstLineChars="200"/>
        <w:jc w:val="both"/>
        <w:textAlignment w:val="auto"/>
        <w:rPr>
          <w:rFonts w:hint="default" w:ascii="Times New Roman" w:hAnsi="Times New Roman" w:cs="Times New Roman" w:eastAsiaTheme="minorEastAsia"/>
          <w:color w:val="FF0000"/>
          <w:sz w:val="24"/>
          <w:lang w:val="en-US"/>
        </w:rPr>
      </w:pPr>
      <w:r>
        <w:rPr>
          <w:rFonts w:hint="eastAsia" w:cs="Times New Roman"/>
          <w:b/>
          <w:color w:val="FF0000"/>
          <w:sz w:val="24"/>
          <w:szCs w:val="24"/>
          <w:lang w:val="en-US" w:eastAsia="zh-CN"/>
        </w:rPr>
        <w:t>（3）</w:t>
      </w:r>
      <w:r>
        <w:rPr>
          <w:rFonts w:hint="eastAsia" w:ascii="Times New Roman" w:hAnsi="Times New Roman" w:cs="Times New Roman"/>
          <w:b/>
          <w:color w:val="FF0000"/>
          <w:sz w:val="24"/>
          <w:szCs w:val="24"/>
          <w:lang w:val="en-US" w:eastAsia="zh-CN"/>
        </w:rPr>
        <w:t>底栖动物</w:t>
      </w:r>
    </w:p>
    <w:p w14:paraId="214361A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cs="Times New Roman" w:eastAsiaTheme="minorEastAsia"/>
          <w:color w:val="FF0000"/>
          <w:sz w:val="24"/>
          <w:szCs w:val="22"/>
          <w:lang w:val="en-US" w:eastAsia="zh-CN" w:bidi="zh-CN"/>
        </w:rPr>
      </w:pPr>
      <w:r>
        <w:rPr>
          <w:rFonts w:hint="eastAsia" w:ascii="Times New Roman" w:hAnsi="Times New Roman" w:cs="Times New Roman" w:eastAsiaTheme="minorEastAsia"/>
          <w:color w:val="FF0000"/>
          <w:sz w:val="24"/>
          <w:szCs w:val="22"/>
          <w:lang w:val="en-US" w:eastAsia="zh-CN" w:bidi="zh-CN"/>
        </w:rPr>
        <w:t>评价区底栖动物较为丰富，软体动物和水生昆虫种类较多，现状调查共采集到底栖动物39种。其中，有环节动物3种、节肢动物21种、软体动物15种。评价区底栖动物密度在3~1815ind./m²范围内，平均值为413.61ind./m²；底栖动物生物量在86.7~648.21g/m²范围内，平均值为168.25g/m²。优势种为环节动物门的霍甫水丝蚓、节肢动物门的黄色羽摇蚊、软体动物门的梨形环棱螺等。</w:t>
      </w:r>
    </w:p>
    <w:p w14:paraId="6264706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cs="Times New Roman" w:eastAsiaTheme="minorEastAsia"/>
          <w:color w:val="FF0000"/>
          <w:sz w:val="24"/>
          <w:szCs w:val="22"/>
          <w:lang w:val="en-US" w:eastAsia="zh-CN" w:bidi="zh-CN"/>
        </w:rPr>
      </w:pPr>
      <w:r>
        <w:rPr>
          <w:rFonts w:hint="eastAsia" w:ascii="Times New Roman" w:hAnsi="Times New Roman" w:cs="Times New Roman" w:eastAsiaTheme="minorEastAsia"/>
          <w:color w:val="FF0000"/>
          <w:sz w:val="24"/>
          <w:szCs w:val="22"/>
          <w:lang w:val="en-US" w:eastAsia="zh-CN" w:bidi="zh-CN"/>
        </w:rPr>
        <w:t>15种软体动物隶属于5科10属。其中，腹足纲（Gastropoda）8种，双壳纲（Bivalvia）7种。环棱螺属（Bellamya）种类最多，占所有种类的33.3%。</w:t>
      </w:r>
    </w:p>
    <w:p w14:paraId="346BCF5D">
      <w:pPr>
        <w:keepNext w:val="0"/>
        <w:keepLines w:val="0"/>
        <w:pageBreakBefore w:val="0"/>
        <w:widowControl w:val="0"/>
        <w:kinsoku/>
        <w:wordWrap/>
        <w:overflowPunct/>
        <w:topLinePunct w:val="0"/>
        <w:autoSpaceDE w:val="0"/>
        <w:autoSpaceDN w:val="0"/>
        <w:bidi w:val="0"/>
        <w:adjustRightInd w:val="0"/>
        <w:spacing w:line="360" w:lineRule="auto"/>
        <w:ind w:firstLine="482" w:firstLineChars="200"/>
        <w:jc w:val="both"/>
        <w:textAlignment w:val="auto"/>
        <w:rPr>
          <w:rFonts w:hint="default" w:cs="Times New Roman"/>
          <w:b/>
          <w:color w:val="FF0000"/>
          <w:sz w:val="24"/>
          <w:szCs w:val="24"/>
          <w:lang w:val="en-US" w:eastAsia="zh-CN"/>
        </w:rPr>
      </w:pPr>
      <w:r>
        <w:rPr>
          <w:rFonts w:hint="eastAsia" w:cs="Times New Roman"/>
          <w:b/>
          <w:color w:val="FF0000"/>
          <w:sz w:val="24"/>
          <w:szCs w:val="24"/>
          <w:lang w:val="en-US" w:eastAsia="zh-CN"/>
        </w:rPr>
        <w:t>（4）鱼类</w:t>
      </w:r>
    </w:p>
    <w:p w14:paraId="1FB6343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cs="Times New Roman" w:eastAsiaTheme="minorEastAsia"/>
          <w:color w:val="FF0000"/>
          <w:sz w:val="24"/>
          <w:szCs w:val="22"/>
          <w:lang w:val="en-US" w:eastAsia="zh-CN" w:bidi="zh-CN"/>
        </w:rPr>
      </w:pPr>
      <w:r>
        <w:rPr>
          <w:rFonts w:hint="eastAsia" w:ascii="Times New Roman" w:hAnsi="Times New Roman" w:cs="Times New Roman" w:eastAsiaTheme="minorEastAsia"/>
          <w:color w:val="FF0000"/>
          <w:sz w:val="24"/>
          <w:szCs w:val="22"/>
          <w:lang w:val="en-US" w:eastAsia="zh-CN" w:bidi="zh-CN"/>
        </w:rPr>
        <w:t>经调查统计，评价区范围内鱼类50种，隶属于7目14科，占全国鱼类种类的1.53%，占湖南省的27.47%；所发现科数占全国鱼类科数的5.79%，占湖南省的56%；所发现目数占全国鱼类目数的25%，占湖南省的63.64%。</w:t>
      </w:r>
    </w:p>
    <w:p w14:paraId="513B44E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eastAsiaTheme="minorEastAsia"/>
          <w:color w:val="FF0000"/>
          <w:sz w:val="24"/>
          <w:szCs w:val="22"/>
          <w:lang w:val="en-US" w:eastAsia="zh-CN" w:bidi="zh-CN"/>
        </w:rPr>
      </w:pPr>
      <w:r>
        <w:rPr>
          <w:rFonts w:hint="eastAsia" w:ascii="Times New Roman" w:hAnsi="Times New Roman" w:cs="Times New Roman" w:eastAsiaTheme="minorEastAsia"/>
          <w:color w:val="FF0000"/>
          <w:sz w:val="24"/>
          <w:szCs w:val="22"/>
          <w:lang w:val="en-US" w:eastAsia="zh-CN" w:bidi="zh-CN"/>
        </w:rPr>
        <w:t>据调查统计，评价区</w:t>
      </w:r>
      <w:r>
        <w:rPr>
          <w:rFonts w:hint="default" w:ascii="Times New Roman" w:hAnsi="Times New Roman" w:cs="Times New Roman" w:eastAsiaTheme="minorEastAsia"/>
          <w:color w:val="FF0000"/>
          <w:sz w:val="24"/>
          <w:szCs w:val="22"/>
          <w:lang w:val="en-US" w:eastAsia="zh-CN" w:bidi="zh-CN"/>
        </w:rPr>
        <w:t>鱼类中有22种系中国特有物种，分别是太湖银鱼</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Neosalanx tangkahkeii</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、银飘鱼</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Pseudolaubuca sinensis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、条纹二须鲃</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Capoeta semifasciolata</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、似刺鳊鮈</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Paracanthobrama guichenoti</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、铜</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Coreius heterodon</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、吻鮈</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Rhinogobio typus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、长蛇鮈</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Saurogobio dumerili</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、长薄鳅</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Leptobotia elongate</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、大斑花鳅</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Cobitis macrostigma</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、花鳅</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Cobitis taenia</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、大鳞泥鳅</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Misgurnus mizolepis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、南方大口鲇</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Silurus meridionalis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、瓦氏（江）黄颡鱼</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Pelteobagrus vachelli</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、光泽黄颡鱼</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Pelteobagrus nitidus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、鱵</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Hemiramphus kurumeus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 xml:space="preserve">、大眼鳜 </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Siniperca kneri</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、沙塘鳢</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Odontobutis obscurus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、（子陵）栉虾虎鱼</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Ctenogobius giurinus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、真吻鰕虎鱼</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Rhinogobius similis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、圆尾斗鱼</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Macropodus chinensis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、斑鳢</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Ophiocephalus maculates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、大刺鳅</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Mastacembelus armatus</w:t>
      </w:r>
      <w:r>
        <w:rPr>
          <w:rFonts w:hint="eastAsia" w:ascii="Times New Roman" w:hAnsi="Times New Roman" w:cs="Times New Roman" w:eastAsiaTheme="minorEastAsia"/>
          <w:color w:val="FF0000"/>
          <w:sz w:val="24"/>
          <w:szCs w:val="22"/>
          <w:lang w:val="en-US" w:eastAsia="zh-CN" w:bidi="zh-CN"/>
        </w:rPr>
        <w:t>）</w:t>
      </w:r>
      <w:r>
        <w:rPr>
          <w:rFonts w:hint="default" w:ascii="Times New Roman" w:hAnsi="Times New Roman" w:cs="Times New Roman" w:eastAsiaTheme="minorEastAsia"/>
          <w:color w:val="FF0000"/>
          <w:sz w:val="24"/>
          <w:szCs w:val="22"/>
          <w:lang w:val="en-US" w:eastAsia="zh-CN" w:bidi="zh-CN"/>
        </w:rPr>
        <w:t>，其种数占</w:t>
      </w:r>
      <w:r>
        <w:rPr>
          <w:rFonts w:hint="eastAsia" w:ascii="Times New Roman" w:hAnsi="Times New Roman" w:cs="Times New Roman" w:eastAsiaTheme="minorEastAsia"/>
          <w:color w:val="FF0000"/>
          <w:sz w:val="24"/>
          <w:szCs w:val="22"/>
          <w:lang w:val="en-US" w:eastAsia="zh-CN" w:bidi="zh-CN"/>
        </w:rPr>
        <w:t>评价区总</w:t>
      </w:r>
      <w:r>
        <w:rPr>
          <w:rFonts w:hint="default" w:ascii="Times New Roman" w:hAnsi="Times New Roman" w:cs="Times New Roman" w:eastAsiaTheme="minorEastAsia"/>
          <w:color w:val="FF0000"/>
          <w:sz w:val="24"/>
          <w:szCs w:val="22"/>
          <w:lang w:val="en-US" w:eastAsia="zh-CN" w:bidi="zh-CN"/>
        </w:rPr>
        <w:t>鱼类种数的44%。湖南省政府颁发的湖南省地方重点保护的野生鱼类动物名录指定了27种是保护对象，</w:t>
      </w:r>
      <w:r>
        <w:rPr>
          <w:rFonts w:hint="eastAsia" w:ascii="Times New Roman" w:hAnsi="Times New Roman" w:cs="Times New Roman" w:eastAsiaTheme="minorEastAsia"/>
          <w:color w:val="FF0000"/>
          <w:sz w:val="24"/>
          <w:szCs w:val="22"/>
          <w:lang w:val="en-US" w:eastAsia="zh-CN" w:bidi="zh-CN"/>
        </w:rPr>
        <w:t>评价区</w:t>
      </w:r>
      <w:r>
        <w:rPr>
          <w:rFonts w:hint="default" w:ascii="Times New Roman" w:hAnsi="Times New Roman" w:cs="Times New Roman" w:eastAsiaTheme="minorEastAsia"/>
          <w:color w:val="FF0000"/>
          <w:sz w:val="24"/>
          <w:szCs w:val="22"/>
          <w:lang w:val="en-US" w:eastAsia="zh-CN" w:bidi="zh-CN"/>
        </w:rPr>
        <w:t>有4种鱼类属于该范围，占</w:t>
      </w:r>
      <w:r>
        <w:rPr>
          <w:rFonts w:hint="eastAsia" w:ascii="Times New Roman" w:hAnsi="Times New Roman" w:cs="Times New Roman" w:eastAsiaTheme="minorEastAsia"/>
          <w:color w:val="FF0000"/>
          <w:sz w:val="24"/>
          <w:szCs w:val="22"/>
          <w:lang w:val="en-US" w:eastAsia="zh-CN" w:bidi="zh-CN"/>
        </w:rPr>
        <w:t>评价区</w:t>
      </w:r>
      <w:r>
        <w:rPr>
          <w:rFonts w:hint="default" w:ascii="Times New Roman" w:hAnsi="Times New Roman" w:cs="Times New Roman" w:eastAsiaTheme="minorEastAsia"/>
          <w:color w:val="FF0000"/>
          <w:sz w:val="24"/>
          <w:szCs w:val="22"/>
          <w:lang w:val="en-US" w:eastAsia="zh-CN" w:bidi="zh-CN"/>
        </w:rPr>
        <w:t>鱼类种数的8%，占省级鱼类保护种数的14.81%</w:t>
      </w:r>
      <w:r>
        <w:rPr>
          <w:rFonts w:hint="eastAsia" w:ascii="Times New Roman" w:hAnsi="Times New Roman" w:cs="Times New Roman" w:eastAsiaTheme="minorEastAsia"/>
          <w:color w:val="FF0000"/>
          <w:sz w:val="24"/>
          <w:szCs w:val="22"/>
          <w:lang w:val="en-US" w:eastAsia="zh-CN" w:bidi="zh-CN"/>
        </w:rPr>
        <w:t>，调查区域</w:t>
      </w:r>
      <w:r>
        <w:rPr>
          <w:rFonts w:hint="default" w:ascii="Times New Roman" w:hAnsi="Times New Roman" w:cs="Times New Roman" w:eastAsiaTheme="minorEastAsia"/>
          <w:color w:val="FF0000"/>
          <w:sz w:val="24"/>
          <w:szCs w:val="22"/>
          <w:lang w:val="en-US" w:eastAsia="zh-CN" w:bidi="zh-CN"/>
        </w:rPr>
        <w:t>没有鱼类“三场”分布。</w:t>
      </w:r>
    </w:p>
    <w:p w14:paraId="5272C8D1">
      <w:pPr>
        <w:pStyle w:val="3"/>
        <w:keepNext/>
        <w:keepLines/>
        <w:pageBreakBefore w:val="0"/>
        <w:widowControl w:val="0"/>
        <w:numPr>
          <w:ilvl w:val="0"/>
          <w:numId w:val="0"/>
        </w:numPr>
        <w:kinsoku/>
        <w:wordWrap/>
        <w:overflowPunct/>
        <w:topLinePunct w:val="0"/>
        <w:autoSpaceDE/>
        <w:autoSpaceDN/>
        <w:bidi w:val="0"/>
        <w:adjustRightInd w:val="0"/>
        <w:snapToGrid/>
        <w:ind w:leftChars="0"/>
        <w:textAlignment w:val="auto"/>
        <w:outlineLvl w:val="1"/>
        <w:rPr>
          <w:rFonts w:hint="eastAsia"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4.6水环境放射性状况调查</w:t>
      </w:r>
    </w:p>
    <w:p w14:paraId="34C58EA5">
      <w:pPr>
        <w:pageBreakBefore w:val="0"/>
        <w:widowControl w:val="0"/>
        <w:kinsoku/>
        <w:wordWrap/>
        <w:overflowPunct/>
        <w:topLinePunct w:val="0"/>
        <w:bidi w:val="0"/>
        <w:adjustRightInd w:val="0"/>
        <w:textAlignment w:val="auto"/>
        <w:rPr>
          <w:rFonts w:hint="default"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本项目排放废水水质较简单，不含有毒有机物、重金属、放射性或持久性化学污染物。</w:t>
      </w:r>
    </w:p>
    <w:p w14:paraId="0FD7F75A">
      <w:pPr>
        <w:pStyle w:val="3"/>
        <w:pageBreakBefore w:val="0"/>
        <w:widowControl w:val="0"/>
        <w:numPr>
          <w:ilvl w:val="0"/>
          <w:numId w:val="0"/>
        </w:numPr>
        <w:kinsoku/>
        <w:wordWrap/>
        <w:overflowPunct/>
        <w:topLinePunct w:val="0"/>
        <w:autoSpaceDE/>
        <w:autoSpaceDN/>
        <w:bidi w:val="0"/>
        <w:ind w:leftChars="0"/>
        <w:textAlignment w:val="auto"/>
        <w:outlineLvl w:val="1"/>
        <w:rPr>
          <w:rFonts w:hint="default" w:ascii="Times New Roman" w:hAnsi="Times New Roman" w:eastAsia="宋体" w:cs="Times New Roman"/>
          <w:color w:val="FF0000"/>
          <w:sz w:val="28"/>
          <w:szCs w:val="28"/>
          <w:lang w:val="en-US" w:eastAsia="zh-CN"/>
        </w:rPr>
      </w:pPr>
      <w:bookmarkStart w:id="280" w:name="_Toc13747"/>
      <w:r>
        <w:rPr>
          <w:rFonts w:hint="default" w:ascii="Times New Roman" w:hAnsi="Times New Roman" w:eastAsia="宋体" w:cs="Times New Roman"/>
          <w:color w:val="FF0000"/>
          <w:sz w:val="28"/>
          <w:szCs w:val="28"/>
          <w:lang w:val="en-US" w:eastAsia="zh-CN"/>
        </w:rPr>
        <w:t>4.</w:t>
      </w:r>
      <w:r>
        <w:rPr>
          <w:rFonts w:hint="eastAsia" w:ascii="Times New Roman" w:hAnsi="Times New Roman" w:eastAsia="宋体" w:cs="Times New Roman"/>
          <w:color w:val="FF0000"/>
          <w:sz w:val="28"/>
          <w:szCs w:val="28"/>
          <w:lang w:val="en-US" w:eastAsia="zh-CN"/>
        </w:rPr>
        <w:t>7</w:t>
      </w:r>
      <w:r>
        <w:rPr>
          <w:rFonts w:hint="default" w:ascii="Times New Roman" w:hAnsi="Times New Roman" w:eastAsia="宋体" w:cs="Times New Roman"/>
          <w:color w:val="FF0000"/>
          <w:sz w:val="28"/>
          <w:szCs w:val="28"/>
          <w:lang w:val="en-US" w:eastAsia="zh-CN"/>
        </w:rPr>
        <w:t>生态环境分区管控要求调查分析</w:t>
      </w:r>
      <w:bookmarkEnd w:id="280"/>
    </w:p>
    <w:p w14:paraId="42D41734">
      <w:pPr>
        <w:pStyle w:val="18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color w:val="FF0000"/>
          <w:kern w:val="2"/>
          <w:sz w:val="24"/>
          <w:szCs w:val="24"/>
          <w:lang w:val="en-US" w:eastAsia="zh-CN" w:bidi="ar-SA"/>
        </w:rPr>
        <w:t>根据《湖南省生态环境分区管控更新成果》（2023版），</w:t>
      </w:r>
      <w:r>
        <w:rPr>
          <w:rFonts w:hint="eastAsia" w:ascii="Times New Roman" w:hAnsi="Times New Roman" w:eastAsia="宋体" w:cs="Times New Roman"/>
          <w:color w:val="FF0000"/>
          <w:kern w:val="2"/>
          <w:sz w:val="24"/>
          <w:szCs w:val="24"/>
          <w:lang w:val="en-US" w:eastAsia="zh-CN" w:bidi="ar-SA"/>
        </w:rPr>
        <w:t>本项目位于益阳市大通湖工业集中区</w:t>
      </w:r>
      <w:r>
        <w:rPr>
          <w:rFonts w:hint="default" w:ascii="Times New Roman" w:hAnsi="Times New Roman" w:eastAsia="宋体" w:cs="Times New Roman"/>
          <w:color w:val="FF0000"/>
          <w:kern w:val="2"/>
          <w:sz w:val="24"/>
          <w:szCs w:val="24"/>
          <w:lang w:val="en-US" w:eastAsia="zh-CN" w:bidi="ar-SA"/>
        </w:rPr>
        <w:t>，</w:t>
      </w:r>
      <w:r>
        <w:rPr>
          <w:rFonts w:hint="eastAsia" w:ascii="Times New Roman" w:hAnsi="Times New Roman" w:eastAsia="宋体" w:cs="Times New Roman"/>
          <w:color w:val="FF0000"/>
          <w:kern w:val="2"/>
          <w:sz w:val="24"/>
          <w:szCs w:val="24"/>
          <w:lang w:val="en-US" w:eastAsia="zh-CN" w:bidi="ar-SA"/>
        </w:rPr>
        <w:t>属于</w:t>
      </w:r>
      <w:r>
        <w:rPr>
          <w:rFonts w:hint="default" w:ascii="Times New Roman" w:hAnsi="Times New Roman" w:eastAsia="宋体" w:cs="Times New Roman"/>
          <w:color w:val="FF0000"/>
          <w:kern w:val="2"/>
          <w:sz w:val="24"/>
          <w:szCs w:val="24"/>
          <w:lang w:val="en-US" w:eastAsia="zh-CN" w:bidi="ar-SA"/>
        </w:rPr>
        <w:t>重点管控单元。</w:t>
      </w:r>
    </w:p>
    <w:p w14:paraId="1D0B2ACB">
      <w:pPr>
        <w:keepNext w:val="0"/>
        <w:keepLines w:val="0"/>
        <w:widowControl/>
        <w:suppressLineNumbers w:val="0"/>
        <w:jc w:val="left"/>
        <w:rPr>
          <w:rFonts w:hint="default" w:ascii="Times New Roman" w:hAnsi="Times New Roman" w:eastAsia="宋体" w:cs="Times New Roman"/>
          <w:color w:val="FF0000"/>
          <w:kern w:val="2"/>
          <w:sz w:val="24"/>
          <w:szCs w:val="24"/>
          <w:lang w:val="en-US" w:eastAsia="zh-CN" w:bidi="ar-SA"/>
        </w:rPr>
      </w:pPr>
      <w:r>
        <w:rPr>
          <w:rFonts w:hint="eastAsia" w:ascii="宋体" w:hAnsi="宋体" w:eastAsia="宋体" w:cs="宋体"/>
          <w:color w:val="FF0000"/>
          <w:kern w:val="0"/>
          <w:sz w:val="24"/>
          <w:szCs w:val="24"/>
          <w:lang w:val="en-US" w:eastAsia="zh-CN" w:bidi="ar"/>
        </w:rPr>
        <w:t>项目建设与生态环境准入清单要求、水污染物排放管控和水环境风险防控要求符合性</w:t>
      </w:r>
      <w:r>
        <w:rPr>
          <w:rFonts w:hint="default" w:ascii="Times New Roman" w:hAnsi="Times New Roman" w:eastAsia="宋体" w:cs="Times New Roman"/>
          <w:color w:val="FF0000"/>
          <w:kern w:val="2"/>
          <w:sz w:val="24"/>
          <w:szCs w:val="24"/>
          <w:lang w:val="en-US" w:eastAsia="zh-CN" w:bidi="ar-SA"/>
        </w:rPr>
        <w:t>分析详见下表。</w:t>
      </w:r>
    </w:p>
    <w:p w14:paraId="375183A9">
      <w:pPr>
        <w:pStyle w:val="18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FF0000"/>
          <w:sz w:val="24"/>
          <w:szCs w:val="24"/>
          <w:u w:val="none" w:color="auto"/>
          <w:lang w:val="en-US" w:eastAsia="zh-CN"/>
        </w:rPr>
      </w:pPr>
      <w:r>
        <w:rPr>
          <w:rFonts w:hint="default" w:ascii="Times New Roman" w:hAnsi="Times New Roman" w:eastAsia="宋体" w:cs="Times New Roman"/>
          <w:b/>
          <w:bCs/>
          <w:color w:val="FF0000"/>
          <w:sz w:val="24"/>
          <w:szCs w:val="24"/>
          <w:u w:val="none" w:color="auto"/>
          <w:lang w:val="en-US" w:eastAsia="zh-CN"/>
        </w:rPr>
        <w:t>表</w:t>
      </w:r>
      <w:r>
        <w:rPr>
          <w:rFonts w:hint="eastAsia" w:ascii="Times New Roman" w:hAnsi="Times New Roman" w:cs="Times New Roman"/>
          <w:b/>
          <w:bCs/>
          <w:color w:val="FF0000"/>
          <w:sz w:val="24"/>
          <w:szCs w:val="24"/>
          <w:u w:val="none" w:color="auto"/>
          <w:lang w:val="en-US" w:eastAsia="zh-CN"/>
        </w:rPr>
        <w:t>4</w:t>
      </w:r>
      <w:r>
        <w:rPr>
          <w:rFonts w:hint="default" w:ascii="Times New Roman" w:hAnsi="Times New Roman" w:eastAsia="宋体" w:cs="Times New Roman"/>
          <w:b/>
          <w:bCs/>
          <w:color w:val="FF0000"/>
          <w:sz w:val="24"/>
          <w:szCs w:val="24"/>
          <w:u w:val="none" w:color="auto"/>
          <w:lang w:val="en-US" w:eastAsia="zh-CN"/>
        </w:rPr>
        <w:t>.4-</w:t>
      </w:r>
      <w:r>
        <w:rPr>
          <w:rFonts w:hint="eastAsia" w:ascii="Times New Roman" w:hAnsi="Times New Roman" w:cs="Times New Roman"/>
          <w:b/>
          <w:bCs/>
          <w:color w:val="FF0000"/>
          <w:sz w:val="24"/>
          <w:szCs w:val="24"/>
          <w:u w:val="none" w:color="auto"/>
          <w:lang w:val="en-US" w:eastAsia="zh-CN"/>
        </w:rPr>
        <w:t>1</w:t>
      </w:r>
      <w:r>
        <w:rPr>
          <w:rFonts w:hint="default" w:ascii="Times New Roman" w:hAnsi="Times New Roman" w:eastAsia="宋体" w:cs="Times New Roman"/>
          <w:b/>
          <w:bCs/>
          <w:color w:val="FF0000"/>
          <w:sz w:val="24"/>
          <w:szCs w:val="24"/>
          <w:u w:val="none" w:color="auto"/>
          <w:lang w:val="en-US" w:eastAsia="zh-CN"/>
        </w:rPr>
        <w:t>项目与湖南省生态环境分区管控总体管控要求中的“重点管控单元生态环</w:t>
      </w:r>
    </w:p>
    <w:p w14:paraId="4122A9C5">
      <w:pPr>
        <w:pStyle w:val="18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FF0000"/>
          <w:sz w:val="24"/>
          <w:szCs w:val="24"/>
          <w:u w:val="none" w:color="auto"/>
          <w:lang w:val="en-US" w:eastAsia="zh-CN"/>
        </w:rPr>
      </w:pPr>
      <w:r>
        <w:rPr>
          <w:rFonts w:hint="default" w:ascii="Times New Roman" w:hAnsi="Times New Roman" w:eastAsia="宋体" w:cs="Times New Roman"/>
          <w:b/>
          <w:bCs/>
          <w:color w:val="FF0000"/>
          <w:sz w:val="24"/>
          <w:szCs w:val="24"/>
          <w:u w:val="none" w:color="auto"/>
          <w:lang w:val="en-US" w:eastAsia="zh-CN"/>
        </w:rPr>
        <w:t>境总体管控要求”的相符性分析一览表</w:t>
      </w:r>
    </w:p>
    <w:tbl>
      <w:tblPr>
        <w:tblStyle w:val="76"/>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0"/>
        <w:gridCol w:w="1163"/>
        <w:gridCol w:w="4036"/>
        <w:gridCol w:w="2341"/>
        <w:gridCol w:w="719"/>
      </w:tblGrid>
      <w:tr w14:paraId="45AF5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0" w:type="dxa"/>
            <w:noWrap w:val="0"/>
            <w:vAlign w:val="center"/>
          </w:tcPr>
          <w:p w14:paraId="3F4D1C92">
            <w:pPr>
              <w:pStyle w:val="192"/>
              <w:keepNext w:val="0"/>
              <w:keepLines w:val="0"/>
              <w:suppressLineNumbers w:val="0"/>
              <w:spacing w:before="0" w:beforeAutospacing="0" w:after="0" w:afterAutospacing="0"/>
              <w:ind w:left="0" w:right="0"/>
              <w:rPr>
                <w:rFonts w:hint="eastAsia"/>
                <w:b/>
                <w:color w:val="FF0000"/>
                <w:u w:val="none" w:color="auto"/>
                <w:lang w:val="en-US" w:eastAsia="zh-CN"/>
              </w:rPr>
            </w:pPr>
            <w:r>
              <w:rPr>
                <w:rFonts w:hint="eastAsia"/>
                <w:b/>
                <w:color w:val="FF0000"/>
                <w:u w:val="none" w:color="auto"/>
                <w:lang w:val="en-US" w:eastAsia="zh-CN"/>
              </w:rPr>
              <w:t>管控</w:t>
            </w:r>
          </w:p>
          <w:p w14:paraId="1C49A39F">
            <w:pPr>
              <w:pStyle w:val="192"/>
              <w:keepNext w:val="0"/>
              <w:keepLines w:val="0"/>
              <w:suppressLineNumbers w:val="0"/>
              <w:spacing w:before="0" w:beforeAutospacing="0" w:after="0" w:afterAutospacing="0"/>
              <w:ind w:left="0" w:right="0"/>
              <w:rPr>
                <w:rFonts w:hint="default" w:eastAsia="宋体"/>
                <w:b/>
                <w:color w:val="FF0000"/>
                <w:u w:val="none" w:color="auto"/>
                <w:lang w:val="en-US" w:eastAsia="zh-CN"/>
              </w:rPr>
            </w:pPr>
            <w:r>
              <w:rPr>
                <w:rFonts w:hint="eastAsia"/>
                <w:b/>
                <w:color w:val="FF0000"/>
                <w:u w:val="none" w:color="auto"/>
                <w:lang w:val="en-US" w:eastAsia="zh-CN"/>
              </w:rPr>
              <w:t>对象</w:t>
            </w:r>
          </w:p>
        </w:tc>
        <w:tc>
          <w:tcPr>
            <w:tcW w:w="1163" w:type="dxa"/>
            <w:noWrap w:val="0"/>
            <w:vAlign w:val="center"/>
          </w:tcPr>
          <w:p w14:paraId="2F2AD5E1">
            <w:pPr>
              <w:pStyle w:val="192"/>
              <w:keepNext w:val="0"/>
              <w:keepLines w:val="0"/>
              <w:suppressLineNumbers w:val="0"/>
              <w:spacing w:before="0" w:beforeAutospacing="0" w:after="0" w:afterAutospacing="0"/>
              <w:ind w:left="0" w:right="0"/>
              <w:rPr>
                <w:rFonts w:hint="default"/>
                <w:b/>
                <w:color w:val="FF0000"/>
                <w:u w:val="none" w:color="auto"/>
                <w:lang w:val="en-US" w:eastAsia="zh-CN"/>
              </w:rPr>
            </w:pPr>
            <w:r>
              <w:rPr>
                <w:rFonts w:hint="eastAsia"/>
                <w:b/>
                <w:color w:val="FF0000"/>
                <w:u w:val="none" w:color="auto"/>
                <w:lang w:val="en-US" w:eastAsia="zh-CN"/>
              </w:rPr>
              <w:t>基本内容</w:t>
            </w:r>
          </w:p>
        </w:tc>
        <w:tc>
          <w:tcPr>
            <w:tcW w:w="4036" w:type="dxa"/>
            <w:noWrap w:val="0"/>
            <w:vAlign w:val="center"/>
          </w:tcPr>
          <w:p w14:paraId="582B96A9">
            <w:pPr>
              <w:pStyle w:val="192"/>
              <w:keepNext w:val="0"/>
              <w:keepLines w:val="0"/>
              <w:suppressLineNumbers w:val="0"/>
              <w:spacing w:before="0" w:beforeAutospacing="0" w:after="0" w:afterAutospacing="0"/>
              <w:ind w:left="0" w:right="0"/>
              <w:rPr>
                <w:rFonts w:hint="default" w:eastAsia="宋体"/>
                <w:b/>
                <w:color w:val="FF0000"/>
                <w:u w:val="none" w:color="auto"/>
                <w:lang w:val="en-US" w:eastAsia="zh-CN"/>
              </w:rPr>
            </w:pPr>
            <w:r>
              <w:rPr>
                <w:rFonts w:hint="eastAsia"/>
                <w:b/>
                <w:color w:val="FF0000"/>
                <w:u w:val="none" w:color="auto"/>
                <w:lang w:val="en-US" w:eastAsia="zh-CN"/>
              </w:rPr>
              <w:t>管控要求</w:t>
            </w:r>
          </w:p>
        </w:tc>
        <w:tc>
          <w:tcPr>
            <w:tcW w:w="2341" w:type="dxa"/>
            <w:noWrap w:val="0"/>
            <w:vAlign w:val="center"/>
          </w:tcPr>
          <w:p w14:paraId="37B7F9DE">
            <w:pPr>
              <w:pStyle w:val="192"/>
              <w:keepNext w:val="0"/>
              <w:keepLines w:val="0"/>
              <w:suppressLineNumbers w:val="0"/>
              <w:spacing w:before="0" w:beforeAutospacing="0" w:after="0" w:afterAutospacing="0"/>
              <w:ind w:left="0" w:right="0"/>
              <w:rPr>
                <w:rFonts w:hint="default"/>
                <w:b/>
                <w:color w:val="FF0000"/>
                <w:u w:val="none" w:color="auto"/>
                <w:lang w:val="en-US" w:eastAsia="zh-CN"/>
              </w:rPr>
            </w:pPr>
            <w:r>
              <w:rPr>
                <w:rFonts w:hint="eastAsia"/>
                <w:b/>
                <w:color w:val="FF0000"/>
                <w:u w:val="none" w:color="auto"/>
                <w:lang w:val="en-US" w:eastAsia="zh-CN"/>
              </w:rPr>
              <w:t>本项目的情况</w:t>
            </w:r>
          </w:p>
        </w:tc>
        <w:tc>
          <w:tcPr>
            <w:tcW w:w="719" w:type="dxa"/>
            <w:noWrap w:val="0"/>
            <w:vAlign w:val="center"/>
          </w:tcPr>
          <w:p w14:paraId="6429F0DF">
            <w:pPr>
              <w:pStyle w:val="192"/>
              <w:keepNext w:val="0"/>
              <w:keepLines w:val="0"/>
              <w:suppressLineNumbers w:val="0"/>
              <w:spacing w:before="0" w:beforeAutospacing="0" w:after="0" w:afterAutospacing="0"/>
              <w:ind w:left="0" w:right="0"/>
              <w:rPr>
                <w:rFonts w:hint="default"/>
                <w:b/>
                <w:color w:val="FF0000"/>
                <w:u w:val="none" w:color="auto"/>
                <w:lang w:val="en-US" w:eastAsia="zh-CN"/>
              </w:rPr>
            </w:pPr>
            <w:r>
              <w:rPr>
                <w:rFonts w:hint="eastAsia"/>
                <w:b/>
                <w:color w:val="FF0000"/>
                <w:u w:val="none" w:color="auto"/>
                <w:lang w:val="en-US" w:eastAsia="zh-CN"/>
              </w:rPr>
              <w:t>是否相符</w:t>
            </w:r>
          </w:p>
        </w:tc>
      </w:tr>
      <w:tr w14:paraId="31865D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noWrap w:val="0"/>
            <w:vAlign w:val="center"/>
          </w:tcPr>
          <w:p w14:paraId="62BFBB83">
            <w:pPr>
              <w:pStyle w:val="192"/>
              <w:keepNext w:val="0"/>
              <w:keepLines w:val="0"/>
              <w:suppressLineNumbers w:val="0"/>
              <w:spacing w:before="0" w:beforeAutospacing="0" w:after="0" w:afterAutospacing="0"/>
              <w:ind w:left="0" w:right="0"/>
              <w:jc w:val="center"/>
              <w:rPr>
                <w:rFonts w:hint="default" w:eastAsia="宋体"/>
                <w:color w:val="FF0000"/>
                <w:u w:val="none" w:color="auto"/>
                <w:lang w:val="en-US" w:eastAsia="zh-CN"/>
              </w:rPr>
            </w:pPr>
            <w:r>
              <w:rPr>
                <w:rFonts w:hint="eastAsia"/>
                <w:color w:val="FF0000"/>
                <w:u w:val="none" w:color="auto"/>
                <w:lang w:val="en-US" w:eastAsia="zh-CN"/>
              </w:rPr>
              <w:t>重点管控单元</w:t>
            </w:r>
          </w:p>
        </w:tc>
        <w:tc>
          <w:tcPr>
            <w:tcW w:w="1163" w:type="dxa"/>
            <w:noWrap w:val="0"/>
            <w:vAlign w:val="center"/>
          </w:tcPr>
          <w:p w14:paraId="1B686236">
            <w:pPr>
              <w:pStyle w:val="192"/>
              <w:keepNext w:val="0"/>
              <w:keepLines w:val="0"/>
              <w:suppressLineNumbers w:val="0"/>
              <w:spacing w:before="0" w:beforeAutospacing="0" w:after="0" w:afterAutospacing="0"/>
              <w:ind w:left="0" w:right="0"/>
              <w:jc w:val="both"/>
              <w:rPr>
                <w:rFonts w:hint="eastAsia"/>
                <w:color w:val="FF0000"/>
                <w:u w:val="none" w:color="auto"/>
              </w:rPr>
            </w:pPr>
            <w:r>
              <w:rPr>
                <w:rFonts w:hint="eastAsia"/>
                <w:color w:val="FF0000"/>
                <w:u w:val="none" w:color="auto"/>
              </w:rPr>
              <w:t>涉及水、大气、土壤、自然资源等资源环境要素重点管控的区域</w:t>
            </w:r>
          </w:p>
        </w:tc>
        <w:tc>
          <w:tcPr>
            <w:tcW w:w="4036" w:type="dxa"/>
            <w:noWrap w:val="0"/>
            <w:vAlign w:val="center"/>
          </w:tcPr>
          <w:p w14:paraId="0FBA6F0E">
            <w:pPr>
              <w:pStyle w:val="192"/>
              <w:keepNext w:val="0"/>
              <w:keepLines w:val="0"/>
              <w:suppressLineNumbers w:val="0"/>
              <w:spacing w:before="0" w:beforeAutospacing="0" w:after="0" w:afterAutospacing="0"/>
              <w:ind w:left="0" w:right="0"/>
              <w:jc w:val="both"/>
              <w:rPr>
                <w:rFonts w:hint="eastAsia" w:eastAsia="宋体"/>
                <w:color w:val="FF0000"/>
                <w:u w:val="none" w:color="auto"/>
                <w:lang w:eastAsia="zh-CN"/>
              </w:rPr>
            </w:pPr>
            <w:r>
              <w:rPr>
                <w:rFonts w:hint="eastAsia"/>
                <w:color w:val="FF0000"/>
                <w:u w:val="none" w:color="auto"/>
                <w:lang w:eastAsia="zh-CN"/>
              </w:rPr>
              <w:t>应优化空间布局，加强污染物排放控制和环境风险防控，不断提升资源利用效率，解决生态环境质量不达标、生态环境风险高等问题。</w:t>
            </w:r>
          </w:p>
        </w:tc>
        <w:tc>
          <w:tcPr>
            <w:tcW w:w="2341" w:type="dxa"/>
            <w:noWrap w:val="0"/>
            <w:vAlign w:val="center"/>
          </w:tcPr>
          <w:p w14:paraId="6336F1EA">
            <w:pPr>
              <w:pStyle w:val="192"/>
              <w:keepNext w:val="0"/>
              <w:keepLines w:val="0"/>
              <w:suppressLineNumbers w:val="0"/>
              <w:spacing w:before="0" w:beforeAutospacing="0" w:after="0" w:afterAutospacing="0"/>
              <w:ind w:left="0" w:right="0"/>
              <w:jc w:val="both"/>
              <w:rPr>
                <w:rFonts w:hint="eastAsia"/>
                <w:color w:val="FF0000"/>
                <w:u w:val="none" w:color="auto"/>
                <w:lang w:eastAsia="zh-CN"/>
              </w:rPr>
            </w:pPr>
            <w:r>
              <w:rPr>
                <w:rFonts w:hint="eastAsia"/>
                <w:color w:val="FF0000"/>
                <w:u w:val="none" w:color="auto"/>
                <w:lang w:eastAsia="zh-CN"/>
              </w:rPr>
              <w:t>本项目属于污水处理及其再生利用项目，通过项目的实施，便于园区统一运行管理，可节约投资和运行成本，为当地创造更好的投资环境，同时也便于接受当地环保部门的监督。</w:t>
            </w:r>
          </w:p>
        </w:tc>
        <w:tc>
          <w:tcPr>
            <w:tcW w:w="719" w:type="dxa"/>
            <w:noWrap w:val="0"/>
            <w:vAlign w:val="center"/>
          </w:tcPr>
          <w:p w14:paraId="6C2D0997">
            <w:pPr>
              <w:pStyle w:val="192"/>
              <w:keepNext w:val="0"/>
              <w:keepLines w:val="0"/>
              <w:suppressLineNumbers w:val="0"/>
              <w:spacing w:before="0" w:beforeAutospacing="0" w:after="0" w:afterAutospacing="0"/>
              <w:ind w:left="0" w:right="0"/>
              <w:rPr>
                <w:rFonts w:hint="eastAsia"/>
                <w:color w:val="FF0000"/>
                <w:u w:val="none" w:color="auto"/>
                <w:lang w:eastAsia="zh-CN"/>
              </w:rPr>
            </w:pPr>
            <w:r>
              <w:rPr>
                <w:rFonts w:hint="eastAsia"/>
                <w:color w:val="FF0000"/>
                <w:u w:val="none" w:color="auto"/>
                <w:lang w:eastAsia="zh-CN"/>
              </w:rPr>
              <w:t>符合</w:t>
            </w:r>
          </w:p>
        </w:tc>
      </w:tr>
      <w:tr w14:paraId="4C368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vMerge w:val="restart"/>
            <w:noWrap w:val="0"/>
            <w:vAlign w:val="center"/>
          </w:tcPr>
          <w:p w14:paraId="4F86E034">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水环境重点管控区</w:t>
            </w:r>
          </w:p>
        </w:tc>
        <w:tc>
          <w:tcPr>
            <w:tcW w:w="1163" w:type="dxa"/>
            <w:noWrap w:val="0"/>
            <w:vAlign w:val="center"/>
          </w:tcPr>
          <w:p w14:paraId="2DDAB5ED">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省级以上产业园区所述水环境控制区域</w:t>
            </w:r>
          </w:p>
        </w:tc>
        <w:tc>
          <w:tcPr>
            <w:tcW w:w="4036" w:type="dxa"/>
            <w:noWrap w:val="0"/>
            <w:vAlign w:val="center"/>
          </w:tcPr>
          <w:p w14:paraId="1BF48A5B">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1. 排放工业废水的企业应当采取有效措施，收集和处理产生的全部废水，防止污染环境。含有毒有害水污染物的工业废水应当分类收集和处理，不得稀释排放。向污水集中处理设施排放工业废水的，应当按照国家有关规定进行预处理，达到集中处理设施处理工艺要求后方可排放。</w:t>
            </w:r>
          </w:p>
          <w:p w14:paraId="4608D67A">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2. 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w:t>
            </w:r>
          </w:p>
          <w:p w14:paraId="567E5AE5">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3. 建立健全湘江流域重点水污染物排放总量控制、排污许可、水污染物排放监测和水环境质量监测等水环境保护制度。</w:t>
            </w:r>
          </w:p>
          <w:p w14:paraId="1BAD2942">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4. 制定造纸、焦化、氮肥、有色金属、印染、农副食品加工、原料药制造、制革、农药、电镀等行业专项治理方案，实施清洁化改造，新建、改建、扩建上述行业建设项目实行主要污染物排放等量或减量置换。</w:t>
            </w:r>
          </w:p>
        </w:tc>
        <w:tc>
          <w:tcPr>
            <w:tcW w:w="2341" w:type="dxa"/>
            <w:noWrap w:val="0"/>
            <w:vAlign w:val="center"/>
          </w:tcPr>
          <w:p w14:paraId="7C072C0F">
            <w:pPr>
              <w:pStyle w:val="192"/>
              <w:keepNext w:val="0"/>
              <w:keepLines w:val="0"/>
              <w:suppressLineNumbers w:val="0"/>
              <w:spacing w:before="0" w:beforeAutospacing="0" w:after="0" w:afterAutospacing="0"/>
              <w:ind w:left="0" w:right="0"/>
              <w:jc w:val="center"/>
              <w:rPr>
                <w:rFonts w:hint="eastAsia"/>
                <w:color w:val="FF0000"/>
                <w:u w:val="none" w:color="auto"/>
                <w:lang w:val="en-US" w:eastAsia="zh-CN"/>
              </w:rPr>
            </w:pPr>
          </w:p>
        </w:tc>
        <w:tc>
          <w:tcPr>
            <w:tcW w:w="719" w:type="dxa"/>
            <w:noWrap w:val="0"/>
            <w:vAlign w:val="center"/>
          </w:tcPr>
          <w:p w14:paraId="345A0B58">
            <w:pPr>
              <w:pStyle w:val="192"/>
              <w:keepNext w:val="0"/>
              <w:keepLines w:val="0"/>
              <w:suppressLineNumbers w:val="0"/>
              <w:spacing w:before="0" w:beforeAutospacing="0" w:after="0" w:afterAutospacing="0"/>
              <w:ind w:left="0" w:right="0"/>
              <w:jc w:val="center"/>
              <w:rPr>
                <w:rFonts w:hint="eastAsia"/>
                <w:color w:val="FF0000"/>
                <w:u w:val="none" w:color="auto"/>
                <w:lang w:val="en-US" w:eastAsia="zh-CN"/>
              </w:rPr>
            </w:pPr>
          </w:p>
        </w:tc>
      </w:tr>
      <w:tr w14:paraId="30614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vMerge w:val="continue"/>
            <w:noWrap w:val="0"/>
            <w:vAlign w:val="center"/>
          </w:tcPr>
          <w:p w14:paraId="364AB69B">
            <w:pPr>
              <w:pStyle w:val="192"/>
              <w:keepNext w:val="0"/>
              <w:keepLines w:val="0"/>
              <w:suppressLineNumbers w:val="0"/>
              <w:spacing w:before="0" w:beforeAutospacing="0" w:after="0" w:afterAutospacing="0"/>
              <w:ind w:left="0" w:right="0"/>
              <w:jc w:val="center"/>
              <w:rPr>
                <w:rFonts w:hint="eastAsia"/>
                <w:color w:val="FF0000"/>
                <w:u w:val="none" w:color="auto"/>
                <w:lang w:val="en-US" w:eastAsia="zh-CN"/>
              </w:rPr>
            </w:pPr>
          </w:p>
        </w:tc>
        <w:tc>
          <w:tcPr>
            <w:tcW w:w="1163" w:type="dxa"/>
            <w:noWrap w:val="0"/>
            <w:vAlign w:val="center"/>
          </w:tcPr>
          <w:p w14:paraId="300A748F">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水质超标断面所属水环境控制区域</w:t>
            </w:r>
          </w:p>
        </w:tc>
        <w:tc>
          <w:tcPr>
            <w:tcW w:w="4036" w:type="dxa"/>
            <w:noWrap w:val="0"/>
            <w:vAlign w:val="center"/>
          </w:tcPr>
          <w:p w14:paraId="7813A2B2">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1. 建成区水体水质达不到地表水Ⅳ类标准的城市，新建城镇污水处理设施要执行一级 A 排放标准。</w:t>
            </w:r>
          </w:p>
          <w:p w14:paraId="19B43F28">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2. 持续开展入河入海排污口“查、测、溯、治”，到 2025 年，基本完成湘江、资江、沅江及澧水及重要支流排污口整治。</w:t>
            </w:r>
          </w:p>
          <w:p w14:paraId="3039FF14">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3. 持续打好城市黑臭水体治理攻坚战充分发挥河湖长制作用，巩固提升地级及以上城市黑臭水体治理成效，建立防止返黑返臭的长效机制。到 2025年，地级城市建成区实现黑臭水体长治久清，县级城市建成区基本消除黑臭水体。</w:t>
            </w:r>
          </w:p>
          <w:p w14:paraId="5160E98E">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4. 推进农村生活污水治理。加强农村改厕与生活污水治理衔接，推动城镇污水处理设施和服务向城镇近郊农村延伸。农村生活污水处理设施水污染物排放执行湖南省地方标准《农村生活污水处理设施水污染物排放标准》（GB43/1665）。</w:t>
            </w:r>
          </w:p>
          <w:p w14:paraId="337953E6">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5. 推进畜禽水产养殖污染防治，加强种养结合，整县推进畜禽粪污资源化利用。规范工厂化水产养殖尾水排污口设置，加强水产养殖主产区养殖尾水治理。</w:t>
            </w:r>
          </w:p>
          <w:p w14:paraId="2116A91B">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6. 改进畜禽饲养管理，加强畜禽养殖业粪污处理利用和秸秆综合利用。</w:t>
            </w:r>
          </w:p>
        </w:tc>
        <w:tc>
          <w:tcPr>
            <w:tcW w:w="2341" w:type="dxa"/>
            <w:noWrap w:val="0"/>
            <w:vAlign w:val="center"/>
          </w:tcPr>
          <w:p w14:paraId="28A64B29">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本项目尾水达《城镇污水处理厂污染物排放标准》（GB18918-2002）一级A标准后经机排二十渠再入老三运河</w:t>
            </w:r>
          </w:p>
        </w:tc>
        <w:tc>
          <w:tcPr>
            <w:tcW w:w="719" w:type="dxa"/>
            <w:noWrap w:val="0"/>
            <w:vAlign w:val="center"/>
          </w:tcPr>
          <w:p w14:paraId="55C98ECB">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符合</w:t>
            </w:r>
          </w:p>
        </w:tc>
      </w:tr>
      <w:tr w14:paraId="06410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vMerge w:val="continue"/>
            <w:noWrap w:val="0"/>
            <w:vAlign w:val="center"/>
          </w:tcPr>
          <w:p w14:paraId="3B38E462">
            <w:pPr>
              <w:pStyle w:val="192"/>
              <w:keepNext w:val="0"/>
              <w:keepLines w:val="0"/>
              <w:suppressLineNumbers w:val="0"/>
              <w:spacing w:before="0" w:beforeAutospacing="0" w:after="0" w:afterAutospacing="0"/>
              <w:ind w:left="0" w:right="0"/>
              <w:jc w:val="center"/>
              <w:rPr>
                <w:rFonts w:hint="eastAsia"/>
                <w:color w:val="FF0000"/>
                <w:u w:val="none" w:color="auto"/>
                <w:lang w:val="en-US" w:eastAsia="zh-CN"/>
              </w:rPr>
            </w:pPr>
          </w:p>
        </w:tc>
        <w:tc>
          <w:tcPr>
            <w:tcW w:w="1163" w:type="dxa"/>
            <w:noWrap w:val="0"/>
            <w:vAlign w:val="center"/>
          </w:tcPr>
          <w:p w14:paraId="6A7C0607">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城镇生活污染源所属水环境控制区域</w:t>
            </w:r>
          </w:p>
        </w:tc>
        <w:tc>
          <w:tcPr>
            <w:tcW w:w="4036" w:type="dxa"/>
            <w:noWrap w:val="0"/>
            <w:vAlign w:val="center"/>
          </w:tcPr>
          <w:p w14:paraId="13386ADA">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1. 加快城中村、老旧城区、城乡 结合部和易地扶贫搬迁安置区的生活污水收集管网建设，加快消除收集管网空白区。加快城市污水处理厂提标及扩容改造，提升城市污水处理厂出水水质。</w:t>
            </w:r>
          </w:p>
          <w:p w14:paraId="12B7F37F">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2. 加强乡镇生活污水治理，建立乡镇污水处理设施运营长效机制。加快完善医疗废物收集转运处置体系，加大对基层和偏远农村地区医疗废物管理投入。到2025年，基本消除城市建成区生活污水直排口以及城中村、老旧城区和城乡结合部生活污水收集处理设施空白区，城市生活污水集中收集率达到 70%。</w:t>
            </w:r>
          </w:p>
          <w:p w14:paraId="59374429">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3. 推进污泥处理处置。对污水处理设施产生的污泥进行稳定化、无害化和资源化处理处置，禁止处理处置未达标的污泥进入耕地。对非法污泥堆放点一律予以取缔。</w:t>
            </w:r>
          </w:p>
          <w:p w14:paraId="4B244C04">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4. 严格限制含有毒有害污染物和重金属的工业废水进入城镇污水处理厂，对接纳含有毒有害污染物和重金属的工业废水的城镇污水处理厂，每一股工业废水都应满足其行业污染物排放标准后方可与生活污水进行混合处理。</w:t>
            </w:r>
          </w:p>
        </w:tc>
        <w:tc>
          <w:tcPr>
            <w:tcW w:w="2341" w:type="dxa"/>
            <w:noWrap w:val="0"/>
            <w:vAlign w:val="center"/>
          </w:tcPr>
          <w:p w14:paraId="11688138">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本项目为工业园区污水处理设施，产生的污泥交由益阳海螺环保科技有限公司处置</w:t>
            </w:r>
          </w:p>
        </w:tc>
        <w:tc>
          <w:tcPr>
            <w:tcW w:w="719" w:type="dxa"/>
            <w:noWrap w:val="0"/>
            <w:vAlign w:val="center"/>
          </w:tcPr>
          <w:p w14:paraId="0C2FD669">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 xml:space="preserve">符合 </w:t>
            </w:r>
          </w:p>
        </w:tc>
      </w:tr>
      <w:tr w14:paraId="4FF7E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020" w:type="dxa"/>
            <w:vMerge w:val="continue"/>
            <w:noWrap w:val="0"/>
            <w:vAlign w:val="center"/>
          </w:tcPr>
          <w:p w14:paraId="38FD10DA">
            <w:pPr>
              <w:pStyle w:val="192"/>
              <w:keepNext w:val="0"/>
              <w:keepLines w:val="0"/>
              <w:suppressLineNumbers w:val="0"/>
              <w:spacing w:before="0" w:beforeAutospacing="0" w:after="0" w:afterAutospacing="0"/>
              <w:ind w:left="0" w:right="0"/>
              <w:jc w:val="center"/>
              <w:rPr>
                <w:rFonts w:hint="eastAsia"/>
                <w:color w:val="FF0000"/>
                <w:u w:val="none" w:color="auto"/>
                <w:lang w:val="en-US" w:eastAsia="zh-CN"/>
              </w:rPr>
            </w:pPr>
          </w:p>
        </w:tc>
        <w:tc>
          <w:tcPr>
            <w:tcW w:w="1163" w:type="dxa"/>
            <w:noWrap w:val="0"/>
            <w:vAlign w:val="center"/>
          </w:tcPr>
          <w:p w14:paraId="17AFCDDC">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涉重金属矿区所属水环境控制区域</w:t>
            </w:r>
          </w:p>
        </w:tc>
        <w:tc>
          <w:tcPr>
            <w:tcW w:w="4036" w:type="dxa"/>
            <w:noWrap w:val="0"/>
            <w:vAlign w:val="center"/>
          </w:tcPr>
          <w:p w14:paraId="0B91F6B4">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1. 矿山开采区、尾矿库的运营、管理单位，应当采取防渗漏等措施，并建设地下水水质监测井进行监测，防止地下水污染。</w:t>
            </w:r>
          </w:p>
          <w:p w14:paraId="2F007399">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2. 全面整治历史遗留尾矿库，完善覆膜、压土、排洪、堤坝加固等措施。有重点监管尾矿库的企业要开展环境风险评估，完善污染治理设施，储备应急物资。加强对矿产资源开发利用活动的辐射安全监管，有关企业每年要对本矿区土壤进行辐射环境监测。严防矿产资源开发污染土壤，矿产资源开发活动集中的区域执行重点污染物特别排放限值。</w:t>
            </w:r>
          </w:p>
          <w:p w14:paraId="1C47D4A1">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3. 强化矿山生态修复，加强尾矿、废石等大宗固废综合利用，按照“一库一策”要求，分级分类推进尾矿库治理，推进矿涌水排查整治。</w:t>
            </w:r>
          </w:p>
          <w:p w14:paraId="62306F08">
            <w:pPr>
              <w:pStyle w:val="192"/>
              <w:keepNext w:val="0"/>
              <w:keepLines w:val="0"/>
              <w:suppressLineNumbers w:val="0"/>
              <w:spacing w:before="0" w:beforeAutospacing="0" w:after="0" w:afterAutospacing="0"/>
              <w:ind w:left="0" w:right="0"/>
              <w:jc w:val="both"/>
              <w:rPr>
                <w:rFonts w:hint="eastAsia"/>
                <w:color w:val="FF0000"/>
                <w:u w:val="none" w:color="auto"/>
                <w:lang w:val="en-US" w:eastAsia="zh-CN"/>
              </w:rPr>
            </w:pPr>
            <w:r>
              <w:rPr>
                <w:rFonts w:hint="eastAsia"/>
                <w:color w:val="FF0000"/>
                <w:u w:val="none" w:color="auto"/>
                <w:lang w:val="en-US" w:eastAsia="zh-CN"/>
              </w:rPr>
              <w:t>4. 全面排查尾矿库，分级分类推进尾矿库整治工作，以市州为单元，拉条挂账建立问题清单，明确责任主体、治理措施、时限要求等，按照“一库一策”加快实施治理。</w:t>
            </w:r>
          </w:p>
        </w:tc>
        <w:tc>
          <w:tcPr>
            <w:tcW w:w="2341" w:type="dxa"/>
            <w:noWrap w:val="0"/>
            <w:vAlign w:val="center"/>
          </w:tcPr>
          <w:p w14:paraId="7C1FB431">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本项目不涉及</w:t>
            </w:r>
          </w:p>
        </w:tc>
        <w:tc>
          <w:tcPr>
            <w:tcW w:w="719" w:type="dxa"/>
            <w:noWrap w:val="0"/>
            <w:vAlign w:val="center"/>
          </w:tcPr>
          <w:p w14:paraId="61ED5E89">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w:t>
            </w:r>
          </w:p>
        </w:tc>
      </w:tr>
    </w:tbl>
    <w:p w14:paraId="7E31C761">
      <w:pPr>
        <w:pStyle w:val="18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FF0000"/>
          <w:sz w:val="24"/>
          <w:szCs w:val="24"/>
          <w:u w:val="none" w:color="auto"/>
        </w:rPr>
      </w:pPr>
      <w:r>
        <w:rPr>
          <w:rFonts w:hint="default" w:ascii="Times New Roman" w:hAnsi="Times New Roman" w:eastAsia="宋体" w:cs="Times New Roman"/>
          <w:color w:val="FF0000"/>
          <w:sz w:val="24"/>
          <w:szCs w:val="24"/>
          <w:u w:val="none" w:color="auto"/>
          <w:lang w:val="en-US" w:eastAsia="zh-CN"/>
        </w:rPr>
        <w:t>综上分析，项目与《湖南省生态环境分区管控更新成果》（2023版）相符</w:t>
      </w:r>
      <w:r>
        <w:rPr>
          <w:rFonts w:hint="default" w:ascii="Times New Roman" w:hAnsi="Times New Roman" w:eastAsia="宋体" w:cs="Times New Roman"/>
          <w:color w:val="FF0000"/>
          <w:sz w:val="24"/>
          <w:szCs w:val="24"/>
          <w:u w:val="none" w:color="auto"/>
        </w:rPr>
        <w:t>。</w:t>
      </w:r>
    </w:p>
    <w:p w14:paraId="56632A28">
      <w:pPr>
        <w:pStyle w:val="18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FF0000"/>
          <w:sz w:val="24"/>
          <w:szCs w:val="24"/>
          <w:u w:val="none" w:color="auto"/>
        </w:rPr>
      </w:pPr>
      <w:r>
        <w:rPr>
          <w:rFonts w:hint="default" w:ascii="Times New Roman" w:hAnsi="Times New Roman" w:eastAsia="宋体" w:cs="Times New Roman"/>
          <w:color w:val="FF0000"/>
          <w:sz w:val="24"/>
          <w:szCs w:val="24"/>
          <w:u w:val="none" w:color="auto"/>
        </w:rPr>
        <w:t>根据《湖南省生态环境分区管控总体管控要求暨省级以上产业园区生态环境准入清单》（湘环函〔2024〕26号）</w:t>
      </w:r>
      <w:r>
        <w:rPr>
          <w:rFonts w:hint="default" w:ascii="Times New Roman" w:hAnsi="Times New Roman" w:eastAsia="宋体" w:cs="Times New Roman"/>
          <w:color w:val="FF0000"/>
          <w:sz w:val="24"/>
          <w:szCs w:val="24"/>
          <w:u w:val="none" w:color="auto"/>
          <w:lang w:eastAsia="zh-CN"/>
        </w:rPr>
        <w:t>，</w:t>
      </w:r>
      <w:r>
        <w:rPr>
          <w:rFonts w:hint="default" w:ascii="Times New Roman" w:hAnsi="Times New Roman" w:eastAsia="宋体" w:cs="Times New Roman"/>
          <w:color w:val="FF0000"/>
          <w:sz w:val="24"/>
          <w:szCs w:val="24"/>
          <w:u w:val="none" w:color="auto"/>
        </w:rPr>
        <w:t>本项目位于</w:t>
      </w:r>
      <w:r>
        <w:rPr>
          <w:rFonts w:hint="default" w:ascii="Times New Roman" w:hAnsi="Times New Roman" w:eastAsia="宋体" w:cs="Times New Roman"/>
          <w:color w:val="FF0000"/>
          <w:sz w:val="24"/>
          <w:szCs w:val="24"/>
          <w:u w:val="none" w:color="auto"/>
          <w:lang w:val="en-US" w:eastAsia="zh-CN"/>
        </w:rPr>
        <w:t>大通湖区工业园内机排二十渠旁</w:t>
      </w:r>
      <w:r>
        <w:rPr>
          <w:rFonts w:hint="default" w:ascii="Times New Roman" w:hAnsi="Times New Roman" w:eastAsia="宋体" w:cs="Times New Roman"/>
          <w:color w:val="FF0000"/>
          <w:sz w:val="24"/>
          <w:szCs w:val="24"/>
          <w:u w:val="none" w:color="auto"/>
        </w:rPr>
        <w:t>，</w:t>
      </w:r>
      <w:r>
        <w:rPr>
          <w:rFonts w:hint="default" w:ascii="Times New Roman" w:hAnsi="Times New Roman" w:eastAsia="宋体" w:cs="Times New Roman"/>
          <w:color w:val="FF0000"/>
          <w:sz w:val="24"/>
          <w:szCs w:val="24"/>
          <w:u w:val="none" w:color="auto"/>
          <w:lang w:val="en-US" w:eastAsia="zh-CN"/>
        </w:rPr>
        <w:t>属于大通湖产业开发区管控范围内</w:t>
      </w:r>
      <w:r>
        <w:rPr>
          <w:rFonts w:hint="default" w:ascii="Times New Roman" w:hAnsi="Times New Roman" w:eastAsia="宋体" w:cs="Times New Roman"/>
          <w:color w:val="FF0000"/>
          <w:sz w:val="24"/>
          <w:szCs w:val="24"/>
          <w:u w:val="none" w:color="auto"/>
        </w:rPr>
        <w:t>，</w:t>
      </w:r>
      <w:r>
        <w:rPr>
          <w:rFonts w:hint="default" w:ascii="Times New Roman" w:hAnsi="Times New Roman" w:eastAsia="宋体" w:cs="Times New Roman"/>
          <w:color w:val="FF0000"/>
          <w:sz w:val="24"/>
          <w:szCs w:val="24"/>
          <w:u w:val="none" w:color="auto"/>
          <w:lang w:val="en-US" w:eastAsia="zh-CN"/>
        </w:rPr>
        <w:t>属于重点管控单元</w:t>
      </w:r>
      <w:r>
        <w:rPr>
          <w:rFonts w:hint="default" w:ascii="Times New Roman" w:hAnsi="Times New Roman" w:eastAsia="宋体" w:cs="Times New Roman"/>
          <w:color w:val="FF0000"/>
          <w:sz w:val="24"/>
          <w:szCs w:val="24"/>
          <w:u w:val="none" w:color="auto"/>
        </w:rPr>
        <w:t>，</w:t>
      </w:r>
      <w:r>
        <w:rPr>
          <w:rFonts w:hint="default" w:ascii="Times New Roman" w:hAnsi="Times New Roman" w:eastAsia="宋体" w:cs="Times New Roman"/>
          <w:color w:val="FF0000"/>
          <w:sz w:val="24"/>
          <w:szCs w:val="24"/>
          <w:u w:val="none" w:color="auto"/>
          <w:lang w:eastAsia="zh-CN"/>
        </w:rPr>
        <w:t>环境管控单元编码：</w:t>
      </w:r>
      <w:r>
        <w:rPr>
          <w:rFonts w:hint="default" w:ascii="Times New Roman" w:hAnsi="Times New Roman" w:eastAsia="宋体" w:cs="Times New Roman"/>
          <w:color w:val="FF0000"/>
          <w:sz w:val="24"/>
          <w:szCs w:val="24"/>
          <w:u w:val="none" w:color="auto"/>
          <w:lang w:val="en-US" w:eastAsia="zh-CN"/>
        </w:rPr>
        <w:t>ZH43092120003，根据大通湖产业开发区管控要求，本项目与《湖南省生态环境分区管控总体管控要求暨省级以上产业园区生态环境准入清单</w:t>
      </w:r>
      <w:r>
        <w:rPr>
          <w:rFonts w:hint="eastAsia" w:ascii="Times New Roman" w:hAnsi="Times New Roman" w:cs="Times New Roman"/>
          <w:color w:val="FF0000"/>
          <w:sz w:val="24"/>
          <w:szCs w:val="24"/>
          <w:u w:val="none" w:color="auto"/>
          <w:lang w:val="en-US" w:eastAsia="zh-CN"/>
        </w:rPr>
        <w:t>》</w:t>
      </w:r>
      <w:r>
        <w:rPr>
          <w:rFonts w:hint="default" w:ascii="Times New Roman" w:hAnsi="Times New Roman" w:eastAsia="宋体" w:cs="Times New Roman"/>
          <w:color w:val="FF0000"/>
          <w:sz w:val="24"/>
          <w:szCs w:val="24"/>
          <w:u w:val="none" w:color="auto"/>
          <w:lang w:val="en-US" w:eastAsia="zh-CN"/>
        </w:rPr>
        <w:t>符合性分析详见下表</w:t>
      </w:r>
      <w:r>
        <w:rPr>
          <w:rFonts w:hint="default" w:ascii="Times New Roman" w:hAnsi="Times New Roman" w:eastAsia="宋体" w:cs="Times New Roman"/>
          <w:color w:val="FF0000"/>
          <w:sz w:val="24"/>
          <w:szCs w:val="24"/>
          <w:u w:val="none" w:color="auto"/>
        </w:rPr>
        <w:t>。</w:t>
      </w:r>
    </w:p>
    <w:p w14:paraId="6F664F06">
      <w:pPr>
        <w:pStyle w:val="18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FF0000"/>
          <w:sz w:val="24"/>
          <w:szCs w:val="24"/>
          <w:u w:val="none" w:color="auto"/>
          <w:lang w:val="en-US" w:eastAsia="zh-CN"/>
        </w:rPr>
      </w:pPr>
      <w:r>
        <w:rPr>
          <w:rFonts w:hint="default" w:ascii="Times New Roman" w:hAnsi="Times New Roman" w:eastAsia="宋体" w:cs="Times New Roman"/>
          <w:b/>
          <w:bCs/>
          <w:color w:val="FF0000"/>
          <w:sz w:val="24"/>
          <w:szCs w:val="24"/>
          <w:u w:val="none" w:color="auto"/>
          <w:lang w:val="en-US" w:eastAsia="zh-CN"/>
        </w:rPr>
        <w:t>表</w:t>
      </w:r>
      <w:r>
        <w:rPr>
          <w:rFonts w:hint="eastAsia" w:ascii="Times New Roman" w:hAnsi="Times New Roman" w:cs="Times New Roman"/>
          <w:b/>
          <w:bCs/>
          <w:color w:val="FF0000"/>
          <w:sz w:val="24"/>
          <w:szCs w:val="24"/>
          <w:u w:val="none" w:color="auto"/>
          <w:lang w:val="en-US" w:eastAsia="zh-CN"/>
        </w:rPr>
        <w:t>4.4</w:t>
      </w:r>
      <w:r>
        <w:rPr>
          <w:rFonts w:hint="default" w:ascii="Times New Roman" w:hAnsi="Times New Roman" w:eastAsia="宋体" w:cs="Times New Roman"/>
          <w:b/>
          <w:bCs/>
          <w:color w:val="FF0000"/>
          <w:sz w:val="24"/>
          <w:szCs w:val="24"/>
          <w:u w:val="none" w:color="auto"/>
          <w:lang w:val="en-US" w:eastAsia="zh-CN"/>
        </w:rPr>
        <w:t>-</w:t>
      </w:r>
      <w:r>
        <w:rPr>
          <w:rFonts w:hint="eastAsia" w:ascii="Times New Roman" w:hAnsi="Times New Roman" w:cs="Times New Roman"/>
          <w:b/>
          <w:bCs/>
          <w:color w:val="FF0000"/>
          <w:sz w:val="24"/>
          <w:szCs w:val="24"/>
          <w:u w:val="none" w:color="auto"/>
          <w:lang w:val="en-US" w:eastAsia="zh-CN"/>
        </w:rPr>
        <w:t>2</w:t>
      </w:r>
      <w:r>
        <w:rPr>
          <w:rFonts w:hint="default" w:ascii="Times New Roman" w:hAnsi="Times New Roman" w:eastAsia="宋体" w:cs="Times New Roman"/>
          <w:b/>
          <w:bCs/>
          <w:color w:val="FF0000"/>
          <w:sz w:val="24"/>
          <w:szCs w:val="24"/>
          <w:u w:val="none" w:color="auto"/>
          <w:lang w:val="en-US" w:eastAsia="zh-CN"/>
        </w:rPr>
        <w:t xml:space="preserve"> 项目与大通湖产业开发区环境准入清单符合性分析</w:t>
      </w:r>
      <w:r>
        <w:rPr>
          <w:rFonts w:hint="default" w:ascii="Times New Roman" w:hAnsi="Times New Roman" w:eastAsia="宋体" w:cs="Times New Roman"/>
          <w:b/>
          <w:bCs/>
          <w:color w:val="FF0000"/>
          <w:sz w:val="24"/>
          <w:szCs w:val="24"/>
          <w:u w:val="none" w:color="auto"/>
          <w:lang w:eastAsia="zh-CN"/>
        </w:rPr>
        <w:t>一览表</w:t>
      </w:r>
    </w:p>
    <w:tbl>
      <w:tblPr>
        <w:tblStyle w:val="76"/>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5"/>
        <w:gridCol w:w="3878"/>
        <w:gridCol w:w="3103"/>
        <w:gridCol w:w="1143"/>
      </w:tblGrid>
      <w:tr w14:paraId="1E26A4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5" w:type="dxa"/>
            <w:noWrap w:val="0"/>
            <w:vAlign w:val="center"/>
          </w:tcPr>
          <w:p w14:paraId="07F053C5">
            <w:pPr>
              <w:pStyle w:val="192"/>
              <w:keepNext w:val="0"/>
              <w:keepLines w:val="0"/>
              <w:suppressLineNumbers w:val="0"/>
              <w:spacing w:before="0" w:beforeAutospacing="0" w:after="0" w:afterAutospacing="0"/>
              <w:ind w:left="0" w:right="0"/>
              <w:rPr>
                <w:rFonts w:hint="default" w:eastAsia="宋体"/>
                <w:b/>
                <w:color w:val="FF0000"/>
                <w:u w:val="none" w:color="auto"/>
                <w:lang w:val="en-US" w:eastAsia="zh-CN"/>
              </w:rPr>
            </w:pPr>
            <w:r>
              <w:rPr>
                <w:rFonts w:hint="eastAsia"/>
                <w:b/>
                <w:color w:val="FF0000"/>
                <w:u w:val="none" w:color="auto"/>
                <w:lang w:val="en-US" w:eastAsia="zh-CN"/>
              </w:rPr>
              <w:t>管控维度</w:t>
            </w:r>
          </w:p>
        </w:tc>
        <w:tc>
          <w:tcPr>
            <w:tcW w:w="3878" w:type="dxa"/>
            <w:noWrap w:val="0"/>
            <w:vAlign w:val="center"/>
          </w:tcPr>
          <w:p w14:paraId="65E7303F">
            <w:pPr>
              <w:pStyle w:val="192"/>
              <w:keepNext w:val="0"/>
              <w:keepLines w:val="0"/>
              <w:suppressLineNumbers w:val="0"/>
              <w:spacing w:before="0" w:beforeAutospacing="0" w:after="0" w:afterAutospacing="0"/>
              <w:ind w:left="0" w:right="0"/>
              <w:rPr>
                <w:rFonts w:hint="default"/>
                <w:b/>
                <w:color w:val="FF0000"/>
                <w:u w:val="none" w:color="auto"/>
                <w:lang w:val="en-US" w:eastAsia="zh-CN"/>
              </w:rPr>
            </w:pPr>
            <w:r>
              <w:rPr>
                <w:rFonts w:hint="eastAsia"/>
                <w:b/>
                <w:color w:val="FF0000"/>
                <w:u w:val="none" w:color="auto"/>
                <w:lang w:val="en-US" w:eastAsia="zh-CN"/>
              </w:rPr>
              <w:t>管控要求</w:t>
            </w:r>
          </w:p>
        </w:tc>
        <w:tc>
          <w:tcPr>
            <w:tcW w:w="3103" w:type="dxa"/>
            <w:noWrap w:val="0"/>
            <w:vAlign w:val="center"/>
          </w:tcPr>
          <w:p w14:paraId="000DD8DC">
            <w:pPr>
              <w:pStyle w:val="192"/>
              <w:keepNext w:val="0"/>
              <w:keepLines w:val="0"/>
              <w:suppressLineNumbers w:val="0"/>
              <w:spacing w:before="0" w:beforeAutospacing="0" w:after="0" w:afterAutospacing="0"/>
              <w:ind w:left="0" w:right="0"/>
              <w:rPr>
                <w:rFonts w:hint="eastAsia" w:eastAsia="宋体"/>
                <w:b/>
                <w:color w:val="FF0000"/>
                <w:u w:val="none" w:color="auto"/>
                <w:lang w:eastAsia="zh-CN"/>
              </w:rPr>
            </w:pPr>
            <w:r>
              <w:rPr>
                <w:rFonts w:hint="eastAsia"/>
                <w:b/>
                <w:color w:val="FF0000"/>
                <w:u w:val="none" w:color="auto"/>
                <w:lang w:eastAsia="zh-CN"/>
              </w:rPr>
              <w:t>本项目情况</w:t>
            </w:r>
          </w:p>
        </w:tc>
        <w:tc>
          <w:tcPr>
            <w:tcW w:w="1143" w:type="dxa"/>
            <w:noWrap w:val="0"/>
            <w:vAlign w:val="center"/>
          </w:tcPr>
          <w:p w14:paraId="2C11B56E">
            <w:pPr>
              <w:pStyle w:val="192"/>
              <w:keepNext w:val="0"/>
              <w:keepLines w:val="0"/>
              <w:suppressLineNumbers w:val="0"/>
              <w:spacing w:before="0" w:beforeAutospacing="0" w:after="0" w:afterAutospacing="0"/>
              <w:ind w:left="0" w:right="0"/>
              <w:rPr>
                <w:rFonts w:hint="default"/>
                <w:b/>
                <w:color w:val="FF0000"/>
                <w:u w:val="none" w:color="auto"/>
                <w:lang w:val="en-US" w:eastAsia="zh-CN"/>
              </w:rPr>
            </w:pPr>
            <w:r>
              <w:rPr>
                <w:rFonts w:hint="eastAsia"/>
                <w:b/>
                <w:color w:val="FF0000"/>
                <w:u w:val="none" w:color="auto"/>
                <w:lang w:val="en-US" w:eastAsia="zh-CN"/>
              </w:rPr>
              <w:t>是否符合</w:t>
            </w:r>
          </w:p>
        </w:tc>
      </w:tr>
      <w:tr w14:paraId="2D06A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155" w:type="dxa"/>
            <w:noWrap w:val="0"/>
            <w:vAlign w:val="center"/>
          </w:tcPr>
          <w:p w14:paraId="7093C495">
            <w:pPr>
              <w:pStyle w:val="192"/>
              <w:keepNext w:val="0"/>
              <w:keepLines w:val="0"/>
              <w:suppressLineNumbers w:val="0"/>
              <w:spacing w:before="0" w:beforeAutospacing="0" w:after="0" w:afterAutospacing="0"/>
              <w:ind w:left="0" w:right="0"/>
              <w:jc w:val="center"/>
              <w:rPr>
                <w:rFonts w:hint="default" w:eastAsia="宋体"/>
                <w:color w:val="FF0000"/>
                <w:u w:val="none" w:color="auto"/>
                <w:lang w:val="en-US" w:eastAsia="zh-CN"/>
              </w:rPr>
            </w:pPr>
            <w:r>
              <w:rPr>
                <w:rFonts w:hint="eastAsia"/>
                <w:color w:val="FF0000"/>
                <w:u w:val="none" w:color="auto"/>
                <w:lang w:val="en-US" w:eastAsia="zh-CN"/>
              </w:rPr>
              <w:t>空间布局约束</w:t>
            </w:r>
          </w:p>
        </w:tc>
        <w:tc>
          <w:tcPr>
            <w:tcW w:w="3878" w:type="dxa"/>
            <w:noWrap w:val="0"/>
            <w:vAlign w:val="center"/>
          </w:tcPr>
          <w:p w14:paraId="57E0D980">
            <w:pPr>
              <w:pStyle w:val="192"/>
              <w:keepNext w:val="0"/>
              <w:keepLines w:val="0"/>
              <w:suppressLineNumbers w:val="0"/>
              <w:spacing w:before="0" w:beforeAutospacing="0" w:after="0" w:afterAutospacing="0"/>
              <w:ind w:left="0" w:right="0"/>
              <w:jc w:val="both"/>
              <w:rPr>
                <w:rFonts w:hint="eastAsia"/>
                <w:color w:val="FF0000"/>
                <w:u w:val="none" w:color="auto"/>
              </w:rPr>
            </w:pPr>
            <w:r>
              <w:rPr>
                <w:rFonts w:hint="eastAsia"/>
                <w:color w:val="FF0000"/>
                <w:u w:val="none" w:color="auto"/>
              </w:rPr>
              <w:t>（1.1）大通湖湖泊重点保护区域禁止新建、扩建污水集中处理设施排污口以外的排污口。</w:t>
            </w:r>
          </w:p>
          <w:p w14:paraId="44A8C79A">
            <w:pPr>
              <w:pStyle w:val="192"/>
              <w:keepNext w:val="0"/>
              <w:keepLines w:val="0"/>
              <w:suppressLineNumbers w:val="0"/>
              <w:spacing w:before="0" w:beforeAutospacing="0" w:after="0" w:afterAutospacing="0"/>
              <w:ind w:left="0" w:right="0"/>
              <w:jc w:val="both"/>
              <w:rPr>
                <w:rFonts w:hint="eastAsia"/>
                <w:color w:val="FF0000"/>
                <w:u w:val="none" w:color="auto"/>
              </w:rPr>
            </w:pPr>
            <w:r>
              <w:rPr>
                <w:rFonts w:hint="eastAsia"/>
                <w:color w:val="FF0000"/>
                <w:u w:val="none" w:color="auto"/>
              </w:rPr>
              <w:t>区块一</w:t>
            </w:r>
          </w:p>
          <w:p w14:paraId="64B090B0">
            <w:pPr>
              <w:pStyle w:val="192"/>
              <w:keepNext w:val="0"/>
              <w:keepLines w:val="0"/>
              <w:suppressLineNumbers w:val="0"/>
              <w:spacing w:before="0" w:beforeAutospacing="0" w:after="0" w:afterAutospacing="0"/>
              <w:ind w:left="0" w:right="0"/>
              <w:jc w:val="both"/>
              <w:rPr>
                <w:rFonts w:hint="eastAsia"/>
                <w:color w:val="FF0000"/>
                <w:u w:val="none" w:color="auto"/>
              </w:rPr>
            </w:pPr>
            <w:r>
              <w:rPr>
                <w:rFonts w:hint="eastAsia"/>
                <w:color w:val="FF0000"/>
                <w:u w:val="none" w:color="auto"/>
              </w:rPr>
              <w:t>（1.2）西北部集中安置区的邻近工业用地禁止引进气型污染项目，居住区周边设置绿化隔离带。</w:t>
            </w:r>
          </w:p>
          <w:p w14:paraId="01631312">
            <w:pPr>
              <w:pStyle w:val="192"/>
              <w:keepNext w:val="0"/>
              <w:keepLines w:val="0"/>
              <w:suppressLineNumbers w:val="0"/>
              <w:spacing w:before="0" w:beforeAutospacing="0" w:after="0" w:afterAutospacing="0"/>
              <w:ind w:left="0" w:right="0"/>
              <w:jc w:val="both"/>
              <w:rPr>
                <w:rFonts w:hint="eastAsia"/>
                <w:color w:val="FF0000"/>
                <w:u w:val="none" w:color="auto"/>
              </w:rPr>
            </w:pPr>
            <w:r>
              <w:rPr>
                <w:rFonts w:hint="eastAsia"/>
                <w:color w:val="FF0000"/>
                <w:u w:val="none" w:color="auto"/>
              </w:rPr>
              <w:t>（1.3）不得建设三类工业。</w:t>
            </w:r>
          </w:p>
        </w:tc>
        <w:tc>
          <w:tcPr>
            <w:tcW w:w="3103" w:type="dxa"/>
            <w:noWrap w:val="0"/>
            <w:vAlign w:val="center"/>
          </w:tcPr>
          <w:p w14:paraId="22DFE381">
            <w:pPr>
              <w:pStyle w:val="192"/>
              <w:keepNext w:val="0"/>
              <w:keepLines w:val="0"/>
              <w:suppressLineNumbers w:val="0"/>
              <w:spacing w:before="0" w:beforeAutospacing="0" w:after="0" w:afterAutospacing="0"/>
              <w:ind w:left="0" w:right="0" w:firstLine="210" w:firstLineChars="100"/>
              <w:jc w:val="both"/>
              <w:rPr>
                <w:rFonts w:hint="eastAsia" w:eastAsia="宋体"/>
                <w:color w:val="FF0000"/>
                <w:u w:val="none" w:color="auto"/>
                <w:lang w:eastAsia="zh-CN"/>
              </w:rPr>
            </w:pPr>
            <w:r>
              <w:rPr>
                <w:rFonts w:hint="eastAsia"/>
                <w:color w:val="FF0000"/>
                <w:u w:val="none" w:color="auto"/>
                <w:lang w:eastAsia="zh-CN"/>
              </w:rPr>
              <w:t>本项目属于污水处理及其再生利用项目，</w:t>
            </w:r>
            <w:r>
              <w:rPr>
                <w:rFonts w:hint="eastAsia"/>
                <w:color w:val="FF0000"/>
                <w:u w:val="none" w:color="auto"/>
                <w:lang w:val="en-US" w:eastAsia="zh-CN"/>
              </w:rPr>
              <w:t>项目尾水达《城镇污水处理厂污染物排放标准》（GB18918-2002）一级A标准后经机排二十渠再入老三运河</w:t>
            </w:r>
            <w:r>
              <w:rPr>
                <w:rFonts w:hint="eastAsia"/>
                <w:color w:val="FF0000"/>
                <w:u w:val="none" w:color="auto"/>
                <w:lang w:eastAsia="zh-CN"/>
              </w:rPr>
              <w:t>。</w:t>
            </w:r>
          </w:p>
        </w:tc>
        <w:tc>
          <w:tcPr>
            <w:tcW w:w="1143" w:type="dxa"/>
            <w:noWrap w:val="0"/>
            <w:vAlign w:val="center"/>
          </w:tcPr>
          <w:p w14:paraId="3917A117">
            <w:pPr>
              <w:pStyle w:val="192"/>
              <w:keepNext w:val="0"/>
              <w:keepLines w:val="0"/>
              <w:suppressLineNumbers w:val="0"/>
              <w:spacing w:before="0" w:beforeAutospacing="0" w:after="0" w:afterAutospacing="0"/>
              <w:ind w:left="0" w:right="0"/>
              <w:rPr>
                <w:rFonts w:hint="eastAsia"/>
                <w:color w:val="FF0000"/>
                <w:u w:val="none" w:color="auto"/>
                <w:lang w:eastAsia="zh-CN"/>
              </w:rPr>
            </w:pPr>
            <w:r>
              <w:rPr>
                <w:rFonts w:hint="eastAsia"/>
                <w:color w:val="FF0000"/>
                <w:u w:val="none" w:color="auto"/>
                <w:lang w:eastAsia="zh-CN"/>
              </w:rPr>
              <w:t>符合</w:t>
            </w:r>
          </w:p>
        </w:tc>
      </w:tr>
      <w:tr w14:paraId="463EB2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155" w:type="dxa"/>
            <w:noWrap w:val="0"/>
            <w:vAlign w:val="center"/>
          </w:tcPr>
          <w:p w14:paraId="45921D16">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污染物排放管控</w:t>
            </w:r>
          </w:p>
        </w:tc>
        <w:tc>
          <w:tcPr>
            <w:tcW w:w="3878" w:type="dxa"/>
            <w:noWrap w:val="0"/>
            <w:vAlign w:val="center"/>
          </w:tcPr>
          <w:p w14:paraId="5B5799F4">
            <w:pPr>
              <w:pStyle w:val="192"/>
              <w:keepNext w:val="0"/>
              <w:keepLines w:val="0"/>
              <w:suppressLineNumbers w:val="0"/>
              <w:spacing w:before="0" w:beforeAutospacing="0" w:after="0" w:afterAutospacing="0"/>
              <w:ind w:left="0" w:right="0"/>
              <w:jc w:val="both"/>
              <w:rPr>
                <w:rFonts w:hint="eastAsia"/>
                <w:color w:val="FF0000"/>
                <w:u w:val="none" w:color="auto"/>
              </w:rPr>
            </w:pPr>
            <w:r>
              <w:rPr>
                <w:rFonts w:hint="eastAsia"/>
                <w:color w:val="FF0000"/>
                <w:u w:val="none" w:color="auto"/>
              </w:rPr>
              <w:t>（2.1）废水：加强重点涉水企业监管，推动工业企业全面达标排放；园区排水实施雨污分流。</w:t>
            </w:r>
          </w:p>
          <w:p w14:paraId="07AF9E55">
            <w:pPr>
              <w:pStyle w:val="192"/>
              <w:keepNext w:val="0"/>
              <w:keepLines w:val="0"/>
              <w:suppressLineNumbers w:val="0"/>
              <w:spacing w:before="0" w:beforeAutospacing="0" w:after="0" w:afterAutospacing="0"/>
              <w:ind w:left="0" w:right="0"/>
              <w:jc w:val="both"/>
              <w:rPr>
                <w:rFonts w:hint="eastAsia"/>
                <w:color w:val="FF0000"/>
                <w:u w:val="none" w:color="auto"/>
              </w:rPr>
            </w:pPr>
            <w:r>
              <w:rPr>
                <w:rFonts w:hint="eastAsia"/>
                <w:color w:val="FF0000"/>
                <w:u w:val="none" w:color="auto"/>
              </w:rPr>
              <w:t>区块一、区块二</w:t>
            </w:r>
          </w:p>
          <w:p w14:paraId="58576738">
            <w:pPr>
              <w:pStyle w:val="192"/>
              <w:keepNext w:val="0"/>
              <w:keepLines w:val="0"/>
              <w:suppressLineNumbers w:val="0"/>
              <w:spacing w:before="0" w:beforeAutospacing="0" w:after="0" w:afterAutospacing="0"/>
              <w:ind w:left="0" w:right="0"/>
              <w:jc w:val="both"/>
              <w:rPr>
                <w:rFonts w:hint="eastAsia"/>
                <w:color w:val="FF0000"/>
                <w:u w:val="none" w:color="auto"/>
              </w:rPr>
            </w:pPr>
            <w:r>
              <w:rPr>
                <w:rFonts w:hint="eastAsia"/>
                <w:color w:val="FF0000"/>
                <w:u w:val="none" w:color="auto"/>
              </w:rPr>
              <w:t>（2.1.1）园区废污水经预处理送至大通湖区工业园污水处理厂达标处理后经机排二十渠排入老三运河，最终进入漉湖，工业园污水处理厂稳定达标运行，在线监控联网正常。</w:t>
            </w:r>
          </w:p>
          <w:p w14:paraId="1BFCF6C6">
            <w:pPr>
              <w:pStyle w:val="192"/>
              <w:keepNext w:val="0"/>
              <w:keepLines w:val="0"/>
              <w:suppressLineNumbers w:val="0"/>
              <w:spacing w:before="0" w:beforeAutospacing="0" w:after="0" w:afterAutospacing="0"/>
              <w:ind w:left="0" w:right="0"/>
              <w:jc w:val="both"/>
              <w:rPr>
                <w:rFonts w:hint="eastAsia"/>
                <w:color w:val="FF0000"/>
                <w:u w:val="none" w:color="auto"/>
              </w:rPr>
            </w:pPr>
            <w:r>
              <w:rPr>
                <w:rFonts w:hint="eastAsia"/>
                <w:color w:val="FF0000"/>
                <w:u w:val="none" w:color="auto"/>
              </w:rPr>
              <w:t>区块三</w:t>
            </w:r>
          </w:p>
          <w:p w14:paraId="2EA6614F">
            <w:pPr>
              <w:pStyle w:val="192"/>
              <w:keepNext w:val="0"/>
              <w:keepLines w:val="0"/>
              <w:suppressLineNumbers w:val="0"/>
              <w:spacing w:before="0" w:beforeAutospacing="0" w:after="0" w:afterAutospacing="0"/>
              <w:ind w:left="0" w:right="0"/>
              <w:jc w:val="both"/>
              <w:rPr>
                <w:rFonts w:hint="eastAsia"/>
                <w:color w:val="FF0000"/>
                <w:u w:val="none" w:color="auto"/>
              </w:rPr>
            </w:pPr>
            <w:r>
              <w:rPr>
                <w:rFonts w:hint="eastAsia"/>
                <w:color w:val="FF0000"/>
                <w:u w:val="none" w:color="auto"/>
              </w:rPr>
              <w:t>（2.1.2）企业污水送至千山红镇污水处理厂处理，达标后排向泗兴河。</w:t>
            </w:r>
          </w:p>
        </w:tc>
        <w:tc>
          <w:tcPr>
            <w:tcW w:w="3103" w:type="dxa"/>
            <w:noWrap w:val="0"/>
            <w:vAlign w:val="center"/>
          </w:tcPr>
          <w:p w14:paraId="5C101EFC">
            <w:pPr>
              <w:pStyle w:val="192"/>
              <w:keepNext w:val="0"/>
              <w:keepLines w:val="0"/>
              <w:suppressLineNumbers w:val="0"/>
              <w:spacing w:before="0" w:beforeAutospacing="0" w:after="0" w:afterAutospacing="0"/>
              <w:ind w:left="0" w:right="0" w:firstLine="210" w:firstLineChars="100"/>
              <w:jc w:val="both"/>
              <w:rPr>
                <w:rFonts w:hint="eastAsia"/>
                <w:color w:val="FF0000"/>
                <w:u w:val="none" w:color="auto"/>
                <w:lang w:val="en-US" w:eastAsia="zh-CN"/>
              </w:rPr>
            </w:pPr>
            <w:r>
              <w:rPr>
                <w:rFonts w:hint="eastAsia"/>
                <w:color w:val="FF0000"/>
                <w:u w:val="none" w:color="auto"/>
                <w:lang w:val="en-US" w:eastAsia="zh-CN"/>
              </w:rPr>
              <w:t>项目生活污水经化粪池处理后进入自身污水处理工程，污水达标处理后经机排二十渠排入老三运河；并设置有在线监测。</w:t>
            </w:r>
          </w:p>
          <w:p w14:paraId="52F6DF47">
            <w:pPr>
              <w:pStyle w:val="192"/>
              <w:keepNext w:val="0"/>
              <w:keepLines w:val="0"/>
              <w:suppressLineNumbers w:val="0"/>
              <w:spacing w:before="0" w:beforeAutospacing="0" w:after="0" w:afterAutospacing="0"/>
              <w:ind w:left="0" w:right="0"/>
              <w:jc w:val="both"/>
              <w:rPr>
                <w:rFonts w:hint="default"/>
                <w:color w:val="FF0000"/>
                <w:u w:val="none" w:color="auto"/>
                <w:lang w:val="en-US" w:eastAsia="zh-CN"/>
              </w:rPr>
            </w:pPr>
          </w:p>
        </w:tc>
        <w:tc>
          <w:tcPr>
            <w:tcW w:w="1143" w:type="dxa"/>
            <w:noWrap w:val="0"/>
            <w:vAlign w:val="center"/>
          </w:tcPr>
          <w:p w14:paraId="69C76827">
            <w:pPr>
              <w:pStyle w:val="192"/>
              <w:keepNext w:val="0"/>
              <w:keepLines w:val="0"/>
              <w:suppressLineNumbers w:val="0"/>
              <w:spacing w:before="0" w:beforeAutospacing="0" w:after="0" w:afterAutospacing="0"/>
              <w:ind w:left="0" w:right="0"/>
              <w:rPr>
                <w:rFonts w:hint="eastAsia"/>
                <w:color w:val="FF0000"/>
                <w:u w:val="none" w:color="auto"/>
                <w:lang w:eastAsia="zh-CN"/>
              </w:rPr>
            </w:pPr>
            <w:r>
              <w:rPr>
                <w:rFonts w:hint="eastAsia"/>
                <w:color w:val="FF0000"/>
                <w:u w:val="none" w:color="auto"/>
                <w:lang w:val="en-US" w:eastAsia="zh-CN"/>
              </w:rPr>
              <w:t>符合</w:t>
            </w:r>
          </w:p>
        </w:tc>
      </w:tr>
      <w:tr w14:paraId="4EFC9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8" w:hRule="atLeast"/>
          <w:jc w:val="center"/>
        </w:trPr>
        <w:tc>
          <w:tcPr>
            <w:tcW w:w="1155" w:type="dxa"/>
            <w:noWrap w:val="0"/>
            <w:vAlign w:val="center"/>
          </w:tcPr>
          <w:p w14:paraId="427E91E7">
            <w:pPr>
              <w:pStyle w:val="192"/>
              <w:keepNext w:val="0"/>
              <w:keepLines w:val="0"/>
              <w:suppressLineNumbers w:val="0"/>
              <w:spacing w:before="0" w:beforeAutospacing="0" w:after="0" w:afterAutospacing="0"/>
              <w:ind w:left="0" w:right="0"/>
              <w:jc w:val="center"/>
              <w:rPr>
                <w:rFonts w:hint="default"/>
                <w:color w:val="FF0000"/>
                <w:u w:val="none" w:color="auto"/>
                <w:lang w:val="en-US" w:eastAsia="zh-CN"/>
              </w:rPr>
            </w:pPr>
            <w:r>
              <w:rPr>
                <w:rFonts w:hint="eastAsia"/>
                <w:color w:val="FF0000"/>
                <w:u w:val="none" w:color="auto"/>
                <w:lang w:val="en-US" w:eastAsia="zh-CN"/>
              </w:rPr>
              <w:t>环境风险防控</w:t>
            </w:r>
          </w:p>
        </w:tc>
        <w:tc>
          <w:tcPr>
            <w:tcW w:w="3878" w:type="dxa"/>
            <w:noWrap w:val="0"/>
            <w:vAlign w:val="center"/>
          </w:tcPr>
          <w:p w14:paraId="1C5B6D54">
            <w:pPr>
              <w:pStyle w:val="192"/>
              <w:keepNext w:val="0"/>
              <w:keepLines w:val="0"/>
              <w:suppressLineNumbers w:val="0"/>
              <w:spacing w:before="0" w:beforeAutospacing="0" w:after="0" w:afterAutospacing="0"/>
              <w:ind w:left="0" w:right="0"/>
              <w:jc w:val="both"/>
              <w:rPr>
                <w:rFonts w:hint="eastAsia"/>
                <w:color w:val="FF0000"/>
                <w:u w:val="none" w:color="auto"/>
              </w:rPr>
            </w:pPr>
            <w:r>
              <w:rPr>
                <w:rFonts w:hint="eastAsia"/>
                <w:color w:val="FF0000"/>
                <w:u w:val="none" w:color="auto"/>
              </w:rPr>
              <w:t>（3.4）农用地风险防控：禁止向农用地排放、倾倒未无害化处理达标的固体废物、工业废水，严防灌溉用水污染土壤，从源头切断污染物进入农用地。</w:t>
            </w:r>
          </w:p>
        </w:tc>
        <w:tc>
          <w:tcPr>
            <w:tcW w:w="3103" w:type="dxa"/>
            <w:noWrap w:val="0"/>
            <w:vAlign w:val="center"/>
          </w:tcPr>
          <w:p w14:paraId="6CB7B3BA">
            <w:pPr>
              <w:pStyle w:val="192"/>
              <w:keepNext w:val="0"/>
              <w:keepLines w:val="0"/>
              <w:suppressLineNumbers w:val="0"/>
              <w:spacing w:before="0" w:beforeAutospacing="0" w:after="0" w:afterAutospacing="0"/>
              <w:ind w:left="0" w:right="0" w:firstLine="210" w:firstLineChars="100"/>
              <w:jc w:val="center"/>
              <w:rPr>
                <w:rFonts w:hint="default"/>
                <w:color w:val="FF0000"/>
                <w:u w:val="none" w:color="auto"/>
                <w:lang w:val="en-US" w:eastAsia="zh-CN"/>
              </w:rPr>
            </w:pPr>
            <w:r>
              <w:rPr>
                <w:rFonts w:hint="eastAsia"/>
                <w:color w:val="FF0000"/>
                <w:u w:val="none" w:color="auto"/>
                <w:lang w:val="en-US" w:eastAsia="zh-CN"/>
              </w:rPr>
              <w:t>本项目不涉及</w:t>
            </w:r>
          </w:p>
        </w:tc>
        <w:tc>
          <w:tcPr>
            <w:tcW w:w="1143" w:type="dxa"/>
            <w:noWrap w:val="0"/>
            <w:vAlign w:val="center"/>
          </w:tcPr>
          <w:p w14:paraId="06DF5D82">
            <w:pPr>
              <w:pStyle w:val="192"/>
              <w:keepNext w:val="0"/>
              <w:keepLines w:val="0"/>
              <w:suppressLineNumbers w:val="0"/>
              <w:spacing w:before="0" w:beforeAutospacing="0" w:after="0" w:afterAutospacing="0"/>
              <w:ind w:left="0" w:right="0"/>
              <w:rPr>
                <w:rFonts w:hint="default"/>
                <w:color w:val="FF0000"/>
                <w:u w:val="none" w:color="auto"/>
                <w:lang w:val="en-US" w:eastAsia="zh-CN"/>
              </w:rPr>
            </w:pPr>
            <w:r>
              <w:rPr>
                <w:rFonts w:hint="eastAsia"/>
                <w:color w:val="FF0000"/>
                <w:u w:val="none" w:color="auto"/>
                <w:lang w:val="en-US" w:eastAsia="zh-CN"/>
              </w:rPr>
              <w:t>符合</w:t>
            </w:r>
          </w:p>
        </w:tc>
      </w:tr>
    </w:tbl>
    <w:p w14:paraId="0FC6A631">
      <w:pPr>
        <w:pStyle w:val="19"/>
        <w:rPr>
          <w:rFonts w:hint="default"/>
          <w:color w:val="FF0000"/>
          <w:lang w:val="en-US"/>
        </w:rPr>
      </w:pPr>
      <w:r>
        <w:rPr>
          <w:rFonts w:hint="default" w:ascii="Times New Roman" w:hAnsi="Times New Roman" w:eastAsia="宋体" w:cs="Times New Roman"/>
          <w:color w:val="FF0000"/>
          <w:kern w:val="0"/>
          <w:sz w:val="24"/>
          <w:szCs w:val="24"/>
          <w:lang w:val="en-US" w:eastAsia="zh-CN" w:bidi="ar"/>
        </w:rPr>
        <w:t>综上，项目经过与</w:t>
      </w:r>
      <w:r>
        <w:rPr>
          <w:rFonts w:hint="default" w:ascii="Times New Roman" w:hAnsi="Times New Roman" w:eastAsia="宋体" w:cs="Times New Roman"/>
          <w:color w:val="FF0000"/>
          <w:sz w:val="24"/>
          <w:szCs w:val="24"/>
          <w:u w:val="none" w:color="auto"/>
          <w:lang w:val="en-US" w:eastAsia="zh-CN"/>
        </w:rPr>
        <w:t>《湖南省生态环境分区管控总体管控要求暨省级以上产业园区生态环境准入清单</w:t>
      </w:r>
      <w:r>
        <w:rPr>
          <w:rFonts w:hint="eastAsia" w:ascii="Times New Roman" w:hAnsi="Times New Roman" w:cs="Times New Roman"/>
          <w:color w:val="FF0000"/>
          <w:sz w:val="24"/>
          <w:szCs w:val="24"/>
          <w:u w:val="none" w:color="auto"/>
          <w:lang w:val="en-US" w:eastAsia="zh-CN"/>
        </w:rPr>
        <w:t>》</w:t>
      </w:r>
      <w:r>
        <w:rPr>
          <w:rFonts w:hint="default" w:ascii="Times New Roman" w:hAnsi="Times New Roman" w:eastAsia="宋体" w:cs="Times New Roman"/>
          <w:color w:val="FF0000"/>
          <w:kern w:val="0"/>
          <w:sz w:val="24"/>
          <w:szCs w:val="24"/>
          <w:lang w:val="en-US" w:eastAsia="zh-CN" w:bidi="ar"/>
        </w:rPr>
        <w:t>进行对照，项目建设符合生态环境准入清单要求，符合水污染物排放管控和水环境风险防控要求。</w:t>
      </w:r>
    </w:p>
    <w:p w14:paraId="4C0B2613">
      <w:pPr>
        <w:pStyle w:val="455"/>
        <w:snapToGrid w:val="0"/>
        <w:ind w:left="0" w:leftChars="0" w:firstLine="0" w:firstLineChars="0"/>
        <w:rPr>
          <w:rFonts w:hint="eastAsia" w:eastAsia="宋体"/>
          <w:bCs/>
          <w:color w:val="FF0000"/>
          <w:sz w:val="24"/>
          <w:lang w:eastAsia="zh-CN"/>
        </w:rPr>
      </w:pPr>
    </w:p>
    <w:p w14:paraId="0813EB4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p>
    <w:p w14:paraId="553ABD2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p>
    <w:p w14:paraId="711893C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p>
    <w:p w14:paraId="1321855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p>
    <w:p w14:paraId="69D0B9EE">
      <w:pPr>
        <w:keepNext w:val="0"/>
        <w:keepLines w:val="0"/>
        <w:widowControl/>
        <w:suppressLineNumbers w:val="0"/>
        <w:autoSpaceDE/>
        <w:autoSpaceDN/>
        <w:adjustRightInd/>
        <w:spacing w:line="240" w:lineRule="auto"/>
        <w:ind w:firstLine="0" w:firstLineChars="0"/>
        <w:jc w:val="center"/>
        <w:outlineLvl w:val="0"/>
        <w:rPr>
          <w:rFonts w:hint="default" w:ascii="Times New Roman" w:hAnsi="Times New Roman" w:eastAsia="宋体" w:cs="Times New Roman"/>
          <w:color w:val="000000"/>
          <w:kern w:val="2"/>
          <w:sz w:val="36"/>
          <w:szCs w:val="36"/>
        </w:rPr>
      </w:pPr>
      <w:bookmarkStart w:id="281" w:name="_Toc10471"/>
      <w:r>
        <w:rPr>
          <w:rFonts w:hint="default" w:ascii="Times New Roman" w:hAnsi="Times New Roman" w:eastAsia="宋体" w:cs="Times New Roman"/>
          <w:b/>
          <w:bCs/>
          <w:color w:val="000000"/>
          <w:kern w:val="0"/>
          <w:sz w:val="36"/>
          <w:szCs w:val="36"/>
          <w:lang w:val="en-US" w:eastAsia="zh-CN" w:bidi="ar"/>
        </w:rPr>
        <w:t>5 入河排污口设置方案设计</w:t>
      </w:r>
      <w:bookmarkEnd w:id="281"/>
    </w:p>
    <w:p w14:paraId="521393F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b/>
          <w:bCs/>
          <w:color w:val="000000"/>
          <w:kern w:val="0"/>
          <w:sz w:val="28"/>
          <w:szCs w:val="28"/>
          <w:lang w:val="en-US" w:eastAsia="zh-CN" w:bidi="ar"/>
        </w:rPr>
      </w:pPr>
      <w:bookmarkStart w:id="282" w:name="_Toc15932"/>
      <w:r>
        <w:rPr>
          <w:rFonts w:hint="default" w:ascii="Times New Roman" w:hAnsi="Times New Roman" w:eastAsia="宋体" w:cs="Times New Roman"/>
          <w:b/>
          <w:bCs/>
          <w:color w:val="000000"/>
          <w:kern w:val="0"/>
          <w:sz w:val="28"/>
          <w:szCs w:val="28"/>
          <w:lang w:val="en-US" w:eastAsia="zh-CN" w:bidi="ar"/>
        </w:rPr>
        <w:t>5.1 入河排污口设置方案</w:t>
      </w:r>
      <w:bookmarkEnd w:id="282"/>
      <w:r>
        <w:rPr>
          <w:rFonts w:hint="default" w:ascii="Times New Roman" w:hAnsi="Times New Roman" w:eastAsia="宋体" w:cs="Times New Roman"/>
          <w:b/>
          <w:bCs/>
          <w:color w:val="000000"/>
          <w:kern w:val="0"/>
          <w:sz w:val="28"/>
          <w:szCs w:val="28"/>
          <w:lang w:val="en-US" w:eastAsia="zh-CN" w:bidi="ar"/>
        </w:rPr>
        <w:t xml:space="preserve"> </w:t>
      </w:r>
    </w:p>
    <w:p w14:paraId="273AACF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kern w:val="2"/>
          <w:sz w:val="24"/>
          <w:szCs w:val="24"/>
        </w:rPr>
      </w:pPr>
      <w:r>
        <w:rPr>
          <w:rFonts w:hint="default" w:ascii="Times New Roman" w:hAnsi="Times New Roman" w:eastAsia="宋体" w:cs="Times New Roman"/>
          <w:color w:val="FF0000"/>
          <w:kern w:val="0"/>
          <w:sz w:val="24"/>
          <w:szCs w:val="24"/>
          <w:lang w:val="en-US" w:eastAsia="zh-CN" w:bidi="ar"/>
        </w:rPr>
        <w:t>本项目排污口设置在在厂区西</w:t>
      </w:r>
      <w:r>
        <w:rPr>
          <w:rFonts w:hint="eastAsia" w:cs="Times New Roman"/>
          <w:color w:val="FF0000"/>
          <w:kern w:val="0"/>
          <w:sz w:val="24"/>
          <w:szCs w:val="24"/>
          <w:lang w:val="en-US" w:eastAsia="zh-CN" w:bidi="ar"/>
        </w:rPr>
        <w:t>北</w:t>
      </w:r>
      <w:r>
        <w:rPr>
          <w:rFonts w:hint="default" w:ascii="Times New Roman" w:hAnsi="Times New Roman" w:eastAsia="宋体" w:cs="Times New Roman"/>
          <w:color w:val="FF0000"/>
          <w:kern w:val="0"/>
          <w:sz w:val="24"/>
          <w:szCs w:val="24"/>
          <w:lang w:val="en-US" w:eastAsia="zh-CN" w:bidi="ar"/>
        </w:rPr>
        <w:t xml:space="preserve">侧（经度 112.613444560、纬度 29.184943717）， </w:t>
      </w:r>
    </w:p>
    <w:p w14:paraId="6D95A44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FF0000"/>
          <w:kern w:val="2"/>
          <w:sz w:val="24"/>
          <w:szCs w:val="24"/>
        </w:rPr>
      </w:pPr>
      <w:r>
        <w:rPr>
          <w:rFonts w:hint="default" w:ascii="Times New Roman" w:hAnsi="Times New Roman" w:eastAsia="宋体" w:cs="Times New Roman"/>
          <w:color w:val="FF0000"/>
          <w:kern w:val="0"/>
          <w:sz w:val="24"/>
          <w:szCs w:val="24"/>
          <w:lang w:val="en-US" w:eastAsia="zh-CN" w:bidi="ar"/>
        </w:rPr>
        <w:t>外排水经机排二十渠，汇入老三运河，再经分别途径大通湖泄洪道、金盆河、塞阳运河、漉湖农灌渠流入漉湖。排污口分类属于工业及其他各类园区污水处理厂排污口，排放方式为</w:t>
      </w:r>
      <w:r>
        <w:rPr>
          <w:rFonts w:hint="eastAsia" w:cs="Times New Roman"/>
          <w:color w:val="FF0000"/>
          <w:kern w:val="0"/>
          <w:sz w:val="24"/>
          <w:szCs w:val="24"/>
          <w:lang w:val="en-US" w:eastAsia="zh-CN" w:bidi="ar"/>
        </w:rPr>
        <w:t>连续</w:t>
      </w:r>
      <w:r>
        <w:rPr>
          <w:rFonts w:hint="default" w:ascii="Times New Roman" w:hAnsi="Times New Roman" w:eastAsia="宋体" w:cs="Times New Roman"/>
          <w:color w:val="FF0000"/>
          <w:kern w:val="0"/>
          <w:sz w:val="24"/>
          <w:szCs w:val="24"/>
          <w:lang w:val="en-US" w:eastAsia="zh-CN" w:bidi="ar"/>
        </w:rPr>
        <w:t xml:space="preserve">排放，排污口的入河方式为管道，排污口设置的基本情况见表 5.1-1。 </w:t>
      </w:r>
    </w:p>
    <w:p w14:paraId="2A256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FF0000"/>
          <w:kern w:val="2"/>
          <w:sz w:val="24"/>
          <w:szCs w:val="24"/>
        </w:rPr>
      </w:pPr>
      <w:r>
        <w:rPr>
          <w:rFonts w:hint="default" w:ascii="Times New Roman" w:hAnsi="Times New Roman" w:eastAsia="宋体" w:cs="Times New Roman"/>
          <w:b/>
          <w:bCs/>
          <w:color w:val="FF0000"/>
          <w:kern w:val="0"/>
          <w:sz w:val="24"/>
          <w:szCs w:val="24"/>
          <w:lang w:val="en-US" w:eastAsia="zh-CN" w:bidi="ar"/>
        </w:rPr>
        <w:t>表 5</w:t>
      </w:r>
      <w:r>
        <w:rPr>
          <w:rFonts w:hint="eastAsia" w:cs="Times New Roman"/>
          <w:b/>
          <w:bCs/>
          <w:color w:val="FF0000"/>
          <w:kern w:val="0"/>
          <w:sz w:val="24"/>
          <w:szCs w:val="24"/>
          <w:lang w:val="en-US" w:eastAsia="zh-CN" w:bidi="ar"/>
        </w:rPr>
        <w:t>.</w:t>
      </w:r>
      <w:r>
        <w:rPr>
          <w:rFonts w:hint="default" w:ascii="Times New Roman" w:hAnsi="Times New Roman" w:eastAsia="宋体" w:cs="Times New Roman"/>
          <w:b/>
          <w:bCs/>
          <w:color w:val="FF0000"/>
          <w:kern w:val="0"/>
          <w:sz w:val="24"/>
          <w:szCs w:val="24"/>
          <w:lang w:val="en-US" w:eastAsia="zh-CN" w:bidi="ar"/>
        </w:rPr>
        <w:t>1-1 排污口设置情况表</w:t>
      </w:r>
    </w:p>
    <w:tbl>
      <w:tblPr>
        <w:tblStyle w:val="77"/>
        <w:tblW w:w="92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2159"/>
        <w:gridCol w:w="1620"/>
        <w:gridCol w:w="4730"/>
      </w:tblGrid>
      <w:tr w14:paraId="482A6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90" w:type="dxa"/>
            <w:tcBorders>
              <w:tl2br w:val="nil"/>
              <w:tr2bl w:val="nil"/>
            </w:tcBorders>
            <w:noWrap w:val="0"/>
            <w:vAlign w:val="center"/>
          </w:tcPr>
          <w:p w14:paraId="6D74836E">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sz w:val="21"/>
                <w:szCs w:val="21"/>
                <w:vertAlign w:val="baseline"/>
                <w:lang w:val="en-US" w:eastAsia="zh-CN"/>
              </w:rPr>
            </w:pPr>
            <w:bookmarkStart w:id="283" w:name="_Toc31711"/>
            <w:bookmarkStart w:id="284" w:name="_Toc571"/>
            <w:r>
              <w:rPr>
                <w:rFonts w:hint="default" w:ascii="Times New Roman" w:hAnsi="Times New Roman" w:eastAsia="宋体" w:cs="Times New Roman"/>
                <w:b/>
                <w:bCs/>
                <w:color w:val="FF0000"/>
                <w:sz w:val="21"/>
                <w:szCs w:val="21"/>
                <w:vertAlign w:val="baseline"/>
                <w:lang w:val="en-US" w:eastAsia="zh-CN"/>
              </w:rPr>
              <w:t>序号</w:t>
            </w:r>
            <w:bookmarkEnd w:id="283"/>
            <w:bookmarkEnd w:id="284"/>
          </w:p>
        </w:tc>
        <w:tc>
          <w:tcPr>
            <w:tcW w:w="2159" w:type="dxa"/>
            <w:tcBorders>
              <w:tl2br w:val="nil"/>
              <w:tr2bl w:val="nil"/>
            </w:tcBorders>
            <w:noWrap w:val="0"/>
            <w:vAlign w:val="center"/>
          </w:tcPr>
          <w:p w14:paraId="315007B6">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sz w:val="21"/>
                <w:szCs w:val="21"/>
                <w:vertAlign w:val="baseline"/>
                <w:lang w:val="en-US" w:eastAsia="zh-CN"/>
              </w:rPr>
            </w:pPr>
            <w:bookmarkStart w:id="285" w:name="_Toc25568"/>
            <w:bookmarkStart w:id="286" w:name="_Toc10947"/>
            <w:r>
              <w:rPr>
                <w:rFonts w:hint="default" w:ascii="Times New Roman" w:hAnsi="Times New Roman" w:eastAsia="宋体" w:cs="Times New Roman"/>
                <w:b/>
                <w:bCs/>
                <w:color w:val="FF0000"/>
                <w:sz w:val="21"/>
                <w:szCs w:val="21"/>
                <w:vertAlign w:val="baseline"/>
                <w:lang w:val="en-US" w:eastAsia="zh-CN"/>
              </w:rPr>
              <w:t>名称</w:t>
            </w:r>
            <w:bookmarkEnd w:id="285"/>
            <w:bookmarkEnd w:id="286"/>
          </w:p>
        </w:tc>
        <w:tc>
          <w:tcPr>
            <w:tcW w:w="6350" w:type="dxa"/>
            <w:gridSpan w:val="2"/>
            <w:tcBorders>
              <w:tl2br w:val="nil"/>
              <w:tr2bl w:val="nil"/>
            </w:tcBorders>
            <w:noWrap w:val="0"/>
            <w:vAlign w:val="center"/>
          </w:tcPr>
          <w:p w14:paraId="4E03C690">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sz w:val="21"/>
                <w:szCs w:val="21"/>
                <w:vertAlign w:val="baseline"/>
                <w:lang w:val="en-US" w:eastAsia="zh-CN"/>
              </w:rPr>
            </w:pPr>
            <w:bookmarkStart w:id="287" w:name="_Toc16192"/>
            <w:bookmarkStart w:id="288" w:name="_Toc1181"/>
            <w:r>
              <w:rPr>
                <w:rFonts w:hint="default" w:ascii="Times New Roman" w:hAnsi="Times New Roman" w:eastAsia="宋体" w:cs="Times New Roman"/>
                <w:b/>
                <w:bCs/>
                <w:color w:val="FF0000"/>
                <w:sz w:val="21"/>
                <w:szCs w:val="21"/>
                <w:vertAlign w:val="baseline"/>
                <w:lang w:val="en-US" w:eastAsia="zh-CN"/>
              </w:rPr>
              <w:t>项目设置情况</w:t>
            </w:r>
            <w:bookmarkEnd w:id="287"/>
            <w:bookmarkEnd w:id="288"/>
          </w:p>
        </w:tc>
      </w:tr>
      <w:tr w14:paraId="21D91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0" w:type="dxa"/>
            <w:vMerge w:val="restart"/>
            <w:tcBorders>
              <w:tl2br w:val="nil"/>
              <w:tr2bl w:val="nil"/>
            </w:tcBorders>
            <w:noWrap w:val="0"/>
            <w:vAlign w:val="center"/>
          </w:tcPr>
          <w:p w14:paraId="07EFBA85">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p>
          <w:p w14:paraId="2753B617">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289" w:name="_Toc10676"/>
            <w:bookmarkStart w:id="290" w:name="_Toc10278"/>
            <w:r>
              <w:rPr>
                <w:rFonts w:hint="default" w:ascii="Times New Roman" w:hAnsi="Times New Roman" w:eastAsia="宋体" w:cs="Times New Roman"/>
                <w:b w:val="0"/>
                <w:bCs w:val="0"/>
                <w:color w:val="FF0000"/>
                <w:sz w:val="21"/>
                <w:szCs w:val="21"/>
                <w:vertAlign w:val="baseline"/>
                <w:lang w:val="en-US" w:eastAsia="zh-CN"/>
              </w:rPr>
              <w:t>1</w:t>
            </w:r>
            <w:bookmarkEnd w:id="289"/>
            <w:bookmarkEnd w:id="290"/>
          </w:p>
        </w:tc>
        <w:tc>
          <w:tcPr>
            <w:tcW w:w="2159" w:type="dxa"/>
            <w:vMerge w:val="restart"/>
            <w:tcBorders>
              <w:tl2br w:val="nil"/>
              <w:tr2bl w:val="nil"/>
            </w:tcBorders>
            <w:noWrap w:val="0"/>
            <w:vAlign w:val="center"/>
          </w:tcPr>
          <w:p w14:paraId="601DE695">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p>
          <w:p w14:paraId="3DF48E6C">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291" w:name="_Toc18578"/>
            <w:bookmarkStart w:id="292" w:name="_Toc12272"/>
            <w:r>
              <w:rPr>
                <w:rFonts w:hint="default" w:ascii="Times New Roman" w:hAnsi="Times New Roman" w:eastAsia="宋体" w:cs="Times New Roman"/>
                <w:b w:val="0"/>
                <w:bCs w:val="0"/>
                <w:color w:val="FF0000"/>
                <w:sz w:val="21"/>
                <w:szCs w:val="21"/>
                <w:vertAlign w:val="baseline"/>
                <w:lang w:val="en-US" w:eastAsia="zh-CN"/>
              </w:rPr>
              <w:t>排污口位置</w:t>
            </w:r>
            <w:bookmarkEnd w:id="291"/>
            <w:bookmarkEnd w:id="292"/>
          </w:p>
        </w:tc>
        <w:tc>
          <w:tcPr>
            <w:tcW w:w="1620" w:type="dxa"/>
            <w:tcBorders>
              <w:tl2br w:val="nil"/>
              <w:tr2bl w:val="nil"/>
            </w:tcBorders>
            <w:noWrap w:val="0"/>
            <w:vAlign w:val="center"/>
          </w:tcPr>
          <w:p w14:paraId="04ED57EB">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293" w:name="_Toc12638"/>
            <w:bookmarkStart w:id="294" w:name="_Toc21604"/>
            <w:r>
              <w:rPr>
                <w:rFonts w:hint="default" w:ascii="Times New Roman" w:hAnsi="Times New Roman" w:eastAsia="宋体" w:cs="Times New Roman"/>
                <w:b w:val="0"/>
                <w:bCs w:val="0"/>
                <w:color w:val="FF0000"/>
                <w:sz w:val="21"/>
                <w:szCs w:val="21"/>
                <w:vertAlign w:val="baseline"/>
                <w:lang w:val="en-US" w:eastAsia="zh-CN"/>
              </w:rPr>
              <w:t>所在位置</w:t>
            </w:r>
            <w:bookmarkEnd w:id="293"/>
            <w:bookmarkEnd w:id="294"/>
          </w:p>
        </w:tc>
        <w:tc>
          <w:tcPr>
            <w:tcW w:w="4730" w:type="dxa"/>
            <w:tcBorders>
              <w:tl2br w:val="nil"/>
              <w:tr2bl w:val="nil"/>
            </w:tcBorders>
            <w:noWrap w:val="0"/>
            <w:vAlign w:val="center"/>
          </w:tcPr>
          <w:p w14:paraId="27B15FFA">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FF0000"/>
                <w:kern w:val="2"/>
                <w:sz w:val="21"/>
                <w:szCs w:val="21"/>
                <w:vertAlign w:val="baseline"/>
              </w:rPr>
            </w:pPr>
            <w:r>
              <w:rPr>
                <w:rFonts w:hint="default" w:ascii="Times New Roman" w:hAnsi="Times New Roman" w:eastAsia="宋体" w:cs="Times New Roman"/>
                <w:color w:val="FF0000"/>
                <w:kern w:val="0"/>
                <w:sz w:val="21"/>
                <w:szCs w:val="21"/>
                <w:lang w:val="en-US" w:eastAsia="zh-CN" w:bidi="ar"/>
              </w:rPr>
              <w:t>大通湖工业园污水处理厂提质改造建设项目</w:t>
            </w:r>
            <w:r>
              <w:rPr>
                <w:rFonts w:hint="eastAsia" w:cs="Times New Roman"/>
                <w:color w:val="FF0000"/>
                <w:kern w:val="0"/>
                <w:sz w:val="21"/>
                <w:szCs w:val="21"/>
                <w:lang w:val="en-US" w:eastAsia="zh-CN" w:bidi="ar"/>
              </w:rPr>
              <w:t>（一期）</w:t>
            </w:r>
            <w:r>
              <w:rPr>
                <w:rFonts w:hint="default" w:ascii="Times New Roman" w:hAnsi="Times New Roman" w:eastAsia="宋体" w:cs="Times New Roman"/>
                <w:color w:val="FF0000"/>
                <w:kern w:val="0"/>
                <w:sz w:val="21"/>
                <w:szCs w:val="21"/>
                <w:lang w:val="en-US" w:eastAsia="zh-CN" w:bidi="ar"/>
              </w:rPr>
              <w:t>厂区</w:t>
            </w:r>
            <w:r>
              <w:rPr>
                <w:rFonts w:hint="default" w:ascii="Times New Roman" w:hAnsi="Times New Roman" w:eastAsia="宋体" w:cs="Times New Roman"/>
                <w:color w:val="FF0000"/>
                <w:kern w:val="0"/>
                <w:sz w:val="21"/>
                <w:szCs w:val="21"/>
                <w:highlight w:val="none"/>
                <w:lang w:val="en-US" w:eastAsia="zh-CN" w:bidi="ar"/>
              </w:rPr>
              <w:t>西</w:t>
            </w:r>
            <w:r>
              <w:rPr>
                <w:rFonts w:hint="eastAsia" w:cs="Times New Roman"/>
                <w:color w:val="FF0000"/>
                <w:kern w:val="0"/>
                <w:sz w:val="21"/>
                <w:szCs w:val="21"/>
                <w:highlight w:val="none"/>
                <w:lang w:val="en-US" w:eastAsia="zh-CN" w:bidi="ar"/>
              </w:rPr>
              <w:t>北</w:t>
            </w:r>
            <w:r>
              <w:rPr>
                <w:rFonts w:hint="default" w:ascii="Times New Roman" w:hAnsi="Times New Roman" w:eastAsia="宋体" w:cs="Times New Roman"/>
                <w:color w:val="FF0000"/>
                <w:kern w:val="0"/>
                <w:sz w:val="21"/>
                <w:szCs w:val="21"/>
                <w:highlight w:val="none"/>
                <w:lang w:val="en-US" w:eastAsia="zh-CN" w:bidi="ar"/>
              </w:rPr>
              <w:t>侧</w:t>
            </w:r>
          </w:p>
        </w:tc>
      </w:tr>
      <w:tr w14:paraId="2432C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0" w:type="dxa"/>
            <w:vMerge w:val="continue"/>
            <w:tcBorders>
              <w:tl2br w:val="nil"/>
              <w:tr2bl w:val="nil"/>
            </w:tcBorders>
            <w:noWrap w:val="0"/>
            <w:vAlign w:val="center"/>
          </w:tcPr>
          <w:p w14:paraId="53CBA9FC">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rPr>
            </w:pPr>
          </w:p>
        </w:tc>
        <w:tc>
          <w:tcPr>
            <w:tcW w:w="2159" w:type="dxa"/>
            <w:vMerge w:val="continue"/>
            <w:tcBorders>
              <w:tl2br w:val="nil"/>
              <w:tr2bl w:val="nil"/>
            </w:tcBorders>
            <w:noWrap w:val="0"/>
            <w:vAlign w:val="center"/>
          </w:tcPr>
          <w:p w14:paraId="29167381">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rPr>
            </w:pPr>
          </w:p>
        </w:tc>
        <w:tc>
          <w:tcPr>
            <w:tcW w:w="1620" w:type="dxa"/>
            <w:tcBorders>
              <w:tl2br w:val="nil"/>
              <w:tr2bl w:val="nil"/>
            </w:tcBorders>
            <w:noWrap w:val="0"/>
            <w:vAlign w:val="center"/>
          </w:tcPr>
          <w:p w14:paraId="5493581C">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295" w:name="_Toc14971"/>
            <w:bookmarkStart w:id="296" w:name="_Toc18044"/>
            <w:r>
              <w:rPr>
                <w:rFonts w:hint="default" w:ascii="Times New Roman" w:hAnsi="Times New Roman" w:eastAsia="宋体" w:cs="Times New Roman"/>
                <w:b w:val="0"/>
                <w:bCs w:val="0"/>
                <w:color w:val="FF0000"/>
                <w:sz w:val="21"/>
                <w:szCs w:val="21"/>
                <w:vertAlign w:val="baseline"/>
                <w:lang w:val="en-US" w:eastAsia="zh-CN"/>
              </w:rPr>
              <w:t>排入水体名称</w:t>
            </w:r>
            <w:bookmarkEnd w:id="295"/>
            <w:bookmarkEnd w:id="296"/>
          </w:p>
        </w:tc>
        <w:tc>
          <w:tcPr>
            <w:tcW w:w="4730" w:type="dxa"/>
            <w:tcBorders>
              <w:tl2br w:val="nil"/>
              <w:tr2bl w:val="nil"/>
            </w:tcBorders>
            <w:noWrap w:val="0"/>
            <w:vAlign w:val="center"/>
          </w:tcPr>
          <w:p w14:paraId="38AB4E14">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297" w:name="_Toc20367"/>
            <w:bookmarkStart w:id="298" w:name="_Toc25357"/>
            <w:r>
              <w:rPr>
                <w:rFonts w:hint="default" w:ascii="Times New Roman" w:hAnsi="Times New Roman" w:eastAsia="宋体" w:cs="Times New Roman"/>
                <w:b w:val="0"/>
                <w:bCs w:val="0"/>
                <w:color w:val="FF0000"/>
                <w:sz w:val="21"/>
                <w:szCs w:val="21"/>
                <w:vertAlign w:val="baseline"/>
                <w:lang w:val="en-US" w:eastAsia="zh-CN"/>
              </w:rPr>
              <w:t>第一受纳水体为机排二十渠；第二受纳水体为老三运河</w:t>
            </w:r>
            <w:bookmarkEnd w:id="297"/>
            <w:bookmarkEnd w:id="298"/>
          </w:p>
        </w:tc>
      </w:tr>
      <w:tr w14:paraId="0A92D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0" w:type="dxa"/>
            <w:vMerge w:val="continue"/>
            <w:tcBorders>
              <w:tl2br w:val="nil"/>
              <w:tr2bl w:val="nil"/>
            </w:tcBorders>
            <w:noWrap w:val="0"/>
            <w:vAlign w:val="center"/>
          </w:tcPr>
          <w:p w14:paraId="23C7D6A3">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rPr>
            </w:pPr>
          </w:p>
        </w:tc>
        <w:tc>
          <w:tcPr>
            <w:tcW w:w="2159" w:type="dxa"/>
            <w:vMerge w:val="continue"/>
            <w:tcBorders>
              <w:tl2br w:val="nil"/>
              <w:tr2bl w:val="nil"/>
            </w:tcBorders>
            <w:noWrap w:val="0"/>
            <w:vAlign w:val="center"/>
          </w:tcPr>
          <w:p w14:paraId="136E7F79">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rPr>
            </w:pPr>
          </w:p>
        </w:tc>
        <w:tc>
          <w:tcPr>
            <w:tcW w:w="1620" w:type="dxa"/>
            <w:tcBorders>
              <w:tl2br w:val="nil"/>
              <w:tr2bl w:val="nil"/>
            </w:tcBorders>
            <w:noWrap w:val="0"/>
            <w:vAlign w:val="center"/>
          </w:tcPr>
          <w:p w14:paraId="159BABE9">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299" w:name="_Toc6472"/>
            <w:bookmarkStart w:id="300" w:name="_Toc30273"/>
            <w:r>
              <w:rPr>
                <w:rFonts w:hint="default" w:ascii="Times New Roman" w:hAnsi="Times New Roman" w:eastAsia="宋体" w:cs="Times New Roman"/>
                <w:b w:val="0"/>
                <w:bCs w:val="0"/>
                <w:color w:val="FF0000"/>
                <w:sz w:val="21"/>
                <w:szCs w:val="21"/>
                <w:vertAlign w:val="baseline"/>
                <w:lang w:val="en-US" w:eastAsia="zh-CN"/>
              </w:rPr>
              <w:t>经纬度</w:t>
            </w:r>
            <w:bookmarkEnd w:id="299"/>
            <w:bookmarkEnd w:id="300"/>
          </w:p>
        </w:tc>
        <w:tc>
          <w:tcPr>
            <w:tcW w:w="4730" w:type="dxa"/>
            <w:tcBorders>
              <w:tl2br w:val="nil"/>
              <w:tr2bl w:val="nil"/>
            </w:tcBorders>
            <w:noWrap w:val="0"/>
            <w:vAlign w:val="center"/>
          </w:tcPr>
          <w:p w14:paraId="357135F5">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FF0000"/>
                <w:kern w:val="2"/>
                <w:sz w:val="21"/>
                <w:szCs w:val="21"/>
                <w:vertAlign w:val="baseline"/>
              </w:rPr>
            </w:pPr>
            <w:r>
              <w:rPr>
                <w:rFonts w:hint="default" w:ascii="Times New Roman" w:hAnsi="Times New Roman" w:eastAsia="宋体" w:cs="Times New Roman"/>
                <w:color w:val="FF0000"/>
                <w:kern w:val="0"/>
                <w:sz w:val="21"/>
                <w:szCs w:val="21"/>
                <w:u w:val="none"/>
                <w:lang w:val="en-US" w:eastAsia="zh-CN" w:bidi="ar-SA"/>
              </w:rPr>
              <w:t>E112°36′49.72347″</w:t>
            </w:r>
            <w:r>
              <w:rPr>
                <w:rFonts w:hint="default" w:ascii="Times New Roman" w:hAnsi="Times New Roman" w:eastAsia="宋体" w:cs="Times New Roman"/>
                <w:color w:val="FF0000"/>
                <w:kern w:val="2"/>
                <w:sz w:val="21"/>
                <w:szCs w:val="21"/>
                <w:lang w:val="en-US" w:eastAsia="zh-CN" w:bidi="ar-SA"/>
              </w:rPr>
              <w:t>、N29°11′3.06811″</w:t>
            </w:r>
          </w:p>
        </w:tc>
      </w:tr>
      <w:tr w14:paraId="41A9A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0" w:type="dxa"/>
            <w:tcBorders>
              <w:tl2br w:val="nil"/>
              <w:tr2bl w:val="nil"/>
            </w:tcBorders>
            <w:noWrap w:val="0"/>
            <w:vAlign w:val="center"/>
          </w:tcPr>
          <w:p w14:paraId="0278F0DA">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01" w:name="_Toc25974"/>
            <w:bookmarkStart w:id="302" w:name="_Toc10976"/>
            <w:r>
              <w:rPr>
                <w:rFonts w:hint="default" w:ascii="Times New Roman" w:hAnsi="Times New Roman" w:eastAsia="宋体" w:cs="Times New Roman"/>
                <w:b w:val="0"/>
                <w:bCs w:val="0"/>
                <w:color w:val="FF0000"/>
                <w:sz w:val="21"/>
                <w:szCs w:val="21"/>
                <w:vertAlign w:val="baseline"/>
                <w:lang w:val="en-US" w:eastAsia="zh-CN"/>
              </w:rPr>
              <w:t>2</w:t>
            </w:r>
            <w:bookmarkEnd w:id="301"/>
            <w:bookmarkEnd w:id="302"/>
          </w:p>
        </w:tc>
        <w:tc>
          <w:tcPr>
            <w:tcW w:w="2159" w:type="dxa"/>
            <w:tcBorders>
              <w:tl2br w:val="nil"/>
              <w:tr2bl w:val="nil"/>
            </w:tcBorders>
            <w:noWrap w:val="0"/>
            <w:vAlign w:val="center"/>
          </w:tcPr>
          <w:p w14:paraId="29CC8BFA">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03" w:name="_Toc30779"/>
            <w:bookmarkStart w:id="304" w:name="_Toc1937"/>
            <w:r>
              <w:rPr>
                <w:rFonts w:hint="default" w:ascii="Times New Roman" w:hAnsi="Times New Roman" w:eastAsia="宋体" w:cs="Times New Roman"/>
                <w:b w:val="0"/>
                <w:bCs w:val="0"/>
                <w:color w:val="FF0000"/>
                <w:sz w:val="21"/>
                <w:szCs w:val="21"/>
                <w:vertAlign w:val="baseline"/>
                <w:lang w:val="en-US" w:eastAsia="zh-CN"/>
              </w:rPr>
              <w:t>排污口类型</w:t>
            </w:r>
            <w:bookmarkEnd w:id="303"/>
            <w:bookmarkEnd w:id="304"/>
          </w:p>
        </w:tc>
        <w:tc>
          <w:tcPr>
            <w:tcW w:w="6350" w:type="dxa"/>
            <w:gridSpan w:val="2"/>
            <w:tcBorders>
              <w:tl2br w:val="nil"/>
              <w:tr2bl w:val="nil"/>
            </w:tcBorders>
            <w:noWrap w:val="0"/>
            <w:vAlign w:val="center"/>
          </w:tcPr>
          <w:p w14:paraId="76C265F5">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工业及其他各类园区污水处理厂入河排污口</w:t>
            </w:r>
          </w:p>
        </w:tc>
      </w:tr>
      <w:tr w14:paraId="0DD24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0" w:type="dxa"/>
            <w:tcBorders>
              <w:tl2br w:val="nil"/>
              <w:tr2bl w:val="nil"/>
            </w:tcBorders>
            <w:noWrap w:val="0"/>
            <w:vAlign w:val="center"/>
          </w:tcPr>
          <w:p w14:paraId="1ED63F7B">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05" w:name="_Toc4772"/>
            <w:bookmarkStart w:id="306" w:name="_Toc1279"/>
            <w:r>
              <w:rPr>
                <w:rFonts w:hint="default" w:ascii="Times New Roman" w:hAnsi="Times New Roman" w:eastAsia="宋体" w:cs="Times New Roman"/>
                <w:b w:val="0"/>
                <w:bCs w:val="0"/>
                <w:color w:val="FF0000"/>
                <w:sz w:val="21"/>
                <w:szCs w:val="21"/>
                <w:vertAlign w:val="baseline"/>
                <w:lang w:val="en-US" w:eastAsia="zh-CN"/>
              </w:rPr>
              <w:t>3</w:t>
            </w:r>
            <w:bookmarkEnd w:id="305"/>
            <w:bookmarkEnd w:id="306"/>
          </w:p>
        </w:tc>
        <w:tc>
          <w:tcPr>
            <w:tcW w:w="2159" w:type="dxa"/>
            <w:tcBorders>
              <w:tl2br w:val="nil"/>
              <w:tr2bl w:val="nil"/>
            </w:tcBorders>
            <w:noWrap w:val="0"/>
            <w:vAlign w:val="center"/>
          </w:tcPr>
          <w:p w14:paraId="761E6B81">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07" w:name="_Toc19519"/>
            <w:bookmarkStart w:id="308" w:name="_Toc11547"/>
            <w:r>
              <w:rPr>
                <w:rFonts w:hint="default" w:ascii="Times New Roman" w:hAnsi="Times New Roman" w:eastAsia="宋体" w:cs="Times New Roman"/>
                <w:b w:val="0"/>
                <w:bCs w:val="0"/>
                <w:color w:val="FF0000"/>
                <w:sz w:val="21"/>
                <w:szCs w:val="21"/>
                <w:vertAlign w:val="baseline"/>
                <w:lang w:val="en-US" w:eastAsia="zh-CN"/>
              </w:rPr>
              <w:t>排污口性质</w:t>
            </w:r>
            <w:bookmarkEnd w:id="307"/>
            <w:bookmarkEnd w:id="308"/>
          </w:p>
        </w:tc>
        <w:tc>
          <w:tcPr>
            <w:tcW w:w="6350" w:type="dxa"/>
            <w:gridSpan w:val="2"/>
            <w:tcBorders>
              <w:tl2br w:val="nil"/>
              <w:tr2bl w:val="nil"/>
            </w:tcBorders>
            <w:noWrap w:val="0"/>
            <w:vAlign w:val="center"/>
          </w:tcPr>
          <w:p w14:paraId="6D1EBF4D">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09" w:name="_Toc12886"/>
            <w:bookmarkStart w:id="310" w:name="_Toc21489"/>
            <w:r>
              <w:rPr>
                <w:rFonts w:hint="default" w:ascii="Times New Roman" w:hAnsi="Times New Roman" w:eastAsia="宋体" w:cs="Times New Roman"/>
                <w:b w:val="0"/>
                <w:bCs w:val="0"/>
                <w:color w:val="FF0000"/>
                <w:sz w:val="21"/>
                <w:szCs w:val="21"/>
                <w:vertAlign w:val="baseline"/>
                <w:lang w:val="en-US" w:eastAsia="zh-CN"/>
              </w:rPr>
              <w:t>扩建排污口</w:t>
            </w:r>
            <w:bookmarkEnd w:id="309"/>
            <w:bookmarkEnd w:id="310"/>
          </w:p>
        </w:tc>
      </w:tr>
      <w:tr w14:paraId="3D564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0" w:type="dxa"/>
            <w:tcBorders>
              <w:tl2br w:val="nil"/>
              <w:tr2bl w:val="nil"/>
            </w:tcBorders>
            <w:noWrap w:val="0"/>
            <w:vAlign w:val="center"/>
          </w:tcPr>
          <w:p w14:paraId="41C37894">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11" w:name="_Toc4028"/>
            <w:bookmarkStart w:id="312" w:name="_Toc31152"/>
            <w:r>
              <w:rPr>
                <w:rFonts w:hint="default" w:ascii="Times New Roman" w:hAnsi="Times New Roman" w:eastAsia="宋体" w:cs="Times New Roman"/>
                <w:b w:val="0"/>
                <w:bCs w:val="0"/>
                <w:color w:val="FF0000"/>
                <w:sz w:val="21"/>
                <w:szCs w:val="21"/>
                <w:vertAlign w:val="baseline"/>
                <w:lang w:val="en-US" w:eastAsia="zh-CN"/>
              </w:rPr>
              <w:t>4</w:t>
            </w:r>
            <w:bookmarkEnd w:id="311"/>
            <w:bookmarkEnd w:id="312"/>
          </w:p>
        </w:tc>
        <w:tc>
          <w:tcPr>
            <w:tcW w:w="2159" w:type="dxa"/>
            <w:tcBorders>
              <w:tl2br w:val="nil"/>
              <w:tr2bl w:val="nil"/>
            </w:tcBorders>
            <w:noWrap w:val="0"/>
            <w:vAlign w:val="center"/>
          </w:tcPr>
          <w:p w14:paraId="7F8AEC28">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13" w:name="_Toc736"/>
            <w:bookmarkStart w:id="314" w:name="_Toc16121"/>
            <w:r>
              <w:rPr>
                <w:rFonts w:hint="default" w:ascii="Times New Roman" w:hAnsi="Times New Roman" w:eastAsia="宋体" w:cs="Times New Roman"/>
                <w:b w:val="0"/>
                <w:bCs w:val="0"/>
                <w:color w:val="FF0000"/>
                <w:sz w:val="21"/>
                <w:szCs w:val="21"/>
                <w:vertAlign w:val="baseline"/>
                <w:lang w:val="en-US" w:eastAsia="zh-CN"/>
              </w:rPr>
              <w:t>排放方式</w:t>
            </w:r>
            <w:bookmarkEnd w:id="313"/>
            <w:bookmarkEnd w:id="314"/>
          </w:p>
        </w:tc>
        <w:tc>
          <w:tcPr>
            <w:tcW w:w="6350" w:type="dxa"/>
            <w:gridSpan w:val="2"/>
            <w:tcBorders>
              <w:tl2br w:val="nil"/>
              <w:tr2bl w:val="nil"/>
            </w:tcBorders>
            <w:noWrap w:val="0"/>
            <w:vAlign w:val="center"/>
          </w:tcPr>
          <w:p w14:paraId="1FF2C1C4">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15" w:name="_Toc14245"/>
            <w:bookmarkStart w:id="316" w:name="_Toc23671"/>
            <w:r>
              <w:rPr>
                <w:rFonts w:hint="eastAsia" w:cs="Times New Roman"/>
                <w:b w:val="0"/>
                <w:bCs w:val="0"/>
                <w:color w:val="FF0000"/>
                <w:sz w:val="21"/>
                <w:szCs w:val="21"/>
                <w:vertAlign w:val="baseline"/>
                <w:lang w:val="en-US" w:eastAsia="zh-CN"/>
              </w:rPr>
              <w:t>连续</w:t>
            </w:r>
            <w:r>
              <w:rPr>
                <w:rFonts w:hint="default" w:ascii="Times New Roman" w:hAnsi="Times New Roman" w:eastAsia="宋体" w:cs="Times New Roman"/>
                <w:b w:val="0"/>
                <w:bCs w:val="0"/>
                <w:color w:val="FF0000"/>
                <w:sz w:val="21"/>
                <w:szCs w:val="21"/>
                <w:vertAlign w:val="baseline"/>
                <w:lang w:val="en-US" w:eastAsia="zh-CN"/>
              </w:rPr>
              <w:t>排放</w:t>
            </w:r>
            <w:bookmarkEnd w:id="315"/>
            <w:bookmarkEnd w:id="316"/>
          </w:p>
        </w:tc>
      </w:tr>
      <w:tr w14:paraId="10394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0" w:type="dxa"/>
            <w:tcBorders>
              <w:tl2br w:val="nil"/>
              <w:tr2bl w:val="nil"/>
            </w:tcBorders>
            <w:noWrap w:val="0"/>
            <w:vAlign w:val="center"/>
          </w:tcPr>
          <w:p w14:paraId="56FE62F0">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17" w:name="_Toc755"/>
            <w:bookmarkStart w:id="318" w:name="_Toc25706"/>
            <w:r>
              <w:rPr>
                <w:rFonts w:hint="default" w:ascii="Times New Roman" w:hAnsi="Times New Roman" w:eastAsia="宋体" w:cs="Times New Roman"/>
                <w:b w:val="0"/>
                <w:bCs w:val="0"/>
                <w:color w:val="FF0000"/>
                <w:sz w:val="21"/>
                <w:szCs w:val="21"/>
                <w:vertAlign w:val="baseline"/>
                <w:lang w:val="en-US" w:eastAsia="zh-CN"/>
              </w:rPr>
              <w:t>5</w:t>
            </w:r>
            <w:bookmarkEnd w:id="317"/>
            <w:bookmarkEnd w:id="318"/>
          </w:p>
        </w:tc>
        <w:tc>
          <w:tcPr>
            <w:tcW w:w="2159" w:type="dxa"/>
            <w:tcBorders>
              <w:tl2br w:val="nil"/>
              <w:tr2bl w:val="nil"/>
            </w:tcBorders>
            <w:noWrap w:val="0"/>
            <w:vAlign w:val="center"/>
          </w:tcPr>
          <w:p w14:paraId="49738547">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19" w:name="_Toc23532"/>
            <w:bookmarkStart w:id="320" w:name="_Toc32171"/>
            <w:r>
              <w:rPr>
                <w:rFonts w:hint="default" w:ascii="Times New Roman" w:hAnsi="Times New Roman" w:eastAsia="宋体" w:cs="Times New Roman"/>
                <w:b w:val="0"/>
                <w:bCs w:val="0"/>
                <w:color w:val="FF0000"/>
                <w:sz w:val="21"/>
                <w:szCs w:val="21"/>
                <w:vertAlign w:val="baseline"/>
                <w:lang w:val="en-US" w:eastAsia="zh-CN"/>
              </w:rPr>
              <w:t>入河方式</w:t>
            </w:r>
            <w:bookmarkEnd w:id="319"/>
            <w:bookmarkEnd w:id="320"/>
          </w:p>
        </w:tc>
        <w:tc>
          <w:tcPr>
            <w:tcW w:w="6350" w:type="dxa"/>
            <w:gridSpan w:val="2"/>
            <w:tcBorders>
              <w:tl2br w:val="nil"/>
              <w:tr2bl w:val="nil"/>
            </w:tcBorders>
            <w:noWrap w:val="0"/>
            <w:vAlign w:val="center"/>
          </w:tcPr>
          <w:p w14:paraId="02C1B50A">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21" w:name="_Toc27438"/>
            <w:bookmarkStart w:id="322" w:name="_Toc30055"/>
            <w:r>
              <w:rPr>
                <w:rFonts w:hint="default" w:ascii="Times New Roman" w:hAnsi="Times New Roman" w:eastAsia="宋体" w:cs="Times New Roman"/>
                <w:b w:val="0"/>
                <w:bCs w:val="0"/>
                <w:color w:val="FF0000"/>
                <w:sz w:val="21"/>
                <w:szCs w:val="21"/>
                <w:vertAlign w:val="baseline"/>
                <w:lang w:val="en-US" w:eastAsia="zh-CN"/>
              </w:rPr>
              <w:t>管道</w:t>
            </w:r>
            <w:bookmarkEnd w:id="321"/>
            <w:bookmarkEnd w:id="322"/>
          </w:p>
        </w:tc>
      </w:tr>
      <w:tr w14:paraId="0D24A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0" w:type="dxa"/>
            <w:tcBorders>
              <w:tl2br w:val="nil"/>
              <w:tr2bl w:val="nil"/>
            </w:tcBorders>
            <w:noWrap w:val="0"/>
            <w:vAlign w:val="center"/>
          </w:tcPr>
          <w:p w14:paraId="6F55338E">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bookmarkStart w:id="323" w:name="_Toc20754"/>
            <w:bookmarkStart w:id="324" w:name="_Toc31905"/>
            <w:r>
              <w:rPr>
                <w:rFonts w:hint="eastAsia" w:cs="Times New Roman"/>
                <w:b w:val="0"/>
                <w:bCs w:val="0"/>
                <w:color w:val="FF0000"/>
                <w:sz w:val="21"/>
                <w:szCs w:val="21"/>
                <w:vertAlign w:val="baseline"/>
                <w:lang w:val="en-US" w:eastAsia="zh-CN"/>
              </w:rPr>
              <w:t>6</w:t>
            </w:r>
          </w:p>
        </w:tc>
        <w:tc>
          <w:tcPr>
            <w:tcW w:w="2159" w:type="dxa"/>
            <w:tcBorders>
              <w:tl2br w:val="nil"/>
              <w:tr2bl w:val="nil"/>
            </w:tcBorders>
            <w:noWrap w:val="0"/>
            <w:vAlign w:val="center"/>
          </w:tcPr>
          <w:p w14:paraId="6C1F00C0">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入河污水排放量</w:t>
            </w:r>
          </w:p>
        </w:tc>
        <w:tc>
          <w:tcPr>
            <w:tcW w:w="6350" w:type="dxa"/>
            <w:gridSpan w:val="2"/>
            <w:tcBorders>
              <w:tl2br w:val="nil"/>
              <w:tr2bl w:val="nil"/>
            </w:tcBorders>
            <w:noWrap w:val="0"/>
            <w:vAlign w:val="center"/>
          </w:tcPr>
          <w:p w14:paraId="27968CC4">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3000m</w:t>
            </w:r>
            <w:r>
              <w:rPr>
                <w:rFonts w:hint="eastAsia" w:cs="Times New Roman"/>
                <w:b w:val="0"/>
                <w:bCs w:val="0"/>
                <w:color w:val="FF0000"/>
                <w:sz w:val="21"/>
                <w:szCs w:val="21"/>
                <w:vertAlign w:val="superscript"/>
                <w:lang w:val="en-US" w:eastAsia="zh-CN"/>
              </w:rPr>
              <w:t>3</w:t>
            </w:r>
            <w:r>
              <w:rPr>
                <w:rFonts w:hint="eastAsia" w:cs="Times New Roman"/>
                <w:b w:val="0"/>
                <w:bCs w:val="0"/>
                <w:color w:val="FF0000"/>
                <w:sz w:val="21"/>
                <w:szCs w:val="21"/>
                <w:vertAlign w:val="baseline"/>
                <w:lang w:val="en-US" w:eastAsia="zh-CN"/>
              </w:rPr>
              <w:t>/d</w:t>
            </w:r>
          </w:p>
        </w:tc>
      </w:tr>
      <w:tr w14:paraId="46467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0" w:type="dxa"/>
            <w:tcBorders>
              <w:tl2br w:val="nil"/>
              <w:tr2bl w:val="nil"/>
            </w:tcBorders>
            <w:noWrap w:val="0"/>
            <w:vAlign w:val="center"/>
          </w:tcPr>
          <w:p w14:paraId="43CFB98A">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7</w:t>
            </w:r>
          </w:p>
        </w:tc>
        <w:tc>
          <w:tcPr>
            <w:tcW w:w="2159" w:type="dxa"/>
            <w:tcBorders>
              <w:tl2br w:val="nil"/>
              <w:tr2bl w:val="nil"/>
            </w:tcBorders>
            <w:noWrap w:val="0"/>
            <w:vAlign w:val="center"/>
          </w:tcPr>
          <w:p w14:paraId="2596A9B5">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处理工艺</w:t>
            </w:r>
          </w:p>
        </w:tc>
        <w:tc>
          <w:tcPr>
            <w:tcW w:w="6350" w:type="dxa"/>
            <w:gridSpan w:val="2"/>
            <w:tcBorders>
              <w:tl2br w:val="nil"/>
              <w:tr2bl w:val="nil"/>
            </w:tcBorders>
            <w:noWrap w:val="0"/>
            <w:vAlign w:val="center"/>
          </w:tcPr>
          <w:p w14:paraId="3EC839FD">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“一体化泵站+调节均质+水解酸化+AAO生化+混凝沉淀+精密过滤+接触消毒”</w:t>
            </w:r>
          </w:p>
        </w:tc>
      </w:tr>
      <w:tr w14:paraId="21441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0" w:type="dxa"/>
            <w:tcBorders>
              <w:tl2br w:val="nil"/>
              <w:tr2bl w:val="nil"/>
            </w:tcBorders>
            <w:noWrap w:val="0"/>
            <w:vAlign w:val="center"/>
          </w:tcPr>
          <w:p w14:paraId="64A52D3A">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8</w:t>
            </w:r>
          </w:p>
        </w:tc>
        <w:tc>
          <w:tcPr>
            <w:tcW w:w="2159" w:type="dxa"/>
            <w:tcBorders>
              <w:tl2br w:val="nil"/>
              <w:tr2bl w:val="nil"/>
            </w:tcBorders>
            <w:noWrap w:val="0"/>
            <w:vAlign w:val="center"/>
          </w:tcPr>
          <w:p w14:paraId="041EA9B7">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排放标准</w:t>
            </w:r>
          </w:p>
        </w:tc>
        <w:tc>
          <w:tcPr>
            <w:tcW w:w="6350" w:type="dxa"/>
            <w:gridSpan w:val="2"/>
            <w:tcBorders>
              <w:tl2br w:val="nil"/>
              <w:tr2bl w:val="nil"/>
            </w:tcBorders>
            <w:noWrap w:val="0"/>
            <w:vAlign w:val="center"/>
          </w:tcPr>
          <w:p w14:paraId="3EB2E37F">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rPr>
              <w:t>《城镇污水处理厂污染物排放标准》（GB18918-2002）中一级A标准</w:t>
            </w:r>
          </w:p>
        </w:tc>
      </w:tr>
      <w:tr w14:paraId="5CFFD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0" w:type="dxa"/>
            <w:tcBorders>
              <w:tl2br w:val="nil"/>
              <w:tr2bl w:val="nil"/>
            </w:tcBorders>
            <w:noWrap w:val="0"/>
            <w:vAlign w:val="center"/>
          </w:tcPr>
          <w:p w14:paraId="63204349">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9</w:t>
            </w:r>
          </w:p>
        </w:tc>
        <w:tc>
          <w:tcPr>
            <w:tcW w:w="2159" w:type="dxa"/>
            <w:tcBorders>
              <w:tl2br w:val="nil"/>
              <w:tr2bl w:val="nil"/>
            </w:tcBorders>
            <w:noWrap w:val="0"/>
            <w:vAlign w:val="center"/>
          </w:tcPr>
          <w:p w14:paraId="7618C242">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是否多源排放共用</w:t>
            </w:r>
          </w:p>
        </w:tc>
        <w:tc>
          <w:tcPr>
            <w:tcW w:w="6350" w:type="dxa"/>
            <w:gridSpan w:val="2"/>
            <w:tcBorders>
              <w:tl2br w:val="nil"/>
              <w:tr2bl w:val="nil"/>
            </w:tcBorders>
            <w:noWrap w:val="0"/>
            <w:vAlign w:val="center"/>
          </w:tcPr>
          <w:p w14:paraId="680BF97E">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否</w:t>
            </w:r>
          </w:p>
        </w:tc>
      </w:tr>
      <w:tr w14:paraId="5895F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0" w:type="dxa"/>
            <w:tcBorders>
              <w:tl2br w:val="nil"/>
              <w:tr2bl w:val="nil"/>
            </w:tcBorders>
            <w:noWrap w:val="0"/>
            <w:vAlign w:val="center"/>
          </w:tcPr>
          <w:p w14:paraId="2B7164AD">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10</w:t>
            </w:r>
          </w:p>
        </w:tc>
        <w:tc>
          <w:tcPr>
            <w:tcW w:w="2159" w:type="dxa"/>
            <w:tcBorders>
              <w:tl2br w:val="nil"/>
              <w:tr2bl w:val="nil"/>
            </w:tcBorders>
            <w:noWrap w:val="0"/>
            <w:vAlign w:val="center"/>
          </w:tcPr>
          <w:p w14:paraId="319E3C02">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入河排污口建成或拟启用时间</w:t>
            </w:r>
          </w:p>
        </w:tc>
        <w:tc>
          <w:tcPr>
            <w:tcW w:w="6350" w:type="dxa"/>
            <w:gridSpan w:val="2"/>
            <w:tcBorders>
              <w:tl2br w:val="nil"/>
              <w:tr2bl w:val="nil"/>
            </w:tcBorders>
            <w:noWrap w:val="0"/>
            <w:vAlign w:val="center"/>
          </w:tcPr>
          <w:p w14:paraId="01580CD7">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20</w:t>
            </w:r>
            <w:r>
              <w:rPr>
                <w:rFonts w:hint="eastAsia" w:cs="Times New Roman"/>
                <w:b w:val="0"/>
                <w:bCs w:val="0"/>
                <w:color w:val="FF0000"/>
                <w:sz w:val="21"/>
                <w:szCs w:val="21"/>
                <w:vertAlign w:val="baseline"/>
                <w:lang w:val="en-US" w:eastAsia="zh-CN"/>
              </w:rPr>
              <w:t>22</w:t>
            </w:r>
            <w:r>
              <w:rPr>
                <w:rFonts w:hint="default" w:ascii="Times New Roman" w:hAnsi="Times New Roman" w:eastAsia="宋体" w:cs="Times New Roman"/>
                <w:b w:val="0"/>
                <w:bCs w:val="0"/>
                <w:color w:val="FF0000"/>
                <w:sz w:val="21"/>
                <w:szCs w:val="21"/>
                <w:vertAlign w:val="baseline"/>
                <w:lang w:val="en-US" w:eastAsia="zh-CN"/>
              </w:rPr>
              <w:t>年</w:t>
            </w:r>
            <w:r>
              <w:rPr>
                <w:rFonts w:hint="eastAsia" w:cs="Times New Roman"/>
                <w:b w:val="0"/>
                <w:bCs w:val="0"/>
                <w:color w:val="FF0000"/>
                <w:sz w:val="21"/>
                <w:szCs w:val="21"/>
                <w:vertAlign w:val="baseline"/>
                <w:lang w:val="en-US" w:eastAsia="zh-CN"/>
              </w:rPr>
              <w:t>8月</w:t>
            </w:r>
          </w:p>
        </w:tc>
      </w:tr>
      <w:tr w14:paraId="44896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0" w:type="dxa"/>
            <w:tcBorders>
              <w:tl2br w:val="nil"/>
              <w:tr2bl w:val="nil"/>
            </w:tcBorders>
            <w:noWrap w:val="0"/>
            <w:vAlign w:val="center"/>
          </w:tcPr>
          <w:p w14:paraId="7BAC931C">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11</w:t>
            </w:r>
          </w:p>
        </w:tc>
        <w:tc>
          <w:tcPr>
            <w:tcW w:w="2159" w:type="dxa"/>
            <w:tcBorders>
              <w:tl2br w:val="nil"/>
              <w:tr2bl w:val="nil"/>
            </w:tcBorders>
            <w:noWrap w:val="0"/>
            <w:vAlign w:val="center"/>
          </w:tcPr>
          <w:p w14:paraId="61C8A988">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现状入河排污口设置基本情况</w:t>
            </w:r>
          </w:p>
        </w:tc>
        <w:tc>
          <w:tcPr>
            <w:tcW w:w="6350" w:type="dxa"/>
            <w:gridSpan w:val="2"/>
            <w:tcBorders>
              <w:tl2br w:val="nil"/>
              <w:tr2bl w:val="nil"/>
            </w:tcBorders>
            <w:noWrap w:val="0"/>
            <w:vAlign w:val="center"/>
          </w:tcPr>
          <w:p w14:paraId="1605992D">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现状入河排污口位于</w:t>
            </w:r>
            <w:r>
              <w:rPr>
                <w:rFonts w:hint="default" w:ascii="Times New Roman" w:hAnsi="Times New Roman" w:eastAsia="宋体" w:cs="Times New Roman"/>
                <w:b w:val="0"/>
                <w:bCs w:val="0"/>
                <w:color w:val="FF0000"/>
                <w:sz w:val="21"/>
                <w:szCs w:val="21"/>
                <w:vertAlign w:val="baseline"/>
                <w:lang w:val="en-US" w:eastAsia="zh-CN"/>
              </w:rPr>
              <w:t>大通湖工业园污水处理厂提质改造建设项目</w:t>
            </w:r>
            <w:r>
              <w:rPr>
                <w:rFonts w:hint="eastAsia" w:ascii="Times New Roman" w:hAnsi="Times New Roman" w:eastAsia="宋体" w:cs="Times New Roman"/>
                <w:b w:val="0"/>
                <w:bCs w:val="0"/>
                <w:color w:val="FF0000"/>
                <w:sz w:val="21"/>
                <w:szCs w:val="21"/>
                <w:vertAlign w:val="baseline"/>
                <w:lang w:val="en-US" w:eastAsia="zh-CN"/>
              </w:rPr>
              <w:t>（一期）</w:t>
            </w:r>
            <w:r>
              <w:rPr>
                <w:rFonts w:hint="default" w:ascii="Times New Roman" w:hAnsi="Times New Roman" w:eastAsia="宋体" w:cs="Times New Roman"/>
                <w:b w:val="0"/>
                <w:bCs w:val="0"/>
                <w:color w:val="FF0000"/>
                <w:sz w:val="21"/>
                <w:szCs w:val="21"/>
                <w:vertAlign w:val="baseline"/>
                <w:lang w:val="en-US" w:eastAsia="zh-CN"/>
              </w:rPr>
              <w:t>厂区西</w:t>
            </w:r>
            <w:r>
              <w:rPr>
                <w:rFonts w:hint="eastAsia" w:ascii="Times New Roman" w:hAnsi="Times New Roman" w:eastAsia="宋体" w:cs="Times New Roman"/>
                <w:b w:val="0"/>
                <w:bCs w:val="0"/>
                <w:color w:val="FF0000"/>
                <w:sz w:val="21"/>
                <w:szCs w:val="21"/>
                <w:vertAlign w:val="baseline"/>
                <w:lang w:val="en-US" w:eastAsia="zh-CN"/>
              </w:rPr>
              <w:t>北</w:t>
            </w:r>
            <w:r>
              <w:rPr>
                <w:rFonts w:hint="default" w:ascii="Times New Roman" w:hAnsi="Times New Roman" w:eastAsia="宋体" w:cs="Times New Roman"/>
                <w:b w:val="0"/>
                <w:bCs w:val="0"/>
                <w:color w:val="FF0000"/>
                <w:sz w:val="21"/>
                <w:szCs w:val="21"/>
                <w:vertAlign w:val="baseline"/>
                <w:lang w:val="en-US" w:eastAsia="zh-CN"/>
              </w:rPr>
              <w:t>侧</w:t>
            </w:r>
            <w:r>
              <w:rPr>
                <w:rFonts w:hint="eastAsia" w:ascii="Times New Roman" w:hAnsi="Times New Roman" w:eastAsia="宋体" w:cs="Times New Roman"/>
                <w:b w:val="0"/>
                <w:bCs w:val="0"/>
                <w:color w:val="FF0000"/>
                <w:sz w:val="21"/>
                <w:szCs w:val="21"/>
                <w:vertAlign w:val="baseline"/>
                <w:lang w:val="en-US" w:eastAsia="zh-CN"/>
              </w:rPr>
              <w:t>，采用管道连续排放，入河排污量为</w:t>
            </w:r>
            <w:r>
              <w:rPr>
                <w:rFonts w:hint="eastAsia" w:cs="Times New Roman"/>
                <w:b w:val="0"/>
                <w:bCs w:val="0"/>
                <w:color w:val="FF0000"/>
                <w:sz w:val="21"/>
                <w:szCs w:val="21"/>
                <w:vertAlign w:val="baseline"/>
                <w:lang w:val="en-US" w:eastAsia="zh-CN"/>
              </w:rPr>
              <w:t>1200m</w:t>
            </w:r>
            <w:r>
              <w:rPr>
                <w:rFonts w:hint="eastAsia" w:cs="Times New Roman"/>
                <w:b w:val="0"/>
                <w:bCs w:val="0"/>
                <w:color w:val="FF0000"/>
                <w:sz w:val="21"/>
                <w:szCs w:val="21"/>
                <w:vertAlign w:val="superscript"/>
                <w:lang w:val="en-US" w:eastAsia="zh-CN"/>
              </w:rPr>
              <w:t>3</w:t>
            </w:r>
            <w:r>
              <w:rPr>
                <w:rFonts w:hint="eastAsia" w:cs="Times New Roman"/>
                <w:b w:val="0"/>
                <w:bCs w:val="0"/>
                <w:color w:val="FF0000"/>
                <w:sz w:val="21"/>
                <w:szCs w:val="21"/>
                <w:vertAlign w:val="baseline"/>
                <w:lang w:val="en-US" w:eastAsia="zh-CN"/>
              </w:rPr>
              <w:t>/d.</w:t>
            </w:r>
          </w:p>
        </w:tc>
      </w:tr>
      <w:bookmarkEnd w:id="323"/>
      <w:bookmarkEnd w:id="324"/>
      <w:tr w14:paraId="79F1B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299" w:type="dxa"/>
            <w:gridSpan w:val="4"/>
            <w:tcBorders>
              <w:tl2br w:val="nil"/>
              <w:tr2bl w:val="nil"/>
            </w:tcBorders>
            <w:noWrap w:val="0"/>
            <w:vAlign w:val="center"/>
          </w:tcPr>
          <w:p w14:paraId="71792C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imes New Roman" w:hAnsi="Times New Roman" w:eastAsia="宋体" w:cs="Times New Roman"/>
                <w:color w:val="FF0000"/>
                <w:kern w:val="0"/>
                <w:sz w:val="21"/>
                <w:szCs w:val="21"/>
                <w:u w:val="single"/>
                <w:lang w:val="en-US" w:eastAsia="zh-CN" w:bidi="ar"/>
              </w:rPr>
            </w:pPr>
            <w:bookmarkStart w:id="325" w:name="_Toc30097"/>
            <w:r>
              <w:rPr>
                <w:rFonts w:hint="eastAsia" w:ascii="Times New Roman" w:hAnsi="Times New Roman" w:eastAsia="宋体" w:cs="Times New Roman"/>
                <w:color w:val="FF0000"/>
                <w:kern w:val="0"/>
                <w:sz w:val="21"/>
                <w:szCs w:val="21"/>
                <w:u w:val="single"/>
                <w:lang w:val="en-US" w:eastAsia="zh-CN" w:bidi="ar"/>
              </w:rPr>
              <w:t>污水排放路径图（排污单位-排污管线-入河排污口-受纳水体）：</w:t>
            </w:r>
          </w:p>
          <w:p w14:paraId="343C1C16">
            <w:pPr>
              <w:pStyle w:val="5"/>
              <w:numPr>
                <w:ilvl w:val="3"/>
                <w:numId w:val="0"/>
              </w:numPr>
              <w:suppressLineNumbers w:val="0"/>
              <w:spacing w:before="0" w:beforeAutospacing="0" w:after="0" w:afterAutospacing="0"/>
              <w:ind w:left="0" w:right="0"/>
              <w:rPr>
                <w:rFonts w:hint="eastAsia"/>
                <w:lang w:val="en-US" w:eastAsia="zh-CN"/>
              </w:rPr>
            </w:pPr>
            <w:r>
              <w:rPr>
                <w:rFonts w:hint="default"/>
                <w:color w:val="FF0000"/>
                <w:u w:val="single"/>
              </w:rPr>
              <w:drawing>
                <wp:inline distT="0" distB="0" distL="114300" distR="114300">
                  <wp:extent cx="5524500" cy="3525520"/>
                  <wp:effectExtent l="0" t="0" r="0" b="177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0"/>
                          <a:stretch>
                            <a:fillRect/>
                          </a:stretch>
                        </pic:blipFill>
                        <pic:spPr>
                          <a:xfrm>
                            <a:off x="0" y="0"/>
                            <a:ext cx="5524500" cy="3525520"/>
                          </a:xfrm>
                          <a:prstGeom prst="rect">
                            <a:avLst/>
                          </a:prstGeom>
                          <a:noFill/>
                          <a:ln>
                            <a:noFill/>
                          </a:ln>
                        </pic:spPr>
                      </pic:pic>
                    </a:graphicData>
                  </a:graphic>
                </wp:inline>
              </w:drawing>
            </w:r>
          </w:p>
          <w:p w14:paraId="41104701">
            <w:pPr>
              <w:pStyle w:val="45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p>
        </w:tc>
      </w:tr>
    </w:tbl>
    <w:p w14:paraId="5AE5881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b/>
          <w:bCs/>
          <w:color w:val="000000"/>
          <w:kern w:val="0"/>
          <w:sz w:val="28"/>
          <w:szCs w:val="28"/>
          <w:lang w:val="en-US" w:eastAsia="zh-CN" w:bidi="ar"/>
        </w:rPr>
      </w:pPr>
      <w:r>
        <w:rPr>
          <w:rFonts w:hint="default" w:ascii="Times New Roman" w:hAnsi="Times New Roman" w:eastAsia="宋体" w:cs="Times New Roman"/>
          <w:b/>
          <w:bCs/>
          <w:color w:val="000000"/>
          <w:kern w:val="0"/>
          <w:sz w:val="28"/>
          <w:szCs w:val="28"/>
          <w:lang w:val="en-US" w:eastAsia="zh-CN" w:bidi="ar"/>
        </w:rPr>
        <w:t>5.2 入河排污口排污情况</w:t>
      </w:r>
      <w:bookmarkEnd w:id="325"/>
    </w:p>
    <w:p w14:paraId="7D8D4FB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cs="Times New Roman"/>
          <w:b w:val="0"/>
          <w:bCs w:val="0"/>
          <w:color w:val="FF0000"/>
          <w:kern w:val="2"/>
          <w:sz w:val="24"/>
          <w:szCs w:val="24"/>
          <w:lang w:val="en-US" w:eastAsia="zh-CN"/>
        </w:rPr>
      </w:pPr>
      <w:r>
        <w:rPr>
          <w:rFonts w:hint="default" w:ascii="Times New Roman" w:hAnsi="Times New Roman" w:eastAsia="宋体" w:cs="Times New Roman"/>
          <w:b w:val="0"/>
          <w:bCs w:val="0"/>
          <w:color w:val="FF0000"/>
          <w:kern w:val="2"/>
          <w:sz w:val="24"/>
          <w:szCs w:val="24"/>
          <w:lang w:val="en-US" w:eastAsia="zh-CN"/>
        </w:rPr>
        <w:t>（1）</w:t>
      </w:r>
      <w:r>
        <w:rPr>
          <w:rFonts w:hint="eastAsia" w:cs="Times New Roman"/>
          <w:b w:val="0"/>
          <w:bCs w:val="0"/>
          <w:color w:val="FF0000"/>
          <w:kern w:val="2"/>
          <w:sz w:val="24"/>
          <w:szCs w:val="24"/>
          <w:lang w:val="en-US" w:eastAsia="zh-CN"/>
        </w:rPr>
        <w:t>污水来源</w:t>
      </w:r>
    </w:p>
    <w:p w14:paraId="2DB87BF7">
      <w:pPr>
        <w:pStyle w:val="5"/>
        <w:numPr>
          <w:ilvl w:val="3"/>
          <w:numId w:val="0"/>
        </w:numPr>
        <w:ind w:left="480" w:leftChars="0"/>
        <w:rPr>
          <w:rFonts w:hint="eastAsia" w:ascii="Times New Roman" w:hAnsi="Times New Roman" w:eastAsia="宋体" w:cs="Times New Roman"/>
          <w:b w:val="0"/>
          <w:bCs w:val="0"/>
          <w:color w:val="FF0000"/>
          <w:kern w:val="2"/>
          <w:sz w:val="24"/>
          <w:szCs w:val="24"/>
          <w:lang w:val="en-US" w:eastAsia="zh-CN" w:bidi="ar-SA"/>
        </w:rPr>
      </w:pPr>
      <w:r>
        <w:rPr>
          <w:rFonts w:hint="eastAsia" w:ascii="Times New Roman" w:hAnsi="Times New Roman" w:eastAsia="宋体" w:cs="Times New Roman"/>
          <w:b w:val="0"/>
          <w:bCs w:val="0"/>
          <w:color w:val="FF0000"/>
          <w:kern w:val="2"/>
          <w:sz w:val="24"/>
          <w:szCs w:val="24"/>
          <w:lang w:val="en-US" w:eastAsia="zh-CN" w:bidi="ar-SA"/>
        </w:rPr>
        <w:t>大通湖工业园污水处理厂提质改造建设项目（一期）污水来源主要为大通湖产业开</w:t>
      </w:r>
    </w:p>
    <w:p w14:paraId="3EB4319C">
      <w:pPr>
        <w:pStyle w:val="5"/>
        <w:numPr>
          <w:ilvl w:val="3"/>
          <w:numId w:val="0"/>
        </w:numPr>
        <w:rPr>
          <w:rFonts w:hint="default" w:ascii="Times New Roman" w:hAnsi="Times New Roman" w:eastAsia="宋体" w:cs="Times New Roman"/>
          <w:b w:val="0"/>
          <w:bCs w:val="0"/>
          <w:color w:val="FF0000"/>
          <w:kern w:val="2"/>
          <w:sz w:val="24"/>
          <w:szCs w:val="24"/>
          <w:lang w:val="en-US" w:eastAsia="zh-CN" w:bidi="ar-SA"/>
        </w:rPr>
      </w:pPr>
      <w:r>
        <w:rPr>
          <w:rFonts w:hint="eastAsia" w:ascii="Times New Roman" w:hAnsi="Times New Roman" w:eastAsia="宋体" w:cs="Times New Roman"/>
          <w:b w:val="0"/>
          <w:bCs w:val="0"/>
          <w:color w:val="FF0000"/>
          <w:kern w:val="2"/>
          <w:sz w:val="24"/>
          <w:szCs w:val="24"/>
          <w:lang w:val="en-US" w:eastAsia="zh-CN" w:bidi="ar-SA"/>
        </w:rPr>
        <w:t>发区，目前大通湖产业开发区已入驻涉水企业有8家，拟入驻企业1家，另有3家植物提取企业正在洽谈中。具体的污水量详见《大通湖工业园污水处理厂提质改造建设项目（一期）环境影响报告书》的第3.3.2章节。</w:t>
      </w:r>
    </w:p>
    <w:p w14:paraId="6116FFB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color w:val="FF0000"/>
          <w:kern w:val="2"/>
          <w:sz w:val="24"/>
          <w:szCs w:val="24"/>
          <w:lang w:val="en-US" w:eastAsia="zh-CN"/>
        </w:rPr>
      </w:pPr>
      <w:r>
        <w:rPr>
          <w:rFonts w:hint="eastAsia" w:cs="Times New Roman"/>
          <w:b w:val="0"/>
          <w:bCs w:val="0"/>
          <w:color w:val="FF0000"/>
          <w:kern w:val="2"/>
          <w:sz w:val="24"/>
          <w:szCs w:val="24"/>
          <w:lang w:val="en-US" w:eastAsia="zh-CN"/>
        </w:rPr>
        <w:t>（2）</w:t>
      </w:r>
      <w:r>
        <w:rPr>
          <w:rFonts w:hint="default" w:ascii="Times New Roman" w:hAnsi="Times New Roman" w:eastAsia="宋体" w:cs="Times New Roman"/>
          <w:b w:val="0"/>
          <w:bCs w:val="0"/>
          <w:color w:val="FF0000"/>
          <w:kern w:val="2"/>
          <w:sz w:val="24"/>
          <w:szCs w:val="24"/>
          <w:lang w:val="en-US" w:eastAsia="zh-CN"/>
        </w:rPr>
        <w:t>尾水污染物种类</w:t>
      </w:r>
    </w:p>
    <w:p w14:paraId="510F56F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FF0000"/>
          <w:kern w:val="2"/>
          <w:sz w:val="24"/>
          <w:szCs w:val="24"/>
          <w:lang w:val="en-US" w:eastAsia="zh-CN"/>
        </w:rPr>
      </w:pPr>
      <w:r>
        <w:rPr>
          <w:rFonts w:hint="default" w:ascii="Times New Roman" w:hAnsi="Times New Roman" w:eastAsia="宋体" w:cs="Times New Roman"/>
          <w:b w:val="0"/>
          <w:bCs w:val="0"/>
          <w:color w:val="FF0000"/>
          <w:kern w:val="2"/>
          <w:sz w:val="24"/>
          <w:szCs w:val="24"/>
          <w:lang w:val="en-US" w:eastAsia="zh-CN"/>
        </w:rPr>
        <w:t>污水处理厂尾水排放是指污水处理厂处理后的出水，本项目污水处理厂的尾水中的主要污染物有SS、BOD</w:t>
      </w:r>
      <w:r>
        <w:rPr>
          <w:rFonts w:hint="default" w:ascii="Times New Roman" w:hAnsi="Times New Roman" w:eastAsia="宋体" w:cs="Times New Roman"/>
          <w:b w:val="0"/>
          <w:bCs w:val="0"/>
          <w:color w:val="FF0000"/>
          <w:kern w:val="2"/>
          <w:sz w:val="24"/>
          <w:szCs w:val="24"/>
          <w:vertAlign w:val="subscript"/>
          <w:lang w:val="en-US" w:eastAsia="zh-CN"/>
        </w:rPr>
        <w:t>5</w:t>
      </w:r>
      <w:r>
        <w:rPr>
          <w:rFonts w:hint="default" w:ascii="Times New Roman" w:hAnsi="Times New Roman" w:eastAsia="宋体" w:cs="Times New Roman"/>
          <w:b w:val="0"/>
          <w:bCs w:val="0"/>
          <w:color w:val="FF0000"/>
          <w:kern w:val="2"/>
          <w:sz w:val="24"/>
          <w:szCs w:val="24"/>
          <w:lang w:val="en-US" w:eastAsia="zh-CN"/>
        </w:rPr>
        <w:t>、CODcr、NH</w:t>
      </w:r>
      <w:r>
        <w:rPr>
          <w:rFonts w:hint="default" w:ascii="Times New Roman" w:hAnsi="Times New Roman" w:eastAsia="宋体" w:cs="Times New Roman"/>
          <w:b w:val="0"/>
          <w:bCs w:val="0"/>
          <w:color w:val="FF0000"/>
          <w:kern w:val="2"/>
          <w:sz w:val="24"/>
          <w:szCs w:val="24"/>
          <w:vertAlign w:val="subscript"/>
          <w:lang w:val="en-US" w:eastAsia="zh-CN"/>
        </w:rPr>
        <w:t>3</w:t>
      </w:r>
      <w:r>
        <w:rPr>
          <w:rFonts w:hint="default" w:ascii="Times New Roman" w:hAnsi="Times New Roman" w:eastAsia="宋体" w:cs="Times New Roman"/>
          <w:b w:val="0"/>
          <w:bCs w:val="0"/>
          <w:color w:val="FF0000"/>
          <w:kern w:val="2"/>
          <w:sz w:val="24"/>
          <w:szCs w:val="24"/>
          <w:lang w:val="en-US" w:eastAsia="zh-CN"/>
        </w:rPr>
        <w:t>-N、TN、TP 等。</w:t>
      </w:r>
    </w:p>
    <w:p w14:paraId="6D644FD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420" w:leftChars="0"/>
        <w:jc w:val="left"/>
        <w:textAlignment w:val="auto"/>
        <w:outlineLvl w:val="9"/>
        <w:rPr>
          <w:rFonts w:hint="default" w:ascii="Times New Roman" w:hAnsi="Times New Roman" w:eastAsia="宋体" w:cs="Times New Roman"/>
          <w:b w:val="0"/>
          <w:bCs w:val="0"/>
          <w:color w:val="FF0000"/>
          <w:kern w:val="2"/>
          <w:sz w:val="24"/>
          <w:szCs w:val="24"/>
          <w:lang w:val="en-US" w:eastAsia="zh-CN"/>
        </w:rPr>
      </w:pPr>
      <w:r>
        <w:rPr>
          <w:rFonts w:hint="eastAsia" w:cs="Times New Roman"/>
          <w:b w:val="0"/>
          <w:bCs w:val="0"/>
          <w:color w:val="FF0000"/>
          <w:kern w:val="2"/>
          <w:sz w:val="24"/>
          <w:szCs w:val="24"/>
          <w:lang w:val="en-US" w:eastAsia="zh-CN"/>
        </w:rPr>
        <w:t>（3）</w:t>
      </w:r>
      <w:r>
        <w:rPr>
          <w:rFonts w:hint="default" w:ascii="Times New Roman" w:hAnsi="Times New Roman" w:eastAsia="宋体" w:cs="Times New Roman"/>
          <w:b w:val="0"/>
          <w:bCs w:val="0"/>
          <w:color w:val="FF0000"/>
          <w:kern w:val="2"/>
          <w:sz w:val="24"/>
          <w:szCs w:val="24"/>
          <w:lang w:val="en-US" w:eastAsia="zh-CN"/>
        </w:rPr>
        <w:t>污染物排放浓度</w:t>
      </w:r>
    </w:p>
    <w:p w14:paraId="212B9744">
      <w:pPr>
        <w:pStyle w:val="5"/>
        <w:numPr>
          <w:ilvl w:val="3"/>
          <w:numId w:val="0"/>
        </w:numPr>
        <w:ind w:left="420" w:leftChars="0"/>
        <w:rPr>
          <w:rFonts w:hint="eastAsia" w:ascii="Times New Roman" w:hAnsi="Times New Roman" w:eastAsia="宋体" w:cs="Times New Roman"/>
          <w:b w:val="0"/>
          <w:bCs w:val="0"/>
          <w:color w:val="FF0000"/>
          <w:kern w:val="2"/>
          <w:sz w:val="24"/>
          <w:szCs w:val="24"/>
          <w:lang w:val="en-US" w:eastAsia="zh-CN" w:bidi="ar-SA"/>
        </w:rPr>
      </w:pPr>
      <w:r>
        <w:rPr>
          <w:rFonts w:hint="eastAsia" w:ascii="Times New Roman" w:hAnsi="Times New Roman" w:eastAsia="宋体" w:cs="Times New Roman"/>
          <w:b w:val="0"/>
          <w:bCs w:val="0"/>
          <w:color w:val="FF0000"/>
          <w:kern w:val="2"/>
          <w:sz w:val="24"/>
          <w:szCs w:val="24"/>
          <w:lang w:val="en-US" w:eastAsia="zh-CN" w:bidi="ar-SA"/>
        </w:rPr>
        <w:t>大通湖工业园污水处理厂提质改造建设项目（一期）设计出水水质执行《城镇污</w:t>
      </w:r>
    </w:p>
    <w:p w14:paraId="4708F829">
      <w:pPr>
        <w:pStyle w:val="5"/>
        <w:numPr>
          <w:ilvl w:val="3"/>
          <w:numId w:val="0"/>
        </w:numPr>
        <w:rPr>
          <w:rFonts w:hint="default"/>
          <w:color w:val="FF0000"/>
          <w:lang w:val="en-US" w:eastAsia="zh-CN"/>
        </w:rPr>
      </w:pPr>
      <w:r>
        <w:rPr>
          <w:rFonts w:hint="eastAsia" w:ascii="Times New Roman" w:hAnsi="Times New Roman" w:eastAsia="宋体" w:cs="Times New Roman"/>
          <w:b w:val="0"/>
          <w:bCs w:val="0"/>
          <w:color w:val="FF0000"/>
          <w:kern w:val="2"/>
          <w:sz w:val="24"/>
          <w:szCs w:val="24"/>
          <w:lang w:val="en-US" w:eastAsia="zh-CN" w:bidi="ar-SA"/>
        </w:rPr>
        <w:t>水处理厂污染物排放标准》（GB18918-2002）中的一级A标准，具体指标如下表所示：</w:t>
      </w:r>
    </w:p>
    <w:p w14:paraId="7A5E04BE">
      <w:pPr>
        <w:spacing w:line="240" w:lineRule="auto"/>
        <w:jc w:val="center"/>
        <w:rPr>
          <w:rFonts w:hint="default" w:ascii="Times New Roman" w:hAnsi="Times New Roman" w:cs="Times New Roman"/>
          <w:b/>
          <w:bCs/>
          <w:color w:val="FF0000"/>
          <w:sz w:val="24"/>
          <w:szCs w:val="32"/>
          <w:highlight w:val="none"/>
          <w:u w:val="none" w:color="auto"/>
          <w:lang w:val="en-US" w:eastAsia="zh-CN"/>
        </w:rPr>
      </w:pPr>
      <w:r>
        <w:rPr>
          <w:rFonts w:hint="default" w:ascii="Times New Roman" w:hAnsi="Times New Roman" w:cs="Times New Roman"/>
          <w:b/>
          <w:bCs/>
          <w:color w:val="FF0000"/>
          <w:sz w:val="24"/>
          <w:szCs w:val="32"/>
          <w:highlight w:val="none"/>
          <w:u w:val="none" w:color="auto"/>
          <w:lang w:val="en-US" w:eastAsia="zh-CN"/>
        </w:rPr>
        <w:t>表3.3-</w:t>
      </w:r>
      <w:r>
        <w:rPr>
          <w:rFonts w:hint="eastAsia" w:cs="Times New Roman"/>
          <w:b/>
          <w:bCs/>
          <w:color w:val="FF0000"/>
          <w:sz w:val="24"/>
          <w:szCs w:val="32"/>
          <w:highlight w:val="none"/>
          <w:u w:val="none" w:color="auto"/>
          <w:lang w:val="en-US" w:eastAsia="zh-CN"/>
        </w:rPr>
        <w:t>3</w:t>
      </w:r>
      <w:r>
        <w:rPr>
          <w:rFonts w:hint="default" w:ascii="Times New Roman" w:hAnsi="Times New Roman" w:cs="Times New Roman"/>
          <w:b/>
          <w:bCs/>
          <w:color w:val="FF0000"/>
          <w:sz w:val="24"/>
          <w:szCs w:val="32"/>
          <w:highlight w:val="none"/>
          <w:u w:val="none" w:color="auto"/>
          <w:lang w:val="en-US" w:eastAsia="zh-CN"/>
        </w:rPr>
        <w:t xml:space="preserve"> 污水处理进出水水质一览表</w:t>
      </w:r>
    </w:p>
    <w:tbl>
      <w:tblPr>
        <w:tblStyle w:val="76"/>
        <w:tblW w:w="945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374"/>
        <w:gridCol w:w="1114"/>
        <w:gridCol w:w="1114"/>
        <w:gridCol w:w="1223"/>
        <w:gridCol w:w="1284"/>
        <w:gridCol w:w="1346"/>
        <w:gridCol w:w="1001"/>
        <w:gridCol w:w="1000"/>
      </w:tblGrid>
      <w:tr w14:paraId="37BEC1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6" w:hRule="exact"/>
          <w:jc w:val="center"/>
        </w:trPr>
        <w:tc>
          <w:tcPr>
            <w:tcW w:w="1374" w:type="dxa"/>
            <w:vAlign w:val="center"/>
          </w:tcPr>
          <w:p w14:paraId="2732E7A9">
            <w:pPr>
              <w:pStyle w:val="192"/>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FF0000"/>
                <w:highlight w:val="none"/>
                <w:u w:val="none" w:color="auto"/>
                <w:lang w:eastAsia="zh-CN"/>
              </w:rPr>
            </w:pPr>
            <w:r>
              <w:rPr>
                <w:rFonts w:hint="eastAsia" w:ascii="Times New Roman" w:hAnsi="Times New Roman" w:cs="Times New Roman"/>
                <w:b/>
                <w:color w:val="FF0000"/>
                <w:highlight w:val="none"/>
                <w:u w:val="none" w:color="auto"/>
                <w:lang w:val="en-US" w:eastAsia="zh-CN"/>
              </w:rPr>
              <w:t>项目</w:t>
            </w:r>
          </w:p>
        </w:tc>
        <w:tc>
          <w:tcPr>
            <w:tcW w:w="1114" w:type="dxa"/>
            <w:vAlign w:val="center"/>
          </w:tcPr>
          <w:p w14:paraId="0193F3B3">
            <w:pPr>
              <w:pStyle w:val="19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FF0000"/>
                <w:highlight w:val="none"/>
                <w:u w:val="none" w:color="auto"/>
                <w:lang w:val="en-US" w:eastAsia="zh-CN"/>
              </w:rPr>
            </w:pPr>
            <w:r>
              <w:rPr>
                <w:rFonts w:hint="default" w:ascii="Times New Roman" w:hAnsi="Times New Roman" w:cs="Times New Roman"/>
                <w:b/>
                <w:bCs/>
                <w:color w:val="FF0000"/>
                <w:highlight w:val="none"/>
                <w:u w:val="none" w:color="auto"/>
                <w:lang w:val="en-US" w:eastAsia="zh-CN"/>
              </w:rPr>
              <w:t>pH</w:t>
            </w:r>
          </w:p>
        </w:tc>
        <w:tc>
          <w:tcPr>
            <w:tcW w:w="1114" w:type="dxa"/>
            <w:vAlign w:val="center"/>
          </w:tcPr>
          <w:p w14:paraId="495FF130">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FF0000"/>
                <w:sz w:val="16"/>
                <w:szCs w:val="16"/>
                <w:highlight w:val="none"/>
                <w:u w:val="none" w:color="auto"/>
              </w:rPr>
            </w:pPr>
            <w:r>
              <w:rPr>
                <w:rFonts w:hint="default" w:ascii="Times New Roman" w:hAnsi="Times New Roman" w:cs="Times New Roman"/>
                <w:b/>
                <w:bCs/>
                <w:color w:val="FF0000"/>
                <w:highlight w:val="none"/>
                <w:u w:val="none" w:color="auto"/>
              </w:rPr>
              <w:t>COD</w:t>
            </w:r>
            <w:r>
              <w:rPr>
                <w:rFonts w:hint="default" w:ascii="Times New Roman" w:hAnsi="Times New Roman" w:cs="Times New Roman"/>
                <w:b/>
                <w:bCs/>
                <w:color w:val="FF0000"/>
                <w:sz w:val="16"/>
                <w:szCs w:val="16"/>
                <w:highlight w:val="none"/>
                <w:u w:val="none" w:color="auto"/>
              </w:rPr>
              <w:t>cr</w:t>
            </w:r>
          </w:p>
        </w:tc>
        <w:tc>
          <w:tcPr>
            <w:tcW w:w="1223" w:type="dxa"/>
            <w:vAlign w:val="center"/>
          </w:tcPr>
          <w:p w14:paraId="5DFB97D5">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FF0000"/>
                <w:sz w:val="16"/>
                <w:szCs w:val="16"/>
                <w:highlight w:val="none"/>
                <w:u w:val="none" w:color="auto"/>
              </w:rPr>
            </w:pPr>
            <w:r>
              <w:rPr>
                <w:rFonts w:hint="default" w:ascii="Times New Roman" w:hAnsi="Times New Roman" w:cs="Times New Roman"/>
                <w:b/>
                <w:bCs/>
                <w:color w:val="FF0000"/>
                <w:highlight w:val="none"/>
                <w:u w:val="none" w:color="auto"/>
              </w:rPr>
              <w:t>BOD</w:t>
            </w:r>
            <w:r>
              <w:rPr>
                <w:rFonts w:hint="default" w:ascii="Times New Roman" w:hAnsi="Times New Roman" w:cs="Times New Roman"/>
                <w:b/>
                <w:bCs/>
                <w:color w:val="FF0000"/>
                <w:sz w:val="16"/>
                <w:szCs w:val="16"/>
                <w:highlight w:val="none"/>
                <w:u w:val="none" w:color="auto"/>
              </w:rPr>
              <w:t>5</w:t>
            </w:r>
          </w:p>
        </w:tc>
        <w:tc>
          <w:tcPr>
            <w:tcW w:w="1284" w:type="dxa"/>
            <w:vAlign w:val="center"/>
          </w:tcPr>
          <w:p w14:paraId="3A7EE9DA">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FF0000"/>
                <w:highlight w:val="none"/>
                <w:u w:val="none" w:color="auto"/>
              </w:rPr>
            </w:pPr>
            <w:r>
              <w:rPr>
                <w:rFonts w:hint="default" w:ascii="Times New Roman" w:hAnsi="Times New Roman" w:cs="Times New Roman"/>
                <w:b/>
                <w:bCs/>
                <w:color w:val="FF0000"/>
                <w:highlight w:val="none"/>
                <w:u w:val="none" w:color="auto"/>
              </w:rPr>
              <w:t>SS</w:t>
            </w:r>
          </w:p>
        </w:tc>
        <w:tc>
          <w:tcPr>
            <w:tcW w:w="1346" w:type="dxa"/>
            <w:vAlign w:val="center"/>
          </w:tcPr>
          <w:p w14:paraId="7DAFC78B">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FF0000"/>
                <w:highlight w:val="none"/>
                <w:u w:val="none" w:color="auto"/>
              </w:rPr>
            </w:pPr>
            <w:r>
              <w:rPr>
                <w:rFonts w:hint="default" w:ascii="Times New Roman" w:hAnsi="Times New Roman" w:cs="Times New Roman"/>
                <w:b/>
                <w:bCs/>
                <w:color w:val="FF0000"/>
                <w:highlight w:val="none"/>
                <w:u w:val="none" w:color="auto"/>
              </w:rPr>
              <w:t>NH</w:t>
            </w:r>
            <w:r>
              <w:rPr>
                <w:rFonts w:hint="default" w:ascii="Times New Roman" w:hAnsi="Times New Roman" w:cs="Times New Roman"/>
                <w:b/>
                <w:bCs/>
                <w:color w:val="FF0000"/>
                <w:highlight w:val="none"/>
                <w:u w:val="none" w:color="auto"/>
                <w:vertAlign w:val="subscript"/>
                <w:lang w:val="en-US" w:eastAsia="zh-CN"/>
              </w:rPr>
              <w:t>3</w:t>
            </w:r>
            <w:r>
              <w:rPr>
                <w:rFonts w:hint="default" w:ascii="Times New Roman" w:hAnsi="Times New Roman" w:cs="Times New Roman"/>
                <w:b/>
                <w:bCs/>
                <w:color w:val="FF0000"/>
                <w:highlight w:val="none"/>
                <w:u w:val="none" w:color="auto"/>
              </w:rPr>
              <w:t>-N</w:t>
            </w:r>
          </w:p>
        </w:tc>
        <w:tc>
          <w:tcPr>
            <w:tcW w:w="1001" w:type="dxa"/>
            <w:vAlign w:val="center"/>
          </w:tcPr>
          <w:p w14:paraId="2914B877">
            <w:pPr>
              <w:pStyle w:val="192"/>
              <w:keepNext w:val="0"/>
              <w:keepLines w:val="0"/>
              <w:suppressLineNumbers w:val="0"/>
              <w:spacing w:before="0" w:beforeAutospacing="0" w:after="0" w:afterAutospacing="0"/>
              <w:ind w:left="0" w:right="0"/>
              <w:jc w:val="center"/>
              <w:rPr>
                <w:rFonts w:hint="default" w:ascii="Times New Roman" w:hAnsi="Times New Roman" w:cs="Times New Roman"/>
                <w:b/>
                <w:bCs/>
                <w:color w:val="FF0000"/>
                <w:highlight w:val="none"/>
                <w:u w:val="none" w:color="auto"/>
              </w:rPr>
            </w:pPr>
            <w:r>
              <w:rPr>
                <w:rFonts w:hint="default" w:ascii="Times New Roman" w:hAnsi="Times New Roman" w:cs="Times New Roman"/>
                <w:b/>
                <w:bCs/>
                <w:color w:val="FF0000"/>
                <w:highlight w:val="none"/>
                <w:u w:val="none" w:color="auto"/>
              </w:rPr>
              <w:t>TN</w:t>
            </w:r>
          </w:p>
        </w:tc>
        <w:tc>
          <w:tcPr>
            <w:tcW w:w="1000" w:type="dxa"/>
            <w:vAlign w:val="center"/>
          </w:tcPr>
          <w:p w14:paraId="0EC15C74">
            <w:pPr>
              <w:pStyle w:val="192"/>
              <w:keepNext w:val="0"/>
              <w:keepLines w:val="0"/>
              <w:suppressLineNumbers w:val="0"/>
              <w:spacing w:before="0" w:beforeAutospacing="0" w:after="0" w:afterAutospacing="0"/>
              <w:ind w:left="0" w:right="0"/>
              <w:jc w:val="center"/>
              <w:rPr>
                <w:rFonts w:hint="default" w:ascii="Times New Roman" w:hAnsi="Times New Roman" w:cs="Times New Roman"/>
                <w:b/>
                <w:color w:val="FF0000"/>
                <w:highlight w:val="none"/>
                <w:u w:val="none" w:color="auto"/>
              </w:rPr>
            </w:pPr>
            <w:r>
              <w:rPr>
                <w:rFonts w:hint="default" w:ascii="Times New Roman" w:hAnsi="Times New Roman" w:cs="Times New Roman"/>
                <w:b/>
                <w:bCs/>
                <w:color w:val="FF0000"/>
                <w:highlight w:val="none"/>
                <w:u w:val="none" w:color="auto"/>
              </w:rPr>
              <w:t>TP</w:t>
            </w:r>
          </w:p>
        </w:tc>
      </w:tr>
      <w:tr w14:paraId="368A5F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8" w:hRule="exact"/>
          <w:jc w:val="center"/>
        </w:trPr>
        <w:tc>
          <w:tcPr>
            <w:tcW w:w="1374" w:type="dxa"/>
            <w:vAlign w:val="center"/>
          </w:tcPr>
          <w:p w14:paraId="24C17102">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rPr>
            </w:pPr>
            <w:r>
              <w:rPr>
                <w:rFonts w:hint="default" w:ascii="Times New Roman" w:hAnsi="Times New Roman" w:cs="Times New Roman"/>
                <w:color w:val="FF0000"/>
                <w:highlight w:val="none"/>
                <w:u w:val="none" w:color="auto"/>
              </w:rPr>
              <w:t>出水</w:t>
            </w:r>
            <w:r>
              <w:rPr>
                <w:rFonts w:hint="default" w:ascii="Times New Roman" w:hAnsi="Times New Roman" w:cs="Times New Roman"/>
                <w:color w:val="FF0000"/>
                <w:spacing w:val="-3"/>
                <w:highlight w:val="none"/>
                <w:u w:val="none" w:color="auto"/>
              </w:rPr>
              <w:t>水</w:t>
            </w:r>
            <w:r>
              <w:rPr>
                <w:rFonts w:hint="default" w:ascii="Times New Roman" w:hAnsi="Times New Roman" w:cs="Times New Roman"/>
                <w:color w:val="FF0000"/>
                <w:highlight w:val="none"/>
                <w:u w:val="none" w:color="auto"/>
              </w:rPr>
              <w:t>质</w:t>
            </w:r>
          </w:p>
        </w:tc>
        <w:tc>
          <w:tcPr>
            <w:tcW w:w="1114" w:type="dxa"/>
            <w:vAlign w:val="center"/>
          </w:tcPr>
          <w:p w14:paraId="7F11C89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spacing w:val="-1"/>
                <w:highlight w:val="none"/>
                <w:u w:val="none" w:color="auto"/>
              </w:rPr>
            </w:pPr>
            <w:r>
              <w:rPr>
                <w:rFonts w:hint="default" w:ascii="Times New Roman" w:hAnsi="Times New Roman" w:cs="Times New Roman"/>
                <w:color w:val="FF0000"/>
                <w:spacing w:val="-1"/>
                <w:highlight w:val="none"/>
                <w:u w:val="none" w:color="auto"/>
                <w:lang w:val="en-US" w:eastAsia="zh-CN"/>
              </w:rPr>
              <w:t>6-9</w:t>
            </w:r>
          </w:p>
        </w:tc>
        <w:tc>
          <w:tcPr>
            <w:tcW w:w="1114" w:type="dxa"/>
            <w:vAlign w:val="center"/>
          </w:tcPr>
          <w:p w14:paraId="6DA4DFBB">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rPr>
            </w:pPr>
            <w:r>
              <w:rPr>
                <w:rFonts w:hint="default" w:ascii="Times New Roman" w:hAnsi="Times New Roman" w:cs="Times New Roman"/>
                <w:color w:val="FF0000"/>
                <w:spacing w:val="-1"/>
                <w:highlight w:val="none"/>
                <w:u w:val="none" w:color="auto"/>
              </w:rPr>
              <w:t>≤</w:t>
            </w:r>
            <w:r>
              <w:rPr>
                <w:rFonts w:hint="default" w:ascii="Times New Roman" w:hAnsi="Times New Roman" w:cs="Times New Roman"/>
                <w:color w:val="FF0000"/>
                <w:highlight w:val="none"/>
                <w:u w:val="none" w:color="auto"/>
                <w:lang w:val="en-US" w:eastAsia="zh-CN"/>
              </w:rPr>
              <w:t>50</w:t>
            </w:r>
          </w:p>
        </w:tc>
        <w:tc>
          <w:tcPr>
            <w:tcW w:w="1223" w:type="dxa"/>
            <w:vAlign w:val="center"/>
          </w:tcPr>
          <w:p w14:paraId="27BC11D8">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lang w:val="en-US"/>
              </w:rPr>
            </w:pPr>
            <w:r>
              <w:rPr>
                <w:rFonts w:hint="default" w:ascii="Times New Roman" w:hAnsi="Times New Roman" w:cs="Times New Roman"/>
                <w:color w:val="FF0000"/>
                <w:spacing w:val="-1"/>
                <w:highlight w:val="none"/>
                <w:u w:val="none" w:color="auto"/>
              </w:rPr>
              <w:t>≤</w:t>
            </w:r>
            <w:r>
              <w:rPr>
                <w:rFonts w:hint="default" w:ascii="Times New Roman" w:hAnsi="Times New Roman" w:cs="Times New Roman"/>
                <w:color w:val="FF0000"/>
                <w:highlight w:val="none"/>
                <w:u w:val="none" w:color="auto"/>
                <w:lang w:val="en-US" w:eastAsia="zh-CN"/>
              </w:rPr>
              <w:t>10</w:t>
            </w:r>
          </w:p>
        </w:tc>
        <w:tc>
          <w:tcPr>
            <w:tcW w:w="1284" w:type="dxa"/>
            <w:vAlign w:val="center"/>
          </w:tcPr>
          <w:p w14:paraId="317439BE">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lang w:val="en-US"/>
              </w:rPr>
            </w:pPr>
            <w:r>
              <w:rPr>
                <w:rFonts w:hint="default" w:ascii="Times New Roman" w:hAnsi="Times New Roman" w:cs="Times New Roman"/>
                <w:color w:val="FF0000"/>
                <w:spacing w:val="-1"/>
                <w:highlight w:val="none"/>
                <w:u w:val="none" w:color="auto"/>
              </w:rPr>
              <w:t>≤</w:t>
            </w:r>
            <w:r>
              <w:rPr>
                <w:rFonts w:hint="default" w:ascii="Times New Roman" w:hAnsi="Times New Roman" w:cs="Times New Roman"/>
                <w:color w:val="FF0000"/>
                <w:highlight w:val="none"/>
                <w:u w:val="none" w:color="auto"/>
                <w:lang w:val="en-US" w:eastAsia="zh-CN"/>
              </w:rPr>
              <w:t>10</w:t>
            </w:r>
          </w:p>
        </w:tc>
        <w:tc>
          <w:tcPr>
            <w:tcW w:w="1346" w:type="dxa"/>
            <w:vAlign w:val="center"/>
          </w:tcPr>
          <w:p w14:paraId="6314EFCF">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lang w:val="en-US"/>
              </w:rPr>
            </w:pPr>
            <w:r>
              <w:rPr>
                <w:rFonts w:hint="default" w:ascii="Times New Roman" w:hAnsi="Times New Roman" w:cs="Times New Roman"/>
                <w:color w:val="FF0000"/>
                <w:spacing w:val="-1"/>
                <w:highlight w:val="none"/>
                <w:u w:val="none" w:color="auto"/>
              </w:rPr>
              <w:t>≤</w:t>
            </w:r>
            <w:r>
              <w:rPr>
                <w:rFonts w:hint="default" w:ascii="Times New Roman" w:hAnsi="Times New Roman" w:cs="Times New Roman"/>
                <w:color w:val="FF0000"/>
                <w:spacing w:val="-1"/>
                <w:highlight w:val="none"/>
                <w:u w:val="none" w:color="auto"/>
                <w:lang w:val="en-US" w:eastAsia="zh-CN"/>
              </w:rPr>
              <w:t>5（8）</w:t>
            </w:r>
          </w:p>
        </w:tc>
        <w:tc>
          <w:tcPr>
            <w:tcW w:w="1001" w:type="dxa"/>
            <w:vAlign w:val="center"/>
          </w:tcPr>
          <w:p w14:paraId="0D24266D">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lang w:val="en-US"/>
              </w:rPr>
            </w:pPr>
            <w:r>
              <w:rPr>
                <w:rFonts w:hint="default" w:ascii="Times New Roman" w:hAnsi="Times New Roman" w:cs="Times New Roman"/>
                <w:color w:val="FF0000"/>
                <w:spacing w:val="-1"/>
                <w:highlight w:val="none"/>
                <w:u w:val="none" w:color="auto"/>
              </w:rPr>
              <w:t>≤</w:t>
            </w:r>
            <w:r>
              <w:rPr>
                <w:rFonts w:hint="default" w:ascii="Times New Roman" w:hAnsi="Times New Roman" w:cs="Times New Roman"/>
                <w:color w:val="FF0000"/>
                <w:highlight w:val="none"/>
                <w:u w:val="none" w:color="auto"/>
                <w:lang w:val="en-US" w:eastAsia="zh-CN"/>
              </w:rPr>
              <w:t>15</w:t>
            </w:r>
          </w:p>
        </w:tc>
        <w:tc>
          <w:tcPr>
            <w:tcW w:w="1000" w:type="dxa"/>
            <w:vAlign w:val="center"/>
          </w:tcPr>
          <w:p w14:paraId="1ED798F4">
            <w:pPr>
              <w:pStyle w:val="192"/>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u w:val="none" w:color="auto"/>
                <w:lang w:val="en-US"/>
              </w:rPr>
            </w:pPr>
            <w:r>
              <w:rPr>
                <w:rFonts w:hint="default" w:ascii="Times New Roman" w:hAnsi="Times New Roman" w:cs="Times New Roman"/>
                <w:color w:val="FF0000"/>
                <w:spacing w:val="-1"/>
                <w:highlight w:val="none"/>
                <w:u w:val="none" w:color="auto"/>
              </w:rPr>
              <w:t>≤</w:t>
            </w:r>
            <w:r>
              <w:rPr>
                <w:rFonts w:hint="default" w:ascii="Times New Roman" w:hAnsi="Times New Roman" w:cs="Times New Roman"/>
                <w:color w:val="FF0000"/>
                <w:spacing w:val="-1"/>
                <w:highlight w:val="none"/>
                <w:u w:val="none" w:color="auto"/>
                <w:lang w:val="en-US" w:eastAsia="zh-CN"/>
              </w:rPr>
              <w:t>0.5</w:t>
            </w:r>
          </w:p>
        </w:tc>
      </w:tr>
    </w:tbl>
    <w:p w14:paraId="2BC0EC8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420" w:leftChars="0"/>
        <w:jc w:val="left"/>
        <w:textAlignment w:val="auto"/>
        <w:outlineLvl w:val="9"/>
        <w:rPr>
          <w:rFonts w:hint="default" w:ascii="Times New Roman" w:hAnsi="Times New Roman" w:eastAsia="宋体" w:cs="Times New Roman"/>
          <w:b w:val="0"/>
          <w:bCs w:val="0"/>
          <w:color w:val="FF0000"/>
          <w:kern w:val="2"/>
          <w:sz w:val="24"/>
          <w:szCs w:val="24"/>
          <w:lang w:val="en-US" w:eastAsia="zh-CN"/>
        </w:rPr>
      </w:pPr>
      <w:r>
        <w:rPr>
          <w:rFonts w:hint="eastAsia" w:cs="Times New Roman"/>
          <w:b w:val="0"/>
          <w:bCs w:val="0"/>
          <w:color w:val="FF0000"/>
          <w:kern w:val="2"/>
          <w:sz w:val="24"/>
          <w:szCs w:val="24"/>
          <w:lang w:val="en-US" w:eastAsia="zh-CN"/>
        </w:rPr>
        <w:t>（4）污水处理厂污染物排放</w:t>
      </w:r>
      <w:r>
        <w:rPr>
          <w:rFonts w:hint="default" w:ascii="Times New Roman" w:hAnsi="Times New Roman" w:eastAsia="宋体" w:cs="Times New Roman"/>
          <w:b w:val="0"/>
          <w:bCs w:val="0"/>
          <w:color w:val="FF0000"/>
          <w:kern w:val="2"/>
          <w:sz w:val="24"/>
          <w:szCs w:val="24"/>
          <w:lang w:val="en-US" w:eastAsia="zh-CN"/>
        </w:rPr>
        <w:t>量</w:t>
      </w:r>
    </w:p>
    <w:p w14:paraId="78E5DFA1">
      <w:pPr>
        <w:keepNext w:val="0"/>
        <w:keepLines w:val="0"/>
        <w:pageBreakBefore w:val="0"/>
        <w:tabs>
          <w:tab w:val="left" w:pos="-2486"/>
        </w:tabs>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color w:val="FF0000"/>
          <w:kern w:val="2"/>
          <w:sz w:val="24"/>
          <w:szCs w:val="24"/>
          <w:lang w:val="en-US" w:eastAsia="zh-CN"/>
        </w:rPr>
      </w:pPr>
      <w:r>
        <w:rPr>
          <w:rFonts w:hint="default" w:ascii="Times New Roman" w:hAnsi="Times New Roman" w:eastAsia="宋体" w:cs="Times New Roman"/>
          <w:b w:val="0"/>
          <w:bCs/>
          <w:color w:val="FF0000"/>
          <w:kern w:val="2"/>
          <w:sz w:val="24"/>
          <w:szCs w:val="24"/>
          <w:lang w:val="en-US" w:eastAsia="zh-CN"/>
        </w:rPr>
        <w:t>根据</w:t>
      </w:r>
      <w:r>
        <w:rPr>
          <w:rFonts w:hint="eastAsia" w:cs="Times New Roman"/>
          <w:color w:val="FF0000"/>
          <w:kern w:val="2"/>
          <w:sz w:val="24"/>
          <w:szCs w:val="24"/>
          <w:lang w:val="en-US" w:eastAsia="zh-CN" w:bidi="ar-SA"/>
        </w:rPr>
        <w:t>《大通湖工业园污水处理厂提质改造建设项目（一期）环境影响报告书》</w:t>
      </w:r>
      <w:r>
        <w:rPr>
          <w:rFonts w:hint="default" w:ascii="Times New Roman" w:hAnsi="Times New Roman" w:eastAsia="宋体" w:cs="Times New Roman"/>
          <w:b w:val="0"/>
          <w:bCs/>
          <w:color w:val="FF0000"/>
          <w:kern w:val="2"/>
          <w:sz w:val="24"/>
          <w:szCs w:val="24"/>
          <w:lang w:val="en-US" w:eastAsia="zh-CN"/>
        </w:rPr>
        <w:t>第4章环境现状调查分析结果，论证范围内水体水质达标，项目</w:t>
      </w:r>
      <w:r>
        <w:rPr>
          <w:rFonts w:hint="eastAsia" w:cs="Times New Roman"/>
          <w:b w:val="0"/>
          <w:bCs/>
          <w:color w:val="FF0000"/>
          <w:kern w:val="2"/>
          <w:sz w:val="24"/>
          <w:szCs w:val="24"/>
          <w:lang w:val="en-US" w:eastAsia="zh-CN"/>
        </w:rPr>
        <w:t>现有工程已办理</w:t>
      </w:r>
      <w:r>
        <w:rPr>
          <w:rFonts w:hint="default" w:ascii="Times New Roman" w:hAnsi="Times New Roman" w:eastAsia="宋体" w:cs="Times New Roman"/>
          <w:b w:val="0"/>
          <w:bCs/>
          <w:color w:val="FF0000"/>
          <w:kern w:val="2"/>
          <w:sz w:val="24"/>
          <w:szCs w:val="24"/>
          <w:lang w:val="en-US" w:eastAsia="zh-CN"/>
        </w:rPr>
        <w:t>排污许可证</w:t>
      </w:r>
      <w:r>
        <w:rPr>
          <w:rFonts w:hint="eastAsia" w:cs="Times New Roman"/>
          <w:b w:val="0"/>
          <w:bCs/>
          <w:color w:val="FF0000"/>
          <w:kern w:val="2"/>
          <w:sz w:val="24"/>
          <w:szCs w:val="24"/>
          <w:lang w:val="en-US" w:eastAsia="zh-CN"/>
        </w:rPr>
        <w:t>，本次论证完成后将重新申请排污许可证</w:t>
      </w:r>
      <w:r>
        <w:rPr>
          <w:rFonts w:hint="default" w:ascii="Times New Roman" w:hAnsi="Times New Roman" w:eastAsia="宋体" w:cs="Times New Roman"/>
          <w:b w:val="0"/>
          <w:bCs/>
          <w:color w:val="FF0000"/>
          <w:kern w:val="2"/>
          <w:sz w:val="24"/>
          <w:szCs w:val="24"/>
          <w:lang w:val="en-US" w:eastAsia="zh-CN"/>
        </w:rPr>
        <w:t>，本次论证污水处理厂污染物排放量按照设计规模及排放标准核算。</w:t>
      </w:r>
    </w:p>
    <w:p w14:paraId="195AE607">
      <w:pPr>
        <w:keepNext w:val="0"/>
        <w:keepLines w:val="0"/>
        <w:pageBreakBefore w:val="0"/>
        <w:tabs>
          <w:tab w:val="left" w:pos="-2486"/>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FF0000"/>
          <w:kern w:val="2"/>
          <w:sz w:val="24"/>
          <w:szCs w:val="24"/>
          <w:lang w:val="en-US" w:eastAsia="zh-CN"/>
        </w:rPr>
      </w:pPr>
      <w:r>
        <w:rPr>
          <w:rFonts w:hint="default" w:ascii="Times New Roman" w:hAnsi="Times New Roman" w:eastAsia="宋体" w:cs="Times New Roman"/>
          <w:color w:val="FF0000"/>
          <w:kern w:val="2"/>
          <w:sz w:val="24"/>
          <w:szCs w:val="24"/>
          <w:lang w:val="en-US" w:eastAsia="zh-CN"/>
        </w:rPr>
        <w:t>本项目入河排污口正常排放与非正常排放情况下污染物排放量见 5.2-1。</w:t>
      </w:r>
    </w:p>
    <w:p w14:paraId="2B51429F">
      <w:pPr>
        <w:tabs>
          <w:tab w:val="left" w:pos="-2486"/>
        </w:tabs>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FF0000"/>
          <w:kern w:val="2"/>
          <w:sz w:val="24"/>
          <w:lang w:val="en-US" w:eastAsia="zh-CN"/>
        </w:rPr>
      </w:pPr>
      <w:r>
        <w:rPr>
          <w:rFonts w:hint="default" w:ascii="Times New Roman" w:hAnsi="Times New Roman" w:eastAsia="宋体" w:cs="Times New Roman"/>
          <w:b/>
          <w:bCs/>
          <w:color w:val="FF0000"/>
          <w:kern w:val="2"/>
          <w:sz w:val="24"/>
          <w:lang w:val="en-US" w:eastAsia="zh-CN"/>
        </w:rPr>
        <w:t>表 5.2-1 本项目入河排污口正常与非正常情况下的排放量</w:t>
      </w:r>
    </w:p>
    <w:tbl>
      <w:tblPr>
        <w:tblStyle w:val="77"/>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359"/>
        <w:gridCol w:w="2025"/>
        <w:gridCol w:w="2115"/>
        <w:gridCol w:w="1605"/>
        <w:gridCol w:w="1950"/>
      </w:tblGrid>
      <w:tr w14:paraId="10B5B7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9" w:hRule="atLeast"/>
        </w:trPr>
        <w:tc>
          <w:tcPr>
            <w:tcW w:w="1359" w:type="dxa"/>
            <w:tcBorders>
              <w:tl2br w:val="nil"/>
              <w:tr2bl w:val="nil"/>
            </w:tcBorders>
            <w:noWrap w:val="0"/>
            <w:vAlign w:val="center"/>
          </w:tcPr>
          <w:p w14:paraId="044B9571">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FF0000"/>
                <w:kern w:val="2"/>
                <w:sz w:val="21"/>
                <w:szCs w:val="21"/>
                <w:lang w:val="en-US" w:eastAsia="zh-CN"/>
              </w:rPr>
            </w:pPr>
            <w:r>
              <w:rPr>
                <w:rFonts w:hint="default" w:ascii="Times New Roman" w:hAnsi="Times New Roman" w:eastAsia="宋体" w:cs="Times New Roman"/>
                <w:b/>
                <w:bCs/>
                <w:color w:val="FF0000"/>
                <w:kern w:val="2"/>
                <w:sz w:val="21"/>
                <w:szCs w:val="21"/>
                <w:lang w:val="en-US" w:eastAsia="zh-CN"/>
              </w:rPr>
              <w:t>污染物名称</w:t>
            </w:r>
          </w:p>
        </w:tc>
        <w:tc>
          <w:tcPr>
            <w:tcW w:w="2025" w:type="dxa"/>
            <w:tcBorders>
              <w:tl2br w:val="nil"/>
              <w:tr2bl w:val="nil"/>
            </w:tcBorders>
            <w:noWrap w:val="0"/>
            <w:vAlign w:val="center"/>
          </w:tcPr>
          <w:p w14:paraId="52FEA513">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FF0000"/>
                <w:kern w:val="2"/>
                <w:sz w:val="21"/>
                <w:szCs w:val="21"/>
                <w:lang w:val="en-US" w:eastAsia="zh-CN"/>
              </w:rPr>
            </w:pPr>
            <w:r>
              <w:rPr>
                <w:rFonts w:hint="eastAsia" w:cs="Times New Roman"/>
                <w:b/>
                <w:bCs/>
                <w:color w:val="FF0000"/>
                <w:kern w:val="0"/>
                <w:sz w:val="21"/>
                <w:szCs w:val="21"/>
                <w:lang w:val="en-US" w:eastAsia="zh-CN"/>
              </w:rPr>
              <w:t>设计规模</w:t>
            </w:r>
            <w:r>
              <w:rPr>
                <w:rFonts w:hint="default" w:ascii="Times New Roman" w:hAnsi="Times New Roman" w:eastAsia="宋体" w:cs="Times New Roman"/>
                <w:b/>
                <w:bCs/>
                <w:color w:val="FF0000"/>
                <w:kern w:val="0"/>
                <w:sz w:val="21"/>
                <w:szCs w:val="21"/>
                <w:lang w:val="en-US" w:eastAsia="zh-CN"/>
              </w:rPr>
              <w:t>（t/</w:t>
            </w:r>
            <w:r>
              <w:rPr>
                <w:rFonts w:hint="eastAsia" w:cs="Times New Roman"/>
                <w:b/>
                <w:bCs/>
                <w:color w:val="FF0000"/>
                <w:kern w:val="0"/>
                <w:sz w:val="21"/>
                <w:szCs w:val="21"/>
                <w:lang w:val="en-US" w:eastAsia="zh-CN"/>
              </w:rPr>
              <w:t>d</w:t>
            </w:r>
            <w:r>
              <w:rPr>
                <w:rFonts w:hint="default" w:ascii="Times New Roman" w:hAnsi="Times New Roman" w:eastAsia="宋体" w:cs="Times New Roman"/>
                <w:b/>
                <w:bCs/>
                <w:color w:val="FF0000"/>
                <w:kern w:val="0"/>
                <w:sz w:val="21"/>
                <w:szCs w:val="21"/>
                <w:lang w:val="en-US" w:eastAsia="zh-CN"/>
              </w:rPr>
              <w:t>）</w:t>
            </w:r>
          </w:p>
        </w:tc>
        <w:tc>
          <w:tcPr>
            <w:tcW w:w="2115" w:type="dxa"/>
            <w:tcBorders>
              <w:tl2br w:val="nil"/>
              <w:tr2bl w:val="nil"/>
            </w:tcBorders>
            <w:noWrap w:val="0"/>
            <w:vAlign w:val="center"/>
          </w:tcPr>
          <w:p w14:paraId="0EDB8853">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bCs/>
                <w:color w:val="FF0000"/>
                <w:kern w:val="0"/>
                <w:sz w:val="21"/>
                <w:szCs w:val="21"/>
                <w:lang w:val="en-US" w:eastAsia="zh-CN"/>
              </w:rPr>
            </w:pPr>
            <w:r>
              <w:rPr>
                <w:rFonts w:hint="default" w:ascii="Times New Roman" w:hAnsi="Times New Roman" w:eastAsia="宋体" w:cs="Times New Roman"/>
                <w:b/>
                <w:bCs/>
                <w:color w:val="FF0000"/>
                <w:kern w:val="0"/>
                <w:sz w:val="21"/>
                <w:szCs w:val="21"/>
                <w:lang w:val="en-US" w:eastAsia="zh-CN"/>
              </w:rPr>
              <w:t>出水浓度（mg/L)</w:t>
            </w:r>
          </w:p>
        </w:tc>
        <w:tc>
          <w:tcPr>
            <w:tcW w:w="1605" w:type="dxa"/>
            <w:tcBorders>
              <w:tl2br w:val="nil"/>
              <w:tr2bl w:val="nil"/>
            </w:tcBorders>
            <w:noWrap w:val="0"/>
            <w:vAlign w:val="center"/>
          </w:tcPr>
          <w:p w14:paraId="65D615A0">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bCs/>
                <w:color w:val="FF0000"/>
                <w:kern w:val="0"/>
                <w:sz w:val="21"/>
                <w:szCs w:val="21"/>
                <w:lang w:val="en-US" w:eastAsia="zh-CN"/>
              </w:rPr>
            </w:pPr>
            <w:r>
              <w:rPr>
                <w:rFonts w:hint="eastAsia" w:ascii="Times New Roman" w:hAnsi="Times New Roman" w:eastAsia="宋体" w:cs="Times New Roman"/>
                <w:b/>
                <w:bCs/>
                <w:color w:val="FF0000"/>
                <w:kern w:val="0"/>
                <w:sz w:val="21"/>
                <w:szCs w:val="21"/>
                <w:lang w:val="en-US" w:eastAsia="zh-CN"/>
              </w:rPr>
              <w:t>日</w:t>
            </w:r>
            <w:r>
              <w:rPr>
                <w:rFonts w:hint="default" w:ascii="Times New Roman" w:hAnsi="Times New Roman" w:eastAsia="宋体" w:cs="Times New Roman"/>
                <w:b/>
                <w:bCs/>
                <w:color w:val="FF0000"/>
                <w:kern w:val="0"/>
                <w:sz w:val="21"/>
                <w:szCs w:val="21"/>
                <w:lang w:val="en-US" w:eastAsia="zh-CN"/>
              </w:rPr>
              <w:t>排水量（t/</w:t>
            </w:r>
            <w:r>
              <w:rPr>
                <w:rFonts w:hint="eastAsia" w:ascii="Times New Roman" w:hAnsi="Times New Roman" w:eastAsia="宋体" w:cs="Times New Roman"/>
                <w:b/>
                <w:bCs/>
                <w:color w:val="FF0000"/>
                <w:kern w:val="0"/>
                <w:sz w:val="21"/>
                <w:szCs w:val="21"/>
                <w:lang w:val="en-US" w:eastAsia="zh-CN"/>
              </w:rPr>
              <w:t>d</w:t>
            </w:r>
            <w:r>
              <w:rPr>
                <w:rFonts w:hint="default" w:ascii="Times New Roman" w:hAnsi="Times New Roman" w:eastAsia="宋体" w:cs="Times New Roman"/>
                <w:b/>
                <w:bCs/>
                <w:color w:val="FF0000"/>
                <w:kern w:val="0"/>
                <w:sz w:val="21"/>
                <w:szCs w:val="21"/>
                <w:lang w:val="en-US" w:eastAsia="zh-CN"/>
              </w:rPr>
              <w:t>）</w:t>
            </w:r>
          </w:p>
        </w:tc>
        <w:tc>
          <w:tcPr>
            <w:tcW w:w="1950" w:type="dxa"/>
            <w:tcBorders>
              <w:tl2br w:val="nil"/>
              <w:tr2bl w:val="nil"/>
            </w:tcBorders>
            <w:noWrap w:val="0"/>
            <w:vAlign w:val="center"/>
          </w:tcPr>
          <w:p w14:paraId="4B58F2F7">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lang w:val="en-US" w:eastAsia="zh-CN"/>
              </w:rPr>
              <w:t>年排水量（t/a）</w:t>
            </w:r>
          </w:p>
        </w:tc>
      </w:tr>
      <w:tr w14:paraId="57BC91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359" w:type="dxa"/>
            <w:tcBorders>
              <w:tl2br w:val="nil"/>
              <w:tr2bl w:val="nil"/>
            </w:tcBorders>
            <w:noWrap w:val="0"/>
            <w:vAlign w:val="center"/>
          </w:tcPr>
          <w:p w14:paraId="23A57CF1">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0"/>
                <w:sz w:val="21"/>
                <w:szCs w:val="21"/>
                <w:lang w:val="en-US" w:eastAsia="zh-CN" w:bidi="ar"/>
              </w:rPr>
              <w:t>BOD</w:t>
            </w:r>
            <w:r>
              <w:rPr>
                <w:rFonts w:hint="default" w:ascii="Times New Roman" w:hAnsi="Times New Roman" w:eastAsia="宋体" w:cs="Times New Roman"/>
                <w:color w:val="FF0000"/>
                <w:kern w:val="0"/>
                <w:sz w:val="21"/>
                <w:szCs w:val="21"/>
                <w:vertAlign w:val="subscript"/>
                <w:lang w:val="en-US" w:eastAsia="zh-CN" w:bidi="ar"/>
              </w:rPr>
              <w:t>5</w:t>
            </w:r>
          </w:p>
        </w:tc>
        <w:tc>
          <w:tcPr>
            <w:tcW w:w="2025" w:type="dxa"/>
            <w:vMerge w:val="restart"/>
            <w:tcBorders>
              <w:tl2br w:val="nil"/>
              <w:tr2bl w:val="nil"/>
            </w:tcBorders>
            <w:noWrap w:val="0"/>
            <w:vAlign w:val="center"/>
          </w:tcPr>
          <w:p w14:paraId="4599F111">
            <w:pPr>
              <w:keepNext w:val="0"/>
              <w:keepLines w:val="0"/>
              <w:suppressLineNumbers w:val="0"/>
              <w:autoSpaceDE/>
              <w:autoSpaceDN/>
              <w:adjustRightInd/>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kern w:val="2"/>
                <w:sz w:val="21"/>
                <w:lang w:val="en-US" w:eastAsia="zh-CN"/>
              </w:rPr>
            </w:pPr>
            <w:r>
              <w:rPr>
                <w:rFonts w:hint="eastAsia" w:cs="Times New Roman"/>
                <w:color w:val="FF0000"/>
                <w:kern w:val="0"/>
                <w:sz w:val="21"/>
                <w:szCs w:val="21"/>
                <w:lang w:val="en-US" w:eastAsia="zh-CN" w:bidi="ar"/>
              </w:rPr>
              <w:t>3000</w:t>
            </w:r>
          </w:p>
        </w:tc>
        <w:tc>
          <w:tcPr>
            <w:tcW w:w="2115" w:type="dxa"/>
            <w:tcBorders>
              <w:tl2br w:val="nil"/>
              <w:tr2bl w:val="nil"/>
            </w:tcBorders>
            <w:noWrap w:val="0"/>
            <w:vAlign w:val="center"/>
          </w:tcPr>
          <w:p w14:paraId="2A8F9B0D">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t>10</w:t>
            </w:r>
          </w:p>
        </w:tc>
        <w:tc>
          <w:tcPr>
            <w:tcW w:w="1605" w:type="dxa"/>
            <w:tcBorders>
              <w:tl2br w:val="nil"/>
              <w:tr2bl w:val="nil"/>
            </w:tcBorders>
            <w:noWrap w:val="0"/>
            <w:vAlign w:val="center"/>
          </w:tcPr>
          <w:p w14:paraId="191FEEC5">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FF0000"/>
                <w:kern w:val="2"/>
                <w:sz w:val="21"/>
                <w:szCs w:val="21"/>
                <w:lang w:val="en-US" w:eastAsia="zh-CN"/>
              </w:rPr>
            </w:pPr>
            <w:r>
              <w:rPr>
                <w:rFonts w:hint="eastAsia" w:cs="Times New Roman"/>
                <w:color w:val="FF0000"/>
                <w:kern w:val="2"/>
                <w:sz w:val="21"/>
                <w:szCs w:val="21"/>
                <w:lang w:val="en-US" w:eastAsia="zh-CN"/>
              </w:rPr>
              <w:t>0.03</w:t>
            </w:r>
          </w:p>
        </w:tc>
        <w:tc>
          <w:tcPr>
            <w:tcW w:w="1950" w:type="dxa"/>
            <w:tcBorders>
              <w:tl2br w:val="nil"/>
              <w:tr2bl w:val="nil"/>
            </w:tcBorders>
            <w:noWrap w:val="0"/>
            <w:vAlign w:val="center"/>
          </w:tcPr>
          <w:p w14:paraId="4E12C923">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eastAsia" w:cs="Times New Roman"/>
                <w:color w:val="FF0000"/>
                <w:kern w:val="2"/>
                <w:sz w:val="21"/>
                <w:szCs w:val="21"/>
                <w:lang w:val="en-US" w:eastAsia="zh-CN"/>
              </w:rPr>
              <w:t>10.95</w:t>
            </w:r>
          </w:p>
        </w:tc>
      </w:tr>
      <w:tr w14:paraId="67DAED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359" w:type="dxa"/>
            <w:tcBorders>
              <w:tl2br w:val="nil"/>
              <w:tr2bl w:val="nil"/>
            </w:tcBorders>
            <w:noWrap w:val="0"/>
            <w:vAlign w:val="center"/>
          </w:tcPr>
          <w:p w14:paraId="276D602C">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0"/>
                <w:sz w:val="21"/>
                <w:szCs w:val="21"/>
                <w:lang w:val="en-US" w:eastAsia="zh-CN" w:bidi="ar"/>
              </w:rPr>
              <w:t>CODcr</w:t>
            </w:r>
          </w:p>
        </w:tc>
        <w:tc>
          <w:tcPr>
            <w:tcW w:w="2025" w:type="dxa"/>
            <w:vMerge w:val="continue"/>
            <w:tcBorders>
              <w:tl2br w:val="nil"/>
              <w:tr2bl w:val="nil"/>
            </w:tcBorders>
            <w:noWrap w:val="0"/>
            <w:vAlign w:val="center"/>
          </w:tcPr>
          <w:p w14:paraId="2D23EE35">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0"/>
                <w:sz w:val="21"/>
                <w:szCs w:val="21"/>
                <w:lang w:val="en-US" w:eastAsia="zh-CN" w:bidi="ar"/>
              </w:rPr>
            </w:pPr>
          </w:p>
        </w:tc>
        <w:tc>
          <w:tcPr>
            <w:tcW w:w="2115" w:type="dxa"/>
            <w:tcBorders>
              <w:tl2br w:val="nil"/>
              <w:tr2bl w:val="nil"/>
            </w:tcBorders>
            <w:noWrap w:val="0"/>
            <w:vAlign w:val="center"/>
          </w:tcPr>
          <w:p w14:paraId="2C21E721">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t>50</w:t>
            </w:r>
          </w:p>
        </w:tc>
        <w:tc>
          <w:tcPr>
            <w:tcW w:w="1605" w:type="dxa"/>
            <w:tcBorders>
              <w:tl2br w:val="nil"/>
              <w:tr2bl w:val="nil"/>
            </w:tcBorders>
            <w:noWrap w:val="0"/>
            <w:vAlign w:val="center"/>
          </w:tcPr>
          <w:p w14:paraId="055E00E6">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FF0000"/>
                <w:kern w:val="2"/>
                <w:sz w:val="21"/>
                <w:szCs w:val="21"/>
                <w:lang w:val="en-US" w:eastAsia="zh-CN"/>
              </w:rPr>
            </w:pPr>
            <w:r>
              <w:rPr>
                <w:rFonts w:hint="eastAsia" w:cs="Times New Roman"/>
                <w:color w:val="FF0000"/>
                <w:kern w:val="2"/>
                <w:sz w:val="21"/>
                <w:szCs w:val="21"/>
                <w:lang w:val="en-US" w:eastAsia="zh-CN"/>
              </w:rPr>
              <w:t>0.15</w:t>
            </w:r>
          </w:p>
        </w:tc>
        <w:tc>
          <w:tcPr>
            <w:tcW w:w="1950" w:type="dxa"/>
            <w:tcBorders>
              <w:tl2br w:val="nil"/>
              <w:tr2bl w:val="nil"/>
            </w:tcBorders>
            <w:noWrap w:val="0"/>
            <w:vAlign w:val="center"/>
          </w:tcPr>
          <w:p w14:paraId="2E2973B6">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eastAsia" w:cs="Times New Roman"/>
                <w:color w:val="FF0000"/>
                <w:kern w:val="2"/>
                <w:sz w:val="21"/>
                <w:szCs w:val="21"/>
                <w:lang w:val="en-US" w:eastAsia="zh-CN"/>
              </w:rPr>
              <w:t>54.75</w:t>
            </w:r>
          </w:p>
        </w:tc>
      </w:tr>
      <w:tr w14:paraId="56E3C7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359" w:type="dxa"/>
            <w:tcBorders>
              <w:tl2br w:val="nil"/>
              <w:tr2bl w:val="nil"/>
            </w:tcBorders>
            <w:noWrap w:val="0"/>
            <w:vAlign w:val="center"/>
          </w:tcPr>
          <w:p w14:paraId="627FD004">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0"/>
                <w:sz w:val="21"/>
                <w:szCs w:val="21"/>
                <w:lang w:val="en-US" w:eastAsia="zh-CN" w:bidi="ar"/>
              </w:rPr>
              <w:t>SS</w:t>
            </w:r>
          </w:p>
        </w:tc>
        <w:tc>
          <w:tcPr>
            <w:tcW w:w="2025" w:type="dxa"/>
            <w:vMerge w:val="continue"/>
            <w:tcBorders>
              <w:tl2br w:val="nil"/>
              <w:tr2bl w:val="nil"/>
            </w:tcBorders>
            <w:noWrap w:val="0"/>
            <w:vAlign w:val="center"/>
          </w:tcPr>
          <w:p w14:paraId="7E5C0FA5">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0"/>
                <w:sz w:val="21"/>
                <w:szCs w:val="21"/>
                <w:lang w:val="en-US" w:eastAsia="zh-CN" w:bidi="ar"/>
              </w:rPr>
            </w:pPr>
          </w:p>
        </w:tc>
        <w:tc>
          <w:tcPr>
            <w:tcW w:w="2115" w:type="dxa"/>
            <w:tcBorders>
              <w:tl2br w:val="nil"/>
              <w:tr2bl w:val="nil"/>
            </w:tcBorders>
            <w:noWrap w:val="0"/>
            <w:vAlign w:val="center"/>
          </w:tcPr>
          <w:p w14:paraId="2E8335E8">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t>10</w:t>
            </w:r>
          </w:p>
        </w:tc>
        <w:tc>
          <w:tcPr>
            <w:tcW w:w="1605" w:type="dxa"/>
            <w:tcBorders>
              <w:tl2br w:val="nil"/>
              <w:tr2bl w:val="nil"/>
            </w:tcBorders>
            <w:noWrap w:val="0"/>
            <w:vAlign w:val="center"/>
          </w:tcPr>
          <w:p w14:paraId="37C73C54">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FF0000"/>
                <w:kern w:val="2"/>
                <w:sz w:val="21"/>
                <w:szCs w:val="21"/>
                <w:lang w:val="en-US" w:eastAsia="zh-CN"/>
              </w:rPr>
            </w:pPr>
            <w:r>
              <w:rPr>
                <w:rFonts w:hint="eastAsia" w:cs="Times New Roman"/>
                <w:color w:val="FF0000"/>
                <w:kern w:val="2"/>
                <w:sz w:val="21"/>
                <w:szCs w:val="21"/>
                <w:lang w:val="en-US" w:eastAsia="zh-CN"/>
              </w:rPr>
              <w:t>0.03</w:t>
            </w:r>
          </w:p>
        </w:tc>
        <w:tc>
          <w:tcPr>
            <w:tcW w:w="1950" w:type="dxa"/>
            <w:tcBorders>
              <w:tl2br w:val="nil"/>
              <w:tr2bl w:val="nil"/>
            </w:tcBorders>
            <w:noWrap w:val="0"/>
            <w:vAlign w:val="center"/>
          </w:tcPr>
          <w:p w14:paraId="1DCFE19A">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eastAsia" w:cs="Times New Roman"/>
                <w:color w:val="FF0000"/>
                <w:kern w:val="2"/>
                <w:sz w:val="21"/>
                <w:szCs w:val="21"/>
                <w:lang w:val="en-US" w:eastAsia="zh-CN"/>
              </w:rPr>
              <w:t>10.95</w:t>
            </w:r>
          </w:p>
        </w:tc>
      </w:tr>
      <w:tr w14:paraId="4AA07E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359" w:type="dxa"/>
            <w:tcBorders>
              <w:tl2br w:val="nil"/>
              <w:tr2bl w:val="nil"/>
            </w:tcBorders>
            <w:noWrap w:val="0"/>
            <w:vAlign w:val="center"/>
          </w:tcPr>
          <w:p w14:paraId="54B6F928">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0"/>
                <w:sz w:val="21"/>
                <w:szCs w:val="21"/>
                <w:lang w:val="en-US" w:eastAsia="zh-CN" w:bidi="ar"/>
              </w:rPr>
              <w:t>TN</w:t>
            </w:r>
          </w:p>
        </w:tc>
        <w:tc>
          <w:tcPr>
            <w:tcW w:w="2025" w:type="dxa"/>
            <w:vMerge w:val="continue"/>
            <w:tcBorders>
              <w:tl2br w:val="nil"/>
              <w:tr2bl w:val="nil"/>
            </w:tcBorders>
            <w:noWrap w:val="0"/>
            <w:vAlign w:val="center"/>
          </w:tcPr>
          <w:p w14:paraId="2418BFA3">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0"/>
                <w:sz w:val="21"/>
                <w:szCs w:val="21"/>
                <w:lang w:val="en-US" w:eastAsia="zh-CN" w:bidi="ar"/>
              </w:rPr>
            </w:pPr>
          </w:p>
        </w:tc>
        <w:tc>
          <w:tcPr>
            <w:tcW w:w="2115" w:type="dxa"/>
            <w:tcBorders>
              <w:tl2br w:val="nil"/>
              <w:tr2bl w:val="nil"/>
            </w:tcBorders>
            <w:noWrap w:val="0"/>
            <w:vAlign w:val="center"/>
          </w:tcPr>
          <w:p w14:paraId="2EED6A2F">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t>15</w:t>
            </w:r>
          </w:p>
        </w:tc>
        <w:tc>
          <w:tcPr>
            <w:tcW w:w="1605" w:type="dxa"/>
            <w:tcBorders>
              <w:tl2br w:val="nil"/>
              <w:tr2bl w:val="nil"/>
            </w:tcBorders>
            <w:noWrap w:val="0"/>
            <w:vAlign w:val="center"/>
          </w:tcPr>
          <w:p w14:paraId="7B75DA51">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FF0000"/>
                <w:kern w:val="2"/>
                <w:sz w:val="21"/>
                <w:szCs w:val="21"/>
                <w:lang w:val="en-US" w:eastAsia="zh-CN"/>
              </w:rPr>
            </w:pPr>
            <w:r>
              <w:rPr>
                <w:rFonts w:hint="eastAsia" w:cs="Times New Roman"/>
                <w:color w:val="FF0000"/>
                <w:kern w:val="2"/>
                <w:sz w:val="21"/>
                <w:szCs w:val="21"/>
                <w:lang w:val="en-US" w:eastAsia="zh-CN"/>
              </w:rPr>
              <w:t>0.045</w:t>
            </w:r>
          </w:p>
        </w:tc>
        <w:tc>
          <w:tcPr>
            <w:tcW w:w="1950" w:type="dxa"/>
            <w:tcBorders>
              <w:tl2br w:val="nil"/>
              <w:tr2bl w:val="nil"/>
            </w:tcBorders>
            <w:noWrap w:val="0"/>
            <w:vAlign w:val="center"/>
          </w:tcPr>
          <w:p w14:paraId="3C3971B8">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eastAsia" w:cs="Times New Roman"/>
                <w:color w:val="FF0000"/>
                <w:kern w:val="2"/>
                <w:sz w:val="21"/>
                <w:szCs w:val="21"/>
                <w:lang w:val="en-US" w:eastAsia="zh-CN"/>
              </w:rPr>
              <w:t>16.43</w:t>
            </w:r>
          </w:p>
        </w:tc>
      </w:tr>
      <w:tr w14:paraId="3F131E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359" w:type="dxa"/>
            <w:tcBorders>
              <w:tl2br w:val="nil"/>
              <w:tr2bl w:val="nil"/>
            </w:tcBorders>
            <w:noWrap w:val="0"/>
            <w:vAlign w:val="center"/>
          </w:tcPr>
          <w:p w14:paraId="0B31DED9">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0"/>
                <w:sz w:val="21"/>
                <w:szCs w:val="21"/>
                <w:lang w:val="en-US" w:eastAsia="zh-CN" w:bidi="ar"/>
              </w:rPr>
              <w:t>NH</w:t>
            </w:r>
            <w:r>
              <w:rPr>
                <w:rFonts w:hint="default" w:ascii="Times New Roman" w:hAnsi="Times New Roman" w:eastAsia="宋体" w:cs="Times New Roman"/>
                <w:color w:val="FF0000"/>
                <w:kern w:val="0"/>
                <w:sz w:val="21"/>
                <w:szCs w:val="21"/>
                <w:vertAlign w:val="subscript"/>
                <w:lang w:val="en-US" w:eastAsia="zh-CN" w:bidi="ar"/>
              </w:rPr>
              <w:t>3</w:t>
            </w:r>
            <w:r>
              <w:rPr>
                <w:rFonts w:hint="default" w:ascii="Times New Roman" w:hAnsi="Times New Roman" w:eastAsia="宋体" w:cs="Times New Roman"/>
                <w:color w:val="FF0000"/>
                <w:kern w:val="0"/>
                <w:sz w:val="21"/>
                <w:szCs w:val="21"/>
                <w:lang w:val="en-US" w:eastAsia="zh-CN" w:bidi="ar"/>
              </w:rPr>
              <w:t>-N</w:t>
            </w:r>
          </w:p>
        </w:tc>
        <w:tc>
          <w:tcPr>
            <w:tcW w:w="2025" w:type="dxa"/>
            <w:vMerge w:val="continue"/>
            <w:tcBorders>
              <w:tl2br w:val="nil"/>
              <w:tr2bl w:val="nil"/>
            </w:tcBorders>
            <w:noWrap w:val="0"/>
            <w:vAlign w:val="center"/>
          </w:tcPr>
          <w:p w14:paraId="31C9371E">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0"/>
                <w:sz w:val="21"/>
                <w:szCs w:val="21"/>
                <w:lang w:val="en-US" w:eastAsia="zh-CN" w:bidi="ar"/>
              </w:rPr>
            </w:pPr>
          </w:p>
        </w:tc>
        <w:tc>
          <w:tcPr>
            <w:tcW w:w="2115" w:type="dxa"/>
            <w:tcBorders>
              <w:tl2br w:val="nil"/>
              <w:tr2bl w:val="nil"/>
            </w:tcBorders>
            <w:noWrap w:val="0"/>
            <w:vAlign w:val="center"/>
          </w:tcPr>
          <w:p w14:paraId="0B8C0909">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t>5</w:t>
            </w:r>
          </w:p>
        </w:tc>
        <w:tc>
          <w:tcPr>
            <w:tcW w:w="1605" w:type="dxa"/>
            <w:tcBorders>
              <w:tl2br w:val="nil"/>
              <w:tr2bl w:val="nil"/>
            </w:tcBorders>
            <w:noWrap w:val="0"/>
            <w:vAlign w:val="center"/>
          </w:tcPr>
          <w:p w14:paraId="522A96F6">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FF0000"/>
                <w:kern w:val="2"/>
                <w:sz w:val="21"/>
                <w:szCs w:val="21"/>
                <w:lang w:val="en-US" w:eastAsia="zh-CN"/>
              </w:rPr>
            </w:pPr>
            <w:r>
              <w:rPr>
                <w:rFonts w:hint="eastAsia" w:cs="Times New Roman"/>
                <w:color w:val="FF0000"/>
                <w:kern w:val="2"/>
                <w:sz w:val="21"/>
                <w:szCs w:val="21"/>
                <w:lang w:val="en-US" w:eastAsia="zh-CN"/>
              </w:rPr>
              <w:t>0.015</w:t>
            </w:r>
          </w:p>
        </w:tc>
        <w:tc>
          <w:tcPr>
            <w:tcW w:w="1950" w:type="dxa"/>
            <w:tcBorders>
              <w:tl2br w:val="nil"/>
              <w:tr2bl w:val="nil"/>
            </w:tcBorders>
            <w:noWrap w:val="0"/>
            <w:vAlign w:val="center"/>
          </w:tcPr>
          <w:p w14:paraId="1A134A07">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eastAsia" w:cs="Times New Roman"/>
                <w:color w:val="FF0000"/>
                <w:kern w:val="2"/>
                <w:sz w:val="21"/>
                <w:szCs w:val="21"/>
                <w:lang w:val="en-US" w:eastAsia="zh-CN"/>
              </w:rPr>
              <w:t>5.48</w:t>
            </w:r>
          </w:p>
        </w:tc>
      </w:tr>
      <w:tr w14:paraId="549D09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359" w:type="dxa"/>
            <w:tcBorders>
              <w:tl2br w:val="nil"/>
              <w:tr2bl w:val="nil"/>
            </w:tcBorders>
            <w:noWrap w:val="0"/>
            <w:vAlign w:val="center"/>
          </w:tcPr>
          <w:p w14:paraId="195F773D">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FF0000"/>
                <w:kern w:val="0"/>
                <w:sz w:val="21"/>
                <w:szCs w:val="21"/>
                <w:lang w:val="en-US" w:eastAsia="zh-CN" w:bidi="ar"/>
              </w:rPr>
              <w:t>TP</w:t>
            </w:r>
          </w:p>
        </w:tc>
        <w:tc>
          <w:tcPr>
            <w:tcW w:w="2025" w:type="dxa"/>
            <w:vMerge w:val="continue"/>
            <w:tcBorders>
              <w:tl2br w:val="nil"/>
              <w:tr2bl w:val="nil"/>
            </w:tcBorders>
            <w:noWrap w:val="0"/>
            <w:vAlign w:val="center"/>
          </w:tcPr>
          <w:p w14:paraId="4D00CE28">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0"/>
                <w:sz w:val="21"/>
                <w:szCs w:val="21"/>
                <w:lang w:val="en-US" w:eastAsia="zh-CN" w:bidi="ar"/>
              </w:rPr>
            </w:pPr>
          </w:p>
        </w:tc>
        <w:tc>
          <w:tcPr>
            <w:tcW w:w="2115" w:type="dxa"/>
            <w:tcBorders>
              <w:tl2br w:val="nil"/>
              <w:tr2bl w:val="nil"/>
            </w:tcBorders>
            <w:noWrap w:val="0"/>
            <w:vAlign w:val="center"/>
          </w:tcPr>
          <w:p w14:paraId="394200A0">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t>0.5</w:t>
            </w:r>
          </w:p>
        </w:tc>
        <w:tc>
          <w:tcPr>
            <w:tcW w:w="1605" w:type="dxa"/>
            <w:tcBorders>
              <w:tl2br w:val="nil"/>
              <w:tr2bl w:val="nil"/>
            </w:tcBorders>
            <w:noWrap w:val="0"/>
            <w:vAlign w:val="center"/>
          </w:tcPr>
          <w:p w14:paraId="69F9FE2E">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FF0000"/>
                <w:kern w:val="2"/>
                <w:sz w:val="21"/>
                <w:szCs w:val="21"/>
                <w:lang w:val="en-US" w:eastAsia="zh-CN"/>
              </w:rPr>
            </w:pPr>
            <w:r>
              <w:rPr>
                <w:rFonts w:hint="eastAsia" w:cs="Times New Roman"/>
                <w:color w:val="FF0000"/>
                <w:kern w:val="2"/>
                <w:sz w:val="21"/>
                <w:szCs w:val="21"/>
                <w:lang w:val="en-US" w:eastAsia="zh-CN"/>
              </w:rPr>
              <w:t>0.002</w:t>
            </w:r>
          </w:p>
        </w:tc>
        <w:tc>
          <w:tcPr>
            <w:tcW w:w="1950" w:type="dxa"/>
            <w:tcBorders>
              <w:tl2br w:val="nil"/>
              <w:tr2bl w:val="nil"/>
            </w:tcBorders>
            <w:noWrap w:val="0"/>
            <w:vAlign w:val="center"/>
          </w:tcPr>
          <w:p w14:paraId="6D217166">
            <w:pPr>
              <w:keepNext w:val="0"/>
              <w:keepLines w:val="0"/>
              <w:suppressLineNumbers w:val="0"/>
              <w:tabs>
                <w:tab w:val="left" w:pos="-2486"/>
              </w:tabs>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FF0000"/>
                <w:kern w:val="2"/>
                <w:sz w:val="21"/>
                <w:szCs w:val="21"/>
                <w:lang w:val="en-US" w:eastAsia="zh-CN"/>
              </w:rPr>
            </w:pPr>
            <w:r>
              <w:rPr>
                <w:rFonts w:hint="eastAsia" w:cs="Times New Roman"/>
                <w:color w:val="FF0000"/>
                <w:kern w:val="2"/>
                <w:sz w:val="21"/>
                <w:szCs w:val="21"/>
                <w:lang w:val="en-US" w:eastAsia="zh-CN"/>
              </w:rPr>
              <w:t>0.55</w:t>
            </w:r>
          </w:p>
        </w:tc>
      </w:tr>
    </w:tbl>
    <w:p w14:paraId="5E6737D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b/>
          <w:bCs/>
          <w:color w:val="FF0000"/>
          <w:kern w:val="0"/>
          <w:sz w:val="28"/>
          <w:szCs w:val="28"/>
          <w:lang w:val="en-US" w:eastAsia="zh-CN" w:bidi="ar"/>
        </w:rPr>
      </w:pPr>
      <w:bookmarkStart w:id="326" w:name="_Toc28656"/>
      <w:r>
        <w:rPr>
          <w:rFonts w:hint="default" w:ascii="Times New Roman" w:hAnsi="Times New Roman" w:eastAsia="宋体" w:cs="Times New Roman"/>
          <w:b/>
          <w:bCs/>
          <w:color w:val="FF0000"/>
          <w:kern w:val="0"/>
          <w:sz w:val="28"/>
          <w:szCs w:val="28"/>
          <w:lang w:val="en-US" w:eastAsia="zh-CN" w:bidi="ar"/>
        </w:rPr>
        <w:t>5.3 申请的入河排污口重点污染物排放量</w:t>
      </w:r>
      <w:bookmarkEnd w:id="326"/>
    </w:p>
    <w:p w14:paraId="0E585E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kern w:val="0"/>
          <w:sz w:val="24"/>
          <w:szCs w:val="24"/>
          <w:lang w:val="en-US" w:eastAsia="zh-CN" w:bidi="ar"/>
        </w:rPr>
      </w:pPr>
      <w:r>
        <w:rPr>
          <w:rFonts w:hint="default" w:ascii="Times New Roman" w:hAnsi="Times New Roman" w:eastAsia="宋体" w:cs="Times New Roman"/>
          <w:b w:val="0"/>
          <w:bCs/>
          <w:color w:val="FF0000"/>
          <w:kern w:val="2"/>
          <w:sz w:val="24"/>
          <w:szCs w:val="24"/>
          <w:lang w:val="en-US" w:eastAsia="zh-CN"/>
        </w:rPr>
        <w:t>大通湖工业园污水处理厂提质改造建设项目</w:t>
      </w:r>
      <w:r>
        <w:rPr>
          <w:rFonts w:hint="eastAsia" w:cs="Times New Roman"/>
          <w:b w:val="0"/>
          <w:bCs/>
          <w:color w:val="FF0000"/>
          <w:kern w:val="2"/>
          <w:sz w:val="24"/>
          <w:szCs w:val="24"/>
          <w:lang w:val="en-US" w:eastAsia="zh-CN"/>
        </w:rPr>
        <w:t>（一期）</w:t>
      </w:r>
      <w:r>
        <w:rPr>
          <w:rFonts w:hint="default" w:ascii="Times New Roman" w:hAnsi="Times New Roman" w:eastAsia="宋体" w:cs="Times New Roman"/>
          <w:color w:val="FF0000"/>
          <w:kern w:val="0"/>
          <w:sz w:val="24"/>
          <w:szCs w:val="24"/>
          <w:lang w:val="en-US" w:eastAsia="zh-CN" w:bidi="ar"/>
        </w:rPr>
        <w:t>最大排水量为</w:t>
      </w:r>
      <w:r>
        <w:rPr>
          <w:rFonts w:hint="eastAsia" w:cs="Times New Roman"/>
          <w:color w:val="FF0000"/>
          <w:kern w:val="0"/>
          <w:sz w:val="24"/>
          <w:szCs w:val="24"/>
          <w:lang w:val="en-US" w:eastAsia="zh-CN" w:bidi="ar"/>
        </w:rPr>
        <w:t>30</w:t>
      </w:r>
      <w:r>
        <w:rPr>
          <w:rFonts w:hint="default" w:ascii="Times New Roman" w:hAnsi="Times New Roman" w:eastAsia="宋体" w:cs="Times New Roman"/>
          <w:color w:val="FF0000"/>
          <w:kern w:val="0"/>
          <w:sz w:val="24"/>
          <w:szCs w:val="24"/>
          <w:lang w:val="en-US" w:eastAsia="zh-CN" w:bidi="ar"/>
        </w:rPr>
        <w:t>00m³/d，污水处理厂出水水质执行《城镇污水处理厂污染物排放标准》（GB18918-2002）一级 A 标准，处理</w:t>
      </w:r>
      <w:r>
        <w:rPr>
          <w:rFonts w:hint="eastAsia" w:cs="Times New Roman"/>
          <w:color w:val="FF0000"/>
          <w:kern w:val="0"/>
          <w:sz w:val="24"/>
          <w:szCs w:val="24"/>
          <w:lang w:val="en-US" w:eastAsia="zh-CN" w:bidi="ar"/>
        </w:rPr>
        <w:t>达标</w:t>
      </w:r>
      <w:r>
        <w:rPr>
          <w:rFonts w:hint="default" w:ascii="Times New Roman" w:hAnsi="Times New Roman" w:eastAsia="宋体" w:cs="Times New Roman"/>
          <w:color w:val="FF0000"/>
          <w:kern w:val="0"/>
          <w:sz w:val="24"/>
          <w:szCs w:val="24"/>
          <w:lang w:val="en-US" w:eastAsia="zh-CN" w:bidi="ar"/>
        </w:rPr>
        <w:t>后</w:t>
      </w:r>
      <w:r>
        <w:rPr>
          <w:rFonts w:hint="eastAsia" w:cs="Times New Roman"/>
          <w:color w:val="FF0000"/>
          <w:kern w:val="0"/>
          <w:sz w:val="24"/>
          <w:szCs w:val="24"/>
          <w:lang w:val="en-US" w:eastAsia="zh-CN" w:bidi="ar"/>
        </w:rPr>
        <w:t>的</w:t>
      </w:r>
      <w:r>
        <w:rPr>
          <w:rFonts w:hint="default" w:ascii="Times New Roman" w:hAnsi="Times New Roman" w:eastAsia="宋体" w:cs="Times New Roman"/>
          <w:color w:val="FF0000"/>
          <w:kern w:val="0"/>
          <w:sz w:val="24"/>
          <w:szCs w:val="24"/>
          <w:lang w:val="en-US" w:eastAsia="zh-CN" w:bidi="ar"/>
        </w:rPr>
        <w:t>尾水</w:t>
      </w:r>
      <w:r>
        <w:rPr>
          <w:rFonts w:hint="eastAsia" w:cs="Times New Roman"/>
          <w:color w:val="FF0000"/>
          <w:kern w:val="0"/>
          <w:sz w:val="24"/>
          <w:szCs w:val="24"/>
          <w:lang w:val="en-US" w:eastAsia="zh-CN" w:bidi="ar"/>
        </w:rPr>
        <w:t>通过排污口</w:t>
      </w:r>
      <w:r>
        <w:rPr>
          <w:rFonts w:hint="default" w:ascii="Times New Roman" w:hAnsi="Times New Roman" w:eastAsia="宋体" w:cs="Times New Roman"/>
          <w:color w:val="FF0000"/>
          <w:kern w:val="0"/>
          <w:sz w:val="24"/>
          <w:szCs w:val="24"/>
          <w:lang w:val="en-US" w:eastAsia="zh-CN" w:bidi="ar"/>
        </w:rPr>
        <w:t>排入机排二十渠，再入老三运河，根据设计</w:t>
      </w:r>
      <w:r>
        <w:rPr>
          <w:rFonts w:hint="eastAsia" w:cs="Times New Roman"/>
          <w:color w:val="FF0000"/>
          <w:kern w:val="0"/>
          <w:sz w:val="24"/>
          <w:szCs w:val="24"/>
          <w:lang w:val="en-US" w:eastAsia="zh-CN" w:bidi="ar"/>
        </w:rPr>
        <w:t>排水</w:t>
      </w:r>
      <w:r>
        <w:rPr>
          <w:rFonts w:hint="default" w:ascii="Times New Roman" w:hAnsi="Times New Roman" w:eastAsia="宋体" w:cs="Times New Roman"/>
          <w:color w:val="FF0000"/>
          <w:kern w:val="0"/>
          <w:sz w:val="24"/>
          <w:szCs w:val="24"/>
          <w:lang w:val="en-US" w:eastAsia="zh-CN" w:bidi="ar"/>
        </w:rPr>
        <w:t>规模及出水执行标准核定重点污染物</w:t>
      </w:r>
      <w:r>
        <w:rPr>
          <w:rFonts w:hint="eastAsia" w:cs="Times New Roman"/>
          <w:color w:val="FF0000"/>
          <w:kern w:val="0"/>
          <w:sz w:val="24"/>
          <w:szCs w:val="24"/>
          <w:lang w:val="en-US" w:eastAsia="zh-CN" w:bidi="ar"/>
        </w:rPr>
        <w:t>年</w:t>
      </w:r>
      <w:r>
        <w:rPr>
          <w:rFonts w:hint="default" w:ascii="Times New Roman" w:hAnsi="Times New Roman" w:eastAsia="宋体" w:cs="Times New Roman"/>
          <w:color w:val="FF0000"/>
          <w:kern w:val="0"/>
          <w:sz w:val="24"/>
          <w:szCs w:val="24"/>
          <w:lang w:val="en-US" w:eastAsia="zh-CN" w:bidi="ar"/>
        </w:rPr>
        <w:t>排放量为 CODcr：</w:t>
      </w:r>
      <w:r>
        <w:rPr>
          <w:rFonts w:hint="eastAsia" w:cs="Times New Roman"/>
          <w:color w:val="FF0000"/>
          <w:kern w:val="0"/>
          <w:sz w:val="24"/>
          <w:szCs w:val="24"/>
          <w:lang w:val="en-US" w:eastAsia="zh-CN" w:bidi="ar"/>
        </w:rPr>
        <w:t>54.75</w:t>
      </w:r>
      <w:r>
        <w:rPr>
          <w:rFonts w:hint="default" w:ascii="Times New Roman" w:hAnsi="Times New Roman" w:eastAsia="宋体" w:cs="Times New Roman"/>
          <w:color w:val="FF0000"/>
          <w:kern w:val="0"/>
          <w:sz w:val="24"/>
          <w:szCs w:val="24"/>
          <w:lang w:val="en-US" w:eastAsia="zh-CN" w:bidi="ar"/>
        </w:rPr>
        <w:t>t/a，氨氮：</w:t>
      </w:r>
      <w:r>
        <w:rPr>
          <w:rFonts w:hint="eastAsia" w:cs="Times New Roman"/>
          <w:color w:val="FF0000"/>
          <w:kern w:val="0"/>
          <w:sz w:val="24"/>
          <w:szCs w:val="24"/>
          <w:lang w:val="en-US" w:eastAsia="zh-CN" w:bidi="ar"/>
        </w:rPr>
        <w:t>5.48</w:t>
      </w:r>
      <w:r>
        <w:rPr>
          <w:rFonts w:hint="default" w:ascii="Times New Roman" w:hAnsi="Times New Roman" w:eastAsia="宋体" w:cs="Times New Roman"/>
          <w:color w:val="FF0000"/>
          <w:kern w:val="0"/>
          <w:sz w:val="24"/>
          <w:szCs w:val="24"/>
          <w:lang w:val="en-US" w:eastAsia="zh-CN" w:bidi="ar"/>
        </w:rPr>
        <w:t>t/a，总磷：0.</w:t>
      </w:r>
      <w:r>
        <w:rPr>
          <w:rFonts w:hint="eastAsia" w:cs="Times New Roman"/>
          <w:color w:val="FF0000"/>
          <w:kern w:val="0"/>
          <w:sz w:val="24"/>
          <w:szCs w:val="24"/>
          <w:lang w:val="en-US" w:eastAsia="zh-CN" w:bidi="ar"/>
        </w:rPr>
        <w:t>55</w:t>
      </w:r>
      <w:r>
        <w:rPr>
          <w:rFonts w:hint="default" w:ascii="Times New Roman" w:hAnsi="Times New Roman" w:eastAsia="宋体" w:cs="Times New Roman"/>
          <w:color w:val="FF0000"/>
          <w:kern w:val="0"/>
          <w:sz w:val="24"/>
          <w:szCs w:val="24"/>
          <w:lang w:val="en-US" w:eastAsia="zh-CN" w:bidi="ar"/>
        </w:rPr>
        <w:t>t/a</w:t>
      </w:r>
      <w:r>
        <w:rPr>
          <w:rFonts w:hint="eastAsia" w:cs="Times New Roman"/>
          <w:color w:val="FF0000"/>
          <w:kern w:val="0"/>
          <w:sz w:val="24"/>
          <w:szCs w:val="24"/>
          <w:lang w:val="en-US" w:eastAsia="zh-CN" w:bidi="ar"/>
        </w:rPr>
        <w:t>，日排放量为</w:t>
      </w:r>
      <w:r>
        <w:rPr>
          <w:rFonts w:hint="default" w:ascii="Times New Roman" w:hAnsi="Times New Roman" w:eastAsia="宋体" w:cs="Times New Roman"/>
          <w:color w:val="FF0000"/>
          <w:kern w:val="0"/>
          <w:sz w:val="24"/>
          <w:szCs w:val="24"/>
          <w:lang w:val="en-US" w:eastAsia="zh-CN" w:bidi="ar"/>
        </w:rPr>
        <w:t xml:space="preserve"> CODcr：</w:t>
      </w:r>
      <w:r>
        <w:rPr>
          <w:rFonts w:hint="eastAsia" w:cs="Times New Roman"/>
          <w:color w:val="FF0000"/>
          <w:kern w:val="0"/>
          <w:sz w:val="24"/>
          <w:szCs w:val="24"/>
          <w:lang w:val="en-US" w:eastAsia="zh-CN" w:bidi="ar"/>
        </w:rPr>
        <w:t>0.15</w:t>
      </w:r>
      <w:r>
        <w:rPr>
          <w:rFonts w:hint="default" w:ascii="Times New Roman" w:hAnsi="Times New Roman" w:eastAsia="宋体" w:cs="Times New Roman"/>
          <w:color w:val="FF0000"/>
          <w:kern w:val="0"/>
          <w:sz w:val="24"/>
          <w:szCs w:val="24"/>
          <w:lang w:val="en-US" w:eastAsia="zh-CN" w:bidi="ar"/>
        </w:rPr>
        <w:t>t/</w:t>
      </w:r>
      <w:r>
        <w:rPr>
          <w:rFonts w:hint="eastAsia" w:ascii="Times New Roman" w:hAnsi="Times New Roman" w:eastAsia="宋体" w:cs="Times New Roman"/>
          <w:color w:val="FF0000"/>
          <w:kern w:val="0"/>
          <w:sz w:val="24"/>
          <w:szCs w:val="24"/>
          <w:lang w:val="en-US" w:eastAsia="zh-CN" w:bidi="ar"/>
        </w:rPr>
        <w:t>d</w:t>
      </w:r>
      <w:r>
        <w:rPr>
          <w:rFonts w:hint="default" w:ascii="Times New Roman" w:hAnsi="Times New Roman" w:eastAsia="宋体" w:cs="Times New Roman"/>
          <w:color w:val="FF0000"/>
          <w:kern w:val="0"/>
          <w:sz w:val="24"/>
          <w:szCs w:val="24"/>
          <w:lang w:val="en-US" w:eastAsia="zh-CN" w:bidi="ar"/>
        </w:rPr>
        <w:t>，氨氮：</w:t>
      </w:r>
      <w:r>
        <w:rPr>
          <w:rFonts w:hint="eastAsia" w:cs="Times New Roman"/>
          <w:color w:val="FF0000"/>
          <w:kern w:val="0"/>
          <w:sz w:val="24"/>
          <w:szCs w:val="24"/>
          <w:lang w:val="en-US" w:eastAsia="zh-CN" w:bidi="ar"/>
        </w:rPr>
        <w:t>0.015</w:t>
      </w:r>
      <w:r>
        <w:rPr>
          <w:rFonts w:hint="default" w:ascii="Times New Roman" w:hAnsi="Times New Roman" w:eastAsia="宋体" w:cs="Times New Roman"/>
          <w:color w:val="FF0000"/>
          <w:kern w:val="0"/>
          <w:sz w:val="24"/>
          <w:szCs w:val="24"/>
          <w:lang w:val="en-US" w:eastAsia="zh-CN" w:bidi="ar"/>
        </w:rPr>
        <w:t>t/</w:t>
      </w:r>
      <w:r>
        <w:rPr>
          <w:rFonts w:hint="eastAsia" w:ascii="Times New Roman" w:hAnsi="Times New Roman" w:eastAsia="宋体" w:cs="Times New Roman"/>
          <w:color w:val="FF0000"/>
          <w:kern w:val="0"/>
          <w:sz w:val="24"/>
          <w:szCs w:val="24"/>
          <w:lang w:val="en-US" w:eastAsia="zh-CN" w:bidi="ar"/>
        </w:rPr>
        <w:t>d</w:t>
      </w:r>
      <w:r>
        <w:rPr>
          <w:rFonts w:hint="default" w:ascii="Times New Roman" w:hAnsi="Times New Roman" w:eastAsia="宋体" w:cs="Times New Roman"/>
          <w:color w:val="FF0000"/>
          <w:kern w:val="0"/>
          <w:sz w:val="24"/>
          <w:szCs w:val="24"/>
          <w:lang w:val="en-US" w:eastAsia="zh-CN" w:bidi="ar"/>
        </w:rPr>
        <w:t>，总磷：0.</w:t>
      </w:r>
      <w:r>
        <w:rPr>
          <w:rFonts w:hint="eastAsia" w:cs="Times New Roman"/>
          <w:color w:val="FF0000"/>
          <w:kern w:val="0"/>
          <w:sz w:val="24"/>
          <w:szCs w:val="24"/>
          <w:lang w:val="en-US" w:eastAsia="zh-CN" w:bidi="ar"/>
        </w:rPr>
        <w:t>002</w:t>
      </w:r>
      <w:r>
        <w:rPr>
          <w:rFonts w:hint="default" w:ascii="Times New Roman" w:hAnsi="Times New Roman" w:eastAsia="宋体" w:cs="Times New Roman"/>
          <w:color w:val="FF0000"/>
          <w:kern w:val="0"/>
          <w:sz w:val="24"/>
          <w:szCs w:val="24"/>
          <w:lang w:val="en-US" w:eastAsia="zh-CN" w:bidi="ar"/>
        </w:rPr>
        <w:t>t/</w:t>
      </w:r>
      <w:r>
        <w:rPr>
          <w:rFonts w:hint="eastAsia" w:ascii="Times New Roman" w:hAnsi="Times New Roman" w:eastAsia="宋体" w:cs="Times New Roman"/>
          <w:color w:val="FF0000"/>
          <w:kern w:val="0"/>
          <w:sz w:val="24"/>
          <w:szCs w:val="24"/>
          <w:lang w:val="en-US" w:eastAsia="zh-CN" w:bidi="ar"/>
        </w:rPr>
        <w:t>d。</w:t>
      </w:r>
    </w:p>
    <w:p w14:paraId="274D194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b/>
          <w:bCs/>
          <w:color w:val="000000"/>
          <w:kern w:val="0"/>
          <w:sz w:val="28"/>
          <w:szCs w:val="28"/>
          <w:lang w:val="en-US" w:eastAsia="zh-CN" w:bidi="ar"/>
        </w:rPr>
      </w:pPr>
      <w:bookmarkStart w:id="327" w:name="_Toc9162"/>
      <w:r>
        <w:rPr>
          <w:rFonts w:hint="default" w:ascii="Times New Roman" w:hAnsi="Times New Roman" w:eastAsia="宋体" w:cs="Times New Roman"/>
          <w:b/>
          <w:bCs/>
          <w:color w:val="000000"/>
          <w:kern w:val="0"/>
          <w:sz w:val="28"/>
          <w:szCs w:val="28"/>
          <w:lang w:val="en-US" w:eastAsia="zh-CN" w:bidi="ar"/>
        </w:rPr>
        <w:t>5.4水域纳污能力</w:t>
      </w:r>
      <w:bookmarkEnd w:id="327"/>
    </w:p>
    <w:p w14:paraId="600762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根据《入河排污口管理技术导则》（SL532-2011）水域纳污能力应采纳各级水行政主管部门或水域管理机构核定的数据，未核定纳污能力的水域应按《水域纳污能力计算规程》（GBT25173-2010）中规定河水功能区管理要求核算纳污能力。 </w:t>
      </w:r>
    </w:p>
    <w:p w14:paraId="04BE68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（1）水文时期</w:t>
      </w:r>
    </w:p>
    <w:p w14:paraId="52325C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val="0"/>
          <w:bCs/>
          <w:kern w:val="2"/>
          <w:sz w:val="24"/>
          <w:szCs w:val="24"/>
          <w:lang w:val="en-US" w:eastAsia="zh-CN"/>
        </w:rPr>
        <w:t>大通湖工业园污水处理厂提质改造建设项目</w:t>
      </w:r>
      <w:r>
        <w:rPr>
          <w:rFonts w:hint="eastAsia" w:cs="Times New Roman"/>
          <w:b w:val="0"/>
          <w:bCs/>
          <w:kern w:val="2"/>
          <w:sz w:val="24"/>
          <w:szCs w:val="24"/>
          <w:lang w:val="en-US" w:eastAsia="zh-CN"/>
        </w:rPr>
        <w:t>（一期）</w:t>
      </w:r>
      <w:r>
        <w:rPr>
          <w:rFonts w:hint="default" w:ascii="Times New Roman" w:hAnsi="Times New Roman" w:eastAsia="宋体" w:cs="Times New Roman"/>
          <w:b w:val="0"/>
          <w:bCs/>
          <w:kern w:val="2"/>
          <w:sz w:val="24"/>
          <w:szCs w:val="24"/>
          <w:lang w:val="en-US" w:eastAsia="zh-CN"/>
        </w:rPr>
        <w:t>本次评价</w:t>
      </w:r>
      <w:r>
        <w:rPr>
          <w:rFonts w:hint="default" w:ascii="Times New Roman" w:hAnsi="Times New Roman" w:eastAsia="宋体" w:cs="Times New Roman"/>
          <w:color w:val="000000"/>
          <w:kern w:val="0"/>
          <w:sz w:val="24"/>
          <w:szCs w:val="24"/>
          <w:lang w:val="en-US" w:eastAsia="zh-CN" w:bidi="ar"/>
        </w:rPr>
        <w:t>最大排水量为</w:t>
      </w:r>
      <w:r>
        <w:rPr>
          <w:rFonts w:hint="eastAsia" w:cs="Times New Roman"/>
          <w:color w:val="000000"/>
          <w:kern w:val="0"/>
          <w:sz w:val="24"/>
          <w:szCs w:val="24"/>
          <w:lang w:val="en-US" w:eastAsia="zh-CN" w:bidi="ar"/>
        </w:rPr>
        <w:t>30</w:t>
      </w:r>
      <w:r>
        <w:rPr>
          <w:rFonts w:hint="default" w:ascii="Times New Roman" w:hAnsi="Times New Roman" w:eastAsia="宋体" w:cs="Times New Roman"/>
          <w:color w:val="000000"/>
          <w:kern w:val="0"/>
          <w:sz w:val="24"/>
          <w:szCs w:val="24"/>
          <w:lang w:val="en-US" w:eastAsia="zh-CN" w:bidi="ar"/>
        </w:rPr>
        <w:t>00m³/d，因此排污预测水文时期选平均流量最小的枯水期的水质纳污能力。</w:t>
      </w:r>
    </w:p>
    <w:p w14:paraId="4B8559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（2）水域范围</w:t>
      </w:r>
    </w:p>
    <w:p w14:paraId="24E35D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本项目排污口所在河段为机排二十渠</w:t>
      </w:r>
      <w:r>
        <w:rPr>
          <w:rFonts w:hint="eastAsia" w:cs="Times New Roman"/>
          <w:color w:val="000000"/>
          <w:kern w:val="0"/>
          <w:sz w:val="24"/>
          <w:szCs w:val="24"/>
          <w:lang w:val="en-US" w:eastAsia="zh-CN" w:bidi="ar"/>
        </w:rPr>
        <w:t>、老三运河</w:t>
      </w:r>
      <w:r>
        <w:rPr>
          <w:rFonts w:hint="default" w:ascii="Times New Roman" w:hAnsi="Times New Roman" w:eastAsia="宋体" w:cs="Times New Roman"/>
          <w:color w:val="000000"/>
          <w:kern w:val="0"/>
          <w:sz w:val="24"/>
          <w:szCs w:val="24"/>
          <w:lang w:val="en-US" w:eastAsia="zh-CN" w:bidi="ar"/>
        </w:rPr>
        <w:t>，机排二十渠水质目标为《地表水环境质量标准》（GB 3838-2002）中</w:t>
      </w:r>
      <w:r>
        <w:rPr>
          <w:rFonts w:hint="eastAsia" w:cs="Times New Roman"/>
          <w:color w:val="000000"/>
          <w:kern w:val="0"/>
          <w:sz w:val="24"/>
          <w:szCs w:val="24"/>
          <w:lang w:val="en-US" w:eastAsia="zh-CN" w:bidi="ar"/>
        </w:rPr>
        <w:t>IV</w:t>
      </w:r>
      <w:r>
        <w:rPr>
          <w:rFonts w:hint="default" w:ascii="Times New Roman" w:hAnsi="Times New Roman" w:eastAsia="宋体" w:cs="Times New Roman"/>
          <w:color w:val="000000"/>
          <w:kern w:val="0"/>
          <w:sz w:val="24"/>
          <w:szCs w:val="24"/>
          <w:lang w:val="en-US" w:eastAsia="zh-CN" w:bidi="ar"/>
        </w:rPr>
        <w:t>类标准</w:t>
      </w:r>
      <w:r>
        <w:rPr>
          <w:rFonts w:hint="eastAsia" w:cs="Times New Roman"/>
          <w:color w:val="000000"/>
          <w:kern w:val="0"/>
          <w:sz w:val="24"/>
          <w:szCs w:val="24"/>
          <w:lang w:val="en-US" w:eastAsia="zh-CN" w:bidi="ar"/>
        </w:rPr>
        <w:t>，老三运河</w:t>
      </w:r>
      <w:r>
        <w:rPr>
          <w:rFonts w:hint="default" w:ascii="Times New Roman" w:hAnsi="Times New Roman" w:eastAsia="宋体" w:cs="Times New Roman"/>
          <w:color w:val="000000"/>
          <w:kern w:val="0"/>
          <w:sz w:val="24"/>
          <w:szCs w:val="24"/>
          <w:lang w:val="en-US" w:eastAsia="zh-CN" w:bidi="ar"/>
        </w:rPr>
        <w:t>水质目标为《地表水环境质量标准》（GB 3838-2002）中</w:t>
      </w:r>
      <w:r>
        <w:rPr>
          <w:rFonts w:hint="eastAsia" w:cs="Times New Roman"/>
          <w:color w:val="000000"/>
          <w:kern w:val="0"/>
          <w:sz w:val="24"/>
          <w:szCs w:val="24"/>
          <w:lang w:val="en-US" w:eastAsia="zh-CN" w:bidi="ar"/>
        </w:rPr>
        <w:t>III</w:t>
      </w:r>
      <w:r>
        <w:rPr>
          <w:rFonts w:hint="default" w:ascii="Times New Roman" w:hAnsi="Times New Roman" w:eastAsia="宋体" w:cs="Times New Roman"/>
          <w:color w:val="000000"/>
          <w:kern w:val="0"/>
          <w:sz w:val="24"/>
          <w:szCs w:val="24"/>
          <w:lang w:val="en-US" w:eastAsia="zh-CN" w:bidi="ar"/>
        </w:rPr>
        <w:t>类标准。根据本项目污水排放情况，结合项目水环境影响评价等级以及纳污水域水环境特点，本项目论证分析范围为</w:t>
      </w:r>
      <w:r>
        <w:rPr>
          <w:rFonts w:hint="default" w:ascii="Times New Roman" w:hAnsi="Times New Roman" w:eastAsia="宋体" w:cs="Times New Roman"/>
          <w:kern w:val="2"/>
          <w:sz w:val="24"/>
          <w:szCs w:val="20"/>
          <w:u w:val="none"/>
          <w:lang w:val="en-US" w:eastAsia="zh-CN" w:bidi="ar-SA"/>
        </w:rPr>
        <w:t>尾水总排口下游机排二十渠 2.1km、老三运河段 3.8km（与机排二十渠交汇处至与大通湖泄洪道交汇处），论证范围全长为5.9km</w:t>
      </w:r>
      <w:r>
        <w:rPr>
          <w:rFonts w:hint="default" w:ascii="Times New Roman" w:hAnsi="Times New Roman" w:eastAsia="宋体" w:cs="Times New Roman"/>
          <w:color w:val="000000"/>
          <w:kern w:val="0"/>
          <w:sz w:val="24"/>
          <w:szCs w:val="24"/>
          <w:lang w:val="en-US" w:eastAsia="zh-CN" w:bidi="ar"/>
        </w:rPr>
        <w:t>。</w:t>
      </w:r>
    </w:p>
    <w:p w14:paraId="60F9926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（3）污染物因子</w:t>
      </w:r>
    </w:p>
    <w:p w14:paraId="717FBF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国家和省市环保部门对实施污染物排放总量控制的要求以及污水处理厂的污染特点，本报告确定的污染物排放总量控制因子为：化学需氧量、氨氮、总磷。根据废水的现状监测结果，选择化学需氧量、氨氮、总磷作为预测因子，化学需氧量、氨氮、总磷按《城镇污水处理厂污染物排放标准》（GB18918-2002）一级A标准进行预测，取值分为50mg/L、5mg/L、0.5mg/L。</w:t>
      </w:r>
    </w:p>
    <w:p w14:paraId="23D18AE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b/>
          <w:bCs/>
          <w:color w:val="000000" w:themeColor="text1"/>
          <w:kern w:val="0"/>
          <w:sz w:val="24"/>
          <w:szCs w:val="24"/>
          <w:u w:val="wave"/>
          <w:lang w:val="en-US" w:eastAsia="zh-CN" w:bidi="ar"/>
          <w14:textFill>
            <w14:solidFill>
              <w14:schemeClr w14:val="tx1"/>
            </w14:solidFill>
          </w14:textFill>
        </w:rPr>
        <w:t xml:space="preserve">5.4.1计算方法及模型选定 </w:t>
      </w:r>
    </w:p>
    <w:p w14:paraId="10B2E0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根据《水域纳污能力计算规程》（GBT25173-2010）河流纳污能力数学模型计算法，计算河段多年平均流量Q将计算河段划分为三种类型：Q≥150m</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 xml:space="preserve">3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/S 为大型河段，15m</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15"/>
          <w:szCs w:val="15"/>
          <w:u w:val="wave"/>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/s＜Q＜150m</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 xml:space="preserve">3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/s 为中型河段，Q≤15m</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15"/>
          <w:szCs w:val="15"/>
          <w:u w:val="wave"/>
          <w:vertAlign w:val="superscript"/>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/s 为小型河段；</w:t>
      </w:r>
    </w:p>
    <w:p w14:paraId="22A919F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机排二十渠平均流量为0</w:t>
      </w:r>
      <w:r>
        <w:rPr>
          <w:rFonts w:hint="eastAsia" w:cs="Times New Roman"/>
          <w:color w:val="000000" w:themeColor="text1"/>
          <w:kern w:val="0"/>
          <w:sz w:val="24"/>
          <w:szCs w:val="24"/>
          <w:u w:val="wave"/>
          <w:lang w:val="en-US" w:eastAsia="zh-CN" w:bidi="ar"/>
          <w14:textFill>
            <w14:solidFill>
              <w14:schemeClr w14:val="tx1"/>
            </w14:solidFill>
          </w14:textFill>
        </w:rPr>
        <w:t>.76</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15"/>
          <w:szCs w:val="15"/>
          <w:u w:val="wave"/>
          <w:vertAlign w:val="superscript"/>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/s，老三运河平均流量为3.64m</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15"/>
          <w:szCs w:val="15"/>
          <w:u w:val="wave"/>
          <w:vertAlign w:val="superscript"/>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/s，均属于小型河段，水域纳污能力采用河流一维模型公式计算；</w:t>
      </w:r>
    </w:p>
    <w:p w14:paraId="1713619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u w:val="wave"/>
          <w14:textFill>
            <w14:solidFill>
              <w14:schemeClr w14:val="tx1"/>
            </w14:solidFill>
          </w14:textFill>
        </w:rPr>
        <w:drawing>
          <wp:inline distT="0" distB="0" distL="114300" distR="114300">
            <wp:extent cx="2333625" cy="866775"/>
            <wp:effectExtent l="0" t="0" r="0" b="0"/>
            <wp:docPr id="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pic:cNvPicPr>
                      <a:picLocks noChangeAspect="1"/>
                    </pic:cNvPicPr>
                  </pic:nvPicPr>
                  <pic:blipFill>
                    <a:blip r:embed="rId53"/>
                    <a:stretch>
                      <a:fillRect/>
                    </a:stretch>
                  </pic:blipFill>
                  <pic:spPr>
                    <a:xfrm>
                      <a:off x="0" y="0"/>
                      <a:ext cx="2333625" cy="866775"/>
                    </a:xfrm>
                    <a:prstGeom prst="rect">
                      <a:avLst/>
                    </a:prstGeom>
                    <a:noFill/>
                    <a:ln>
                      <a:noFill/>
                    </a:ln>
                  </pic:spPr>
                </pic:pic>
              </a:graphicData>
            </a:graphic>
          </wp:inline>
        </w:drawing>
      </w:r>
    </w:p>
    <w:p w14:paraId="564A5F3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1"/>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式中： </w:t>
      </w:r>
    </w:p>
    <w:p w14:paraId="2E3F565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pPr>
      <w:r>
        <w:rPr>
          <w:rFonts w:hint="default" w:ascii="Times New Roman" w:hAnsi="Times New Roman" w:eastAsia="宋体" w:cs="Times New Roman"/>
          <w:i/>
          <w:iCs/>
          <w:color w:val="000000" w:themeColor="text1"/>
          <w:kern w:val="0"/>
          <w:sz w:val="23"/>
          <w:szCs w:val="23"/>
          <w:u w:val="wave"/>
          <w:lang w:val="en-US" w:eastAsia="zh-CN" w:bidi="ar"/>
          <w14:textFill>
            <w14:solidFill>
              <w14:schemeClr w14:val="tx1"/>
            </w14:solidFill>
          </w14:textFill>
        </w:rPr>
        <w:t xml:space="preserve">M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—水域纳污能力，g/s；</w:t>
      </w:r>
    </w:p>
    <w:p w14:paraId="3971973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1"/>
          <w:u w:val="wave"/>
          <w14:textFill>
            <w14:solidFill>
              <w14:schemeClr w14:val="tx1"/>
            </w14:solidFill>
          </w14:textFill>
        </w:rPr>
      </w:pPr>
      <w:r>
        <w:rPr>
          <w:rFonts w:hint="default" w:ascii="Times New Roman" w:hAnsi="Times New Roman" w:eastAsia="宋体" w:cs="Times New Roman"/>
          <w:i/>
          <w:iCs/>
          <w:color w:val="000000" w:themeColor="text1"/>
          <w:kern w:val="0"/>
          <w:sz w:val="23"/>
          <w:szCs w:val="23"/>
          <w:u w:val="wave"/>
          <w:lang w:val="en-US" w:eastAsia="zh-CN" w:bidi="ar"/>
          <w14:textFill>
            <w14:solidFill>
              <w14:schemeClr w14:val="tx1"/>
            </w14:solidFill>
          </w14:textFill>
        </w:rPr>
        <w:t>C</w:t>
      </w:r>
      <w:r>
        <w:rPr>
          <w:rFonts w:hint="default" w:ascii="Times New Roman" w:hAnsi="Times New Roman" w:eastAsia="宋体" w:cs="Times New Roman"/>
          <w:i/>
          <w:iCs/>
          <w:color w:val="000000" w:themeColor="text1"/>
          <w:kern w:val="0"/>
          <w:sz w:val="13"/>
          <w:szCs w:val="13"/>
          <w:u w:val="wave"/>
          <w:lang w:val="en-US" w:eastAsia="zh-CN" w:bidi="ar"/>
          <w14:textFill>
            <w14:solidFill>
              <w14:schemeClr w14:val="tx1"/>
            </w14:solidFill>
          </w14:textFill>
        </w:rPr>
        <w:t xml:space="preserve">S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—水质目标浓度值，mg/L； </w:t>
      </w:r>
    </w:p>
    <w:p w14:paraId="5388143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1"/>
          <w:u w:val="wave"/>
          <w14:textFill>
            <w14:solidFill>
              <w14:schemeClr w14:val="tx1"/>
            </w14:solidFill>
          </w14:textFill>
        </w:rPr>
      </w:pPr>
      <w:r>
        <w:rPr>
          <w:rFonts w:hint="default" w:ascii="Times New Roman" w:hAnsi="Times New Roman" w:eastAsia="宋体" w:cs="Times New Roman"/>
          <w:i/>
          <w:iCs/>
          <w:color w:val="000000" w:themeColor="text1"/>
          <w:kern w:val="0"/>
          <w:sz w:val="23"/>
          <w:szCs w:val="23"/>
          <w:u w:val="wave"/>
          <w:lang w:val="en-US" w:eastAsia="zh-CN" w:bidi="ar"/>
          <w14:textFill>
            <w14:solidFill>
              <w14:schemeClr w14:val="tx1"/>
            </w14:solidFill>
          </w14:textFill>
        </w:rPr>
        <w:t>C</w:t>
      </w:r>
      <w:r>
        <w:rPr>
          <w:rFonts w:hint="default" w:ascii="Times New Roman" w:hAnsi="Times New Roman" w:eastAsia="宋体" w:cs="Times New Roman"/>
          <w:i/>
          <w:iCs/>
          <w:color w:val="000000" w:themeColor="text1"/>
          <w:kern w:val="0"/>
          <w:sz w:val="13"/>
          <w:szCs w:val="13"/>
          <w:u w:val="wave"/>
          <w:lang w:val="en-US" w:eastAsia="zh-CN" w:bidi="ar"/>
          <w14:textFill>
            <w14:solidFill>
              <w14:schemeClr w14:val="tx1"/>
            </w14:solidFill>
          </w14:textFill>
        </w:rPr>
        <w:t xml:space="preserve">x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—流经 x 距离后的污染物浓度，mg/L；</w:t>
      </w:r>
    </w:p>
    <w:p w14:paraId="20DC568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1"/>
          <w:u w:val="wave"/>
          <w14:textFill>
            <w14:solidFill>
              <w14:schemeClr w14:val="tx1"/>
            </w14:solidFill>
          </w14:textFill>
        </w:rPr>
      </w:pPr>
      <w:r>
        <w:rPr>
          <w:rFonts w:hint="default" w:ascii="Times New Roman" w:hAnsi="Times New Roman" w:eastAsia="宋体" w:cs="Times New Roman"/>
          <w:i/>
          <w:iCs/>
          <w:color w:val="000000" w:themeColor="text1"/>
          <w:kern w:val="0"/>
          <w:sz w:val="23"/>
          <w:szCs w:val="23"/>
          <w:u w:val="wave"/>
          <w:lang w:val="en-US" w:eastAsia="zh-CN" w:bidi="ar"/>
          <w14:textFill>
            <w14:solidFill>
              <w14:schemeClr w14:val="tx1"/>
            </w14:solidFill>
          </w14:textFill>
        </w:rPr>
        <w:t>C</w:t>
      </w:r>
      <w:r>
        <w:rPr>
          <w:rFonts w:hint="default" w:ascii="Times New Roman" w:hAnsi="Times New Roman" w:eastAsia="宋体" w:cs="Times New Roman"/>
          <w:color w:val="000000" w:themeColor="text1"/>
          <w:kern w:val="0"/>
          <w:sz w:val="13"/>
          <w:szCs w:val="13"/>
          <w:u w:val="wave"/>
          <w:lang w:val="en-US" w:eastAsia="zh-CN" w:bidi="ar"/>
          <w14:textFill>
            <w14:solidFill>
              <w14:schemeClr w14:val="tx1"/>
            </w14:solidFill>
          </w14:textFill>
        </w:rPr>
        <w:t xml:space="preserve">0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—初始断面污染物浓度，mg/L； </w:t>
      </w:r>
    </w:p>
    <w:p w14:paraId="30C0965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1"/>
          <w:u w:val="wave"/>
          <w14:textFill>
            <w14:solidFill>
              <w14:schemeClr w14:val="tx1"/>
            </w14:solidFill>
          </w14:textFill>
        </w:rPr>
      </w:pPr>
      <w:r>
        <w:rPr>
          <w:rFonts w:hint="default" w:ascii="Times New Roman" w:hAnsi="Times New Roman" w:eastAsia="宋体" w:cs="Times New Roman"/>
          <w:i/>
          <w:iCs/>
          <w:color w:val="000000" w:themeColor="text1"/>
          <w:kern w:val="0"/>
          <w:sz w:val="23"/>
          <w:szCs w:val="23"/>
          <w:u w:val="wave"/>
          <w:lang w:val="en-US" w:eastAsia="zh-CN" w:bidi="ar"/>
          <w14:textFill>
            <w14:solidFill>
              <w14:schemeClr w14:val="tx1"/>
            </w14:solidFill>
          </w14:textFill>
        </w:rPr>
        <w:t xml:space="preserve">Q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—初始断面的入流流量，m</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15"/>
          <w:szCs w:val="15"/>
          <w:u w:val="wave"/>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/s； </w:t>
      </w:r>
    </w:p>
    <w:p w14:paraId="77B6B53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1"/>
          <w:u w:val="wave"/>
          <w14:textFill>
            <w14:solidFill>
              <w14:schemeClr w14:val="tx1"/>
            </w14:solidFill>
          </w14:textFill>
        </w:rPr>
      </w:pPr>
      <w:r>
        <w:rPr>
          <w:rFonts w:hint="default" w:ascii="Times New Roman" w:hAnsi="Times New Roman" w:eastAsia="宋体" w:cs="Times New Roman"/>
          <w:i/>
          <w:iCs/>
          <w:color w:val="000000" w:themeColor="text1"/>
          <w:kern w:val="0"/>
          <w:sz w:val="24"/>
          <w:szCs w:val="24"/>
          <w:u w:val="wave"/>
          <w:lang w:val="en-US" w:eastAsia="zh-CN" w:bidi="ar"/>
          <w14:textFill>
            <w14:solidFill>
              <w14:schemeClr w14:val="tx1"/>
            </w14:solidFill>
          </w14:textFill>
        </w:rPr>
        <w:t>Q</w:t>
      </w:r>
      <w:r>
        <w:rPr>
          <w:rFonts w:hint="default" w:ascii="Times New Roman" w:hAnsi="Times New Roman" w:eastAsia="宋体" w:cs="Times New Roman"/>
          <w:i/>
          <w:iCs/>
          <w:color w:val="000000" w:themeColor="text1"/>
          <w:kern w:val="0"/>
          <w:sz w:val="14"/>
          <w:szCs w:val="14"/>
          <w:u w:val="wave"/>
          <w:lang w:val="en-US" w:eastAsia="zh-CN" w:bidi="ar"/>
          <w14:textFill>
            <w14:solidFill>
              <w14:schemeClr w14:val="tx1"/>
            </w14:solidFill>
          </w14:textFill>
        </w:rPr>
        <w:t xml:space="preserve">P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—废污水排放流量，m</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15"/>
          <w:szCs w:val="15"/>
          <w:u w:val="wave"/>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/s； </w:t>
      </w:r>
    </w:p>
    <w:p w14:paraId="1A42FE5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1"/>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x—沿河段的纵向距离，m； </w:t>
      </w:r>
    </w:p>
    <w:p w14:paraId="39958CA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u—设计流量下河道断面的平均流速，m/s； </w:t>
      </w:r>
    </w:p>
    <w:p w14:paraId="04456FE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K—污染物综合衰减系数，1/s。</w:t>
      </w:r>
    </w:p>
    <w:p w14:paraId="0796BB0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themeColor="text1"/>
          <w:kern w:val="0"/>
          <w:sz w:val="24"/>
          <w:szCs w:val="24"/>
          <w:u w:val="wav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wave"/>
          <w:lang w:val="en-US" w:eastAsia="zh-CN" w:bidi="ar"/>
          <w14:textFill>
            <w14:solidFill>
              <w14:schemeClr w14:val="tx1"/>
            </w14:solidFill>
          </w14:textFill>
        </w:rPr>
        <w:t xml:space="preserve">5.4.2计算参数的选取 </w:t>
      </w:r>
    </w:p>
    <w:p w14:paraId="15348AB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1、污染物控制浓度标准 C0、Cs 的确定 </w:t>
      </w:r>
    </w:p>
    <w:p w14:paraId="774554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机排二十渠</w:t>
      </w:r>
      <w:r>
        <w:rPr>
          <w:rFonts w:hint="eastAsia" w:cs="Times New Roman"/>
          <w:color w:val="000000" w:themeColor="text1"/>
          <w:kern w:val="0"/>
          <w:sz w:val="24"/>
          <w:szCs w:val="24"/>
          <w:u w:val="wav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老三运河初始断面浓度C0取本次现状监测数据，机排二十渠COD</w:t>
      </w:r>
      <w:r>
        <w:rPr>
          <w:rFonts w:hint="default" w:ascii="Times New Roman" w:hAnsi="Times New Roman" w:eastAsia="宋体" w:cs="Times New Roman"/>
          <w:color w:val="000000" w:themeColor="text1"/>
          <w:kern w:val="2"/>
          <w:sz w:val="24"/>
          <w:szCs w:val="24"/>
          <w:highlight w:val="none"/>
          <w:u w:val="wave"/>
          <w:lang w:val="en-US" w:eastAsia="zh-CN"/>
          <w14:textFill>
            <w14:solidFill>
              <w14:schemeClr w14:val="tx1"/>
            </w14:solidFill>
          </w14:textFill>
        </w:rPr>
        <w:t>cr</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、氨氮、TP最大浓度分别为</w:t>
      </w:r>
      <w:r>
        <w:rPr>
          <w:rFonts w:hint="eastAsia" w:cs="Times New Roman"/>
          <w:color w:val="000000" w:themeColor="text1"/>
          <w:kern w:val="0"/>
          <w:sz w:val="24"/>
          <w:szCs w:val="24"/>
          <w:u w:val="wav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6mg/L</w:t>
      </w:r>
      <w:r>
        <w:rPr>
          <w:rFonts w:hint="eastAsia" w:cs="Times New Roman"/>
          <w:color w:val="000000" w:themeColor="text1"/>
          <w:kern w:val="0"/>
          <w:sz w:val="24"/>
          <w:szCs w:val="24"/>
          <w:u w:val="wav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0.</w:t>
      </w:r>
      <w:r>
        <w:rPr>
          <w:rFonts w:hint="eastAsia" w:cs="Times New Roman"/>
          <w:color w:val="000000" w:themeColor="text1"/>
          <w:kern w:val="0"/>
          <w:sz w:val="24"/>
          <w:szCs w:val="24"/>
          <w:u w:val="wave"/>
          <w:lang w:val="en-US" w:eastAsia="zh-CN" w:bidi="ar"/>
          <w14:textFill>
            <w14:solidFill>
              <w14:schemeClr w14:val="tx1"/>
            </w14:solidFill>
          </w14:textFill>
        </w:rPr>
        <w:t>453</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mg/L、0.0</w:t>
      </w:r>
      <w:r>
        <w:rPr>
          <w:rFonts w:hint="eastAsia" w:cs="Times New Roman"/>
          <w:color w:val="000000" w:themeColor="text1"/>
          <w:kern w:val="0"/>
          <w:sz w:val="24"/>
          <w:szCs w:val="24"/>
          <w:u w:val="wave"/>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mg/L；老三运河COD</w:t>
      </w:r>
      <w:r>
        <w:rPr>
          <w:rFonts w:hint="default" w:ascii="Times New Roman" w:hAnsi="Times New Roman" w:eastAsia="宋体" w:cs="Times New Roman"/>
          <w:color w:val="000000" w:themeColor="text1"/>
          <w:kern w:val="2"/>
          <w:sz w:val="24"/>
          <w:szCs w:val="24"/>
          <w:highlight w:val="none"/>
          <w:u w:val="wave"/>
          <w:lang w:val="en-US" w:eastAsia="zh-CN"/>
          <w14:textFill>
            <w14:solidFill>
              <w14:schemeClr w14:val="tx1"/>
            </w14:solidFill>
          </w14:textFill>
        </w:rPr>
        <w:t>cr</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、氨氮、TP最大浓度分别为17mg/L、0.645mg/L、0.09mg/L，机排二十渠水质目标值按《地表水环境质量标准》（GB3838—2002）Ⅳ类水质标准。老三运河水质目标值按《地表水环境质量标准》（GB3838—2002）</w:t>
      </w:r>
      <w:r>
        <w:rPr>
          <w:rFonts w:hint="eastAsia" w:cs="Times New Roman"/>
          <w:color w:val="000000" w:themeColor="text1"/>
          <w:kern w:val="0"/>
          <w:sz w:val="24"/>
          <w:szCs w:val="24"/>
          <w:u w:val="wave"/>
          <w:lang w:val="en-US" w:eastAsia="zh-CN" w:bidi="ar"/>
          <w14:textFill>
            <w14:solidFill>
              <w14:schemeClr w14:val="tx1"/>
            </w14:solidFill>
          </w14:textFill>
        </w:rPr>
        <w:t>III</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类水质标准。 </w:t>
      </w:r>
    </w:p>
    <w:p w14:paraId="070BD97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2、设计流量的确定 </w:t>
      </w:r>
    </w:p>
    <w:p w14:paraId="46EF5A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机排二十渠所在河段的枯水期平均流量取0.</w:t>
      </w:r>
      <w:r>
        <w:rPr>
          <w:rFonts w:hint="eastAsia" w:cs="Times New Roman"/>
          <w:color w:val="000000" w:themeColor="text1"/>
          <w:kern w:val="0"/>
          <w:sz w:val="24"/>
          <w:szCs w:val="24"/>
          <w:u w:val="wave"/>
          <w:lang w:val="en-US" w:eastAsia="zh-CN" w:bidi="ar"/>
          <w14:textFill>
            <w14:solidFill>
              <w14:schemeClr w14:val="tx1"/>
            </w14:solidFill>
          </w14:textFill>
        </w:rPr>
        <w:t>76</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 /s；老三运河所在河段枯水期平均流量取3.64m³/s。 </w:t>
      </w:r>
    </w:p>
    <w:p w14:paraId="58B79BE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3、排污口距控制断面距离的确定 </w:t>
      </w:r>
    </w:p>
    <w:p w14:paraId="11BB33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排污口距控制断面的距离一般采用实测长度或从小比例尺地图上量取，本次河段纳 </w:t>
      </w:r>
    </w:p>
    <w:p w14:paraId="76EB871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污能力计算河段为尾水总排口下游机排二十渠（2.1km）、机排二十渠与老三运河汇水处至大通湖洪道河段（3.8km），共计5.9km。 </w:t>
      </w:r>
    </w:p>
    <w:p w14:paraId="297CE63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4、河段平均流速 </w:t>
      </w:r>
    </w:p>
    <w:p w14:paraId="6A91BB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机排二十渠流速取0.11m/s；老三运河流速取0.14m/s。 </w:t>
      </w:r>
    </w:p>
    <w:p w14:paraId="759AEBC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5、污染物综合衰减系数 K 的确定，取KCOD</w:t>
      </w:r>
      <w:r>
        <w:rPr>
          <w:rFonts w:hint="default" w:ascii="Times New Roman" w:hAnsi="Times New Roman" w:eastAsia="宋体" w:cs="Times New Roman"/>
          <w:color w:val="000000" w:themeColor="text1"/>
          <w:kern w:val="2"/>
          <w:sz w:val="24"/>
          <w:szCs w:val="24"/>
          <w:highlight w:val="none"/>
          <w:u w:val="wave"/>
          <w:lang w:val="en-US" w:eastAsia="zh-CN"/>
          <w14:textFill>
            <w14:solidFill>
              <w14:schemeClr w14:val="tx1"/>
            </w14:solidFill>
          </w14:textFill>
        </w:rPr>
        <w:t>cr</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=0.1d </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，K氨氮=0.1d</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 xml:space="preserve"> -1</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，K总磷=0.1d </w:t>
      </w:r>
      <w:r>
        <w:rPr>
          <w:rFonts w:hint="default" w:ascii="Times New Roman" w:hAnsi="Times New Roman" w:eastAsia="宋体" w:cs="Times New Roman"/>
          <w:color w:val="000000" w:themeColor="text1"/>
          <w:kern w:val="0"/>
          <w:sz w:val="24"/>
          <w:szCs w:val="24"/>
          <w:u w:val="wave"/>
          <w:vertAlign w:val="superscript"/>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w:t>
      </w:r>
    </w:p>
    <w:p w14:paraId="2F69540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themeColor="text1"/>
          <w:kern w:val="0"/>
          <w:sz w:val="24"/>
          <w:szCs w:val="24"/>
          <w:u w:val="wav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wave"/>
          <w:lang w:val="en-US" w:eastAsia="zh-CN" w:bidi="ar"/>
          <w14:textFill>
            <w14:solidFill>
              <w14:schemeClr w14:val="tx1"/>
            </w14:solidFill>
          </w14:textFill>
        </w:rPr>
        <w:t>5.4.3计算结果</w:t>
      </w:r>
    </w:p>
    <w:p w14:paraId="4362CD89">
      <w:pPr>
        <w:pageBreakBefore w:val="0"/>
        <w:widowControl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wave"/>
          <w:lang w:eastAsia="zh-CN"/>
          <w14:textFill>
            <w14:solidFill>
              <w14:schemeClr w14:val="tx1"/>
            </w14:solidFill>
          </w14:textFill>
        </w:rPr>
        <w:t>机排二十渠按</w:t>
      </w:r>
      <w:r>
        <w:rPr>
          <w:rFonts w:hint="default" w:ascii="Times New Roman" w:hAnsi="Times New Roman" w:eastAsia="宋体" w:cs="Times New Roman"/>
          <w:b w:val="0"/>
          <w:bCs/>
          <w:color w:val="000000" w:themeColor="text1"/>
          <w:kern w:val="2"/>
          <w:sz w:val="24"/>
          <w:szCs w:val="24"/>
          <w:u w:val="wave"/>
          <w:lang w:val="en-US" w:eastAsia="zh-CN"/>
          <w14:textFill>
            <w14:solidFill>
              <w14:schemeClr w14:val="tx1"/>
            </w14:solidFill>
          </w14:textFill>
        </w:rPr>
        <w:t>《地表水环境质量标准》（GB3838—2002）</w:t>
      </w:r>
      <w:r>
        <w:rPr>
          <w:rFonts w:hint="eastAsia" w:cs="Times New Roman"/>
          <w:b w:val="0"/>
          <w:bCs/>
          <w:color w:val="000000" w:themeColor="text1"/>
          <w:kern w:val="2"/>
          <w:sz w:val="24"/>
          <w:szCs w:val="24"/>
          <w:u w:val="wave"/>
          <w:lang w:val="en-US" w:eastAsia="zh-CN"/>
          <w14:textFill>
            <w14:solidFill>
              <w14:schemeClr w14:val="tx1"/>
            </w14:solidFill>
          </w14:textFill>
        </w:rPr>
        <w:t>IV</w:t>
      </w:r>
      <w:r>
        <w:rPr>
          <w:rFonts w:hint="default" w:ascii="Times New Roman" w:hAnsi="Times New Roman" w:eastAsia="宋体" w:cs="Times New Roman"/>
          <w:color w:val="000000" w:themeColor="text1"/>
          <w:kern w:val="2"/>
          <w:sz w:val="24"/>
          <w:szCs w:val="24"/>
          <w:highlight w:val="none"/>
          <w:u w:val="wave"/>
          <w14:textFill>
            <w14:solidFill>
              <w14:schemeClr w14:val="tx1"/>
            </w14:solidFill>
          </w14:textFill>
        </w:rPr>
        <w:t>类标准</w:t>
      </w:r>
      <w:r>
        <w:rPr>
          <w:rFonts w:hint="default" w:ascii="Times New Roman" w:hAnsi="Times New Roman" w:eastAsia="宋体" w:cs="Times New Roman"/>
          <w:color w:val="000000" w:themeColor="text1"/>
          <w:kern w:val="2"/>
          <w:sz w:val="24"/>
          <w:szCs w:val="24"/>
          <w:highlight w:val="none"/>
          <w:u w:val="wave"/>
          <w:lang w:eastAsia="zh-CN"/>
          <w14:textFill>
            <w14:solidFill>
              <w14:schemeClr w14:val="tx1"/>
            </w14:solidFill>
          </w14:textFill>
        </w:rPr>
        <w:t>进行环境剩余容量估算，老三运河</w:t>
      </w:r>
      <w:r>
        <w:rPr>
          <w:rFonts w:hint="default" w:ascii="Times New Roman" w:hAnsi="Times New Roman" w:eastAsia="宋体" w:cs="Times New Roman"/>
          <w:color w:val="000000" w:themeColor="text1"/>
          <w:kern w:val="2"/>
          <w:sz w:val="24"/>
          <w:szCs w:val="24"/>
          <w:highlight w:val="none"/>
          <w:u w:val="wave"/>
          <w14:textFill>
            <w14:solidFill>
              <w14:schemeClr w14:val="tx1"/>
            </w14:solidFill>
          </w14:textFill>
        </w:rPr>
        <w:t>按</w:t>
      </w:r>
      <w:r>
        <w:rPr>
          <w:rFonts w:hint="default" w:ascii="Times New Roman" w:hAnsi="Times New Roman" w:eastAsia="宋体" w:cs="Times New Roman"/>
          <w:b w:val="0"/>
          <w:bCs/>
          <w:color w:val="000000" w:themeColor="text1"/>
          <w:kern w:val="2"/>
          <w:sz w:val="24"/>
          <w:szCs w:val="24"/>
          <w:u w:val="wave"/>
          <w:lang w:val="en-US" w:eastAsia="zh-CN"/>
          <w14:textFill>
            <w14:solidFill>
              <w14:schemeClr w14:val="tx1"/>
            </w14:solidFill>
          </w14:textFill>
        </w:rPr>
        <w:t>《地表水环境质量标准》（GB3838—2002）</w:t>
      </w:r>
      <w:r>
        <w:rPr>
          <w:rFonts w:hint="default" w:ascii="Times New Roman" w:hAnsi="Times New Roman" w:eastAsia="宋体" w:cs="Times New Roman"/>
          <w:color w:val="000000" w:themeColor="text1"/>
          <w:kern w:val="2"/>
          <w:sz w:val="24"/>
          <w:szCs w:val="24"/>
          <w:highlight w:val="none"/>
          <w:u w:val="wave"/>
          <w:lang w:val="en-US" w:eastAsia="zh-CN"/>
          <w14:textFill>
            <w14:solidFill>
              <w14:schemeClr w14:val="tx1"/>
            </w14:solidFill>
          </w14:textFill>
        </w:rPr>
        <w:t>III</w:t>
      </w:r>
      <w:r>
        <w:rPr>
          <w:rFonts w:hint="default" w:ascii="Times New Roman" w:hAnsi="Times New Roman" w:eastAsia="宋体" w:cs="Times New Roman"/>
          <w:color w:val="000000" w:themeColor="text1"/>
          <w:kern w:val="2"/>
          <w:sz w:val="24"/>
          <w:szCs w:val="24"/>
          <w:highlight w:val="none"/>
          <w:u w:val="wave"/>
          <w14:textFill>
            <w14:solidFill>
              <w14:schemeClr w14:val="tx1"/>
            </w14:solidFill>
          </w14:textFill>
        </w:rPr>
        <w:t>类标准进行环境剩余容量估算</w:t>
      </w:r>
      <w:r>
        <w:rPr>
          <w:rFonts w:hint="eastAsia" w:cs="Times New Roman"/>
          <w:color w:val="000000" w:themeColor="text1"/>
          <w:kern w:val="2"/>
          <w:sz w:val="24"/>
          <w:szCs w:val="24"/>
          <w:highlight w:val="none"/>
          <w:u w:val="wav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wave"/>
          <w14:textFill>
            <w14:solidFill>
              <w14:schemeClr w14:val="tx1"/>
            </w14:solidFill>
          </w14:textFill>
        </w:rPr>
        <w:t>考虑同渠道中流水混合</w:t>
      </w:r>
      <w:r>
        <w:rPr>
          <w:rFonts w:hint="default" w:ascii="Times New Roman" w:hAnsi="Times New Roman" w:eastAsia="宋体" w:cs="Times New Roman"/>
          <w:color w:val="000000" w:themeColor="text1"/>
          <w:kern w:val="2"/>
          <w:sz w:val="24"/>
          <w:szCs w:val="24"/>
          <w:u w:val="wave"/>
          <w14:textFill>
            <w14:solidFill>
              <w14:schemeClr w14:val="tx1"/>
            </w14:solidFill>
          </w14:textFill>
        </w:rPr>
        <w:t>后最大纳污能</w:t>
      </w:r>
      <w:r>
        <w:rPr>
          <w:rFonts w:hint="default" w:ascii="Times New Roman" w:hAnsi="Times New Roman" w:eastAsia="宋体" w:cs="Times New Roman"/>
          <w:color w:val="000000" w:themeColor="text1"/>
          <w:kern w:val="2"/>
          <w:sz w:val="24"/>
          <w:szCs w:val="24"/>
          <w:highlight w:val="none"/>
          <w:u w:val="wave"/>
          <w:lang w:eastAsia="zh-CN"/>
          <w14:textFill>
            <w14:solidFill>
              <w14:schemeClr w14:val="tx1"/>
            </w14:solidFill>
          </w14:textFill>
        </w:rPr>
        <w:t>力，以不改变水质要求为目标，</w:t>
      </w:r>
      <w:r>
        <w:rPr>
          <w:rFonts w:hint="default" w:ascii="Times New Roman" w:hAnsi="Times New Roman" w:eastAsia="宋体" w:cs="Times New Roman"/>
          <w:color w:val="000000" w:themeColor="text1"/>
          <w:kern w:val="2"/>
          <w:sz w:val="24"/>
          <w:szCs w:val="24"/>
          <w:highlight w:val="none"/>
          <w:u w:val="wave"/>
          <w:lang w:val="en-US" w:eastAsia="zh-CN"/>
          <w14:textFill>
            <w14:solidFill>
              <w14:schemeClr w14:val="tx1"/>
            </w14:solidFill>
          </w14:textFill>
        </w:rPr>
        <w:t>由于大通湖中心城区生活污水处理厂排污口位于大通湖工业园污水处理厂提质改造建设项目</w:t>
      </w:r>
      <w:r>
        <w:rPr>
          <w:rFonts w:hint="eastAsia" w:cs="Times New Roman"/>
          <w:color w:val="000000" w:themeColor="text1"/>
          <w:kern w:val="2"/>
          <w:sz w:val="24"/>
          <w:szCs w:val="24"/>
          <w:highlight w:val="none"/>
          <w:u w:val="wave"/>
          <w:lang w:val="en-US" w:eastAsia="zh-CN"/>
          <w14:textFill>
            <w14:solidFill>
              <w14:schemeClr w14:val="tx1"/>
            </w14:solidFill>
          </w14:textFill>
        </w:rPr>
        <w:t>（一期）</w:t>
      </w:r>
      <w:r>
        <w:rPr>
          <w:rFonts w:hint="default" w:ascii="Times New Roman" w:hAnsi="Times New Roman" w:eastAsia="宋体" w:cs="Times New Roman"/>
          <w:color w:val="000000" w:themeColor="text1"/>
          <w:kern w:val="2"/>
          <w:sz w:val="24"/>
          <w:szCs w:val="24"/>
          <w:highlight w:val="none"/>
          <w:u w:val="wave"/>
          <w:lang w:val="en-US" w:eastAsia="zh-CN"/>
          <w14:textFill>
            <w14:solidFill>
              <w14:schemeClr w14:val="tx1"/>
            </w14:solidFill>
          </w14:textFill>
        </w:rPr>
        <w:t>入河排污口上游，因此现有污染物年排放量考虑大通湖中心城区生活污水处理厂年排放量</w:t>
      </w:r>
      <w:r>
        <w:rPr>
          <w:rFonts w:hint="default" w:ascii="Times New Roman" w:hAnsi="Times New Roman" w:eastAsia="宋体" w:cs="Times New Roman"/>
          <w:color w:val="000000" w:themeColor="text1"/>
          <w:kern w:val="2"/>
          <w:sz w:val="24"/>
          <w:szCs w:val="24"/>
          <w:highlight w:val="none"/>
          <w:u w:val="wave"/>
          <w:lang w:eastAsia="zh-CN"/>
          <w14:textFill>
            <w14:solidFill>
              <w14:schemeClr w14:val="tx1"/>
            </w14:solidFill>
          </w14:textFill>
        </w:rPr>
        <w:t>。纳污能力计算各参数及计算值见下表所示。</w:t>
      </w:r>
    </w:p>
    <w:p w14:paraId="74D20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4"/>
          <w:highlight w:val="none"/>
          <w:u w:val="wav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u w:val="wave"/>
          <w:lang w:val="en-US" w:eastAsia="zh-CN"/>
          <w14:textFill>
            <w14:solidFill>
              <w14:schemeClr w14:val="tx1"/>
            </w14:solidFill>
          </w14:textFill>
        </w:rPr>
        <w:t>表5.4-1</w:t>
      </w:r>
      <w:r>
        <w:rPr>
          <w:rFonts w:hint="default" w:ascii="Times New Roman" w:hAnsi="Times New Roman" w:eastAsia="宋体" w:cs="Times New Roman"/>
          <w:b/>
          <w:bCs/>
          <w:color w:val="000000" w:themeColor="text1"/>
          <w:kern w:val="0"/>
          <w:sz w:val="24"/>
          <w:highlight w:val="none"/>
          <w:u w:val="wave"/>
          <w14:textFill>
            <w14:solidFill>
              <w14:schemeClr w14:val="tx1"/>
            </w14:solidFill>
          </w14:textFill>
        </w:rPr>
        <w:t>纳污能力计算结果</w:t>
      </w:r>
    </w:p>
    <w:tbl>
      <w:tblPr>
        <w:tblStyle w:val="77"/>
        <w:tblW w:w="0" w:type="auto"/>
        <w:tblInd w:w="-7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700"/>
        <w:gridCol w:w="967"/>
        <w:gridCol w:w="1241"/>
        <w:gridCol w:w="1241"/>
        <w:gridCol w:w="1120"/>
        <w:gridCol w:w="1083"/>
        <w:gridCol w:w="1032"/>
        <w:gridCol w:w="1032"/>
      </w:tblGrid>
      <w:tr w14:paraId="2EE07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1" w:type="dxa"/>
            <w:vMerge w:val="restart"/>
            <w:tcBorders>
              <w:tl2br w:val="nil"/>
              <w:tr2bl w:val="nil"/>
            </w:tcBorders>
            <w:noWrap w:val="0"/>
            <w:vAlign w:val="center"/>
          </w:tcPr>
          <w:p w14:paraId="3D9215FC">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河流</w:t>
            </w:r>
          </w:p>
        </w:tc>
        <w:tc>
          <w:tcPr>
            <w:tcW w:w="700" w:type="dxa"/>
            <w:vMerge w:val="restart"/>
            <w:tcBorders>
              <w:tl2br w:val="nil"/>
              <w:tr2bl w:val="nil"/>
            </w:tcBorders>
            <w:noWrap w:val="0"/>
            <w:vAlign w:val="center"/>
          </w:tcPr>
          <w:p w14:paraId="2953D6DE">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运行状况</w:t>
            </w:r>
          </w:p>
        </w:tc>
        <w:tc>
          <w:tcPr>
            <w:tcW w:w="967" w:type="dxa"/>
            <w:vMerge w:val="restart"/>
            <w:tcBorders>
              <w:tl2br w:val="nil"/>
              <w:tr2bl w:val="nil"/>
            </w:tcBorders>
            <w:noWrap w:val="0"/>
            <w:vAlign w:val="center"/>
          </w:tcPr>
          <w:p w14:paraId="2AC52EE5">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污染物控制指标</w:t>
            </w:r>
          </w:p>
        </w:tc>
        <w:tc>
          <w:tcPr>
            <w:tcW w:w="1241" w:type="dxa"/>
            <w:tcBorders>
              <w:tl2br w:val="nil"/>
              <w:tr2bl w:val="nil"/>
            </w:tcBorders>
            <w:noWrap w:val="0"/>
            <w:vAlign w:val="center"/>
          </w:tcPr>
          <w:p w14:paraId="1DC7F343">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color w:val="000000" w:themeColor="text1"/>
                <w:kern w:val="0"/>
                <w:sz w:val="21"/>
                <w:szCs w:val="21"/>
                <w:highlight w:val="none"/>
                <w:u w:val="wav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u w:val="wave"/>
                <w:lang w:val="en-US" w:eastAsia="zh-CN" w:bidi="ar"/>
                <w14:textFill>
                  <w14:solidFill>
                    <w14:schemeClr w14:val="tx1"/>
                  </w14:solidFill>
                </w14:textFill>
              </w:rPr>
              <w:t>背景浓度Co</w:t>
            </w:r>
          </w:p>
        </w:tc>
        <w:tc>
          <w:tcPr>
            <w:tcW w:w="1241" w:type="dxa"/>
            <w:tcBorders>
              <w:tl2br w:val="nil"/>
              <w:tr2bl w:val="nil"/>
            </w:tcBorders>
            <w:noWrap w:val="0"/>
            <w:vAlign w:val="center"/>
          </w:tcPr>
          <w:p w14:paraId="29C19689">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color w:val="000000" w:themeColor="text1"/>
                <w:kern w:val="0"/>
                <w:sz w:val="21"/>
                <w:szCs w:val="21"/>
                <w:highlight w:val="none"/>
                <w:u w:val="wav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u w:val="wave"/>
                <w:lang w:val="en-US" w:eastAsia="zh-CN" w:bidi="ar"/>
                <w14:textFill>
                  <w14:solidFill>
                    <w14:schemeClr w14:val="tx1"/>
                  </w14:solidFill>
                </w14:textFill>
              </w:rPr>
              <w:t>控制目标Cs</w:t>
            </w:r>
          </w:p>
        </w:tc>
        <w:tc>
          <w:tcPr>
            <w:tcW w:w="1120" w:type="dxa"/>
            <w:tcBorders>
              <w:tl2br w:val="nil"/>
              <w:tr2bl w:val="nil"/>
            </w:tcBorders>
            <w:noWrap w:val="0"/>
            <w:vAlign w:val="center"/>
          </w:tcPr>
          <w:p w14:paraId="6F97D135">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color w:val="000000" w:themeColor="text1"/>
                <w:kern w:val="0"/>
                <w:sz w:val="21"/>
                <w:szCs w:val="21"/>
                <w:highlight w:val="none"/>
                <w:u w:val="wav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u w:val="wave"/>
                <w:lang w:val="en-US" w:eastAsia="zh-CN" w:bidi="ar"/>
                <w14:textFill>
                  <w14:solidFill>
                    <w14:schemeClr w14:val="tx1"/>
                  </w14:solidFill>
                </w14:textFill>
              </w:rPr>
              <w:t>纳污能力M</w:t>
            </w:r>
          </w:p>
        </w:tc>
        <w:tc>
          <w:tcPr>
            <w:tcW w:w="1083" w:type="dxa"/>
            <w:tcBorders>
              <w:tl2br w:val="nil"/>
              <w:tr2bl w:val="nil"/>
            </w:tcBorders>
            <w:noWrap w:val="0"/>
            <w:vAlign w:val="center"/>
          </w:tcPr>
          <w:p w14:paraId="4CCDBE03">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t>本项目污染物年排放量</w:t>
            </w:r>
          </w:p>
        </w:tc>
        <w:tc>
          <w:tcPr>
            <w:tcW w:w="1032" w:type="dxa"/>
            <w:tcBorders>
              <w:tl2br w:val="nil"/>
              <w:tr2bl w:val="nil"/>
            </w:tcBorders>
            <w:noWrap w:val="0"/>
            <w:vAlign w:val="center"/>
          </w:tcPr>
          <w:p w14:paraId="7F9287E1">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wave"/>
                <w:lang w:val="en-US" w:eastAsia="zh-CN" w:bidi="zh-CN"/>
                <w14:textFill>
                  <w14:solidFill>
                    <w14:schemeClr w14:val="tx1"/>
                  </w14:solidFill>
                </w14:textFill>
              </w:rPr>
              <w:t>现有污染物年排放量</w:t>
            </w:r>
          </w:p>
        </w:tc>
        <w:tc>
          <w:tcPr>
            <w:tcW w:w="1032" w:type="dxa"/>
            <w:tcBorders>
              <w:tl2br w:val="nil"/>
              <w:tr2bl w:val="nil"/>
            </w:tcBorders>
            <w:noWrap w:val="0"/>
            <w:vAlign w:val="center"/>
          </w:tcPr>
          <w:p w14:paraId="7161E92F">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t>环境剩余容量</w:t>
            </w:r>
          </w:p>
        </w:tc>
      </w:tr>
      <w:tr w14:paraId="6F02A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1" w:type="dxa"/>
            <w:vMerge w:val="continue"/>
            <w:tcBorders>
              <w:tl2br w:val="nil"/>
              <w:tr2bl w:val="nil"/>
            </w:tcBorders>
            <w:noWrap w:val="0"/>
            <w:vAlign w:val="center"/>
          </w:tcPr>
          <w:p w14:paraId="0F0D69CE">
            <w:pPr>
              <w:keepNext/>
              <w:keepLines/>
              <w:widowControl w:val="0"/>
              <w:suppressLineNumbers w:val="0"/>
              <w:spacing w:before="0" w:beforeAutospacing="0" w:after="0" w:afterAutospacing="0" w:line="240" w:lineRule="auto"/>
              <w:ind w:left="0" w:right="0" w:firstLine="420" w:firstLineChars="20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p>
        </w:tc>
        <w:tc>
          <w:tcPr>
            <w:tcW w:w="700" w:type="dxa"/>
            <w:vMerge w:val="continue"/>
            <w:tcBorders>
              <w:tl2br w:val="nil"/>
              <w:tr2bl w:val="nil"/>
            </w:tcBorders>
            <w:noWrap w:val="0"/>
            <w:vAlign w:val="center"/>
          </w:tcPr>
          <w:p w14:paraId="37F57DB2">
            <w:pPr>
              <w:keepNext/>
              <w:keepLines/>
              <w:widowControl w:val="0"/>
              <w:suppressLineNumbers w:val="0"/>
              <w:spacing w:before="0" w:beforeAutospacing="0" w:after="0" w:afterAutospacing="0" w:line="240" w:lineRule="auto"/>
              <w:ind w:left="0" w:right="0" w:firstLine="420" w:firstLineChars="20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p>
        </w:tc>
        <w:tc>
          <w:tcPr>
            <w:tcW w:w="967" w:type="dxa"/>
            <w:vMerge w:val="continue"/>
            <w:tcBorders>
              <w:tl2br w:val="nil"/>
              <w:tr2bl w:val="nil"/>
            </w:tcBorders>
            <w:noWrap w:val="0"/>
            <w:vAlign w:val="center"/>
          </w:tcPr>
          <w:p w14:paraId="705E3C71">
            <w:pPr>
              <w:keepNext/>
              <w:keepLines/>
              <w:widowControl w:val="0"/>
              <w:suppressLineNumbers w:val="0"/>
              <w:spacing w:before="0" w:beforeAutospacing="0" w:after="0" w:afterAutospacing="0" w:line="240" w:lineRule="auto"/>
              <w:ind w:left="0" w:right="0" w:firstLine="420" w:firstLineChars="20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p>
        </w:tc>
        <w:tc>
          <w:tcPr>
            <w:tcW w:w="1241" w:type="dxa"/>
            <w:tcBorders>
              <w:tl2br w:val="nil"/>
              <w:tr2bl w:val="nil"/>
            </w:tcBorders>
            <w:noWrap w:val="0"/>
            <w:vAlign w:val="center"/>
          </w:tcPr>
          <w:p w14:paraId="4CF73D0A">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mg/L</w:t>
            </w:r>
          </w:p>
        </w:tc>
        <w:tc>
          <w:tcPr>
            <w:tcW w:w="1241" w:type="dxa"/>
            <w:tcBorders>
              <w:tl2br w:val="nil"/>
              <w:tr2bl w:val="nil"/>
            </w:tcBorders>
            <w:noWrap w:val="0"/>
            <w:vAlign w:val="center"/>
          </w:tcPr>
          <w:p w14:paraId="307B0DAA">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mg/L</w:t>
            </w:r>
          </w:p>
        </w:tc>
        <w:tc>
          <w:tcPr>
            <w:tcW w:w="1120" w:type="dxa"/>
            <w:tcBorders>
              <w:tl2br w:val="nil"/>
              <w:tr2bl w:val="nil"/>
            </w:tcBorders>
            <w:noWrap w:val="0"/>
            <w:vAlign w:val="center"/>
          </w:tcPr>
          <w:p w14:paraId="464DF127">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t/a</w:t>
            </w:r>
          </w:p>
        </w:tc>
        <w:tc>
          <w:tcPr>
            <w:tcW w:w="1083" w:type="dxa"/>
            <w:tcBorders>
              <w:tl2br w:val="nil"/>
              <w:tr2bl w:val="nil"/>
            </w:tcBorders>
            <w:noWrap w:val="0"/>
            <w:vAlign w:val="center"/>
          </w:tcPr>
          <w:p w14:paraId="60293754">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t/a</w:t>
            </w:r>
          </w:p>
        </w:tc>
        <w:tc>
          <w:tcPr>
            <w:tcW w:w="1032" w:type="dxa"/>
            <w:tcBorders>
              <w:tl2br w:val="nil"/>
              <w:tr2bl w:val="nil"/>
            </w:tcBorders>
            <w:noWrap w:val="0"/>
            <w:vAlign w:val="center"/>
          </w:tcPr>
          <w:p w14:paraId="2DCE6C13">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t/a</w:t>
            </w:r>
          </w:p>
        </w:tc>
        <w:tc>
          <w:tcPr>
            <w:tcW w:w="1032" w:type="dxa"/>
            <w:tcBorders>
              <w:tl2br w:val="nil"/>
              <w:tr2bl w:val="nil"/>
            </w:tcBorders>
            <w:noWrap w:val="0"/>
            <w:vAlign w:val="center"/>
          </w:tcPr>
          <w:p w14:paraId="5675D52F">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t/a</w:t>
            </w:r>
          </w:p>
        </w:tc>
      </w:tr>
      <w:tr w14:paraId="40E35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1" w:type="dxa"/>
            <w:vMerge w:val="restart"/>
            <w:tcBorders>
              <w:tl2br w:val="nil"/>
              <w:tr2bl w:val="nil"/>
            </w:tcBorders>
            <w:noWrap w:val="0"/>
            <w:vAlign w:val="center"/>
          </w:tcPr>
          <w:p w14:paraId="64FA9F94">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t>机排二十渠</w:t>
            </w:r>
          </w:p>
        </w:tc>
        <w:tc>
          <w:tcPr>
            <w:tcW w:w="700" w:type="dxa"/>
            <w:vMerge w:val="restart"/>
            <w:tcBorders>
              <w:tl2br w:val="nil"/>
              <w:tr2bl w:val="nil"/>
            </w:tcBorders>
            <w:noWrap w:val="0"/>
            <w:vAlign w:val="center"/>
          </w:tcPr>
          <w:p w14:paraId="0DA6608B">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t>正常</w:t>
            </w:r>
          </w:p>
          <w:p w14:paraId="35F2335C">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t>排放</w:t>
            </w:r>
          </w:p>
        </w:tc>
        <w:tc>
          <w:tcPr>
            <w:tcW w:w="967" w:type="dxa"/>
            <w:tcBorders>
              <w:tl2br w:val="nil"/>
              <w:tr2bl w:val="nil"/>
            </w:tcBorders>
            <w:noWrap w:val="0"/>
            <w:vAlign w:val="center"/>
          </w:tcPr>
          <w:p w14:paraId="490711D0">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COD</w:t>
            </w:r>
            <w:r>
              <w:rPr>
                <w:rFonts w:hint="default" w:ascii="Times New Roman" w:hAnsi="Times New Roman" w:eastAsia="宋体" w:cs="Times New Roman"/>
                <w:b w:val="0"/>
                <w:bCs/>
                <w:color w:val="000000" w:themeColor="text1"/>
                <w:kern w:val="2"/>
                <w:sz w:val="24"/>
                <w:szCs w:val="24"/>
                <w:highlight w:val="none"/>
                <w:u w:val="wave"/>
                <w:lang w:val="en-US" w:eastAsia="zh-CN" w:bidi="ar-SA"/>
                <w14:textFill>
                  <w14:solidFill>
                    <w14:schemeClr w14:val="tx1"/>
                  </w14:solidFill>
                </w14:textFill>
              </w:rPr>
              <w:t>cr</w:t>
            </w:r>
          </w:p>
        </w:tc>
        <w:tc>
          <w:tcPr>
            <w:tcW w:w="1241" w:type="dxa"/>
            <w:tcBorders>
              <w:tl2br w:val="nil"/>
              <w:tr2bl w:val="nil"/>
            </w:tcBorders>
            <w:noWrap w:val="0"/>
            <w:vAlign w:val="center"/>
          </w:tcPr>
          <w:p w14:paraId="5502C473">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16</w:t>
            </w:r>
          </w:p>
        </w:tc>
        <w:tc>
          <w:tcPr>
            <w:tcW w:w="1241" w:type="dxa"/>
            <w:tcBorders>
              <w:tl2br w:val="nil"/>
              <w:tr2bl w:val="nil"/>
            </w:tcBorders>
            <w:noWrap w:val="0"/>
            <w:vAlign w:val="center"/>
          </w:tcPr>
          <w:p w14:paraId="745B1AD1">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30</w:t>
            </w:r>
          </w:p>
        </w:tc>
        <w:tc>
          <w:tcPr>
            <w:tcW w:w="1120" w:type="dxa"/>
            <w:tcBorders>
              <w:tl2br w:val="nil"/>
              <w:tr2bl w:val="nil"/>
            </w:tcBorders>
            <w:noWrap w:val="0"/>
            <w:vAlign w:val="center"/>
          </w:tcPr>
          <w:p w14:paraId="26615358">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359.83</w:t>
            </w:r>
          </w:p>
        </w:tc>
        <w:tc>
          <w:tcPr>
            <w:tcW w:w="1083" w:type="dxa"/>
            <w:tcBorders>
              <w:tl2br w:val="nil"/>
              <w:tr2bl w:val="nil"/>
            </w:tcBorders>
            <w:noWrap w:val="0"/>
            <w:vAlign w:val="center"/>
          </w:tcPr>
          <w:p w14:paraId="7BF09EA5">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54.75</w:t>
            </w:r>
          </w:p>
        </w:tc>
        <w:tc>
          <w:tcPr>
            <w:tcW w:w="1032" w:type="dxa"/>
            <w:tcBorders>
              <w:tl2br w:val="nil"/>
              <w:tr2bl w:val="nil"/>
            </w:tcBorders>
            <w:noWrap w:val="0"/>
            <w:vAlign w:val="center"/>
          </w:tcPr>
          <w:p w14:paraId="045A0C15">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182.5</w:t>
            </w:r>
          </w:p>
        </w:tc>
        <w:tc>
          <w:tcPr>
            <w:tcW w:w="1032" w:type="dxa"/>
            <w:tcBorders>
              <w:tl2br w:val="nil"/>
              <w:tr2bl w:val="nil"/>
            </w:tcBorders>
            <w:noWrap w:val="0"/>
            <w:vAlign w:val="center"/>
          </w:tcPr>
          <w:p w14:paraId="37305963">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122.58</w:t>
            </w:r>
          </w:p>
        </w:tc>
      </w:tr>
      <w:tr w14:paraId="535A4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1" w:type="dxa"/>
            <w:vMerge w:val="continue"/>
            <w:tcBorders>
              <w:tl2br w:val="nil"/>
              <w:tr2bl w:val="nil"/>
            </w:tcBorders>
            <w:noWrap w:val="0"/>
            <w:vAlign w:val="center"/>
          </w:tcPr>
          <w:p w14:paraId="6A2A620A">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p>
        </w:tc>
        <w:tc>
          <w:tcPr>
            <w:tcW w:w="700" w:type="dxa"/>
            <w:vMerge w:val="continue"/>
            <w:tcBorders>
              <w:tl2br w:val="nil"/>
              <w:tr2bl w:val="nil"/>
            </w:tcBorders>
            <w:noWrap w:val="0"/>
            <w:vAlign w:val="center"/>
          </w:tcPr>
          <w:p w14:paraId="1525D246">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p>
        </w:tc>
        <w:tc>
          <w:tcPr>
            <w:tcW w:w="967" w:type="dxa"/>
            <w:tcBorders>
              <w:tl2br w:val="nil"/>
              <w:tr2bl w:val="nil"/>
            </w:tcBorders>
            <w:noWrap w:val="0"/>
            <w:vAlign w:val="center"/>
          </w:tcPr>
          <w:p w14:paraId="74D7B6BF">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NH</w:t>
            </w:r>
            <w:r>
              <w:rPr>
                <w:rFonts w:hint="default" w:ascii="Times New Roman" w:hAnsi="Times New Roman" w:eastAsia="宋体" w:cs="Times New Roman"/>
                <w:b w:val="0"/>
                <w:bCs/>
                <w:color w:val="000000" w:themeColor="text1"/>
                <w:kern w:val="2"/>
                <w:sz w:val="21"/>
                <w:szCs w:val="21"/>
                <w:highlight w:val="none"/>
                <w:u w:val="wave"/>
                <w:vertAlign w:val="subscript"/>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-N</w:t>
            </w:r>
          </w:p>
        </w:tc>
        <w:tc>
          <w:tcPr>
            <w:tcW w:w="1241" w:type="dxa"/>
            <w:tcBorders>
              <w:tl2br w:val="nil"/>
              <w:tr2bl w:val="nil"/>
            </w:tcBorders>
            <w:noWrap w:val="0"/>
            <w:vAlign w:val="center"/>
          </w:tcPr>
          <w:p w14:paraId="63242097">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0.453</w:t>
            </w:r>
          </w:p>
        </w:tc>
        <w:tc>
          <w:tcPr>
            <w:tcW w:w="1241" w:type="dxa"/>
            <w:tcBorders>
              <w:tl2br w:val="nil"/>
              <w:tr2bl w:val="nil"/>
            </w:tcBorders>
            <w:noWrap w:val="0"/>
            <w:vAlign w:val="center"/>
          </w:tcPr>
          <w:p w14:paraId="17D40A81">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1.5</w:t>
            </w:r>
          </w:p>
        </w:tc>
        <w:tc>
          <w:tcPr>
            <w:tcW w:w="1120" w:type="dxa"/>
            <w:tcBorders>
              <w:tl2br w:val="nil"/>
              <w:tr2bl w:val="nil"/>
            </w:tcBorders>
            <w:noWrap w:val="0"/>
            <w:vAlign w:val="center"/>
          </w:tcPr>
          <w:p w14:paraId="113ACF86">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26.49</w:t>
            </w:r>
          </w:p>
        </w:tc>
        <w:tc>
          <w:tcPr>
            <w:tcW w:w="1083" w:type="dxa"/>
            <w:tcBorders>
              <w:tl2br w:val="nil"/>
              <w:tr2bl w:val="nil"/>
            </w:tcBorders>
            <w:noWrap w:val="0"/>
            <w:vAlign w:val="center"/>
          </w:tcPr>
          <w:p w14:paraId="00E86C79">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5.48</w:t>
            </w:r>
          </w:p>
        </w:tc>
        <w:tc>
          <w:tcPr>
            <w:tcW w:w="1032" w:type="dxa"/>
            <w:tcBorders>
              <w:tl2br w:val="nil"/>
              <w:tr2bl w:val="nil"/>
            </w:tcBorders>
            <w:noWrap w:val="0"/>
            <w:vAlign w:val="center"/>
          </w:tcPr>
          <w:p w14:paraId="30014FBB">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18.25</w:t>
            </w:r>
          </w:p>
        </w:tc>
        <w:tc>
          <w:tcPr>
            <w:tcW w:w="1032" w:type="dxa"/>
            <w:tcBorders>
              <w:tl2br w:val="nil"/>
              <w:tr2bl w:val="nil"/>
            </w:tcBorders>
            <w:noWrap w:val="0"/>
            <w:vAlign w:val="center"/>
          </w:tcPr>
          <w:p w14:paraId="3B4209AE">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2.76</w:t>
            </w:r>
          </w:p>
        </w:tc>
      </w:tr>
      <w:tr w14:paraId="6E1B7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1" w:type="dxa"/>
            <w:vMerge w:val="continue"/>
            <w:tcBorders>
              <w:tl2br w:val="nil"/>
              <w:tr2bl w:val="nil"/>
            </w:tcBorders>
            <w:noWrap w:val="0"/>
            <w:vAlign w:val="center"/>
          </w:tcPr>
          <w:p w14:paraId="5E92F5A2">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p>
        </w:tc>
        <w:tc>
          <w:tcPr>
            <w:tcW w:w="700" w:type="dxa"/>
            <w:vMerge w:val="continue"/>
            <w:tcBorders>
              <w:tl2br w:val="nil"/>
              <w:tr2bl w:val="nil"/>
            </w:tcBorders>
            <w:noWrap w:val="0"/>
            <w:vAlign w:val="center"/>
          </w:tcPr>
          <w:p w14:paraId="5ED472AD">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p>
        </w:tc>
        <w:tc>
          <w:tcPr>
            <w:tcW w:w="967" w:type="dxa"/>
            <w:tcBorders>
              <w:tl2br w:val="nil"/>
              <w:tr2bl w:val="nil"/>
            </w:tcBorders>
            <w:noWrap w:val="0"/>
            <w:vAlign w:val="center"/>
          </w:tcPr>
          <w:p w14:paraId="6ACA1E28">
            <w:pPr>
              <w:keepNext/>
              <w:keepLines/>
              <w:widowControl w:val="0"/>
              <w:suppressLineNumbers w:val="0"/>
              <w:spacing w:before="0" w:beforeAutospacing="0" w:after="0" w:afterAutospacing="0" w:line="240" w:lineRule="auto"/>
              <w:ind w:left="0" w:leftChars="0" w:right="0" w:rightChars="0" w:firstLine="210" w:firstLineChars="10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TP</w:t>
            </w:r>
          </w:p>
        </w:tc>
        <w:tc>
          <w:tcPr>
            <w:tcW w:w="1241" w:type="dxa"/>
            <w:tcBorders>
              <w:tl2br w:val="nil"/>
              <w:tr2bl w:val="nil"/>
            </w:tcBorders>
            <w:noWrap w:val="0"/>
            <w:vAlign w:val="center"/>
          </w:tcPr>
          <w:p w14:paraId="13623229">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0.06</w:t>
            </w:r>
          </w:p>
        </w:tc>
        <w:tc>
          <w:tcPr>
            <w:tcW w:w="1241" w:type="dxa"/>
            <w:tcBorders>
              <w:tl2br w:val="nil"/>
              <w:tr2bl w:val="nil"/>
            </w:tcBorders>
            <w:noWrap w:val="0"/>
            <w:vAlign w:val="center"/>
          </w:tcPr>
          <w:p w14:paraId="6139D096">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0.3</w:t>
            </w:r>
          </w:p>
        </w:tc>
        <w:tc>
          <w:tcPr>
            <w:tcW w:w="1120" w:type="dxa"/>
            <w:tcBorders>
              <w:tl2br w:val="nil"/>
              <w:tr2bl w:val="nil"/>
            </w:tcBorders>
            <w:noWrap w:val="0"/>
            <w:vAlign w:val="center"/>
          </w:tcPr>
          <w:p w14:paraId="0E79DF21">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5.99</w:t>
            </w:r>
          </w:p>
        </w:tc>
        <w:tc>
          <w:tcPr>
            <w:tcW w:w="1083" w:type="dxa"/>
            <w:tcBorders>
              <w:tl2br w:val="nil"/>
              <w:tr2bl w:val="nil"/>
            </w:tcBorders>
            <w:noWrap w:val="0"/>
            <w:vAlign w:val="center"/>
          </w:tcPr>
          <w:p w14:paraId="53258B1F">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0.55</w:t>
            </w:r>
          </w:p>
        </w:tc>
        <w:tc>
          <w:tcPr>
            <w:tcW w:w="1032" w:type="dxa"/>
            <w:tcBorders>
              <w:tl2br w:val="nil"/>
              <w:tr2bl w:val="nil"/>
            </w:tcBorders>
            <w:noWrap w:val="0"/>
            <w:vAlign w:val="center"/>
          </w:tcPr>
          <w:p w14:paraId="238B9DFE">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1.83</w:t>
            </w:r>
          </w:p>
        </w:tc>
        <w:tc>
          <w:tcPr>
            <w:tcW w:w="1032" w:type="dxa"/>
            <w:tcBorders>
              <w:tl2br w:val="nil"/>
              <w:tr2bl w:val="nil"/>
            </w:tcBorders>
            <w:noWrap w:val="0"/>
            <w:vAlign w:val="center"/>
          </w:tcPr>
          <w:p w14:paraId="517A83C8">
            <w:pPr>
              <w:keepNext/>
              <w:keepLines/>
              <w:widowControl w:val="0"/>
              <w:suppressLineNumbers w:val="0"/>
              <w:spacing w:before="0" w:beforeAutospacing="0" w:after="0" w:afterAutospacing="0" w:line="240" w:lineRule="auto"/>
              <w:ind w:left="0" w:leftChars="0" w:right="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3.61</w:t>
            </w:r>
          </w:p>
        </w:tc>
      </w:tr>
      <w:tr w14:paraId="4027C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1" w:type="dxa"/>
            <w:vMerge w:val="restart"/>
            <w:tcBorders>
              <w:tl2br w:val="nil"/>
              <w:tr2bl w:val="nil"/>
            </w:tcBorders>
            <w:noWrap w:val="0"/>
            <w:vAlign w:val="center"/>
          </w:tcPr>
          <w:p w14:paraId="49B8BA40">
            <w:pPr>
              <w:keepNext w:val="0"/>
              <w:keepLines w:val="0"/>
              <w:widowControl w:val="0"/>
              <w:suppressLineNumbers w:val="0"/>
              <w:autoSpaceDE w:val="0"/>
              <w:autoSpaceDN w:val="0"/>
              <w:snapToGrid w:val="0"/>
              <w:spacing w:before="0" w:beforeAutospacing="0" w:after="0" w:afterAutospacing="0" w:line="240" w:lineRule="auto"/>
              <w:ind w:left="0" w:right="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p>
          <w:p w14:paraId="52001869">
            <w:pPr>
              <w:keepNext w:val="0"/>
              <w:keepLines w:val="0"/>
              <w:widowControl w:val="0"/>
              <w:suppressLineNumbers w:val="0"/>
              <w:autoSpaceDE w:val="0"/>
              <w:autoSpaceDN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t>老三运河</w:t>
            </w:r>
          </w:p>
        </w:tc>
        <w:tc>
          <w:tcPr>
            <w:tcW w:w="700" w:type="dxa"/>
            <w:vMerge w:val="restart"/>
            <w:tcBorders>
              <w:tl2br w:val="nil"/>
              <w:tr2bl w:val="nil"/>
            </w:tcBorders>
            <w:noWrap w:val="0"/>
            <w:vAlign w:val="center"/>
          </w:tcPr>
          <w:p w14:paraId="441857AD">
            <w:pPr>
              <w:keepNext w:val="0"/>
              <w:keepLines w:val="0"/>
              <w:widowControl w:val="0"/>
              <w:suppressLineNumbers w:val="0"/>
              <w:autoSpaceDE w:val="0"/>
              <w:autoSpaceDN w:val="0"/>
              <w:snapToGrid w:val="0"/>
              <w:spacing w:before="0" w:beforeAutospacing="0" w:after="0" w:afterAutospacing="0" w:line="240" w:lineRule="auto"/>
              <w:ind w:left="0" w:right="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p>
          <w:p w14:paraId="36E74341">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t>正常</w:t>
            </w:r>
          </w:p>
          <w:p w14:paraId="0C5C565F">
            <w:pPr>
              <w:keepNext w:val="0"/>
              <w:keepLines w:val="0"/>
              <w:widowControl w:val="0"/>
              <w:suppressLineNumbers w:val="0"/>
              <w:autoSpaceDE w:val="0"/>
              <w:autoSpaceDN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t>排放</w:t>
            </w:r>
          </w:p>
        </w:tc>
        <w:tc>
          <w:tcPr>
            <w:tcW w:w="967" w:type="dxa"/>
            <w:tcBorders>
              <w:tl2br w:val="nil"/>
              <w:tr2bl w:val="nil"/>
            </w:tcBorders>
            <w:noWrap w:val="0"/>
            <w:vAlign w:val="center"/>
          </w:tcPr>
          <w:p w14:paraId="58039132">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COD</w:t>
            </w:r>
            <w:r>
              <w:rPr>
                <w:rFonts w:hint="default" w:ascii="Times New Roman" w:hAnsi="Times New Roman" w:eastAsia="宋体" w:cs="Times New Roman"/>
                <w:b w:val="0"/>
                <w:bCs/>
                <w:color w:val="000000" w:themeColor="text1"/>
                <w:kern w:val="2"/>
                <w:sz w:val="24"/>
                <w:szCs w:val="24"/>
                <w:highlight w:val="none"/>
                <w:u w:val="wave"/>
                <w:lang w:val="en-US" w:eastAsia="zh-CN" w:bidi="ar-SA"/>
                <w14:textFill>
                  <w14:solidFill>
                    <w14:schemeClr w14:val="tx1"/>
                  </w14:solidFill>
                </w14:textFill>
              </w:rPr>
              <w:t>cr</w:t>
            </w:r>
          </w:p>
        </w:tc>
        <w:tc>
          <w:tcPr>
            <w:tcW w:w="1241" w:type="dxa"/>
            <w:tcBorders>
              <w:tl2br w:val="nil"/>
              <w:tr2bl w:val="nil"/>
            </w:tcBorders>
            <w:noWrap w:val="0"/>
            <w:vAlign w:val="center"/>
          </w:tcPr>
          <w:p w14:paraId="02CA9264">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17</w:t>
            </w:r>
          </w:p>
        </w:tc>
        <w:tc>
          <w:tcPr>
            <w:tcW w:w="1241" w:type="dxa"/>
            <w:tcBorders>
              <w:tl2br w:val="nil"/>
              <w:tr2bl w:val="nil"/>
            </w:tcBorders>
            <w:noWrap w:val="0"/>
            <w:vAlign w:val="center"/>
          </w:tcPr>
          <w:p w14:paraId="43623C0E">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20</w:t>
            </w:r>
          </w:p>
        </w:tc>
        <w:tc>
          <w:tcPr>
            <w:tcW w:w="1120" w:type="dxa"/>
            <w:tcBorders>
              <w:tl2br w:val="nil"/>
              <w:tr2bl w:val="nil"/>
            </w:tcBorders>
            <w:noWrap w:val="0"/>
            <w:vAlign w:val="center"/>
          </w:tcPr>
          <w:p w14:paraId="18CFE823">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default"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408.08</w:t>
            </w:r>
          </w:p>
        </w:tc>
        <w:tc>
          <w:tcPr>
            <w:tcW w:w="1083" w:type="dxa"/>
            <w:tcBorders>
              <w:tl2br w:val="nil"/>
              <w:tr2bl w:val="nil"/>
            </w:tcBorders>
            <w:noWrap w:val="0"/>
            <w:vAlign w:val="center"/>
          </w:tcPr>
          <w:p w14:paraId="2456891F">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54.75</w:t>
            </w:r>
          </w:p>
        </w:tc>
        <w:tc>
          <w:tcPr>
            <w:tcW w:w="1032" w:type="dxa"/>
            <w:tcBorders>
              <w:tl2br w:val="nil"/>
              <w:tr2bl w:val="nil"/>
            </w:tcBorders>
            <w:noWrap w:val="0"/>
            <w:vAlign w:val="center"/>
          </w:tcPr>
          <w:p w14:paraId="3FC9B08A">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182.5</w:t>
            </w:r>
          </w:p>
        </w:tc>
        <w:tc>
          <w:tcPr>
            <w:tcW w:w="1032" w:type="dxa"/>
            <w:tcBorders>
              <w:tl2br w:val="nil"/>
              <w:tr2bl w:val="nil"/>
            </w:tcBorders>
            <w:noWrap w:val="0"/>
            <w:vAlign w:val="center"/>
          </w:tcPr>
          <w:p w14:paraId="536AF5A4">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 xml:space="preserve">170.83 </w:t>
            </w:r>
          </w:p>
        </w:tc>
      </w:tr>
      <w:tr w14:paraId="01904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1" w:type="dxa"/>
            <w:vMerge w:val="continue"/>
            <w:tcBorders>
              <w:tl2br w:val="nil"/>
              <w:tr2bl w:val="nil"/>
            </w:tcBorders>
            <w:noWrap w:val="0"/>
            <w:vAlign w:val="center"/>
          </w:tcPr>
          <w:p w14:paraId="6A88A146">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p>
        </w:tc>
        <w:tc>
          <w:tcPr>
            <w:tcW w:w="700" w:type="dxa"/>
            <w:vMerge w:val="continue"/>
            <w:tcBorders>
              <w:tl2br w:val="nil"/>
              <w:tr2bl w:val="nil"/>
            </w:tcBorders>
            <w:noWrap w:val="0"/>
            <w:vAlign w:val="center"/>
          </w:tcPr>
          <w:p w14:paraId="5AD70CD6">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p>
        </w:tc>
        <w:tc>
          <w:tcPr>
            <w:tcW w:w="967" w:type="dxa"/>
            <w:tcBorders>
              <w:tl2br w:val="nil"/>
              <w:tr2bl w:val="nil"/>
            </w:tcBorders>
            <w:noWrap w:val="0"/>
            <w:vAlign w:val="center"/>
          </w:tcPr>
          <w:p w14:paraId="404B44BC">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NH</w:t>
            </w:r>
            <w:r>
              <w:rPr>
                <w:rFonts w:hint="default" w:ascii="Times New Roman" w:hAnsi="Times New Roman" w:eastAsia="宋体" w:cs="Times New Roman"/>
                <w:b w:val="0"/>
                <w:bCs/>
                <w:color w:val="000000" w:themeColor="text1"/>
                <w:kern w:val="2"/>
                <w:sz w:val="21"/>
                <w:szCs w:val="21"/>
                <w:highlight w:val="none"/>
                <w:u w:val="wave"/>
                <w:vertAlign w:val="subscript"/>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-N</w:t>
            </w:r>
          </w:p>
        </w:tc>
        <w:tc>
          <w:tcPr>
            <w:tcW w:w="1241" w:type="dxa"/>
            <w:tcBorders>
              <w:tl2br w:val="nil"/>
              <w:tr2bl w:val="nil"/>
            </w:tcBorders>
            <w:noWrap w:val="0"/>
            <w:vAlign w:val="center"/>
          </w:tcPr>
          <w:p w14:paraId="57B51A7B">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0.645</w:t>
            </w:r>
          </w:p>
        </w:tc>
        <w:tc>
          <w:tcPr>
            <w:tcW w:w="1241" w:type="dxa"/>
            <w:tcBorders>
              <w:tl2br w:val="nil"/>
              <w:tr2bl w:val="nil"/>
            </w:tcBorders>
            <w:noWrap w:val="0"/>
            <w:vAlign w:val="center"/>
          </w:tcPr>
          <w:p w14:paraId="5F98E7CF">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1.0</w:t>
            </w:r>
          </w:p>
        </w:tc>
        <w:tc>
          <w:tcPr>
            <w:tcW w:w="1120" w:type="dxa"/>
            <w:tcBorders>
              <w:tl2br w:val="nil"/>
              <w:tr2bl w:val="nil"/>
            </w:tcBorders>
            <w:noWrap w:val="0"/>
            <w:vAlign w:val="center"/>
          </w:tcPr>
          <w:p w14:paraId="2738BC68">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42.</w:t>
            </w: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89</w:t>
            </w:r>
          </w:p>
        </w:tc>
        <w:tc>
          <w:tcPr>
            <w:tcW w:w="1083" w:type="dxa"/>
            <w:tcBorders>
              <w:tl2br w:val="nil"/>
              <w:tr2bl w:val="nil"/>
            </w:tcBorders>
            <w:noWrap w:val="0"/>
            <w:vAlign w:val="center"/>
          </w:tcPr>
          <w:p w14:paraId="1A4955BD">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5.48</w:t>
            </w:r>
          </w:p>
        </w:tc>
        <w:tc>
          <w:tcPr>
            <w:tcW w:w="1032" w:type="dxa"/>
            <w:tcBorders>
              <w:tl2br w:val="nil"/>
              <w:tr2bl w:val="nil"/>
            </w:tcBorders>
            <w:noWrap w:val="0"/>
            <w:vAlign w:val="center"/>
          </w:tcPr>
          <w:p w14:paraId="2B14CA32">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18.25</w:t>
            </w:r>
          </w:p>
        </w:tc>
        <w:tc>
          <w:tcPr>
            <w:tcW w:w="1032" w:type="dxa"/>
            <w:tcBorders>
              <w:tl2br w:val="nil"/>
              <w:tr2bl w:val="nil"/>
            </w:tcBorders>
            <w:noWrap w:val="0"/>
            <w:vAlign w:val="center"/>
          </w:tcPr>
          <w:p w14:paraId="2600B867">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19.16</w:t>
            </w:r>
          </w:p>
        </w:tc>
      </w:tr>
      <w:tr w14:paraId="35E30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1" w:type="dxa"/>
            <w:vMerge w:val="continue"/>
            <w:tcBorders>
              <w:tl2br w:val="nil"/>
              <w:tr2bl w:val="nil"/>
            </w:tcBorders>
            <w:noWrap w:val="0"/>
            <w:vAlign w:val="center"/>
          </w:tcPr>
          <w:p w14:paraId="10E54D66">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p>
        </w:tc>
        <w:tc>
          <w:tcPr>
            <w:tcW w:w="700" w:type="dxa"/>
            <w:vMerge w:val="continue"/>
            <w:tcBorders>
              <w:tl2br w:val="nil"/>
              <w:tr2bl w:val="nil"/>
            </w:tcBorders>
            <w:noWrap w:val="0"/>
            <w:vAlign w:val="center"/>
          </w:tcPr>
          <w:p w14:paraId="7931F224">
            <w:pPr>
              <w:keepNext w:val="0"/>
              <w:keepLines w:val="0"/>
              <w:widowControl w:val="0"/>
              <w:suppressLineNumbers w:val="0"/>
              <w:autoSpaceDE w:val="0"/>
              <w:autoSpaceDN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Cs/>
                <w:color w:val="000000" w:themeColor="text1"/>
                <w:kern w:val="2"/>
                <w:sz w:val="21"/>
                <w:szCs w:val="21"/>
                <w:highlight w:val="none"/>
                <w:u w:val="wave"/>
                <w:lang w:val="en-US" w:eastAsia="zh-CN" w:bidi="zh-CN"/>
                <w14:textFill>
                  <w14:solidFill>
                    <w14:schemeClr w14:val="tx1"/>
                  </w14:solidFill>
                </w14:textFill>
              </w:rPr>
            </w:pPr>
          </w:p>
        </w:tc>
        <w:tc>
          <w:tcPr>
            <w:tcW w:w="967" w:type="dxa"/>
            <w:tcBorders>
              <w:tl2br w:val="nil"/>
              <w:tr2bl w:val="nil"/>
            </w:tcBorders>
            <w:noWrap w:val="0"/>
            <w:vAlign w:val="center"/>
          </w:tcPr>
          <w:p w14:paraId="28070A27">
            <w:pPr>
              <w:keepNext/>
              <w:keepLines/>
              <w:widowControl w:val="0"/>
              <w:suppressLineNumbers w:val="0"/>
              <w:spacing w:before="0" w:beforeAutospacing="0" w:after="0" w:afterAutospacing="0" w:line="240" w:lineRule="auto"/>
              <w:ind w:left="0" w:leftChars="0" w:right="0" w:rightChars="0" w:firstLine="210" w:firstLineChars="100"/>
              <w:jc w:val="center"/>
              <w:outlineLvl w:val="3"/>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TP</w:t>
            </w:r>
          </w:p>
        </w:tc>
        <w:tc>
          <w:tcPr>
            <w:tcW w:w="1241" w:type="dxa"/>
            <w:tcBorders>
              <w:tl2br w:val="nil"/>
              <w:tr2bl w:val="nil"/>
            </w:tcBorders>
            <w:noWrap w:val="0"/>
            <w:vAlign w:val="center"/>
          </w:tcPr>
          <w:p w14:paraId="7A7F8C23">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0.09</w:t>
            </w:r>
          </w:p>
        </w:tc>
        <w:tc>
          <w:tcPr>
            <w:tcW w:w="1241" w:type="dxa"/>
            <w:tcBorders>
              <w:tl2br w:val="nil"/>
              <w:tr2bl w:val="nil"/>
            </w:tcBorders>
            <w:noWrap w:val="0"/>
            <w:vAlign w:val="center"/>
          </w:tcPr>
          <w:p w14:paraId="4ADD86A2">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0.2</w:t>
            </w:r>
          </w:p>
        </w:tc>
        <w:tc>
          <w:tcPr>
            <w:tcW w:w="1120" w:type="dxa"/>
            <w:tcBorders>
              <w:tl2br w:val="nil"/>
              <w:tr2bl w:val="nil"/>
            </w:tcBorders>
            <w:noWrap w:val="0"/>
            <w:vAlign w:val="center"/>
          </w:tcPr>
          <w:p w14:paraId="5101FC8D">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12.61</w:t>
            </w:r>
          </w:p>
        </w:tc>
        <w:tc>
          <w:tcPr>
            <w:tcW w:w="1083" w:type="dxa"/>
            <w:tcBorders>
              <w:tl2br w:val="nil"/>
              <w:tr2bl w:val="nil"/>
            </w:tcBorders>
            <w:noWrap w:val="0"/>
            <w:vAlign w:val="center"/>
          </w:tcPr>
          <w:p w14:paraId="691ED00F">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0.55</w:t>
            </w:r>
          </w:p>
        </w:tc>
        <w:tc>
          <w:tcPr>
            <w:tcW w:w="1032" w:type="dxa"/>
            <w:tcBorders>
              <w:tl2br w:val="nil"/>
              <w:tr2bl w:val="nil"/>
            </w:tcBorders>
            <w:noWrap w:val="0"/>
            <w:vAlign w:val="center"/>
          </w:tcPr>
          <w:p w14:paraId="01C38D40">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1.83</w:t>
            </w:r>
          </w:p>
        </w:tc>
        <w:tc>
          <w:tcPr>
            <w:tcW w:w="1032" w:type="dxa"/>
            <w:tcBorders>
              <w:tl2br w:val="nil"/>
              <w:tr2bl w:val="nil"/>
            </w:tcBorders>
            <w:noWrap w:val="0"/>
            <w:vAlign w:val="center"/>
          </w:tcPr>
          <w:p w14:paraId="3649D804">
            <w:pPr>
              <w:keepNext/>
              <w:keepLines/>
              <w:widowControl w:val="0"/>
              <w:suppressLineNumbers w:val="0"/>
              <w:spacing w:before="0" w:beforeAutospacing="0" w:after="0" w:afterAutospacing="0" w:line="240" w:lineRule="auto"/>
              <w:ind w:left="0" w:leftChars="0" w:right="0" w:rightChars="0" w:firstLine="0" w:firstLineChars="0"/>
              <w:jc w:val="center"/>
              <w:outlineLvl w:val="3"/>
              <w:rPr>
                <w:rFonts w:hint="eastAsia" w:cs="Times New Roman"/>
                <w:b w:val="0"/>
                <w:bCs/>
                <w:color w:val="000000" w:themeColor="text1"/>
                <w:kern w:val="2"/>
                <w:sz w:val="21"/>
                <w:szCs w:val="21"/>
                <w:highlight w:val="none"/>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wave"/>
                <w:vertAlign w:val="baseline"/>
                <w:lang w:val="en-US" w:eastAsia="zh-CN" w:bidi="ar-SA"/>
                <w14:textFill>
                  <w14:solidFill>
                    <w14:schemeClr w14:val="tx1"/>
                  </w14:solidFill>
                </w14:textFill>
              </w:rPr>
              <w:t>10.23</w:t>
            </w:r>
          </w:p>
        </w:tc>
      </w:tr>
    </w:tbl>
    <w:p w14:paraId="068517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000000" w:themeColor="text1"/>
          <w:kern w:val="2"/>
          <w:sz w:val="24"/>
          <w:szCs w:val="24"/>
          <w:u w:val="wav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u w:val="wave"/>
          <w:lang w:val="en-US" w:eastAsia="zh-CN"/>
          <w14:textFill>
            <w14:solidFill>
              <w14:schemeClr w14:val="tx1"/>
            </w14:solidFill>
          </w14:textFill>
        </w:rPr>
        <w:t>根据上述计算结果，机排二十渠CODcr、NH</w:t>
      </w:r>
      <w:r>
        <w:rPr>
          <w:rFonts w:hint="default" w:ascii="Times New Roman" w:hAnsi="Times New Roman" w:eastAsia="宋体" w:cs="Times New Roman"/>
          <w:b w:val="0"/>
          <w:bCs/>
          <w:color w:val="000000" w:themeColor="text1"/>
          <w:kern w:val="2"/>
          <w:sz w:val="24"/>
          <w:szCs w:val="24"/>
          <w:u w:val="wave"/>
          <w:vertAlign w:val="sub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2"/>
          <w:sz w:val="24"/>
          <w:szCs w:val="24"/>
          <w:u w:val="wave"/>
          <w:lang w:val="en-US" w:eastAsia="zh-CN"/>
          <w14:textFill>
            <w14:solidFill>
              <w14:schemeClr w14:val="tx1"/>
            </w14:solidFill>
          </w14:textFill>
        </w:rPr>
        <w:t>-N、TP环境剩余容量分别为</w:t>
      </w:r>
      <w:r>
        <w:rPr>
          <w:rFonts w:hint="eastAsia" w:cs="Times New Roman"/>
          <w:b w:val="0"/>
          <w:bCs/>
          <w:color w:val="000000" w:themeColor="text1"/>
          <w:kern w:val="2"/>
          <w:sz w:val="24"/>
          <w:szCs w:val="24"/>
          <w:u w:val="wave"/>
          <w:lang w:val="en-US" w:eastAsia="zh-CN"/>
          <w14:textFill>
            <w14:solidFill>
              <w14:schemeClr w14:val="tx1"/>
            </w14:solidFill>
          </w14:textFill>
        </w:rPr>
        <w:t>122.58</w:t>
      </w:r>
      <w:r>
        <w:rPr>
          <w:rFonts w:hint="default" w:ascii="Times New Roman" w:hAnsi="Times New Roman" w:eastAsia="宋体" w:cs="Times New Roman"/>
          <w:b w:val="0"/>
          <w:bCs/>
          <w:color w:val="000000" w:themeColor="text1"/>
          <w:kern w:val="2"/>
          <w:sz w:val="24"/>
          <w:szCs w:val="24"/>
          <w:u w:val="wave"/>
          <w:lang w:val="en-US" w:eastAsia="zh-CN"/>
          <w14:textFill>
            <w14:solidFill>
              <w14:schemeClr w14:val="tx1"/>
            </w14:solidFill>
          </w14:textFill>
        </w:rPr>
        <w:t>t/a、</w:t>
      </w:r>
      <w:r>
        <w:rPr>
          <w:rFonts w:hint="eastAsia" w:cs="Times New Roman"/>
          <w:b w:val="0"/>
          <w:bCs/>
          <w:color w:val="000000" w:themeColor="text1"/>
          <w:kern w:val="2"/>
          <w:sz w:val="24"/>
          <w:szCs w:val="24"/>
          <w:u w:val="wave"/>
          <w:lang w:val="en-US" w:eastAsia="zh-CN"/>
          <w14:textFill>
            <w14:solidFill>
              <w14:schemeClr w14:val="tx1"/>
            </w14:solidFill>
          </w14:textFill>
        </w:rPr>
        <w:t>2.76</w:t>
      </w:r>
      <w:r>
        <w:rPr>
          <w:rFonts w:hint="default" w:ascii="Times New Roman" w:hAnsi="Times New Roman" w:eastAsia="宋体" w:cs="Times New Roman"/>
          <w:b w:val="0"/>
          <w:bCs/>
          <w:color w:val="000000" w:themeColor="text1"/>
          <w:kern w:val="2"/>
          <w:sz w:val="24"/>
          <w:szCs w:val="24"/>
          <w:u w:val="wave"/>
          <w:lang w:val="en-US" w:eastAsia="zh-CN"/>
          <w14:textFill>
            <w14:solidFill>
              <w14:schemeClr w14:val="tx1"/>
            </w14:solidFill>
          </w14:textFill>
        </w:rPr>
        <w:t>t/a、</w:t>
      </w:r>
      <w:r>
        <w:rPr>
          <w:rFonts w:hint="eastAsia" w:cs="Times New Roman"/>
          <w:b w:val="0"/>
          <w:bCs/>
          <w:color w:val="000000" w:themeColor="text1"/>
          <w:kern w:val="2"/>
          <w:sz w:val="24"/>
          <w:szCs w:val="24"/>
          <w:u w:val="wave"/>
          <w:lang w:val="en-US" w:eastAsia="zh-CN"/>
          <w14:textFill>
            <w14:solidFill>
              <w14:schemeClr w14:val="tx1"/>
            </w14:solidFill>
          </w14:textFill>
        </w:rPr>
        <w:t>3.61</w:t>
      </w:r>
      <w:r>
        <w:rPr>
          <w:rFonts w:hint="default" w:ascii="Times New Roman" w:hAnsi="Times New Roman" w:eastAsia="宋体" w:cs="Times New Roman"/>
          <w:b w:val="0"/>
          <w:bCs/>
          <w:color w:val="000000" w:themeColor="text1"/>
          <w:kern w:val="2"/>
          <w:sz w:val="24"/>
          <w:szCs w:val="24"/>
          <w:u w:val="wave"/>
          <w:lang w:val="en-US" w:eastAsia="zh-CN"/>
          <w14:textFill>
            <w14:solidFill>
              <w14:schemeClr w14:val="tx1"/>
            </w14:solidFill>
          </w14:textFill>
        </w:rPr>
        <w:t>t/a；老三运河CODcr、NH</w:t>
      </w:r>
      <w:r>
        <w:rPr>
          <w:rFonts w:hint="default" w:ascii="Times New Roman" w:hAnsi="Times New Roman" w:eastAsia="宋体" w:cs="Times New Roman"/>
          <w:b w:val="0"/>
          <w:bCs/>
          <w:color w:val="000000" w:themeColor="text1"/>
          <w:kern w:val="2"/>
          <w:sz w:val="24"/>
          <w:szCs w:val="24"/>
          <w:u w:val="wave"/>
          <w:vertAlign w:val="sub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2"/>
          <w:sz w:val="24"/>
          <w:szCs w:val="24"/>
          <w:u w:val="wave"/>
          <w:lang w:val="en-US" w:eastAsia="zh-CN"/>
          <w14:textFill>
            <w14:solidFill>
              <w14:schemeClr w14:val="tx1"/>
            </w14:solidFill>
          </w14:textFill>
        </w:rPr>
        <w:t>-N、TP环境剩余容量分别为</w:t>
      </w:r>
      <w:r>
        <w:rPr>
          <w:rFonts w:hint="eastAsia" w:cs="Times New Roman"/>
          <w:b w:val="0"/>
          <w:bCs/>
          <w:color w:val="000000" w:themeColor="text1"/>
          <w:kern w:val="2"/>
          <w:sz w:val="24"/>
          <w:szCs w:val="24"/>
          <w:u w:val="wave"/>
          <w:lang w:val="en-US" w:eastAsia="zh-CN"/>
          <w14:textFill>
            <w14:solidFill>
              <w14:schemeClr w14:val="tx1"/>
            </w14:solidFill>
          </w14:textFill>
        </w:rPr>
        <w:t>170.83</w:t>
      </w:r>
      <w:r>
        <w:rPr>
          <w:rFonts w:hint="default" w:ascii="Times New Roman" w:hAnsi="Times New Roman" w:eastAsia="宋体" w:cs="Times New Roman"/>
          <w:b w:val="0"/>
          <w:bCs/>
          <w:color w:val="000000" w:themeColor="text1"/>
          <w:kern w:val="2"/>
          <w:sz w:val="24"/>
          <w:szCs w:val="24"/>
          <w:u w:val="wave"/>
          <w:lang w:val="en-US" w:eastAsia="zh-CN"/>
          <w14:textFill>
            <w14:solidFill>
              <w14:schemeClr w14:val="tx1"/>
            </w14:solidFill>
          </w14:textFill>
        </w:rPr>
        <w:t>t/a、</w:t>
      </w:r>
      <w:r>
        <w:rPr>
          <w:rFonts w:hint="eastAsia" w:cs="Times New Roman"/>
          <w:b w:val="0"/>
          <w:bCs/>
          <w:color w:val="000000" w:themeColor="text1"/>
          <w:kern w:val="2"/>
          <w:sz w:val="24"/>
          <w:szCs w:val="24"/>
          <w:u w:val="wave"/>
          <w:lang w:val="en-US" w:eastAsia="zh-CN"/>
          <w14:textFill>
            <w14:solidFill>
              <w14:schemeClr w14:val="tx1"/>
            </w14:solidFill>
          </w14:textFill>
        </w:rPr>
        <w:t>19.16</w:t>
      </w:r>
      <w:r>
        <w:rPr>
          <w:rFonts w:hint="default" w:ascii="Times New Roman" w:hAnsi="Times New Roman" w:eastAsia="宋体" w:cs="Times New Roman"/>
          <w:b w:val="0"/>
          <w:bCs/>
          <w:color w:val="000000" w:themeColor="text1"/>
          <w:kern w:val="2"/>
          <w:sz w:val="24"/>
          <w:szCs w:val="24"/>
          <w:u w:val="wave"/>
          <w:lang w:val="en-US" w:eastAsia="zh-CN"/>
          <w14:textFill>
            <w14:solidFill>
              <w14:schemeClr w14:val="tx1"/>
            </w14:solidFill>
          </w14:textFill>
        </w:rPr>
        <w:t>t/a、10.23t/a；本次排污口论证排放量未超过机排二十渠、老三运河的纳污能力，现有纳污能力能满足本排污口论证需求。</w:t>
      </w:r>
    </w:p>
    <w:p w14:paraId="522F9B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FF0000"/>
          <w:kern w:val="2"/>
          <w:sz w:val="24"/>
          <w:szCs w:val="24"/>
          <w:u w:val="wave"/>
          <w:lang w:val="en-US" w:eastAsia="zh-CN"/>
        </w:rPr>
      </w:pPr>
      <w:r>
        <w:rPr>
          <w:rFonts w:hint="default" w:ascii="Times New Roman" w:hAnsi="Times New Roman" w:eastAsia="宋体" w:cs="Times New Roman"/>
          <w:b w:val="0"/>
          <w:bCs/>
          <w:color w:val="FF0000"/>
          <w:kern w:val="2"/>
          <w:sz w:val="24"/>
          <w:szCs w:val="24"/>
          <w:u w:val="wave"/>
          <w:lang w:val="en-US" w:eastAsia="zh-CN"/>
        </w:rPr>
        <w:t>同时，根据《环境影响评价技术导则地表水环境》（HJ2.3-2018），遵循地表水环</w:t>
      </w:r>
    </w:p>
    <w:p w14:paraId="3A60262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color w:val="FF0000"/>
          <w:kern w:val="2"/>
          <w:sz w:val="24"/>
          <w:szCs w:val="24"/>
          <w:u w:val="wave"/>
          <w:lang w:val="en-US" w:eastAsia="zh-CN"/>
        </w:rPr>
      </w:pPr>
      <w:r>
        <w:rPr>
          <w:rFonts w:hint="default" w:ascii="Times New Roman" w:hAnsi="Times New Roman" w:eastAsia="宋体" w:cs="Times New Roman"/>
          <w:b w:val="0"/>
          <w:bCs/>
          <w:color w:val="FF0000"/>
          <w:kern w:val="2"/>
          <w:sz w:val="24"/>
          <w:szCs w:val="24"/>
          <w:u w:val="wave"/>
          <w:lang w:val="en-US" w:eastAsia="zh-CN"/>
        </w:rPr>
        <w:t>境质量底线要求，主要污染物（COD、NH</w:t>
      </w:r>
      <w:r>
        <w:rPr>
          <w:rFonts w:hint="default" w:ascii="Times New Roman" w:hAnsi="Times New Roman" w:eastAsia="宋体" w:cs="Times New Roman"/>
          <w:b w:val="0"/>
          <w:bCs/>
          <w:color w:val="FF0000"/>
          <w:kern w:val="2"/>
          <w:sz w:val="24"/>
          <w:szCs w:val="24"/>
          <w:u w:val="wave"/>
          <w:vertAlign w:val="subscript"/>
          <w:lang w:val="en-US" w:eastAsia="zh-CN"/>
        </w:rPr>
        <w:t>3</w:t>
      </w:r>
      <w:r>
        <w:rPr>
          <w:rFonts w:hint="default" w:ascii="Times New Roman" w:hAnsi="Times New Roman" w:eastAsia="宋体" w:cs="Times New Roman"/>
          <w:b w:val="0"/>
          <w:bCs/>
          <w:color w:val="FF0000"/>
          <w:kern w:val="2"/>
          <w:sz w:val="24"/>
          <w:szCs w:val="24"/>
          <w:u w:val="wave"/>
          <w:lang w:val="en-US" w:eastAsia="zh-CN"/>
        </w:rPr>
        <w:t>-N、TP）需预留必要的安全余量。安全余量可按地表水环境质量标准、受纳水体环境敏感性等确定：受纳水体为《地表水环境质量标准》（GB3838-2002）</w:t>
      </w:r>
      <w:r>
        <w:rPr>
          <w:rFonts w:hint="eastAsia" w:cs="Times New Roman"/>
          <w:b w:val="0"/>
          <w:bCs/>
          <w:color w:val="FF0000"/>
          <w:kern w:val="2"/>
          <w:sz w:val="24"/>
          <w:szCs w:val="24"/>
          <w:u w:val="wave"/>
          <w:lang w:val="en-US" w:eastAsia="zh-CN"/>
        </w:rPr>
        <w:t>III类</w:t>
      </w:r>
      <w:r>
        <w:rPr>
          <w:rFonts w:hint="default" w:ascii="Times New Roman" w:hAnsi="Times New Roman" w:eastAsia="宋体" w:cs="Times New Roman"/>
          <w:b w:val="0"/>
          <w:bCs/>
          <w:color w:val="FF0000"/>
          <w:kern w:val="2"/>
          <w:sz w:val="24"/>
          <w:szCs w:val="24"/>
          <w:u w:val="wave"/>
          <w:lang w:val="en-US" w:eastAsia="zh-CN"/>
        </w:rPr>
        <w:t>水域，以及涉及水环境保护目标的水域，安全余量按照不低于建设项目污染源排放量核算断面（点位）处环境质量标准的 10%确定（安全余量≥环境质量标准×10％）</w:t>
      </w:r>
      <w:r>
        <w:rPr>
          <w:rFonts w:hint="eastAsia" w:ascii="Times New Roman" w:hAnsi="Times New Roman" w:eastAsia="宋体" w:cs="Times New Roman"/>
          <w:b w:val="0"/>
          <w:bCs/>
          <w:color w:val="FF0000"/>
          <w:kern w:val="2"/>
          <w:sz w:val="24"/>
          <w:szCs w:val="24"/>
          <w:u w:val="wave"/>
          <w:lang w:val="en-US" w:eastAsia="zh-CN"/>
        </w:rPr>
        <w:t>；</w:t>
      </w:r>
      <w:r>
        <w:rPr>
          <w:rFonts w:hint="default" w:ascii="Times New Roman" w:hAnsi="Times New Roman" w:eastAsia="宋体" w:cs="Times New Roman"/>
          <w:b w:val="0"/>
          <w:bCs/>
          <w:color w:val="FF0000"/>
          <w:kern w:val="2"/>
          <w:sz w:val="24"/>
          <w:szCs w:val="24"/>
          <w:u w:val="wave"/>
          <w:lang w:val="en-US" w:eastAsia="zh-CN"/>
        </w:rPr>
        <w:t>受纳水体为《地表水环境质量标准》（GB3838-2002）</w:t>
      </w:r>
      <w:r>
        <w:rPr>
          <w:rFonts w:hint="eastAsia" w:ascii="Times New Roman" w:hAnsi="Times New Roman" w:eastAsia="宋体" w:cs="Times New Roman"/>
          <w:b w:val="0"/>
          <w:bCs/>
          <w:color w:val="FF0000"/>
          <w:kern w:val="2"/>
          <w:sz w:val="24"/>
          <w:szCs w:val="24"/>
          <w:u w:val="wave"/>
          <w:lang w:val="en-US" w:eastAsia="zh-CN"/>
        </w:rPr>
        <w:t>IV类</w:t>
      </w:r>
      <w:r>
        <w:rPr>
          <w:rFonts w:hint="default" w:ascii="Times New Roman" w:hAnsi="Times New Roman" w:eastAsia="宋体" w:cs="Times New Roman"/>
          <w:b w:val="0"/>
          <w:bCs/>
          <w:color w:val="FF0000"/>
          <w:kern w:val="2"/>
          <w:sz w:val="24"/>
          <w:szCs w:val="24"/>
          <w:u w:val="wave"/>
          <w:lang w:val="en-US" w:eastAsia="zh-CN"/>
        </w:rPr>
        <w:t>水域，安全余量按照不低于建设项目污染源排放量核算断面（点位）处环境质量标准的</w:t>
      </w:r>
      <w:r>
        <w:rPr>
          <w:rFonts w:hint="eastAsia" w:ascii="Times New Roman" w:hAnsi="Times New Roman" w:eastAsia="宋体" w:cs="Times New Roman"/>
          <w:b w:val="0"/>
          <w:bCs/>
          <w:color w:val="FF0000"/>
          <w:kern w:val="2"/>
          <w:sz w:val="24"/>
          <w:szCs w:val="24"/>
          <w:u w:val="wave"/>
          <w:lang w:val="en-US" w:eastAsia="zh-CN"/>
        </w:rPr>
        <w:t>8</w:t>
      </w:r>
      <w:r>
        <w:rPr>
          <w:rFonts w:hint="default" w:ascii="Times New Roman" w:hAnsi="Times New Roman" w:eastAsia="宋体" w:cs="Times New Roman"/>
          <w:b w:val="0"/>
          <w:bCs/>
          <w:color w:val="FF0000"/>
          <w:kern w:val="2"/>
          <w:sz w:val="24"/>
          <w:szCs w:val="24"/>
          <w:u w:val="wave"/>
          <w:lang w:val="en-US" w:eastAsia="zh-CN"/>
        </w:rPr>
        <w:t>%确定（安全余量≥环境质量标准×</w:t>
      </w:r>
      <w:r>
        <w:rPr>
          <w:rFonts w:hint="eastAsia" w:ascii="Times New Roman" w:hAnsi="Times New Roman" w:eastAsia="宋体" w:cs="Times New Roman"/>
          <w:b w:val="0"/>
          <w:bCs/>
          <w:color w:val="FF0000"/>
          <w:kern w:val="2"/>
          <w:sz w:val="24"/>
          <w:szCs w:val="24"/>
          <w:u w:val="wave"/>
          <w:lang w:val="en-US" w:eastAsia="zh-CN"/>
        </w:rPr>
        <w:t>8</w:t>
      </w:r>
      <w:r>
        <w:rPr>
          <w:rFonts w:hint="default" w:ascii="Times New Roman" w:hAnsi="Times New Roman" w:eastAsia="宋体" w:cs="Times New Roman"/>
          <w:b w:val="0"/>
          <w:bCs/>
          <w:color w:val="FF0000"/>
          <w:kern w:val="2"/>
          <w:sz w:val="24"/>
          <w:szCs w:val="24"/>
          <w:u w:val="wave"/>
          <w:lang w:val="en-US" w:eastAsia="zh-CN"/>
        </w:rPr>
        <w:t>％）。</w:t>
      </w:r>
      <w:r>
        <w:rPr>
          <w:rFonts w:hint="eastAsia" w:ascii="Times New Roman" w:hAnsi="Times New Roman" w:eastAsia="宋体" w:cs="Times New Roman"/>
          <w:b w:val="0"/>
          <w:bCs/>
          <w:color w:val="FF0000"/>
          <w:kern w:val="2"/>
          <w:sz w:val="24"/>
          <w:szCs w:val="24"/>
          <w:u w:val="wave"/>
          <w:lang w:val="en-US" w:eastAsia="zh-CN"/>
        </w:rPr>
        <w:t>根据上表</w:t>
      </w:r>
      <w:r>
        <w:rPr>
          <w:rFonts w:hint="default" w:ascii="Times New Roman" w:hAnsi="Times New Roman" w:eastAsia="宋体" w:cs="Times New Roman"/>
          <w:b w:val="0"/>
          <w:bCs/>
          <w:color w:val="FF0000"/>
          <w:kern w:val="2"/>
          <w:sz w:val="24"/>
          <w:szCs w:val="24"/>
          <w:u w:val="wave"/>
          <w:lang w:val="en-US" w:eastAsia="zh-CN"/>
        </w:rPr>
        <w:t>纳污能力</w:t>
      </w:r>
      <w:r>
        <w:rPr>
          <w:rFonts w:hint="eastAsia" w:ascii="Times New Roman" w:hAnsi="Times New Roman" w:eastAsia="宋体" w:cs="Times New Roman"/>
          <w:b w:val="0"/>
          <w:bCs/>
          <w:color w:val="FF0000"/>
          <w:kern w:val="2"/>
          <w:sz w:val="24"/>
          <w:szCs w:val="24"/>
          <w:u w:val="wave"/>
          <w:lang w:val="en-US" w:eastAsia="zh-CN"/>
        </w:rPr>
        <w:t>计算出的环境剩余容量</w:t>
      </w:r>
      <w:r>
        <w:rPr>
          <w:rFonts w:hint="default" w:ascii="Times New Roman" w:hAnsi="Times New Roman" w:eastAsia="宋体" w:cs="Times New Roman"/>
          <w:b w:val="0"/>
          <w:bCs/>
          <w:color w:val="FF0000"/>
          <w:kern w:val="2"/>
          <w:sz w:val="24"/>
          <w:szCs w:val="24"/>
          <w:u w:val="wave"/>
          <w:lang w:val="en-US" w:eastAsia="zh-CN"/>
        </w:rPr>
        <w:t>，受纳水体</w:t>
      </w:r>
      <w:r>
        <w:rPr>
          <w:rFonts w:hint="eastAsia" w:ascii="Times New Roman" w:hAnsi="Times New Roman" w:eastAsia="宋体" w:cs="Times New Roman"/>
          <w:b w:val="0"/>
          <w:bCs/>
          <w:color w:val="FF0000"/>
          <w:kern w:val="2"/>
          <w:sz w:val="24"/>
          <w:szCs w:val="24"/>
          <w:u w:val="wave"/>
          <w:lang w:val="en-US" w:eastAsia="zh-CN"/>
        </w:rPr>
        <w:t>机排二十渠、老三运河的</w:t>
      </w:r>
      <w:r>
        <w:rPr>
          <w:rFonts w:hint="default" w:ascii="Times New Roman" w:hAnsi="Times New Roman" w:eastAsia="宋体" w:cs="Times New Roman"/>
          <w:b w:val="0"/>
          <w:bCs/>
          <w:color w:val="FF0000"/>
          <w:kern w:val="2"/>
          <w:sz w:val="24"/>
          <w:szCs w:val="24"/>
          <w:u w:val="wave"/>
          <w:lang w:val="en-US" w:eastAsia="zh-CN"/>
        </w:rPr>
        <w:t>氨氮、COD</w:t>
      </w:r>
      <w:r>
        <w:rPr>
          <w:rFonts w:hint="eastAsia" w:ascii="Times New Roman" w:hAnsi="Times New Roman" w:eastAsia="宋体" w:cs="Times New Roman"/>
          <w:b w:val="0"/>
          <w:bCs/>
          <w:color w:val="FF0000"/>
          <w:kern w:val="2"/>
          <w:sz w:val="24"/>
          <w:szCs w:val="24"/>
          <w:u w:val="wave"/>
          <w:lang w:val="en-US" w:eastAsia="zh-CN"/>
        </w:rPr>
        <w:t>、TP</w:t>
      </w:r>
      <w:r>
        <w:rPr>
          <w:rFonts w:hint="default" w:ascii="Times New Roman" w:hAnsi="Times New Roman" w:eastAsia="宋体" w:cs="Times New Roman"/>
          <w:b w:val="0"/>
          <w:bCs/>
          <w:color w:val="FF0000"/>
          <w:kern w:val="2"/>
          <w:sz w:val="24"/>
          <w:szCs w:val="24"/>
          <w:u w:val="wave"/>
          <w:lang w:val="en-US" w:eastAsia="zh-CN"/>
        </w:rPr>
        <w:t>安全</w:t>
      </w:r>
      <w:r>
        <w:rPr>
          <w:rFonts w:hint="eastAsia" w:ascii="Times New Roman" w:hAnsi="Times New Roman" w:eastAsia="宋体" w:cs="Times New Roman"/>
          <w:b w:val="0"/>
          <w:bCs/>
          <w:color w:val="FF0000"/>
          <w:kern w:val="2"/>
          <w:sz w:val="24"/>
          <w:szCs w:val="24"/>
          <w:u w:val="wave"/>
          <w:lang w:val="en-US" w:eastAsia="zh-CN"/>
        </w:rPr>
        <w:t>余量</w:t>
      </w:r>
      <w:r>
        <w:rPr>
          <w:rFonts w:hint="default" w:ascii="Times New Roman" w:hAnsi="Times New Roman" w:eastAsia="宋体" w:cs="Times New Roman"/>
          <w:b w:val="0"/>
          <w:bCs/>
          <w:color w:val="FF0000"/>
          <w:kern w:val="2"/>
          <w:sz w:val="24"/>
          <w:szCs w:val="24"/>
          <w:u w:val="wave"/>
          <w:lang w:val="en-US" w:eastAsia="zh-CN"/>
        </w:rPr>
        <w:t>均满足</w:t>
      </w:r>
      <w:r>
        <w:rPr>
          <w:rFonts w:hint="default" w:ascii="Times New Roman" w:hAnsi="Times New Roman" w:eastAsia="宋体" w:cs="Times New Roman"/>
          <w:b w:val="0"/>
          <w:bCs/>
          <w:color w:val="FF0000"/>
          <w:kern w:val="2"/>
          <w:sz w:val="24"/>
          <w:szCs w:val="24"/>
          <w:u w:val="wave"/>
          <w:lang w:val="en-US" w:eastAsia="zh-CN"/>
        </w:rPr>
        <w:t>《环境影响评价技术导则地表水环境》（HJ2.3-2018）要求。</w:t>
      </w:r>
    </w:p>
    <w:p w14:paraId="5741CE9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p>
    <w:p w14:paraId="10AE517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30"/>
          <w:szCs w:val="30"/>
          <w:lang w:val="en-US" w:eastAsia="zh-CN" w:bidi="ar"/>
        </w:rPr>
      </w:pPr>
    </w:p>
    <w:p w14:paraId="1CE8853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30"/>
          <w:szCs w:val="30"/>
          <w:lang w:val="en-US" w:eastAsia="zh-CN" w:bidi="ar"/>
        </w:rPr>
      </w:pPr>
    </w:p>
    <w:p w14:paraId="377F524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30"/>
          <w:szCs w:val="30"/>
          <w:lang w:val="en-US" w:eastAsia="zh-CN" w:bidi="ar"/>
        </w:rPr>
      </w:pPr>
    </w:p>
    <w:p w14:paraId="63BD92A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30"/>
          <w:szCs w:val="30"/>
          <w:lang w:val="en-US" w:eastAsia="zh-CN" w:bidi="ar"/>
        </w:rPr>
      </w:pPr>
    </w:p>
    <w:p w14:paraId="22FA4E1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30"/>
          <w:szCs w:val="30"/>
          <w:lang w:val="en-US" w:eastAsia="zh-CN" w:bidi="ar"/>
        </w:rPr>
      </w:pPr>
    </w:p>
    <w:p w14:paraId="0C1B26D9">
      <w:pPr>
        <w:keepNext/>
        <w:keepLines/>
        <w:widowControl w:val="0"/>
        <w:spacing w:line="360" w:lineRule="auto"/>
        <w:ind w:left="0" w:firstLine="602" w:firstLineChars="200"/>
        <w:jc w:val="both"/>
        <w:outlineLvl w:val="3"/>
        <w:rPr>
          <w:rFonts w:hint="default" w:ascii="Times New Roman" w:hAnsi="Times New Roman" w:eastAsia="宋体" w:cs="Times New Roman"/>
          <w:b/>
          <w:bCs/>
          <w:color w:val="000000"/>
          <w:kern w:val="0"/>
          <w:sz w:val="30"/>
          <w:szCs w:val="30"/>
          <w:lang w:val="en-US" w:eastAsia="zh-CN" w:bidi="ar"/>
        </w:rPr>
      </w:pPr>
    </w:p>
    <w:p w14:paraId="3066F1A5">
      <w:pPr>
        <w:autoSpaceDE/>
        <w:autoSpaceDN/>
        <w:adjustRightInd/>
        <w:spacing w:line="240" w:lineRule="auto"/>
        <w:ind w:firstLine="0" w:firstLineChars="0"/>
        <w:rPr>
          <w:rFonts w:hint="default" w:ascii="Times New Roman" w:hAnsi="Times New Roman" w:eastAsia="宋体" w:cs="Times New Roman"/>
          <w:b/>
          <w:bCs/>
          <w:color w:val="000000"/>
          <w:kern w:val="0"/>
          <w:sz w:val="30"/>
          <w:szCs w:val="30"/>
          <w:lang w:val="en-US" w:eastAsia="zh-CN" w:bidi="ar"/>
        </w:rPr>
      </w:pPr>
    </w:p>
    <w:p w14:paraId="1FED6577">
      <w:pPr>
        <w:keepNext/>
        <w:keepLines/>
        <w:widowControl w:val="0"/>
        <w:spacing w:line="360" w:lineRule="auto"/>
        <w:ind w:left="0" w:firstLine="602" w:firstLineChars="200"/>
        <w:jc w:val="both"/>
        <w:outlineLvl w:val="3"/>
        <w:rPr>
          <w:rFonts w:hint="default" w:ascii="Times New Roman" w:hAnsi="Times New Roman" w:eastAsia="宋体" w:cs="Times New Roman"/>
          <w:b/>
          <w:bCs/>
          <w:color w:val="000000"/>
          <w:kern w:val="0"/>
          <w:sz w:val="30"/>
          <w:szCs w:val="30"/>
          <w:lang w:val="en-US" w:eastAsia="zh-CN" w:bidi="ar"/>
        </w:rPr>
      </w:pPr>
    </w:p>
    <w:p w14:paraId="18224957">
      <w:pPr>
        <w:autoSpaceDE/>
        <w:autoSpaceDN/>
        <w:adjustRightInd/>
        <w:spacing w:line="240" w:lineRule="auto"/>
        <w:ind w:firstLine="0" w:firstLineChars="0"/>
        <w:rPr>
          <w:rFonts w:hint="default" w:ascii="Times New Roman" w:hAnsi="Times New Roman" w:eastAsia="宋体" w:cs="Times New Roman"/>
          <w:b/>
          <w:bCs/>
          <w:color w:val="000000"/>
          <w:kern w:val="0"/>
          <w:sz w:val="30"/>
          <w:szCs w:val="30"/>
          <w:lang w:val="en-US" w:eastAsia="zh-CN" w:bidi="ar"/>
        </w:rPr>
      </w:pPr>
    </w:p>
    <w:bookmarkEnd w:id="276"/>
    <w:p w14:paraId="1FB92156">
      <w:pPr>
        <w:keepNext w:val="0"/>
        <w:keepLines w:val="0"/>
        <w:widowControl/>
        <w:suppressLineNumbers w:val="0"/>
        <w:autoSpaceDE/>
        <w:autoSpaceDN/>
        <w:adjustRightInd/>
        <w:spacing w:line="240" w:lineRule="auto"/>
        <w:ind w:firstLine="0" w:firstLineChars="0"/>
        <w:jc w:val="center"/>
        <w:outlineLvl w:val="0"/>
        <w:rPr>
          <w:rFonts w:hint="default" w:ascii="Times New Roman" w:hAnsi="Times New Roman" w:eastAsia="宋体" w:cs="Times New Roman"/>
          <w:b/>
          <w:bCs/>
          <w:kern w:val="44"/>
          <w:sz w:val="36"/>
          <w:szCs w:val="36"/>
          <w:lang w:val="en-US" w:eastAsia="zh-CN" w:bidi="ar-SA"/>
        </w:rPr>
      </w:pPr>
      <w:bookmarkStart w:id="328" w:name="_Toc28554"/>
      <w:bookmarkStart w:id="329" w:name="_Toc31955"/>
      <w:bookmarkStart w:id="330" w:name="_Toc104215351"/>
      <w:bookmarkStart w:id="331" w:name="_Toc32482"/>
      <w:bookmarkStart w:id="332" w:name="_Toc532806763"/>
    </w:p>
    <w:p w14:paraId="53BDBFAF">
      <w:pPr>
        <w:keepNext w:val="0"/>
        <w:keepLines w:val="0"/>
        <w:widowControl/>
        <w:suppressLineNumbers w:val="0"/>
        <w:autoSpaceDE/>
        <w:autoSpaceDN/>
        <w:adjustRightInd/>
        <w:spacing w:line="240" w:lineRule="auto"/>
        <w:ind w:firstLine="0" w:firstLineChars="0"/>
        <w:jc w:val="center"/>
        <w:outlineLvl w:val="0"/>
        <w:rPr>
          <w:rFonts w:hint="default" w:ascii="Times New Roman" w:hAnsi="Times New Roman" w:eastAsia="宋体" w:cs="Times New Roman"/>
          <w:kern w:val="2"/>
          <w:sz w:val="28"/>
          <w:szCs w:val="28"/>
          <w:lang w:val="en-US" w:eastAsia="zh-CN"/>
        </w:rPr>
      </w:pPr>
      <w:r>
        <w:rPr>
          <w:rFonts w:hint="default" w:ascii="Times New Roman" w:hAnsi="Times New Roman" w:eastAsia="宋体" w:cs="Times New Roman"/>
          <w:b/>
          <w:bCs/>
          <w:kern w:val="44"/>
          <w:sz w:val="36"/>
          <w:szCs w:val="36"/>
          <w:lang w:val="en-US" w:eastAsia="zh-CN" w:bidi="ar-SA"/>
        </w:rPr>
        <w:t>6</w:t>
      </w:r>
      <w:r>
        <w:rPr>
          <w:rFonts w:hint="default" w:ascii="Times New Roman" w:hAnsi="Times New Roman" w:eastAsia="宋体" w:cs="Times New Roman"/>
          <w:b/>
          <w:bCs/>
          <w:color w:val="000000"/>
          <w:kern w:val="0"/>
          <w:sz w:val="31"/>
          <w:szCs w:val="31"/>
          <w:lang w:val="en-US" w:eastAsia="zh-CN" w:bidi="ar"/>
        </w:rPr>
        <w:t>入河排污口设置水环境影响分析</w:t>
      </w:r>
      <w:bookmarkEnd w:id="328"/>
    </w:p>
    <w:p w14:paraId="67076539">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1"/>
        <w:rPr>
          <w:rFonts w:hint="default" w:ascii="Times New Roman" w:hAnsi="Times New Roman" w:eastAsia="宋体" w:cs="Times New Roman"/>
          <w:b/>
          <w:kern w:val="2"/>
          <w:sz w:val="28"/>
          <w:szCs w:val="28"/>
          <w:lang w:val="en-US" w:eastAsia="zh-CN" w:bidi="ar-SA"/>
        </w:rPr>
      </w:pPr>
      <w:bookmarkStart w:id="333" w:name="_Toc9684"/>
      <w:r>
        <w:rPr>
          <w:rFonts w:hint="default" w:ascii="Times New Roman" w:hAnsi="Times New Roman" w:eastAsia="宋体" w:cs="Times New Roman"/>
          <w:b/>
          <w:kern w:val="2"/>
          <w:sz w:val="28"/>
          <w:szCs w:val="28"/>
          <w:lang w:val="en-US" w:eastAsia="zh-CN" w:bidi="ar-SA"/>
        </w:rPr>
        <w:t>6.1对水功能区（水域）水质影响分析</w:t>
      </w:r>
      <w:bookmarkEnd w:id="329"/>
      <w:bookmarkEnd w:id="330"/>
      <w:bookmarkEnd w:id="331"/>
      <w:bookmarkEnd w:id="332"/>
      <w:bookmarkEnd w:id="333"/>
    </w:p>
    <w:p w14:paraId="1F6F9530">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9"/>
        <w:rPr>
          <w:rFonts w:hint="default" w:ascii="Times New Roman" w:hAnsi="Times New Roman" w:eastAsia="宋体" w:cs="Times New Roman"/>
          <w:b/>
          <w:kern w:val="2"/>
          <w:sz w:val="24"/>
          <w:szCs w:val="24"/>
          <w:lang w:val="en-US" w:eastAsia="zh-CN" w:bidi="ar-SA"/>
        </w:rPr>
      </w:pPr>
      <w:bookmarkStart w:id="334" w:name="_Toc17798"/>
      <w:r>
        <w:rPr>
          <w:rFonts w:hint="default" w:ascii="Times New Roman" w:hAnsi="Times New Roman" w:eastAsia="宋体" w:cs="Times New Roman"/>
          <w:b/>
          <w:kern w:val="2"/>
          <w:sz w:val="24"/>
          <w:szCs w:val="24"/>
          <w:lang w:val="en-US" w:eastAsia="zh-CN" w:bidi="ar-SA"/>
        </w:rPr>
        <w:t>6.1.1废水排放量</w:t>
      </w:r>
      <w:bookmarkEnd w:id="334"/>
    </w:p>
    <w:p w14:paraId="0695E5E6">
      <w:pPr>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kern w:val="2"/>
          <w:sz w:val="24"/>
        </w:rPr>
      </w:pPr>
      <w:r>
        <w:rPr>
          <w:rFonts w:hint="default" w:ascii="Times New Roman" w:hAnsi="Times New Roman" w:eastAsia="宋体" w:cs="Times New Roman"/>
          <w:kern w:val="2"/>
          <w:sz w:val="24"/>
          <w:lang w:val="en-US" w:eastAsia="zh-CN"/>
        </w:rPr>
        <w:t>大通湖工业园污水处理厂提质改造建设项目</w:t>
      </w:r>
      <w:r>
        <w:rPr>
          <w:rFonts w:hint="eastAsia" w:cs="Times New Roman"/>
          <w:kern w:val="2"/>
          <w:sz w:val="24"/>
          <w:lang w:val="en-US" w:eastAsia="zh-CN"/>
        </w:rPr>
        <w:t>（一期）</w:t>
      </w:r>
      <w:r>
        <w:rPr>
          <w:rFonts w:hint="default" w:ascii="Times New Roman" w:hAnsi="Times New Roman" w:eastAsia="宋体" w:cs="Times New Roman"/>
          <w:kern w:val="2"/>
          <w:sz w:val="24"/>
          <w:lang w:val="en-US" w:eastAsia="zh-CN"/>
        </w:rPr>
        <w:t>现有处理规模1200m</w:t>
      </w:r>
      <w:r>
        <w:rPr>
          <w:rFonts w:hint="default" w:ascii="Times New Roman" w:hAnsi="Times New Roman" w:eastAsia="宋体" w:cs="Times New Roman"/>
          <w:kern w:val="2"/>
          <w:sz w:val="24"/>
          <w:vertAlign w:val="superscript"/>
          <w:lang w:val="en-US" w:eastAsia="zh-CN"/>
        </w:rPr>
        <w:t>3</w:t>
      </w:r>
      <w:r>
        <w:rPr>
          <w:rFonts w:hint="default" w:ascii="Times New Roman" w:hAnsi="Times New Roman" w:eastAsia="宋体" w:cs="Times New Roman"/>
          <w:kern w:val="2"/>
          <w:sz w:val="24"/>
          <w:lang w:val="en-US" w:eastAsia="zh-CN"/>
        </w:rPr>
        <w:t>/d，改扩建后</w:t>
      </w:r>
      <w:r>
        <w:rPr>
          <w:rFonts w:hint="default" w:ascii="Times New Roman" w:hAnsi="Times New Roman" w:eastAsia="宋体" w:cs="Times New Roman"/>
          <w:kern w:val="2"/>
          <w:sz w:val="24"/>
        </w:rPr>
        <w:t>处理规模</w:t>
      </w:r>
      <w:r>
        <w:rPr>
          <w:rFonts w:hint="default" w:ascii="Times New Roman" w:hAnsi="Times New Roman" w:eastAsia="宋体" w:cs="Times New Roman"/>
          <w:kern w:val="2"/>
          <w:sz w:val="24"/>
          <w:lang w:val="en-US" w:eastAsia="zh-CN"/>
        </w:rPr>
        <w:t>3000</w:t>
      </w:r>
      <w:r>
        <w:rPr>
          <w:rFonts w:hint="default" w:ascii="Times New Roman" w:hAnsi="Times New Roman" w:eastAsia="宋体" w:cs="Times New Roman"/>
          <w:kern w:val="2"/>
          <w:sz w:val="24"/>
        </w:rPr>
        <w:t>m</w:t>
      </w:r>
      <w:r>
        <w:rPr>
          <w:rFonts w:hint="default" w:ascii="Times New Roman" w:hAnsi="Times New Roman" w:eastAsia="宋体" w:cs="Times New Roman"/>
          <w:kern w:val="2"/>
          <w:sz w:val="24"/>
          <w:vertAlign w:val="superscript"/>
        </w:rPr>
        <w:t>3</w:t>
      </w:r>
      <w:r>
        <w:rPr>
          <w:rFonts w:hint="default" w:ascii="Times New Roman" w:hAnsi="Times New Roman" w:eastAsia="宋体" w:cs="Times New Roman"/>
          <w:kern w:val="2"/>
          <w:sz w:val="24"/>
        </w:rPr>
        <w:t>/d，</w:t>
      </w:r>
      <w:r>
        <w:rPr>
          <w:rFonts w:hint="default" w:ascii="Times New Roman" w:hAnsi="Times New Roman" w:eastAsia="宋体" w:cs="Times New Roman"/>
          <w:kern w:val="2"/>
          <w:sz w:val="24"/>
          <w:lang w:val="en-US" w:eastAsia="zh-CN"/>
        </w:rPr>
        <w:t>新增处理规模1800</w:t>
      </w:r>
      <w:r>
        <w:rPr>
          <w:rFonts w:hint="default" w:ascii="Times New Roman" w:hAnsi="Times New Roman" w:eastAsia="宋体" w:cs="Times New Roman"/>
          <w:kern w:val="2"/>
          <w:sz w:val="24"/>
        </w:rPr>
        <w:t>m</w:t>
      </w:r>
      <w:r>
        <w:rPr>
          <w:rFonts w:hint="default" w:ascii="Times New Roman" w:hAnsi="Times New Roman" w:eastAsia="宋体" w:cs="Times New Roman"/>
          <w:kern w:val="2"/>
          <w:sz w:val="24"/>
          <w:vertAlign w:val="superscript"/>
        </w:rPr>
        <w:t>3</w:t>
      </w:r>
      <w:r>
        <w:rPr>
          <w:rFonts w:hint="default" w:ascii="Times New Roman" w:hAnsi="Times New Roman" w:eastAsia="宋体" w:cs="Times New Roman"/>
          <w:kern w:val="2"/>
          <w:sz w:val="24"/>
        </w:rPr>
        <w:t>/d</w:t>
      </w:r>
      <w:r>
        <w:rPr>
          <w:rFonts w:hint="default" w:ascii="Times New Roman" w:hAnsi="Times New Roman" w:eastAsia="宋体" w:cs="Times New Roman"/>
          <w:kern w:val="2"/>
          <w:sz w:val="24"/>
          <w:lang w:val="en-US" w:eastAsia="zh-CN"/>
        </w:rPr>
        <w:t>。</w:t>
      </w:r>
      <w:r>
        <w:rPr>
          <w:rFonts w:hint="default" w:ascii="Times New Roman" w:hAnsi="Times New Roman" w:eastAsia="宋体" w:cs="Times New Roman"/>
          <w:kern w:val="2"/>
          <w:sz w:val="24"/>
        </w:rPr>
        <w:t>本次论证按污水处理厂</w:t>
      </w:r>
      <w:r>
        <w:rPr>
          <w:rFonts w:hint="default" w:ascii="Times New Roman" w:hAnsi="Times New Roman" w:eastAsia="宋体" w:cs="Times New Roman"/>
          <w:kern w:val="2"/>
          <w:sz w:val="24"/>
          <w:lang w:val="en-US" w:eastAsia="zh-CN"/>
        </w:rPr>
        <w:t>改扩建后</w:t>
      </w:r>
      <w:r>
        <w:rPr>
          <w:rFonts w:hint="default" w:ascii="Times New Roman" w:hAnsi="Times New Roman" w:eastAsia="宋体" w:cs="Times New Roman"/>
          <w:kern w:val="2"/>
          <w:sz w:val="24"/>
        </w:rPr>
        <w:t>处理规模</w:t>
      </w:r>
      <w:r>
        <w:rPr>
          <w:rFonts w:hint="eastAsia" w:cs="Times New Roman"/>
          <w:kern w:val="2"/>
          <w:sz w:val="24"/>
          <w:lang w:val="en-US" w:eastAsia="zh-CN"/>
        </w:rPr>
        <w:t>30</w:t>
      </w:r>
      <w:r>
        <w:rPr>
          <w:rFonts w:hint="default" w:ascii="Times New Roman" w:hAnsi="Times New Roman" w:eastAsia="宋体" w:cs="Times New Roman"/>
          <w:kern w:val="2"/>
          <w:sz w:val="24"/>
          <w:lang w:val="en-US" w:eastAsia="zh-CN"/>
        </w:rPr>
        <w:t>00</w:t>
      </w:r>
      <w:r>
        <w:rPr>
          <w:rFonts w:hint="default" w:ascii="Times New Roman" w:hAnsi="Times New Roman" w:eastAsia="宋体" w:cs="Times New Roman"/>
          <w:kern w:val="2"/>
          <w:sz w:val="24"/>
        </w:rPr>
        <w:t>m</w:t>
      </w:r>
      <w:r>
        <w:rPr>
          <w:rFonts w:hint="default" w:ascii="Times New Roman" w:hAnsi="Times New Roman" w:eastAsia="宋体" w:cs="Times New Roman"/>
          <w:kern w:val="2"/>
          <w:sz w:val="24"/>
          <w:vertAlign w:val="superscript"/>
        </w:rPr>
        <w:t>3</w:t>
      </w:r>
      <w:r>
        <w:rPr>
          <w:rFonts w:hint="default" w:ascii="Times New Roman" w:hAnsi="Times New Roman" w:eastAsia="宋体" w:cs="Times New Roman"/>
          <w:kern w:val="2"/>
          <w:sz w:val="24"/>
        </w:rPr>
        <w:t>/d进行预测，日排水时间为24h，</w:t>
      </w:r>
      <w:r>
        <w:rPr>
          <w:rFonts w:hint="default" w:ascii="Times New Roman" w:hAnsi="Times New Roman" w:eastAsia="宋体" w:cs="Times New Roman"/>
          <w:kern w:val="2"/>
          <w:sz w:val="24"/>
          <w:lang w:val="en-US" w:eastAsia="zh-CN"/>
        </w:rPr>
        <w:t>0.0</w:t>
      </w:r>
      <w:r>
        <w:rPr>
          <w:rFonts w:hint="eastAsia" w:cs="Times New Roman"/>
          <w:kern w:val="2"/>
          <w:sz w:val="24"/>
          <w:lang w:val="en-US" w:eastAsia="zh-CN"/>
        </w:rPr>
        <w:t>35</w:t>
      </w:r>
      <w:r>
        <w:rPr>
          <w:rFonts w:hint="default" w:ascii="Times New Roman" w:hAnsi="Times New Roman" w:eastAsia="宋体" w:cs="Times New Roman"/>
          <w:kern w:val="2"/>
          <w:sz w:val="24"/>
        </w:rPr>
        <w:t>m</w:t>
      </w:r>
      <w:r>
        <w:rPr>
          <w:rFonts w:hint="default" w:ascii="Times New Roman" w:hAnsi="Times New Roman" w:eastAsia="宋体" w:cs="Times New Roman"/>
          <w:kern w:val="2"/>
          <w:sz w:val="24"/>
          <w:vertAlign w:val="superscript"/>
        </w:rPr>
        <w:t>3</w:t>
      </w:r>
      <w:r>
        <w:rPr>
          <w:rFonts w:hint="default" w:ascii="Times New Roman" w:hAnsi="Times New Roman" w:eastAsia="宋体" w:cs="Times New Roman"/>
          <w:kern w:val="2"/>
          <w:sz w:val="24"/>
        </w:rPr>
        <w:t>/s。</w:t>
      </w:r>
    </w:p>
    <w:p w14:paraId="4C170C23">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9"/>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6.1.2预测因子</w:t>
      </w:r>
    </w:p>
    <w:p w14:paraId="535424F8">
      <w:pPr>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kern w:val="2"/>
          <w:sz w:val="24"/>
        </w:rPr>
      </w:pPr>
      <w:r>
        <w:rPr>
          <w:rFonts w:hint="default" w:ascii="Times New Roman" w:hAnsi="Times New Roman" w:eastAsia="宋体" w:cs="Times New Roman"/>
          <w:kern w:val="2"/>
          <w:sz w:val="24"/>
        </w:rPr>
        <w:t>根据本污水处理厂排污特征及论证范围水域内水环境质量现状，本次论证选取主要污染因子COD、NH</w:t>
      </w:r>
      <w:r>
        <w:rPr>
          <w:rFonts w:hint="default" w:ascii="Times New Roman" w:hAnsi="Times New Roman" w:eastAsia="宋体" w:cs="Times New Roman"/>
          <w:kern w:val="2"/>
          <w:sz w:val="24"/>
          <w:vertAlign w:val="subscript"/>
        </w:rPr>
        <w:t>3</w:t>
      </w:r>
      <w:r>
        <w:rPr>
          <w:rFonts w:hint="default" w:ascii="Times New Roman" w:hAnsi="Times New Roman" w:eastAsia="宋体" w:cs="Times New Roman"/>
          <w:kern w:val="2"/>
          <w:sz w:val="24"/>
        </w:rPr>
        <w:t>-N和TP作为预测因子。</w:t>
      </w:r>
    </w:p>
    <w:p w14:paraId="4294A321">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9"/>
        <w:rPr>
          <w:rFonts w:hint="default" w:ascii="Times New Roman" w:hAnsi="Times New Roman" w:eastAsia="宋体" w:cs="Times New Roman"/>
          <w:b/>
          <w:kern w:val="2"/>
          <w:sz w:val="24"/>
          <w:szCs w:val="24"/>
          <w:lang w:val="zh-CN" w:eastAsia="zh-CN" w:bidi="ar-SA"/>
        </w:rPr>
      </w:pPr>
      <w:bookmarkStart w:id="335" w:name="_Toc26332"/>
      <w:r>
        <w:rPr>
          <w:rFonts w:hint="default" w:ascii="Times New Roman" w:hAnsi="Times New Roman" w:eastAsia="宋体" w:cs="Times New Roman"/>
          <w:b/>
          <w:kern w:val="2"/>
          <w:sz w:val="24"/>
          <w:szCs w:val="24"/>
          <w:lang w:val="en-US" w:eastAsia="zh-CN" w:bidi="ar-SA"/>
        </w:rPr>
        <w:t>6.1.3</w:t>
      </w:r>
      <w:bookmarkEnd w:id="335"/>
      <w:r>
        <w:rPr>
          <w:rFonts w:hint="default" w:ascii="Times New Roman" w:hAnsi="Times New Roman" w:eastAsia="宋体" w:cs="Times New Roman"/>
          <w:b/>
          <w:kern w:val="2"/>
          <w:sz w:val="24"/>
          <w:szCs w:val="24"/>
          <w:lang w:val="zh-CN" w:eastAsia="zh-CN" w:bidi="ar-SA"/>
        </w:rPr>
        <w:t>预测内容</w:t>
      </w:r>
    </w:p>
    <w:p w14:paraId="27AABE4D">
      <w:pPr>
        <w:keepLines w:val="0"/>
        <w:pageBreakBefore w:val="0"/>
        <w:widowControl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kern w:val="2"/>
          <w:sz w:val="24"/>
          <w:szCs w:val="24"/>
          <w:u w:val="none"/>
          <w:lang w:val="zh-CN"/>
        </w:rPr>
      </w:pPr>
      <w:r>
        <w:rPr>
          <w:rFonts w:hint="default" w:ascii="Times New Roman" w:hAnsi="Times New Roman" w:eastAsia="宋体" w:cs="Times New Roman"/>
          <w:color w:val="000000"/>
          <w:kern w:val="2"/>
          <w:sz w:val="24"/>
          <w:szCs w:val="24"/>
          <w:u w:val="none"/>
          <w:lang w:val="zh-CN"/>
        </w:rPr>
        <w:t>项目外排废水经处理后达标排放（正常排放）和无处理直接排放（事故排放）两种情况，预测项目外排废水</w:t>
      </w:r>
      <w:r>
        <w:rPr>
          <w:rFonts w:hint="default" w:ascii="Times New Roman" w:hAnsi="Times New Roman" w:eastAsia="宋体" w:cs="Times New Roman"/>
          <w:color w:val="000000"/>
          <w:kern w:val="2"/>
          <w:sz w:val="24"/>
          <w:szCs w:val="24"/>
          <w:u w:val="none"/>
          <w:lang w:val="en-US" w:eastAsia="zh-CN"/>
        </w:rPr>
        <w:t>经排水渠排入机排二十渠最终汇入老三运河</w:t>
      </w:r>
      <w:r>
        <w:rPr>
          <w:rFonts w:hint="default" w:ascii="Times New Roman" w:hAnsi="Times New Roman" w:eastAsia="宋体" w:cs="Times New Roman"/>
          <w:color w:val="000000"/>
          <w:kern w:val="2"/>
          <w:sz w:val="24"/>
          <w:szCs w:val="24"/>
          <w:u w:val="none"/>
          <w:lang w:val="zh-CN"/>
        </w:rPr>
        <w:t>的影响。</w:t>
      </w:r>
    </w:p>
    <w:p w14:paraId="1B935E07">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9"/>
        <w:rPr>
          <w:rFonts w:hint="default" w:ascii="Times New Roman" w:hAnsi="Times New Roman" w:eastAsia="宋体" w:cs="Times New Roman"/>
          <w:b/>
          <w:color w:val="000000" w:themeColor="text1"/>
          <w:kern w:val="2"/>
          <w:sz w:val="24"/>
          <w:szCs w:val="24"/>
          <w:u w:val="wave" w:color="auto"/>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u w:val="wave" w:color="auto"/>
          <w:lang w:val="en-US" w:eastAsia="zh-CN" w:bidi="ar-SA"/>
          <w14:textFill>
            <w14:solidFill>
              <w14:schemeClr w14:val="tx1"/>
            </w14:solidFill>
          </w14:textFill>
        </w:rPr>
        <w:t>6.1.4预测参数</w:t>
      </w:r>
    </w:p>
    <w:p w14:paraId="1D0B0511">
      <w:pPr>
        <w:keepLines w:val="0"/>
        <w:pageBreakBefore w:val="0"/>
        <w:widowControl w:val="0"/>
        <w:kinsoku/>
        <w:wordWrap/>
        <w:overflowPunct/>
        <w:topLinePunct w:val="0"/>
        <w:autoSpaceDE/>
        <w:autoSpaceDN/>
        <w:bidi w:val="0"/>
        <w:adjustRightInd/>
        <w:spacing w:line="360" w:lineRule="auto"/>
        <w:ind w:firstLine="562" w:firstLineChars="0"/>
        <w:textAlignment w:val="auto"/>
        <w:outlineLvl w:val="9"/>
        <w:rPr>
          <w:rFonts w:hint="default" w:ascii="Times New Roman" w:hAnsi="Times New Roman" w:eastAsia="宋体" w:cs="Times New Roman"/>
          <w:color w:val="000000" w:themeColor="text1"/>
          <w:kern w:val="2"/>
          <w:sz w:val="24"/>
          <w:szCs w:val="24"/>
          <w:u w:val="wave" w:color="auto"/>
          <w:lang w:val="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4"/>
          <w:szCs w:val="24"/>
          <w:u w:val="wave" w:color="auto"/>
          <w:lang w:val="zh-CN"/>
          <w14:textFill>
            <w14:solidFill>
              <w14:schemeClr w14:val="tx1"/>
            </w14:solidFill>
          </w14:textFill>
        </w:rPr>
        <w:t>水文参数</w:t>
      </w:r>
    </w:p>
    <w:p w14:paraId="5DA4FA5D">
      <w:pPr>
        <w:keepLines w:val="0"/>
        <w:pageBreakBefore w:val="0"/>
        <w:widowControl w:val="0"/>
        <w:kinsoku/>
        <w:wordWrap/>
        <w:overflowPunct/>
        <w:topLinePunct w:val="0"/>
        <w:autoSpaceDE/>
        <w:autoSpaceDN/>
        <w:bidi w:val="0"/>
        <w:adjustRightInd/>
        <w:spacing w:line="360" w:lineRule="auto"/>
        <w:ind w:firstLine="480" w:firstLineChars="0"/>
        <w:textAlignment w:val="auto"/>
        <w:outlineLvl w:val="9"/>
        <w:rPr>
          <w:rFonts w:hint="default" w:ascii="Times New Roman" w:hAnsi="Times New Roman" w:eastAsia="宋体" w:cs="Times New Roman"/>
          <w:color w:val="000000" w:themeColor="text1"/>
          <w:kern w:val="2"/>
          <w:sz w:val="24"/>
          <w:szCs w:val="24"/>
          <w:u w:val="wave" w:color="auto"/>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根据湖南瑞鉴检测有限公司的检测报告，</w:t>
      </w:r>
      <w:r>
        <w:rPr>
          <w:rFonts w:hint="default" w:ascii="Times New Roman" w:hAnsi="Times New Roman" w:eastAsia="宋体" w:cs="Times New Roman"/>
          <w:color w:val="000000" w:themeColor="text1"/>
          <w:kern w:val="2"/>
          <w:sz w:val="24"/>
          <w:szCs w:val="24"/>
          <w:u w:val="wave" w:color="auto"/>
          <w:lang w:eastAsia="zh-CN"/>
          <w14:textFill>
            <w14:solidFill>
              <w14:schemeClr w14:val="tx1"/>
            </w14:solidFill>
          </w14:textFill>
        </w:rPr>
        <w:t>机排二十渠、老三运河</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枯水</w:t>
      </w:r>
      <w:r>
        <w:rPr>
          <w:rFonts w:hint="default" w:ascii="Times New Roman" w:hAnsi="Times New Roman" w:eastAsia="宋体" w:cs="Times New Roman"/>
          <w:color w:val="000000" w:themeColor="text1"/>
          <w:kern w:val="2"/>
          <w:sz w:val="24"/>
          <w:szCs w:val="24"/>
          <w:u w:val="wave" w:color="auto"/>
          <w:lang w:eastAsia="zh-CN"/>
          <w14:textFill>
            <w14:solidFill>
              <w14:schemeClr w14:val="tx1"/>
            </w14:solidFill>
          </w14:textFill>
        </w:rPr>
        <w:t>期水文参数详见下表。</w:t>
      </w:r>
    </w:p>
    <w:p w14:paraId="02763300">
      <w:pPr>
        <w:keepLines w:val="0"/>
        <w:pageBreakBefore w:val="0"/>
        <w:widowControl w:val="0"/>
        <w:kinsoku/>
        <w:wordWrap/>
        <w:overflowPunct/>
        <w:topLinePunct w:val="0"/>
        <w:autoSpaceDE/>
        <w:autoSpaceDN/>
        <w:bidi w:val="0"/>
        <w:adjustRightInd/>
        <w:spacing w:line="240" w:lineRule="auto"/>
        <w:ind w:left="0" w:right="0" w:firstLine="482"/>
        <w:jc w:val="center"/>
        <w:textAlignment w:val="auto"/>
        <w:rPr>
          <w:rFonts w:hint="default" w:ascii="Times New Roman" w:hAnsi="Times New Roman" w:eastAsia="宋体" w:cs="Times New Roman"/>
          <w:b/>
          <w:bCs/>
          <w:color w:val="000000" w:themeColor="text1"/>
          <w:kern w:val="2"/>
          <w:sz w:val="24"/>
          <w:szCs w:val="24"/>
          <w:u w:val="wav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u w:val="wave" w:color="auto"/>
          <w:lang w:val="en-US" w:eastAsia="zh-CN" w:bidi="ar-SA"/>
          <w14:textFill>
            <w14:solidFill>
              <w14:schemeClr w14:val="tx1"/>
            </w14:solidFill>
          </w14:textFill>
        </w:rPr>
        <w:t>表6.1-1 水文和预测参数</w:t>
      </w:r>
    </w:p>
    <w:tbl>
      <w:tblPr>
        <w:tblStyle w:val="76"/>
        <w:tblW w:w="4996"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20"/>
        <w:gridCol w:w="874"/>
        <w:gridCol w:w="720"/>
        <w:gridCol w:w="855"/>
        <w:gridCol w:w="765"/>
        <w:gridCol w:w="765"/>
        <w:gridCol w:w="780"/>
        <w:gridCol w:w="642"/>
        <w:gridCol w:w="753"/>
        <w:gridCol w:w="885"/>
        <w:gridCol w:w="1122"/>
      </w:tblGrid>
      <w:tr w14:paraId="5485AC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03" w:type="pct"/>
            <w:vMerge w:val="restart"/>
            <w:tcBorders>
              <w:bottom w:val="single" w:color="auto" w:sz="4" w:space="0"/>
              <w:right w:val="single" w:color="auto" w:sz="4" w:space="0"/>
            </w:tcBorders>
            <w:noWrap w:val="0"/>
            <w:vAlign w:val="center"/>
          </w:tcPr>
          <w:p w14:paraId="275C7C0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河流</w:t>
            </w:r>
          </w:p>
        </w:tc>
        <w:tc>
          <w:tcPr>
            <w:tcW w:w="470" w:type="pct"/>
            <w:vMerge w:val="restart"/>
            <w:tcBorders>
              <w:left w:val="single" w:color="auto" w:sz="4" w:space="0"/>
              <w:bottom w:val="single" w:color="auto" w:sz="4" w:space="0"/>
              <w:right w:val="single" w:color="auto" w:sz="4" w:space="0"/>
            </w:tcBorders>
            <w:noWrap w:val="0"/>
            <w:vAlign w:val="center"/>
          </w:tcPr>
          <w:p w14:paraId="13AF34E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预测</w:t>
            </w:r>
          </w:p>
          <w:p w14:paraId="590A0B1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时段</w:t>
            </w:r>
          </w:p>
        </w:tc>
        <w:tc>
          <w:tcPr>
            <w:tcW w:w="387" w:type="pct"/>
            <w:vMerge w:val="restart"/>
            <w:tcBorders>
              <w:left w:val="single" w:color="auto" w:sz="4" w:space="0"/>
              <w:bottom w:val="single" w:color="auto" w:sz="4" w:space="0"/>
              <w:right w:val="single" w:color="auto" w:sz="4" w:space="0"/>
            </w:tcBorders>
            <w:noWrap w:val="0"/>
            <w:vAlign w:val="center"/>
          </w:tcPr>
          <w:p w14:paraId="10604ED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流速(m/s)</w:t>
            </w:r>
          </w:p>
        </w:tc>
        <w:tc>
          <w:tcPr>
            <w:tcW w:w="1284" w:type="pct"/>
            <w:gridSpan w:val="3"/>
            <w:tcBorders>
              <w:left w:val="single" w:color="auto" w:sz="4" w:space="0"/>
              <w:bottom w:val="single" w:color="auto" w:sz="4" w:space="0"/>
              <w:right w:val="single" w:color="auto" w:sz="4" w:space="0"/>
            </w:tcBorders>
            <w:noWrap w:val="0"/>
            <w:vAlign w:val="center"/>
          </w:tcPr>
          <w:p w14:paraId="5D7646E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降解系数K1</w:t>
            </w:r>
          </w:p>
        </w:tc>
        <w:tc>
          <w:tcPr>
            <w:tcW w:w="420" w:type="pct"/>
            <w:vMerge w:val="restart"/>
            <w:tcBorders>
              <w:left w:val="single" w:color="auto" w:sz="4" w:space="0"/>
              <w:bottom w:val="single" w:color="auto" w:sz="4" w:space="0"/>
              <w:right w:val="single" w:color="auto" w:sz="4" w:space="0"/>
            </w:tcBorders>
            <w:noWrap w:val="0"/>
            <w:vAlign w:val="center"/>
          </w:tcPr>
          <w:p w14:paraId="41B6D98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流量(m</w:t>
            </w:r>
            <w:r>
              <w:rPr>
                <w:rFonts w:hint="default" w:ascii="Times New Roman" w:hAnsi="Times New Roman" w:eastAsia="宋体" w:cs="Times New Roman"/>
                <w:color w:val="000000" w:themeColor="text1"/>
                <w:spacing w:val="0"/>
                <w:kern w:val="0"/>
                <w:sz w:val="21"/>
                <w:szCs w:val="21"/>
                <w:u w:val="wave" w:color="auto"/>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/s)</w:t>
            </w:r>
          </w:p>
        </w:tc>
        <w:tc>
          <w:tcPr>
            <w:tcW w:w="345" w:type="pct"/>
            <w:vMerge w:val="restart"/>
            <w:tcBorders>
              <w:left w:val="single" w:color="auto" w:sz="4" w:space="0"/>
              <w:bottom w:val="single" w:color="auto" w:sz="4" w:space="0"/>
              <w:right w:val="single" w:color="auto" w:sz="4" w:space="0"/>
            </w:tcBorders>
            <w:noWrap w:val="0"/>
            <w:vAlign w:val="center"/>
          </w:tcPr>
          <w:p w14:paraId="302F528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水宽(m)</w:t>
            </w:r>
          </w:p>
        </w:tc>
        <w:tc>
          <w:tcPr>
            <w:tcW w:w="405" w:type="pct"/>
            <w:vMerge w:val="restart"/>
            <w:tcBorders>
              <w:left w:val="single" w:color="auto" w:sz="4" w:space="0"/>
              <w:bottom w:val="single" w:color="auto" w:sz="4" w:space="0"/>
              <w:right w:val="single" w:color="auto" w:sz="4" w:space="0"/>
            </w:tcBorders>
            <w:noWrap w:val="0"/>
            <w:vAlign w:val="center"/>
          </w:tcPr>
          <w:p w14:paraId="0E0B3D1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水深(m)</w:t>
            </w:r>
          </w:p>
        </w:tc>
        <w:tc>
          <w:tcPr>
            <w:tcW w:w="476" w:type="pct"/>
            <w:vMerge w:val="restart"/>
            <w:tcBorders>
              <w:left w:val="single" w:color="auto" w:sz="4" w:space="0"/>
              <w:bottom w:val="single" w:color="auto" w:sz="4" w:space="0"/>
              <w:right w:val="single" w:color="auto" w:sz="4" w:space="0"/>
            </w:tcBorders>
            <w:noWrap w:val="0"/>
            <w:vAlign w:val="center"/>
          </w:tcPr>
          <w:p w14:paraId="16F2AF3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水力坡降(%)</w:t>
            </w:r>
          </w:p>
        </w:tc>
        <w:tc>
          <w:tcPr>
            <w:tcW w:w="604" w:type="pct"/>
            <w:vMerge w:val="restart"/>
            <w:tcBorders>
              <w:left w:val="single" w:color="auto" w:sz="4" w:space="0"/>
              <w:bottom w:val="single" w:color="auto" w:sz="4" w:space="0"/>
            </w:tcBorders>
            <w:noWrap w:val="0"/>
            <w:vAlign w:val="center"/>
          </w:tcPr>
          <w:p w14:paraId="07D8119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混合系数My(m</w:t>
            </w:r>
            <w:r>
              <w:rPr>
                <w:rFonts w:hint="default" w:ascii="Times New Roman" w:hAnsi="Times New Roman" w:eastAsia="宋体" w:cs="Times New Roman"/>
                <w:color w:val="000000" w:themeColor="text1"/>
                <w:spacing w:val="0"/>
                <w:kern w:val="0"/>
                <w:sz w:val="21"/>
                <w:szCs w:val="21"/>
                <w:u w:val="wave" w:color="auto"/>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/s)</w:t>
            </w:r>
          </w:p>
        </w:tc>
      </w:tr>
      <w:tr w14:paraId="029A1B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03" w:type="pct"/>
            <w:vMerge w:val="continue"/>
            <w:tcBorders>
              <w:top w:val="single" w:color="auto" w:sz="4" w:space="0"/>
              <w:bottom w:val="single" w:color="auto" w:sz="4" w:space="0"/>
              <w:right w:val="single" w:color="auto" w:sz="4" w:space="0"/>
            </w:tcBorders>
            <w:noWrap w:val="0"/>
            <w:vAlign w:val="center"/>
          </w:tcPr>
          <w:p w14:paraId="07B1111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14:paraId="1AED81C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p>
        </w:tc>
        <w:tc>
          <w:tcPr>
            <w:tcW w:w="387" w:type="pct"/>
            <w:vMerge w:val="continue"/>
            <w:tcBorders>
              <w:top w:val="single" w:color="auto" w:sz="4" w:space="0"/>
              <w:left w:val="single" w:color="auto" w:sz="4" w:space="0"/>
              <w:bottom w:val="single" w:color="auto" w:sz="4" w:space="0"/>
              <w:right w:val="single" w:color="auto" w:sz="4" w:space="0"/>
            </w:tcBorders>
            <w:noWrap w:val="0"/>
            <w:vAlign w:val="center"/>
          </w:tcPr>
          <w:p w14:paraId="1746C7F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p>
        </w:tc>
        <w:tc>
          <w:tcPr>
            <w:tcW w:w="460" w:type="pct"/>
            <w:tcBorders>
              <w:top w:val="single" w:color="auto" w:sz="4" w:space="0"/>
              <w:left w:val="single" w:color="auto" w:sz="4" w:space="0"/>
              <w:bottom w:val="single" w:color="auto" w:sz="4" w:space="0"/>
              <w:right w:val="single" w:color="auto" w:sz="4" w:space="0"/>
            </w:tcBorders>
            <w:noWrap w:val="0"/>
            <w:vAlign w:val="center"/>
          </w:tcPr>
          <w:p w14:paraId="0E78E43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COD</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031D2C0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氨氮</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40DF3FA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总磷</w:t>
            </w:r>
          </w:p>
        </w:tc>
        <w:tc>
          <w:tcPr>
            <w:tcW w:w="420" w:type="pct"/>
            <w:vMerge w:val="continue"/>
            <w:tcBorders>
              <w:top w:val="single" w:color="auto" w:sz="4" w:space="0"/>
              <w:left w:val="single" w:color="auto" w:sz="4" w:space="0"/>
              <w:bottom w:val="single" w:color="auto" w:sz="4" w:space="0"/>
              <w:right w:val="single" w:color="auto" w:sz="4" w:space="0"/>
            </w:tcBorders>
            <w:noWrap w:val="0"/>
            <w:vAlign w:val="center"/>
          </w:tcPr>
          <w:p w14:paraId="08771E5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p>
        </w:tc>
        <w:tc>
          <w:tcPr>
            <w:tcW w:w="345" w:type="pct"/>
            <w:vMerge w:val="continue"/>
            <w:tcBorders>
              <w:top w:val="single" w:color="auto" w:sz="4" w:space="0"/>
              <w:left w:val="single" w:color="auto" w:sz="4" w:space="0"/>
              <w:bottom w:val="single" w:color="auto" w:sz="4" w:space="0"/>
              <w:right w:val="single" w:color="auto" w:sz="4" w:space="0"/>
            </w:tcBorders>
            <w:noWrap w:val="0"/>
            <w:vAlign w:val="center"/>
          </w:tcPr>
          <w:p w14:paraId="49E4D16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p>
        </w:tc>
        <w:tc>
          <w:tcPr>
            <w:tcW w:w="405" w:type="pct"/>
            <w:vMerge w:val="continue"/>
            <w:tcBorders>
              <w:top w:val="single" w:color="auto" w:sz="4" w:space="0"/>
              <w:left w:val="single" w:color="auto" w:sz="4" w:space="0"/>
              <w:bottom w:val="single" w:color="auto" w:sz="4" w:space="0"/>
              <w:right w:val="single" w:color="auto" w:sz="4" w:space="0"/>
            </w:tcBorders>
            <w:noWrap w:val="0"/>
            <w:vAlign w:val="center"/>
          </w:tcPr>
          <w:p w14:paraId="5D62047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p>
        </w:tc>
        <w:tc>
          <w:tcPr>
            <w:tcW w:w="476" w:type="pct"/>
            <w:vMerge w:val="continue"/>
            <w:tcBorders>
              <w:top w:val="single" w:color="auto" w:sz="4" w:space="0"/>
              <w:left w:val="single" w:color="auto" w:sz="4" w:space="0"/>
              <w:bottom w:val="single" w:color="auto" w:sz="4" w:space="0"/>
              <w:right w:val="single" w:color="auto" w:sz="4" w:space="0"/>
            </w:tcBorders>
            <w:noWrap w:val="0"/>
            <w:vAlign w:val="center"/>
          </w:tcPr>
          <w:p w14:paraId="4060C72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p>
        </w:tc>
        <w:tc>
          <w:tcPr>
            <w:tcW w:w="604" w:type="pct"/>
            <w:vMerge w:val="continue"/>
            <w:tcBorders>
              <w:top w:val="single" w:color="auto" w:sz="4" w:space="0"/>
              <w:left w:val="single" w:color="auto" w:sz="4" w:space="0"/>
              <w:bottom w:val="single" w:color="auto" w:sz="4" w:space="0"/>
            </w:tcBorders>
            <w:noWrap w:val="0"/>
            <w:vAlign w:val="center"/>
          </w:tcPr>
          <w:p w14:paraId="5D7B633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p>
        </w:tc>
      </w:tr>
      <w:tr w14:paraId="60B7D3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03" w:type="pct"/>
            <w:tcBorders>
              <w:top w:val="single" w:color="auto" w:sz="4" w:space="0"/>
              <w:bottom w:val="single" w:color="auto" w:sz="4" w:space="0"/>
              <w:right w:val="single" w:color="auto" w:sz="4" w:space="0"/>
            </w:tcBorders>
            <w:noWrap w:val="0"/>
            <w:vAlign w:val="center"/>
          </w:tcPr>
          <w:p w14:paraId="42922955">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老三运河</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5E610B8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枯水期</w:t>
            </w:r>
          </w:p>
        </w:tc>
        <w:tc>
          <w:tcPr>
            <w:tcW w:w="387" w:type="pct"/>
            <w:tcBorders>
              <w:top w:val="single" w:color="auto" w:sz="4" w:space="0"/>
              <w:left w:val="single" w:color="auto" w:sz="4" w:space="0"/>
              <w:bottom w:val="single" w:color="auto" w:sz="4" w:space="0"/>
              <w:right w:val="single" w:color="auto" w:sz="4" w:space="0"/>
            </w:tcBorders>
            <w:noWrap w:val="0"/>
            <w:vAlign w:val="center"/>
          </w:tcPr>
          <w:p w14:paraId="358A159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0.14</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0A4A8AD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0.1</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4B6EDD79">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0.1</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441FDE95">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0.1</w:t>
            </w:r>
          </w:p>
        </w:tc>
        <w:tc>
          <w:tcPr>
            <w:tcW w:w="420" w:type="pct"/>
            <w:tcBorders>
              <w:top w:val="single" w:color="auto" w:sz="4" w:space="0"/>
              <w:left w:val="single" w:color="auto" w:sz="4" w:space="0"/>
              <w:bottom w:val="single" w:color="auto" w:sz="4" w:space="0"/>
              <w:right w:val="single" w:color="auto" w:sz="4" w:space="0"/>
            </w:tcBorders>
            <w:noWrap w:val="0"/>
            <w:vAlign w:val="center"/>
          </w:tcPr>
          <w:p w14:paraId="4FE5C0C1">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3.64</w:t>
            </w:r>
          </w:p>
        </w:tc>
        <w:tc>
          <w:tcPr>
            <w:tcW w:w="345" w:type="pct"/>
            <w:tcBorders>
              <w:top w:val="single" w:color="auto" w:sz="4" w:space="0"/>
              <w:left w:val="single" w:color="auto" w:sz="4" w:space="0"/>
              <w:bottom w:val="single" w:color="auto" w:sz="4" w:space="0"/>
              <w:right w:val="single" w:color="auto" w:sz="4" w:space="0"/>
            </w:tcBorders>
            <w:noWrap w:val="0"/>
            <w:vAlign w:val="center"/>
          </w:tcPr>
          <w:p w14:paraId="1999BED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27.3</w:t>
            </w:r>
          </w:p>
        </w:tc>
        <w:tc>
          <w:tcPr>
            <w:tcW w:w="405" w:type="pct"/>
            <w:tcBorders>
              <w:top w:val="single" w:color="auto" w:sz="4" w:space="0"/>
              <w:left w:val="single" w:color="auto" w:sz="4" w:space="0"/>
              <w:bottom w:val="single" w:color="auto" w:sz="4" w:space="0"/>
              <w:right w:val="single" w:color="auto" w:sz="4" w:space="0"/>
            </w:tcBorders>
            <w:noWrap w:val="0"/>
            <w:vAlign w:val="center"/>
          </w:tcPr>
          <w:p w14:paraId="371FC8D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0.96</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0DBD530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0.1</w:t>
            </w:r>
          </w:p>
        </w:tc>
        <w:tc>
          <w:tcPr>
            <w:tcW w:w="604" w:type="pct"/>
            <w:tcBorders>
              <w:top w:val="single" w:color="auto" w:sz="4" w:space="0"/>
              <w:left w:val="single" w:color="auto" w:sz="4" w:space="0"/>
              <w:bottom w:val="single" w:color="auto" w:sz="4" w:space="0"/>
            </w:tcBorders>
            <w:noWrap w:val="0"/>
            <w:vAlign w:val="center"/>
          </w:tcPr>
          <w:p w14:paraId="2358C47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0.23</w:t>
            </w:r>
          </w:p>
        </w:tc>
      </w:tr>
      <w:tr w14:paraId="337370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03" w:type="pct"/>
            <w:tcBorders>
              <w:top w:val="single" w:color="auto" w:sz="4" w:space="0"/>
              <w:right w:val="single" w:color="auto" w:sz="4" w:space="0"/>
            </w:tcBorders>
            <w:noWrap w:val="0"/>
            <w:vAlign w:val="center"/>
          </w:tcPr>
          <w:p w14:paraId="69FB377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机排二十渠</w:t>
            </w:r>
          </w:p>
        </w:tc>
        <w:tc>
          <w:tcPr>
            <w:tcW w:w="470" w:type="pct"/>
            <w:tcBorders>
              <w:top w:val="single" w:color="auto" w:sz="4" w:space="0"/>
              <w:left w:val="single" w:color="auto" w:sz="4" w:space="0"/>
              <w:right w:val="single" w:color="auto" w:sz="4" w:space="0"/>
            </w:tcBorders>
            <w:noWrap w:val="0"/>
            <w:vAlign w:val="center"/>
          </w:tcPr>
          <w:p w14:paraId="09B7C8B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枯水期</w:t>
            </w:r>
          </w:p>
        </w:tc>
        <w:tc>
          <w:tcPr>
            <w:tcW w:w="387" w:type="pct"/>
            <w:tcBorders>
              <w:top w:val="single" w:color="auto" w:sz="4" w:space="0"/>
              <w:left w:val="single" w:color="auto" w:sz="4" w:space="0"/>
              <w:right w:val="single" w:color="auto" w:sz="4" w:space="0"/>
            </w:tcBorders>
            <w:noWrap w:val="0"/>
            <w:vAlign w:val="center"/>
          </w:tcPr>
          <w:p w14:paraId="576DBEE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0.11</w:t>
            </w:r>
          </w:p>
        </w:tc>
        <w:tc>
          <w:tcPr>
            <w:tcW w:w="460" w:type="pct"/>
            <w:tcBorders>
              <w:top w:val="single" w:color="auto" w:sz="4" w:space="0"/>
              <w:left w:val="single" w:color="auto" w:sz="4" w:space="0"/>
              <w:right w:val="single" w:color="auto" w:sz="4" w:space="0"/>
            </w:tcBorders>
            <w:noWrap w:val="0"/>
            <w:vAlign w:val="center"/>
          </w:tcPr>
          <w:p w14:paraId="27B7B7B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0.01</w:t>
            </w:r>
          </w:p>
        </w:tc>
        <w:tc>
          <w:tcPr>
            <w:tcW w:w="412" w:type="pct"/>
            <w:tcBorders>
              <w:top w:val="single" w:color="auto" w:sz="4" w:space="0"/>
              <w:left w:val="single" w:color="auto" w:sz="4" w:space="0"/>
              <w:right w:val="single" w:color="auto" w:sz="4" w:space="0"/>
            </w:tcBorders>
            <w:noWrap w:val="0"/>
            <w:vAlign w:val="center"/>
          </w:tcPr>
          <w:p w14:paraId="6F75F76A">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0.01</w:t>
            </w:r>
          </w:p>
        </w:tc>
        <w:tc>
          <w:tcPr>
            <w:tcW w:w="412" w:type="pct"/>
            <w:tcBorders>
              <w:top w:val="single" w:color="auto" w:sz="4" w:space="0"/>
              <w:left w:val="single" w:color="auto" w:sz="4" w:space="0"/>
              <w:right w:val="single" w:color="auto" w:sz="4" w:space="0"/>
            </w:tcBorders>
            <w:noWrap w:val="0"/>
            <w:vAlign w:val="center"/>
          </w:tcPr>
          <w:p w14:paraId="7449D2D2">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0.01</w:t>
            </w:r>
          </w:p>
        </w:tc>
        <w:tc>
          <w:tcPr>
            <w:tcW w:w="420" w:type="pct"/>
            <w:tcBorders>
              <w:top w:val="single" w:color="auto" w:sz="4" w:space="0"/>
              <w:left w:val="single" w:color="auto" w:sz="4" w:space="0"/>
              <w:right w:val="single" w:color="auto" w:sz="4" w:space="0"/>
            </w:tcBorders>
            <w:noWrap w:val="0"/>
            <w:vAlign w:val="center"/>
          </w:tcPr>
          <w:p w14:paraId="001110F5">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w:t>
            </w:r>
            <w:r>
              <w:rPr>
                <w:rFonts w:hint="eastAsia" w:cs="Times New Roman"/>
                <w:color w:val="000000" w:themeColor="text1"/>
                <w:spacing w:val="0"/>
                <w:kern w:val="0"/>
                <w:sz w:val="21"/>
                <w:szCs w:val="21"/>
                <w:u w:val="wave" w:color="auto"/>
                <w:lang w:val="en-US" w:eastAsia="zh-CN" w:bidi="ar-SA"/>
                <w14:textFill>
                  <w14:solidFill>
                    <w14:schemeClr w14:val="tx1"/>
                  </w14:solidFill>
                </w14:textFill>
              </w:rPr>
              <w:t>76</w:t>
            </w:r>
          </w:p>
        </w:tc>
        <w:tc>
          <w:tcPr>
            <w:tcW w:w="345" w:type="pct"/>
            <w:tcBorders>
              <w:top w:val="single" w:color="auto" w:sz="4" w:space="0"/>
              <w:left w:val="single" w:color="auto" w:sz="4" w:space="0"/>
              <w:right w:val="single" w:color="auto" w:sz="4" w:space="0"/>
            </w:tcBorders>
            <w:noWrap w:val="0"/>
            <w:vAlign w:val="center"/>
          </w:tcPr>
          <w:p w14:paraId="638E6FB6">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10.3</w:t>
            </w:r>
          </w:p>
        </w:tc>
        <w:tc>
          <w:tcPr>
            <w:tcW w:w="405" w:type="pct"/>
            <w:tcBorders>
              <w:top w:val="single" w:color="auto" w:sz="4" w:space="0"/>
              <w:left w:val="single" w:color="auto" w:sz="4" w:space="0"/>
              <w:right w:val="single" w:color="auto" w:sz="4" w:space="0"/>
            </w:tcBorders>
            <w:noWrap w:val="0"/>
            <w:vAlign w:val="center"/>
          </w:tcPr>
          <w:p w14:paraId="74C1306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0.51</w:t>
            </w:r>
          </w:p>
        </w:tc>
        <w:tc>
          <w:tcPr>
            <w:tcW w:w="476" w:type="pct"/>
            <w:tcBorders>
              <w:top w:val="single" w:color="auto" w:sz="4" w:space="0"/>
              <w:left w:val="single" w:color="auto" w:sz="4" w:space="0"/>
              <w:right w:val="single" w:color="auto" w:sz="4" w:space="0"/>
            </w:tcBorders>
            <w:noWrap w:val="0"/>
            <w:vAlign w:val="center"/>
          </w:tcPr>
          <w:p w14:paraId="477645A0">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0.1</w:t>
            </w:r>
          </w:p>
        </w:tc>
        <w:tc>
          <w:tcPr>
            <w:tcW w:w="604" w:type="pct"/>
            <w:tcBorders>
              <w:top w:val="single" w:color="auto" w:sz="4" w:space="0"/>
              <w:left w:val="single" w:color="auto" w:sz="4" w:space="0"/>
            </w:tcBorders>
            <w:noWrap w:val="0"/>
            <w:vAlign w:val="center"/>
          </w:tcPr>
          <w:p w14:paraId="407380CC">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0.07</w:t>
            </w:r>
          </w:p>
        </w:tc>
      </w:tr>
    </w:tbl>
    <w:p w14:paraId="00C222AD">
      <w:pPr>
        <w:pageBreakBefore w:val="0"/>
        <w:kinsoku/>
        <w:wordWrap/>
        <w:overflowPunct/>
        <w:topLinePunct w:val="0"/>
        <w:autoSpaceDE/>
        <w:autoSpaceDN/>
        <w:bidi w:val="0"/>
        <w:adjustRightInd/>
        <w:spacing w:line="360" w:lineRule="auto"/>
        <w:ind w:firstLine="562" w:firstLineChars="0"/>
        <w:textAlignment w:val="auto"/>
        <w:outlineLvl w:val="9"/>
        <w:rPr>
          <w:rFonts w:hint="default" w:ascii="Times New Roman" w:hAnsi="Times New Roman" w:eastAsia="宋体" w:cs="Times New Roman"/>
          <w:color w:val="000000" w:themeColor="text1"/>
          <w:kern w:val="2"/>
          <w:sz w:val="24"/>
          <w:szCs w:val="24"/>
          <w:u w:val="wave" w:color="auto"/>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4"/>
          <w:szCs w:val="24"/>
          <w:u w:val="wave" w:color="auto"/>
          <w:lang w:val="zh-CN"/>
          <w14:textFill>
            <w14:solidFill>
              <w14:schemeClr w14:val="tx1"/>
            </w14:solidFill>
          </w14:textFill>
        </w:rPr>
        <w:t>污染物源强和河流背景值</w:t>
      </w:r>
    </w:p>
    <w:p w14:paraId="54F5D2A6">
      <w:pPr>
        <w:pageBreakBefore w:val="0"/>
        <w:kinsoku/>
        <w:wordWrap/>
        <w:overflowPunct/>
        <w:topLinePunct w:val="0"/>
        <w:autoSpaceDE/>
        <w:autoSpaceDN/>
        <w:bidi w:val="0"/>
        <w:adjustRightInd/>
        <w:spacing w:line="360" w:lineRule="auto"/>
        <w:ind w:firstLine="480" w:firstLineChars="0"/>
        <w:textAlignment w:val="auto"/>
        <w:outlineLvl w:val="9"/>
        <w:rPr>
          <w:rFonts w:hint="default" w:ascii="Times New Roman" w:hAnsi="Times New Roman" w:eastAsia="宋体" w:cs="Times New Roman"/>
          <w:b/>
          <w:bCs/>
          <w:color w:val="000000" w:themeColor="text1"/>
          <w:kern w:val="2"/>
          <w:sz w:val="24"/>
          <w:szCs w:val="24"/>
          <w:u w:val="wave" w:color="auto"/>
          <w:lang w:val="zh-CN"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本项目处理后的废水排入机排二十渠最终汇入老三运河，排口设置在机排二十渠右岸，本项目预测分二段进行预测，分别为：①尾水总排口到机排二十渠与老三运河汇水处（2.1km）；②机排二十渠与老三运河汇水处至大通湖洪道河段（3.8km），此时将机排二十渠汇入老三运河断面概化为废水污染源。</w:t>
      </w:r>
    </w:p>
    <w:p w14:paraId="34787C99">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9"/>
        <w:rPr>
          <w:rFonts w:hint="default" w:ascii="Times New Roman" w:hAnsi="Times New Roman" w:eastAsia="宋体" w:cs="Times New Roman"/>
          <w:b/>
          <w:color w:val="000000" w:themeColor="text1"/>
          <w:kern w:val="2"/>
          <w:sz w:val="24"/>
          <w:szCs w:val="24"/>
          <w:u w:val="wave" w:color="auto"/>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u w:val="wave" w:color="auto"/>
          <w:lang w:val="en-US" w:eastAsia="zh-CN" w:bidi="ar-SA"/>
          <w14:textFill>
            <w14:solidFill>
              <w14:schemeClr w14:val="tx1"/>
            </w14:solidFill>
          </w14:textFill>
        </w:rPr>
        <w:t>6.1.5预测模式</w:t>
      </w:r>
    </w:p>
    <w:p w14:paraId="190C23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大通湖工业园污水处理厂提质改造建设项目</w:t>
      </w:r>
      <w:r>
        <w:rPr>
          <w:rFonts w:hint="eastAsia" w:cs="Times New Roman"/>
          <w:color w:val="000000" w:themeColor="text1"/>
          <w:kern w:val="2"/>
          <w:sz w:val="24"/>
          <w:szCs w:val="24"/>
          <w:u w:val="wave" w:color="auto"/>
          <w:lang w:val="en-US" w:eastAsia="zh-CN"/>
          <w14:textFill>
            <w14:solidFill>
              <w14:schemeClr w14:val="tx1"/>
            </w14:solidFill>
          </w14:textFill>
        </w:rPr>
        <w:t>（一期）</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处理达标后</w:t>
      </w:r>
      <w:r>
        <w:rPr>
          <w:rFonts w:hint="eastAsia" w:cs="Times New Roman"/>
          <w:color w:val="000000" w:themeColor="text1"/>
          <w:kern w:val="2"/>
          <w:sz w:val="24"/>
          <w:szCs w:val="24"/>
          <w:u w:val="wave" w:color="auto"/>
          <w:lang w:val="en-US" w:eastAsia="zh-CN"/>
          <w14:textFill>
            <w14:solidFill>
              <w14:schemeClr w14:val="tx1"/>
            </w14:solidFill>
          </w14:textFill>
        </w:rPr>
        <w:t>的尾水</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通过专用排水管道排入机排二十渠。机排二十渠纳污河段枯水期平均流量0.</w:t>
      </w:r>
      <w:r>
        <w:rPr>
          <w:rFonts w:hint="eastAsia" w:cs="Times New Roman"/>
          <w:color w:val="000000" w:themeColor="text1"/>
          <w:kern w:val="2"/>
          <w:sz w:val="24"/>
          <w:szCs w:val="24"/>
          <w:u w:val="wave" w:color="auto"/>
          <w:lang w:val="en-US" w:eastAsia="zh-CN"/>
          <w14:textFill>
            <w14:solidFill>
              <w14:schemeClr w14:val="tx1"/>
            </w14:solidFill>
          </w14:textFill>
        </w:rPr>
        <w:t>76</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m</w:t>
      </w:r>
      <w:r>
        <w:rPr>
          <w:rFonts w:hint="default" w:ascii="Times New Roman" w:hAnsi="Times New Roman" w:eastAsia="宋体" w:cs="Times New Roman"/>
          <w:color w:val="000000" w:themeColor="text1"/>
          <w:kern w:val="2"/>
          <w:sz w:val="24"/>
          <w:szCs w:val="24"/>
          <w:u w:val="wav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/s，老三运河纳污河段枯水期平均流量3.64m</w:t>
      </w:r>
      <w:r>
        <w:rPr>
          <w:rFonts w:hint="default" w:ascii="Times New Roman" w:hAnsi="Times New Roman" w:eastAsia="宋体" w:cs="Times New Roman"/>
          <w:color w:val="000000" w:themeColor="text1"/>
          <w:kern w:val="2"/>
          <w:sz w:val="24"/>
          <w:szCs w:val="24"/>
          <w:u w:val="wav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/s，根据《水域纳污能力计算规程》（GB/T 25173-2010）的规定，多年平均流量Q≤15m</w:t>
      </w:r>
      <w:r>
        <w:rPr>
          <w:rFonts w:hint="default" w:ascii="Times New Roman" w:hAnsi="Times New Roman" w:eastAsia="宋体" w:cs="Times New Roman"/>
          <w:color w:val="000000" w:themeColor="text1"/>
          <w:kern w:val="2"/>
          <w:sz w:val="24"/>
          <w:szCs w:val="24"/>
          <w:u w:val="wav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/s 的河段属于小型河段。</w:t>
      </w:r>
    </w:p>
    <w:p w14:paraId="22F4283B">
      <w:pPr>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000000" w:themeColor="text1"/>
          <w:kern w:val="2"/>
          <w:sz w:val="24"/>
          <w:u w:val="wave" w:color="auto"/>
          <w14:textFill>
            <w14:solidFill>
              <w14:schemeClr w14:val="tx1"/>
            </w14:solidFill>
          </w14:textFill>
        </w:rPr>
      </w:pPr>
      <w:r>
        <w:rPr>
          <w:rFonts w:hint="default" w:ascii="Times New Roman" w:hAnsi="Times New Roman" w:eastAsia="宋体" w:cs="Times New Roman"/>
          <w:color w:val="000000" w:themeColor="text1"/>
          <w:kern w:val="2"/>
          <w:sz w:val="24"/>
          <w:u w:val="wave" w:color="auto"/>
          <w:lang w:val="en-US" w:eastAsia="zh-CN"/>
          <w14:textFill>
            <w14:solidFill>
              <w14:schemeClr w14:val="tx1"/>
            </w14:solidFill>
          </w14:textFill>
        </w:rPr>
        <w:t xml:space="preserve">（1）预测模型 </w:t>
      </w:r>
    </w:p>
    <w:p w14:paraId="491D34A1">
      <w:pPr>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000000" w:themeColor="text1"/>
          <w:kern w:val="2"/>
          <w:sz w:val="24"/>
          <w:szCs w:val="24"/>
          <w:u w:val="wave" w:color="auto"/>
          <w14:textFill>
            <w14:solidFill>
              <w14:schemeClr w14:val="tx1"/>
            </w14:solidFill>
          </w14:textFill>
        </w:rPr>
      </w:pPr>
      <w:r>
        <w:rPr>
          <w:rFonts w:hint="default" w:ascii="Times New Roman" w:hAnsi="Times New Roman" w:eastAsia="宋体" w:cs="Times New Roman"/>
          <w:color w:val="000000" w:themeColor="text1"/>
          <w:kern w:val="2"/>
          <w:sz w:val="24"/>
          <w:u w:val="wave" w:color="auto"/>
          <w:lang w:val="en-US" w:eastAsia="zh-CN"/>
          <w14:textFill>
            <w14:solidFill>
              <w14:schemeClr w14:val="tx1"/>
            </w14:solidFill>
          </w14:textFill>
        </w:rPr>
        <w:t>预测因子COD、氨氮、总磷为非持久污染物，根据现场踏勘，根据 《环境影响评价技术导则 地表水环境》（HJ2.3-2018），根据本项目的污染源特性、受纳水体类型、水力学特征（机排二十渠）、水环境特点及评价等级等要求，本评价采取零维模型（完全混合模型）计算完全混合河段污染物浓度，</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 xml:space="preserve">其表达式为： </w:t>
      </w:r>
    </w:p>
    <w:p w14:paraId="5B562C5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u w:val="wave" w:color="auto"/>
          <w14:textFill>
            <w14:solidFill>
              <w14:schemeClr w14:val="tx1"/>
            </w14:solidFill>
          </w14:textFill>
        </w:rPr>
        <w:drawing>
          <wp:inline distT="0" distB="0" distL="114300" distR="114300">
            <wp:extent cx="2343150" cy="666750"/>
            <wp:effectExtent l="0" t="0" r="0" b="0"/>
            <wp:docPr id="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pic:cNvPicPr>
                      <a:picLocks noChangeAspect="1"/>
                    </pic:cNvPicPr>
                  </pic:nvPicPr>
                  <pic:blipFill>
                    <a:blip r:embed="rId54"/>
                    <a:stretch>
                      <a:fillRect/>
                    </a:stretch>
                  </pic:blipFill>
                  <pic:spPr>
                    <a:xfrm>
                      <a:off x="0" y="0"/>
                      <a:ext cx="2343150" cy="666750"/>
                    </a:xfrm>
                    <a:prstGeom prst="rect">
                      <a:avLst/>
                    </a:prstGeom>
                    <a:noFill/>
                    <a:ln>
                      <a:noFill/>
                    </a:ln>
                  </pic:spPr>
                </pic:pic>
              </a:graphicData>
            </a:graphic>
          </wp:inline>
        </w:drawing>
      </w:r>
    </w:p>
    <w:p w14:paraId="115E95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 xml:space="preserve">式中： C——完全混合的水质浓度，mg/L； </w:t>
      </w:r>
    </w:p>
    <w:p w14:paraId="5B7EB6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Cp——污染物排放浓度，mg/L</w:t>
      </w:r>
    </w:p>
    <w:p w14:paraId="2C9350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Qp——污水排放流量，m</w:t>
      </w:r>
      <w:r>
        <w:rPr>
          <w:rFonts w:hint="default" w:ascii="Times New Roman" w:hAnsi="Times New Roman" w:eastAsia="宋体" w:cs="Times New Roman"/>
          <w:color w:val="000000" w:themeColor="text1"/>
          <w:kern w:val="0"/>
          <w:sz w:val="24"/>
          <w:szCs w:val="24"/>
          <w:u w:val="wave" w:color="auto"/>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 xml:space="preserve"> /s； </w:t>
      </w:r>
    </w:p>
    <w:p w14:paraId="36F94BE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 xml:space="preserve">Ch——河流上游来水污染物浓度 mg/L； </w:t>
      </w:r>
    </w:p>
    <w:p w14:paraId="74DE96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Qh——河流上游来水流量，m</w:t>
      </w:r>
      <w:r>
        <w:rPr>
          <w:rFonts w:hint="default" w:ascii="Times New Roman" w:hAnsi="Times New Roman" w:eastAsia="宋体" w:cs="Times New Roman"/>
          <w:color w:val="000000" w:themeColor="text1"/>
          <w:kern w:val="0"/>
          <w:sz w:val="24"/>
          <w:szCs w:val="24"/>
          <w:u w:val="wave" w:color="auto"/>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 xml:space="preserve"> /s。 </w:t>
      </w:r>
    </w:p>
    <w:p w14:paraId="44551E65">
      <w:pPr>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b w:val="0"/>
          <w:color w:val="000000" w:themeColor="text1"/>
          <w:kern w:val="2"/>
          <w:sz w:val="24"/>
          <w:szCs w:val="24"/>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废水汇入老三运河，</w:t>
      </w:r>
      <w:r>
        <w:rPr>
          <w:rFonts w:hint="default" w:ascii="Times New Roman" w:hAnsi="Times New Roman" w:eastAsia="宋体" w:cs="Times New Roman"/>
          <w:color w:val="000000" w:themeColor="text1"/>
          <w:kern w:val="2"/>
          <w:sz w:val="24"/>
          <w:szCs w:val="24"/>
          <w:u w:val="wave" w:color="auto"/>
          <w14:textFill>
            <w14:solidFill>
              <w14:schemeClr w14:val="tx1"/>
            </w14:solidFill>
          </w14:textFill>
        </w:rPr>
        <w:t>预测因子为非持久性污染物，</w:t>
      </w:r>
      <w:r>
        <w:rPr>
          <w:rFonts w:hint="default" w:ascii="Times New Roman" w:hAnsi="Times New Roman" w:eastAsia="宋体" w:cs="Times New Roman"/>
          <w:color w:val="000000" w:themeColor="text1"/>
          <w:kern w:val="2"/>
          <w:sz w:val="24"/>
          <w:szCs w:val="24"/>
          <w:u w:val="wave" w:color="auto"/>
          <w:lang w:val="zh-CN"/>
          <w14:textFill>
            <w14:solidFill>
              <w14:schemeClr w14:val="tx1"/>
            </w14:solidFill>
          </w14:textFill>
        </w:rPr>
        <w:t>根据《环境影响评价技术导则—地表水环境》HJ2.3-2018，</w:t>
      </w:r>
      <w:r>
        <w:rPr>
          <w:rFonts w:hint="default" w:ascii="Times New Roman" w:hAnsi="Times New Roman" w:eastAsia="宋体" w:cs="Times New Roman"/>
          <w:color w:val="000000" w:themeColor="text1"/>
          <w:kern w:val="2"/>
          <w:sz w:val="24"/>
          <w:szCs w:val="24"/>
          <w:u w:val="wave" w:color="auto"/>
          <w14:textFill>
            <w14:solidFill>
              <w14:schemeClr w14:val="tx1"/>
            </w14:solidFill>
          </w14:textFill>
        </w:rPr>
        <w:t>预测采用HJ/T2.3-</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2018</w:t>
      </w:r>
      <w:r>
        <w:rPr>
          <w:rFonts w:hint="default" w:ascii="Times New Roman" w:hAnsi="Times New Roman" w:eastAsia="宋体" w:cs="Times New Roman"/>
          <w:color w:val="000000" w:themeColor="text1"/>
          <w:kern w:val="2"/>
          <w:sz w:val="24"/>
          <w:szCs w:val="24"/>
          <w:u w:val="wave" w:color="auto"/>
          <w14:textFill>
            <w14:solidFill>
              <w14:schemeClr w14:val="tx1"/>
            </w14:solidFill>
          </w14:textFill>
        </w:rPr>
        <w:t>推荐的纵向一维模型</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进行预测</w:t>
      </w:r>
      <w:r>
        <w:rPr>
          <w:rFonts w:hint="default" w:ascii="Times New Roman" w:hAnsi="Times New Roman" w:eastAsia="宋体" w:cs="Times New Roman"/>
          <w:color w:val="000000" w:themeColor="text1"/>
          <w:kern w:val="2"/>
          <w:sz w:val="24"/>
          <w:szCs w:val="24"/>
          <w:u w:val="wave" w:color="auto"/>
          <w:lang w:eastAsia="zh-CN"/>
          <w14:textFill>
            <w14:solidFill>
              <w14:schemeClr w14:val="tx1"/>
            </w14:solidFill>
          </w14:textFill>
        </w:rPr>
        <w:t>。</w:t>
      </w:r>
      <w:r>
        <w:rPr>
          <w:rFonts w:hint="default" w:ascii="Times New Roman" w:hAnsi="Times New Roman" w:eastAsia="宋体" w:cs="Times New Roman"/>
          <w:b w:val="0"/>
          <w:color w:val="000000" w:themeColor="text1"/>
          <w:kern w:val="2"/>
          <w:sz w:val="24"/>
          <w:szCs w:val="24"/>
          <w:u w:val="wave" w:color="auto"/>
          <w:lang w:val="en-US" w:eastAsia="zh-CN" w:bidi="ar-SA"/>
          <w14:textFill>
            <w14:solidFill>
              <w14:schemeClr w14:val="tx1"/>
            </w14:solidFill>
          </w14:textFill>
        </w:rPr>
        <w:t>河流纵向一维水质模型方程简化与分类判别条件 O’Connor 数α和贝克来数 Pe 的临界值计算公式如下：</w:t>
      </w:r>
    </w:p>
    <w:p w14:paraId="5ED4205D">
      <w:pPr>
        <w:autoSpaceDE/>
        <w:autoSpaceDN/>
        <w:adjustRightInd/>
        <w:spacing w:line="240" w:lineRule="auto"/>
        <w:ind w:firstLine="0" w:firstLineChars="0"/>
        <w:jc w:val="center"/>
        <w:rPr>
          <w:rFonts w:hint="default" w:ascii="Times New Roman" w:hAnsi="Times New Roman" w:eastAsia="宋体" w:cs="Times New Roman"/>
          <w:color w:val="000000" w:themeColor="text1"/>
          <w:kern w:val="2"/>
          <w:sz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u w:val="wave" w:color="auto"/>
          <w14:textFill>
            <w14:solidFill>
              <w14:schemeClr w14:val="tx1"/>
            </w14:solidFill>
          </w14:textFill>
        </w:rPr>
        <w:drawing>
          <wp:inline distT="0" distB="0" distL="114300" distR="114300">
            <wp:extent cx="2533650" cy="952500"/>
            <wp:effectExtent l="0" t="0" r="0" b="0"/>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pic:cNvPicPr>
                  </pic:nvPicPr>
                  <pic:blipFill>
                    <a:blip r:embed="rId55"/>
                    <a:stretch>
                      <a:fillRect/>
                    </a:stretch>
                  </pic:blipFill>
                  <pic:spPr>
                    <a:xfrm>
                      <a:off x="0" y="0"/>
                      <a:ext cx="2533650" cy="952500"/>
                    </a:xfrm>
                    <a:prstGeom prst="rect">
                      <a:avLst/>
                    </a:prstGeom>
                    <a:noFill/>
                    <a:ln>
                      <a:noFill/>
                    </a:ln>
                  </pic:spPr>
                </pic:pic>
              </a:graphicData>
            </a:graphic>
          </wp:inline>
        </w:drawing>
      </w:r>
    </w:p>
    <w:p w14:paraId="62841088">
      <w:pPr>
        <w:keepNext w:val="0"/>
        <w:keepLines w:val="0"/>
        <w:widowControl/>
        <w:suppressLineNumbers w:val="0"/>
        <w:autoSpaceDE/>
        <w:autoSpaceDN/>
        <w:adjustRightInd/>
        <w:spacing w:line="240" w:lineRule="auto"/>
        <w:ind w:firstLine="0" w:firstLineChars="0"/>
        <w:jc w:val="left"/>
        <w:outlineLvl w:val="9"/>
        <w:rPr>
          <w:rFonts w:hint="default" w:ascii="Times New Roman" w:hAnsi="Times New Roman" w:eastAsia="宋体" w:cs="Times New Roman"/>
          <w:color w:val="000000" w:themeColor="text1"/>
          <w:kern w:val="2"/>
          <w:sz w:val="21"/>
          <w:u w:val="wav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解析方程：</w:t>
      </w:r>
    </w:p>
    <w:p w14:paraId="0C8125E5">
      <w:pPr>
        <w:autoSpaceDE/>
        <w:autoSpaceDN/>
        <w:adjustRightInd/>
        <w:spacing w:line="240" w:lineRule="auto"/>
        <w:ind w:left="0" w:leftChars="0" w:firstLine="0" w:firstLineChars="0"/>
        <w:jc w:val="center"/>
        <w:outlineLvl w:val="9"/>
        <w:rPr>
          <w:rFonts w:hint="default" w:ascii="Times New Roman" w:hAnsi="Times New Roman" w:eastAsia="宋体" w:cs="Times New Roman"/>
          <w:color w:val="000000" w:themeColor="text1"/>
          <w:kern w:val="2"/>
          <w:sz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u w:val="wave" w:color="auto"/>
          <w14:textFill>
            <w14:solidFill>
              <w14:schemeClr w14:val="tx1"/>
            </w14:solidFill>
          </w14:textFill>
        </w:rPr>
        <w:drawing>
          <wp:inline distT="0" distB="0" distL="114300" distR="114300">
            <wp:extent cx="2981325" cy="914400"/>
            <wp:effectExtent l="0" t="0" r="0"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56"/>
                    <a:stretch>
                      <a:fillRect/>
                    </a:stretch>
                  </pic:blipFill>
                  <pic:spPr>
                    <a:xfrm>
                      <a:off x="0" y="0"/>
                      <a:ext cx="2981325" cy="914400"/>
                    </a:xfrm>
                    <a:prstGeom prst="rect">
                      <a:avLst/>
                    </a:prstGeom>
                    <a:noFill/>
                    <a:ln>
                      <a:noFill/>
                    </a:ln>
                  </pic:spPr>
                </pic:pic>
              </a:graphicData>
            </a:graphic>
          </wp:inline>
        </w:drawing>
      </w:r>
    </w:p>
    <w:p w14:paraId="305A4C06">
      <w:pPr>
        <w:pageBreakBefore w:val="0"/>
        <w:kinsoku/>
        <w:wordWrap/>
        <w:overflowPunct/>
        <w:topLinePunct w:val="0"/>
        <w:autoSpaceDE/>
        <w:autoSpaceDN/>
        <w:bidi w:val="0"/>
        <w:adjustRightInd/>
        <w:snapToGrid/>
        <w:spacing w:line="360" w:lineRule="auto"/>
        <w:ind w:firstLine="480" w:firstLineChars="0"/>
        <w:textAlignment w:val="auto"/>
        <w:outlineLvl w:val="9"/>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式中：x—河流沿程坐标，m，x=0 指排放口处，x&gt;0 指排放口下游段，x&lt;0指排放口上游段；</w:t>
      </w:r>
    </w:p>
    <w:p w14:paraId="14ED0D58">
      <w:pPr>
        <w:pageBreakBefore w:val="0"/>
        <w:kinsoku/>
        <w:wordWrap/>
        <w:overflowPunct/>
        <w:topLinePunct w:val="0"/>
        <w:autoSpaceDE/>
        <w:autoSpaceDN/>
        <w:bidi w:val="0"/>
        <w:adjustRightInd/>
        <w:snapToGrid/>
        <w:spacing w:line="360" w:lineRule="auto"/>
        <w:ind w:firstLine="480" w:firstLineChars="0"/>
        <w:textAlignment w:val="auto"/>
        <w:outlineLvl w:val="9"/>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K—污染物综合衰减系数，1/s；</w:t>
      </w:r>
    </w:p>
    <w:p w14:paraId="0AD8589A">
      <w:pPr>
        <w:pageBreakBefore w:val="0"/>
        <w:kinsoku/>
        <w:wordWrap/>
        <w:overflowPunct/>
        <w:topLinePunct w:val="0"/>
        <w:autoSpaceDE/>
        <w:autoSpaceDN/>
        <w:bidi w:val="0"/>
        <w:adjustRightInd/>
        <w:snapToGrid/>
        <w:spacing w:line="360" w:lineRule="auto"/>
        <w:ind w:firstLine="480" w:firstLineChars="0"/>
        <w:textAlignment w:val="auto"/>
        <w:outlineLvl w:val="9"/>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C—河流水中某污染物浓度，mg/L；</w:t>
      </w:r>
    </w:p>
    <w:p w14:paraId="66C68D5C">
      <w:pPr>
        <w:pageBreakBefore w:val="0"/>
        <w:kinsoku/>
        <w:wordWrap/>
        <w:overflowPunct/>
        <w:topLinePunct w:val="0"/>
        <w:autoSpaceDE/>
        <w:autoSpaceDN/>
        <w:bidi w:val="0"/>
        <w:adjustRightInd/>
        <w:snapToGrid/>
        <w:spacing w:line="360" w:lineRule="auto"/>
        <w:ind w:firstLine="480" w:firstLineChars="0"/>
        <w:textAlignment w:val="auto"/>
        <w:outlineLvl w:val="9"/>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C0—河流排放口初始断面混合浓度，mg/L，根据实测浓度确定。</w:t>
      </w:r>
    </w:p>
    <w:p w14:paraId="26B0AA15">
      <w:pPr>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u—断面流速，m/s；</w:t>
      </w:r>
    </w:p>
    <w:p w14:paraId="658AE623">
      <w:pPr>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Cp—污染物排放浓度，mg/L；正常排放按《城镇污水处理厂污染物排放标准》（GB18918-2002）一级 A 标准确定，事故排放按项目进水水质要求。</w:t>
      </w:r>
    </w:p>
    <w:p w14:paraId="1F46DFA3">
      <w:pPr>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Qp—污水排放量，m</w:t>
      </w:r>
      <w:r>
        <w:rPr>
          <w:rFonts w:hint="default" w:ascii="Times New Roman" w:hAnsi="Times New Roman" w:eastAsia="宋体" w:cs="Times New Roman"/>
          <w:color w:val="000000" w:themeColor="text1"/>
          <w:kern w:val="2"/>
          <w:sz w:val="24"/>
          <w:szCs w:val="24"/>
          <w:u w:val="wav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/s。</w:t>
      </w:r>
    </w:p>
    <w:p w14:paraId="49406CD9">
      <w:pPr>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Ch—河流上游污染物浓度，mg/L；根据实测数据确定。</w:t>
      </w:r>
    </w:p>
    <w:p w14:paraId="1A5BCDC7">
      <w:pPr>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Qh—河流流量，m</w:t>
      </w:r>
      <w:r>
        <w:rPr>
          <w:rFonts w:hint="default" w:ascii="Times New Roman" w:hAnsi="Times New Roman" w:eastAsia="宋体" w:cs="Times New Roman"/>
          <w:color w:val="000000" w:themeColor="text1"/>
          <w:kern w:val="2"/>
          <w:sz w:val="24"/>
          <w:szCs w:val="24"/>
          <w:u w:val="wav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/s。</w:t>
      </w:r>
    </w:p>
    <w:p w14:paraId="4FE1267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1"/>
          <w:u w:val="wave" w:color="auto"/>
          <w14:textFill>
            <w14:solidFill>
              <w14:schemeClr w14:val="tx1"/>
            </w14:solidFill>
          </w14:textFill>
        </w:rPr>
      </w:pPr>
      <w:r>
        <w:rPr>
          <w:rFonts w:hint="default" w:ascii="Times New Roman" w:hAnsi="Times New Roman" w:eastAsia="宋体" w:cs="Times New Roman"/>
          <w:b/>
          <w:bCs/>
          <w:color w:val="000000" w:themeColor="text1"/>
          <w:kern w:val="0"/>
          <w:sz w:val="24"/>
          <w:szCs w:val="24"/>
          <w:u w:val="wave" w:color="auto"/>
          <w:lang w:val="en-US" w:eastAsia="zh-CN" w:bidi="ar"/>
          <w14:textFill>
            <w14:solidFill>
              <w14:schemeClr w14:val="tx1"/>
            </w14:solidFill>
          </w14:textFill>
        </w:rPr>
        <w:t xml:space="preserve">（2）污染物扩散系数计算 </w:t>
      </w:r>
    </w:p>
    <w:p w14:paraId="7932DD05">
      <w:pPr>
        <w:pageBreakBefore w:val="0"/>
        <w:kinsoku/>
        <w:wordWrap/>
        <w:overflowPunct/>
        <w:topLinePunct w:val="0"/>
        <w:autoSpaceDE/>
        <w:autoSpaceDN/>
        <w:bidi w:val="0"/>
        <w:adjustRightInd/>
        <w:snapToGrid/>
        <w:spacing w:line="360" w:lineRule="auto"/>
        <w:ind w:firstLine="0" w:firstLineChars="0"/>
        <w:textAlignment w:val="auto"/>
        <w:outlineLvl w:val="9"/>
        <w:rPr>
          <w:rFonts w:hint="default" w:ascii="Times New Roman" w:hAnsi="Times New Roman" w:eastAsia="宋体" w:cs="Times New Roman"/>
          <w:b w:val="0"/>
          <w:bCs/>
          <w:color w:val="000000" w:themeColor="text1"/>
          <w:kern w:val="0"/>
          <w:sz w:val="24"/>
          <w:szCs w:val="24"/>
          <w:u w:val="wave" w:color="auto"/>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4"/>
          <w:szCs w:val="24"/>
          <w:u w:val="wave" w:color="auto"/>
          <w:lang w:val="en-US" w:eastAsia="zh-CN" w:bidi="ar"/>
          <w14:textFill>
            <w14:solidFill>
              <w14:schemeClr w14:val="tx1"/>
            </w14:solidFill>
          </w14:textFill>
        </w:rPr>
        <w:t>根据《环境影响评价技术导则-地表水环境》（HJ2.3-2018）推荐的泰勒公式计算：</w:t>
      </w:r>
    </w:p>
    <w:p w14:paraId="34C98EBE">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center"/>
        <w:textAlignment w:val="auto"/>
        <w:outlineLvl w:val="9"/>
        <w:rPr>
          <w:rFonts w:hint="default" w:ascii="Times New Roman" w:hAnsi="Times New Roman" w:eastAsia="宋体" w:cs="Times New Roman"/>
          <w:b/>
          <w:color w:val="000000" w:themeColor="text1"/>
          <w:kern w:val="2"/>
          <w:sz w:val="30"/>
          <w:szCs w:val="20"/>
          <w:u w:val="wave" w:color="auto"/>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30"/>
          <w:szCs w:val="20"/>
          <w:u w:val="wave" w:color="auto"/>
          <w:lang w:val="en-US" w:eastAsia="zh-CN" w:bidi="ar-SA"/>
          <w14:textFill>
            <w14:solidFill>
              <w14:schemeClr w14:val="tx1"/>
            </w14:solidFill>
          </w14:textFill>
        </w:rPr>
        <w:drawing>
          <wp:inline distT="0" distB="0" distL="114300" distR="114300">
            <wp:extent cx="2476500" cy="809625"/>
            <wp:effectExtent l="0" t="0" r="0" b="0"/>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57"/>
                    <a:stretch>
                      <a:fillRect/>
                    </a:stretch>
                  </pic:blipFill>
                  <pic:spPr>
                    <a:xfrm>
                      <a:off x="0" y="0"/>
                      <a:ext cx="2476500" cy="809625"/>
                    </a:xfrm>
                    <a:prstGeom prst="rect">
                      <a:avLst/>
                    </a:prstGeom>
                    <a:noFill/>
                    <a:ln>
                      <a:noFill/>
                    </a:ln>
                  </pic:spPr>
                </pic:pic>
              </a:graphicData>
            </a:graphic>
          </wp:inline>
        </w:drawing>
      </w:r>
    </w:p>
    <w:p w14:paraId="6F65A7E6">
      <w:pPr>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式中：g—重力加速度，取 9.8m/s</w:t>
      </w:r>
      <w:r>
        <w:rPr>
          <w:rFonts w:hint="default" w:ascii="Times New Roman" w:hAnsi="Times New Roman" w:eastAsia="宋体" w:cs="Times New Roman"/>
          <w:color w:val="000000" w:themeColor="text1"/>
          <w:kern w:val="2"/>
          <w:sz w:val="24"/>
          <w:szCs w:val="24"/>
          <w:u w:val="wav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 xml:space="preserve">； </w:t>
      </w:r>
    </w:p>
    <w:p w14:paraId="08F22E61">
      <w:pPr>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 xml:space="preserve">I —河流底坡或地面坡度，无量纲； </w:t>
      </w:r>
    </w:p>
    <w:p w14:paraId="074AF359">
      <w:pPr>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 xml:space="preserve">H—水深； </w:t>
      </w:r>
    </w:p>
    <w:p w14:paraId="4DB65E0E">
      <w:pPr>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 xml:space="preserve">B—河宽。 </w:t>
      </w:r>
    </w:p>
    <w:p w14:paraId="41B2038D">
      <w:pPr>
        <w:pageBreakBefore w:val="0"/>
        <w:kinsoku/>
        <w:wordWrap/>
        <w:overflowPunct/>
        <w:topLinePunct w:val="0"/>
        <w:autoSpaceDE/>
        <w:autoSpaceDN/>
        <w:bidi w:val="0"/>
        <w:adjustRightInd/>
        <w:snapToGrid/>
        <w:spacing w:line="360" w:lineRule="auto"/>
        <w:ind w:firstLine="480" w:firstLineChars="0"/>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 xml:space="preserve">老三运河B/H=28.4，小于200，适用于泰勒公式计算条件。由泰勒公式可计算 </w:t>
      </w:r>
    </w:p>
    <w:p w14:paraId="58B09743">
      <w:pPr>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得出：老三运河枯水期横向扩散系数：Ey=0.23m</w:t>
      </w:r>
      <w:r>
        <w:rPr>
          <w:rFonts w:hint="default" w:ascii="Times New Roman" w:hAnsi="Times New Roman" w:eastAsia="宋体" w:cs="Times New Roman"/>
          <w:color w:val="000000" w:themeColor="text1"/>
          <w:kern w:val="2"/>
          <w:sz w:val="24"/>
          <w:szCs w:val="24"/>
          <w:u w:val="wav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4"/>
          <w:szCs w:val="24"/>
          <w:u w:val="wave" w:color="auto"/>
          <w:lang w:val="en-US" w:eastAsia="zh-CN"/>
          <w14:textFill>
            <w14:solidFill>
              <w14:schemeClr w14:val="tx1"/>
            </w14:solidFill>
          </w14:textFill>
        </w:rPr>
        <w:t>/s。</w:t>
      </w:r>
    </w:p>
    <w:p w14:paraId="75D9385E">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9"/>
        <w:rPr>
          <w:rFonts w:hint="default" w:ascii="Times New Roman" w:hAnsi="Times New Roman" w:eastAsia="宋体" w:cs="Times New Roman"/>
          <w:b/>
          <w:color w:val="000000" w:themeColor="text1"/>
          <w:kern w:val="2"/>
          <w:sz w:val="24"/>
          <w:szCs w:val="24"/>
          <w:u w:val="wave" w:color="auto"/>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u w:val="wave" w:color="auto"/>
          <w:lang w:val="en-US" w:eastAsia="zh-CN" w:bidi="ar-SA"/>
          <w14:textFill>
            <w14:solidFill>
              <w14:schemeClr w14:val="tx1"/>
            </w14:solidFill>
          </w14:textFill>
        </w:rPr>
        <w:t>6.1.7预测结果</w:t>
      </w:r>
    </w:p>
    <w:p w14:paraId="18A757C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val="0"/>
          <w:color w:val="000000" w:themeColor="text1"/>
          <w:kern w:val="0"/>
          <w:sz w:val="24"/>
          <w:szCs w:val="24"/>
          <w:u w:val="wav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u w:val="wave" w:color="auto"/>
          <w:lang w:val="en-US" w:eastAsia="zh-CN" w:bidi="ar-SA"/>
          <w14:textFill>
            <w14:solidFill>
              <w14:schemeClr w14:val="tx1"/>
            </w14:solidFill>
          </w14:textFill>
        </w:rPr>
        <w:t>6.1.7.1</w:t>
      </w:r>
      <w:r>
        <w:rPr>
          <w:rFonts w:hint="default" w:ascii="Times New Roman" w:hAnsi="Times New Roman" w:eastAsia="宋体" w:cs="Times New Roman"/>
          <w:b w:val="0"/>
          <w:bCs w:val="0"/>
          <w:color w:val="000000" w:themeColor="text1"/>
          <w:kern w:val="0"/>
          <w:sz w:val="24"/>
          <w:szCs w:val="24"/>
          <w:u w:val="wave" w:color="auto"/>
          <w:lang w:val="en-US" w:eastAsia="zh-CN" w:bidi="ar"/>
          <w14:textFill>
            <w14:solidFill>
              <w14:schemeClr w14:val="tx1"/>
            </w14:solidFill>
          </w14:textFill>
        </w:rPr>
        <w:t xml:space="preserve">完全混合模型 </w:t>
      </w:r>
    </w:p>
    <w:p w14:paraId="6BCD35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2"/>
          <w:sz w:val="24"/>
          <w:szCs w:val="24"/>
          <w:u w:val="wave" w:color="auto"/>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wave" w:color="auto"/>
          <w:lang w:val="en-US" w:eastAsia="zh-CN" w:bidi="ar"/>
          <w14:textFill>
            <w14:solidFill>
              <w14:schemeClr w14:val="tx1"/>
            </w14:solidFill>
          </w14:textFill>
        </w:rPr>
        <w:t xml:space="preserve">机排二十渠采用完全混合模型，不考虑衰减；综合考虑后本次论证选取 CODcr、 </w:t>
      </w:r>
    </w:p>
    <w:p w14:paraId="7270D79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val="0"/>
          <w:color w:val="000000" w:themeColor="text1"/>
          <w:kern w:val="0"/>
          <w:sz w:val="24"/>
          <w:szCs w:val="24"/>
          <w:u w:val="wav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wave" w:color="auto"/>
          <w:lang w:val="en-US" w:eastAsia="zh-CN" w:bidi="ar"/>
          <w14:textFill>
            <w14:solidFill>
              <w14:schemeClr w14:val="tx1"/>
            </w14:solidFill>
          </w14:textFill>
        </w:rPr>
        <w:t xml:space="preserve">氨氮、总磷作为预测因子，将各参数代入模型，经计算，正常排放完全混合水质预测结果见下表。 </w:t>
      </w:r>
    </w:p>
    <w:p w14:paraId="636CA909">
      <w:pPr>
        <w:pageBreakBefore w:val="0"/>
        <w:widowControl w:val="0"/>
        <w:kinsoku/>
        <w:wordWrap/>
        <w:overflowPunct/>
        <w:topLinePunct w:val="0"/>
        <w:autoSpaceDE/>
        <w:autoSpaceDN/>
        <w:bidi w:val="0"/>
        <w:spacing w:line="240" w:lineRule="auto"/>
        <w:ind w:left="0" w:right="0" w:firstLine="482"/>
        <w:jc w:val="center"/>
        <w:textAlignment w:val="auto"/>
        <w:rPr>
          <w:rFonts w:hint="default" w:ascii="Times New Roman" w:hAnsi="Times New Roman" w:eastAsia="宋体" w:cs="Times New Roman"/>
          <w:b/>
          <w:bCs/>
          <w:color w:val="FF0000"/>
          <w:kern w:val="2"/>
          <w:sz w:val="24"/>
          <w:szCs w:val="24"/>
          <w:u w:val="wave" w:color="auto"/>
          <w:lang w:val="zh-CN" w:eastAsia="zh-CN" w:bidi="ar-SA"/>
        </w:rPr>
      </w:pPr>
      <w:r>
        <w:rPr>
          <w:rFonts w:hint="default" w:ascii="Times New Roman" w:hAnsi="Times New Roman" w:eastAsia="宋体" w:cs="Times New Roman"/>
          <w:b/>
          <w:bCs/>
          <w:color w:val="FF0000"/>
          <w:kern w:val="0"/>
          <w:sz w:val="24"/>
          <w:szCs w:val="24"/>
          <w:u w:val="wave" w:color="auto"/>
          <w:lang w:val="en-US" w:eastAsia="zh-CN" w:bidi="ar"/>
        </w:rPr>
        <w:t>表 6.1-</w:t>
      </w:r>
      <w:r>
        <w:rPr>
          <w:rFonts w:hint="eastAsia" w:ascii="Times New Roman" w:hAnsi="Times New Roman" w:eastAsia="宋体" w:cs="Times New Roman"/>
          <w:b/>
          <w:bCs/>
          <w:color w:val="FF0000"/>
          <w:kern w:val="0"/>
          <w:sz w:val="24"/>
          <w:szCs w:val="24"/>
          <w:u w:val="wave" w:color="auto"/>
          <w:lang w:val="en-US" w:eastAsia="zh-CN" w:bidi="ar"/>
        </w:rPr>
        <w:t>2</w:t>
      </w:r>
      <w:r>
        <w:rPr>
          <w:rFonts w:hint="default" w:ascii="Times New Roman" w:hAnsi="Times New Roman" w:eastAsia="宋体" w:cs="Times New Roman"/>
          <w:b/>
          <w:bCs/>
          <w:color w:val="FF0000"/>
          <w:kern w:val="2"/>
          <w:sz w:val="24"/>
          <w:szCs w:val="24"/>
          <w:u w:val="wave" w:color="auto"/>
          <w:lang w:val="zh-CN" w:eastAsia="zh-CN" w:bidi="ar-SA"/>
        </w:rPr>
        <w:t xml:space="preserve"> 污染物源强和河流背景值一览表</w:t>
      </w:r>
    </w:p>
    <w:tbl>
      <w:tblPr>
        <w:tblStyle w:val="7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1742"/>
        <w:gridCol w:w="2419"/>
        <w:gridCol w:w="2433"/>
      </w:tblGrid>
      <w:tr w14:paraId="3D5FC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tcBorders>
              <w:tl2br w:val="nil"/>
              <w:tr2bl w:val="nil"/>
            </w:tcBorders>
            <w:noWrap w:val="0"/>
            <w:vAlign w:val="center"/>
          </w:tcPr>
          <w:p w14:paraId="6F9E91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FF0000"/>
                <w:kern w:val="2"/>
                <w:sz w:val="21"/>
                <w:szCs w:val="21"/>
                <w:u w:val="wave" w:color="auto"/>
              </w:rPr>
            </w:pPr>
            <w:r>
              <w:rPr>
                <w:rFonts w:hint="default" w:ascii="Times New Roman" w:hAnsi="Times New Roman" w:eastAsia="宋体" w:cs="Times New Roman"/>
                <w:b/>
                <w:color w:val="FF0000"/>
                <w:kern w:val="2"/>
                <w:sz w:val="21"/>
                <w:szCs w:val="21"/>
                <w:u w:val="wave" w:color="auto"/>
              </w:rPr>
              <w:t>污染物源强</w:t>
            </w:r>
          </w:p>
        </w:tc>
      </w:tr>
      <w:tr w14:paraId="5C385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8" w:type="pct"/>
            <w:gridSpan w:val="2"/>
            <w:tcBorders>
              <w:tl2br w:val="nil"/>
              <w:tr2bl w:val="nil"/>
            </w:tcBorders>
            <w:noWrap w:val="0"/>
            <w:vAlign w:val="center"/>
          </w:tcPr>
          <w:p w14:paraId="75C25D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0"/>
              <w:jc w:val="center"/>
              <w:textAlignment w:val="auto"/>
              <w:rPr>
                <w:rFonts w:hint="default" w:ascii="Times New Roman" w:hAnsi="Times New Roman" w:eastAsia="宋体" w:cs="Times New Roman"/>
                <w:color w:val="FF0000"/>
                <w:kern w:val="2"/>
                <w:sz w:val="21"/>
                <w:szCs w:val="21"/>
                <w:u w:val="wave" w:color="auto"/>
              </w:rPr>
            </w:pPr>
            <w:r>
              <w:rPr>
                <w:rFonts w:hint="default" w:ascii="Times New Roman" w:hAnsi="Times New Roman" w:eastAsia="宋体" w:cs="Times New Roman"/>
                <w:color w:val="FF0000"/>
                <w:kern w:val="2"/>
                <w:sz w:val="21"/>
                <w:szCs w:val="21"/>
                <w:u w:val="wave" w:color="auto"/>
              </w:rPr>
              <w:t>项   目</w:t>
            </w:r>
          </w:p>
        </w:tc>
        <w:tc>
          <w:tcPr>
            <w:tcW w:w="1302" w:type="pct"/>
            <w:tcBorders>
              <w:tl2br w:val="nil"/>
              <w:tr2bl w:val="nil"/>
            </w:tcBorders>
            <w:noWrap w:val="0"/>
            <w:vAlign w:val="center"/>
          </w:tcPr>
          <w:p w14:paraId="705076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rPr>
            </w:pPr>
            <w:r>
              <w:rPr>
                <w:rFonts w:hint="default" w:ascii="Times New Roman" w:hAnsi="Times New Roman" w:eastAsia="宋体" w:cs="Times New Roman"/>
                <w:color w:val="FF0000"/>
                <w:kern w:val="2"/>
                <w:sz w:val="21"/>
                <w:szCs w:val="21"/>
                <w:u w:val="wave" w:color="auto"/>
              </w:rPr>
              <w:t>正常排放</w:t>
            </w:r>
          </w:p>
        </w:tc>
        <w:tc>
          <w:tcPr>
            <w:tcW w:w="1309" w:type="pct"/>
            <w:tcBorders>
              <w:tl2br w:val="nil"/>
              <w:tr2bl w:val="nil"/>
            </w:tcBorders>
            <w:noWrap w:val="0"/>
            <w:vAlign w:val="center"/>
          </w:tcPr>
          <w:p w14:paraId="57832F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rPr>
            </w:pPr>
            <w:r>
              <w:rPr>
                <w:rFonts w:hint="default" w:ascii="Times New Roman" w:hAnsi="Times New Roman" w:eastAsia="宋体" w:cs="Times New Roman"/>
                <w:color w:val="FF0000"/>
                <w:kern w:val="2"/>
                <w:sz w:val="21"/>
                <w:szCs w:val="21"/>
                <w:u w:val="wave" w:color="auto"/>
              </w:rPr>
              <w:t>事故排放</w:t>
            </w:r>
          </w:p>
        </w:tc>
      </w:tr>
      <w:tr w14:paraId="59097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0" w:type="pct"/>
            <w:vMerge w:val="restart"/>
            <w:tcBorders>
              <w:tl2br w:val="nil"/>
              <w:tr2bl w:val="nil"/>
            </w:tcBorders>
            <w:noWrap w:val="0"/>
            <w:vAlign w:val="center"/>
          </w:tcPr>
          <w:p w14:paraId="2D0C8B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rPr>
            </w:pPr>
            <w:r>
              <w:rPr>
                <w:rFonts w:hint="default" w:ascii="Times New Roman" w:hAnsi="Times New Roman" w:eastAsia="宋体" w:cs="Times New Roman"/>
                <w:color w:val="FF0000"/>
                <w:kern w:val="2"/>
                <w:sz w:val="21"/>
                <w:szCs w:val="21"/>
                <w:u w:val="wave" w:color="auto"/>
                <w:lang w:val="en-US" w:eastAsia="zh-CN"/>
              </w:rPr>
              <w:t>初始</w:t>
            </w:r>
            <w:r>
              <w:rPr>
                <w:rFonts w:hint="default" w:ascii="Times New Roman" w:hAnsi="Times New Roman" w:eastAsia="宋体" w:cs="Times New Roman"/>
                <w:color w:val="FF0000"/>
                <w:kern w:val="2"/>
                <w:sz w:val="21"/>
                <w:szCs w:val="21"/>
                <w:u w:val="wave" w:color="auto"/>
              </w:rPr>
              <w:t>源强(C</w:t>
            </w:r>
            <w:r>
              <w:rPr>
                <w:rFonts w:hint="default" w:ascii="Times New Roman" w:hAnsi="Times New Roman" w:eastAsia="宋体" w:cs="Times New Roman"/>
                <w:color w:val="FF0000"/>
                <w:kern w:val="2"/>
                <w:sz w:val="21"/>
                <w:szCs w:val="21"/>
                <w:u w:val="wave" w:color="auto"/>
                <w:vertAlign w:val="subscript"/>
              </w:rPr>
              <w:t>p</w:t>
            </w:r>
            <w:r>
              <w:rPr>
                <w:rFonts w:hint="default" w:ascii="Times New Roman" w:hAnsi="Times New Roman" w:eastAsia="宋体" w:cs="Times New Roman"/>
                <w:color w:val="FF0000"/>
                <w:kern w:val="2"/>
                <w:sz w:val="21"/>
                <w:szCs w:val="21"/>
                <w:u w:val="wave" w:color="auto"/>
              </w:rPr>
              <w:t>)</w:t>
            </w:r>
          </w:p>
        </w:tc>
        <w:tc>
          <w:tcPr>
            <w:tcW w:w="937" w:type="pct"/>
            <w:tcBorders>
              <w:tl2br w:val="nil"/>
              <w:tr2bl w:val="nil"/>
            </w:tcBorders>
            <w:noWrap w:val="0"/>
            <w:vAlign w:val="center"/>
          </w:tcPr>
          <w:p w14:paraId="63701D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rPr>
            </w:pPr>
            <w:r>
              <w:rPr>
                <w:rFonts w:hint="default" w:ascii="Times New Roman" w:hAnsi="Times New Roman" w:eastAsia="宋体" w:cs="Times New Roman"/>
                <w:color w:val="FF0000"/>
                <w:kern w:val="2"/>
                <w:sz w:val="21"/>
                <w:szCs w:val="21"/>
                <w:u w:val="wave" w:color="auto"/>
              </w:rPr>
              <w:t>CODcr</w:t>
            </w:r>
          </w:p>
        </w:tc>
        <w:tc>
          <w:tcPr>
            <w:tcW w:w="1302" w:type="pct"/>
            <w:tcBorders>
              <w:tl2br w:val="nil"/>
              <w:tr2bl w:val="nil"/>
            </w:tcBorders>
            <w:noWrap w:val="0"/>
            <w:vAlign w:val="center"/>
          </w:tcPr>
          <w:p w14:paraId="62FE478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default" w:ascii="Times New Roman" w:hAnsi="Times New Roman" w:eastAsia="宋体" w:cs="Times New Roman"/>
                <w:color w:val="FF0000"/>
                <w:spacing w:val="0"/>
                <w:kern w:val="0"/>
                <w:sz w:val="21"/>
                <w:szCs w:val="21"/>
                <w:u w:val="wave" w:color="auto"/>
                <w:lang w:val="en-US" w:eastAsia="zh-CN" w:bidi="ar-SA"/>
              </w:rPr>
              <w:t>50mg/L</w:t>
            </w:r>
          </w:p>
        </w:tc>
        <w:tc>
          <w:tcPr>
            <w:tcW w:w="1309" w:type="pct"/>
            <w:tcBorders>
              <w:tl2br w:val="nil"/>
              <w:tr2bl w:val="nil"/>
            </w:tcBorders>
            <w:noWrap w:val="0"/>
            <w:vAlign w:val="center"/>
          </w:tcPr>
          <w:p w14:paraId="5B41A7B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default" w:ascii="Times New Roman" w:hAnsi="Times New Roman" w:eastAsia="宋体" w:cs="Times New Roman"/>
                <w:color w:val="FF0000"/>
                <w:spacing w:val="0"/>
                <w:kern w:val="0"/>
                <w:sz w:val="21"/>
                <w:szCs w:val="21"/>
                <w:u w:val="wave" w:color="auto"/>
                <w:lang w:val="en-US" w:eastAsia="zh-CN" w:bidi="ar-SA"/>
              </w:rPr>
              <w:t>500mg/L</w:t>
            </w:r>
          </w:p>
        </w:tc>
      </w:tr>
      <w:tr w14:paraId="54748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0" w:type="pct"/>
            <w:vMerge w:val="continue"/>
            <w:tcBorders>
              <w:tl2br w:val="nil"/>
              <w:tr2bl w:val="nil"/>
            </w:tcBorders>
            <w:noWrap w:val="0"/>
            <w:vAlign w:val="center"/>
          </w:tcPr>
          <w:p w14:paraId="2F6FA2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0"/>
              <w:jc w:val="center"/>
              <w:textAlignment w:val="auto"/>
              <w:rPr>
                <w:rFonts w:hint="default" w:ascii="Times New Roman" w:hAnsi="Times New Roman" w:eastAsia="宋体" w:cs="Times New Roman"/>
                <w:color w:val="FF0000"/>
                <w:kern w:val="2"/>
                <w:sz w:val="21"/>
                <w:szCs w:val="21"/>
                <w:u w:val="wave" w:color="auto"/>
              </w:rPr>
            </w:pPr>
          </w:p>
        </w:tc>
        <w:tc>
          <w:tcPr>
            <w:tcW w:w="937" w:type="pct"/>
            <w:tcBorders>
              <w:tl2br w:val="nil"/>
              <w:tr2bl w:val="nil"/>
            </w:tcBorders>
            <w:noWrap w:val="0"/>
            <w:vAlign w:val="center"/>
          </w:tcPr>
          <w:p w14:paraId="748772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rPr>
            </w:pPr>
            <w:r>
              <w:rPr>
                <w:rFonts w:hint="default" w:ascii="Times New Roman" w:hAnsi="Times New Roman" w:eastAsia="宋体" w:cs="Times New Roman"/>
                <w:color w:val="FF0000"/>
                <w:kern w:val="2"/>
                <w:sz w:val="21"/>
                <w:szCs w:val="21"/>
                <w:u w:val="wave" w:color="auto"/>
              </w:rPr>
              <w:t>NH</w:t>
            </w:r>
            <w:r>
              <w:rPr>
                <w:rFonts w:hint="default" w:ascii="Times New Roman" w:hAnsi="Times New Roman" w:eastAsia="宋体" w:cs="Times New Roman"/>
                <w:color w:val="FF0000"/>
                <w:kern w:val="2"/>
                <w:sz w:val="21"/>
                <w:szCs w:val="21"/>
                <w:u w:val="wave" w:color="auto"/>
                <w:vertAlign w:val="subscript"/>
              </w:rPr>
              <w:t>3</w:t>
            </w:r>
            <w:r>
              <w:rPr>
                <w:rFonts w:hint="default" w:ascii="Times New Roman" w:hAnsi="Times New Roman" w:eastAsia="宋体" w:cs="Times New Roman"/>
                <w:color w:val="FF0000"/>
                <w:kern w:val="2"/>
                <w:sz w:val="21"/>
                <w:szCs w:val="21"/>
                <w:u w:val="wave" w:color="auto"/>
              </w:rPr>
              <w:t>-N</w:t>
            </w:r>
          </w:p>
        </w:tc>
        <w:tc>
          <w:tcPr>
            <w:tcW w:w="1302" w:type="pct"/>
            <w:tcBorders>
              <w:tl2br w:val="nil"/>
              <w:tr2bl w:val="nil"/>
            </w:tcBorders>
            <w:noWrap w:val="0"/>
            <w:vAlign w:val="center"/>
          </w:tcPr>
          <w:p w14:paraId="1AAC6228">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default" w:ascii="Times New Roman" w:hAnsi="Times New Roman" w:eastAsia="宋体" w:cs="Times New Roman"/>
                <w:color w:val="FF0000"/>
                <w:spacing w:val="0"/>
                <w:kern w:val="0"/>
                <w:sz w:val="21"/>
                <w:szCs w:val="21"/>
                <w:u w:val="wave" w:color="auto"/>
                <w:lang w:val="en-US" w:eastAsia="zh-CN" w:bidi="ar-SA"/>
              </w:rPr>
              <w:t>5mg/L</w:t>
            </w:r>
          </w:p>
        </w:tc>
        <w:tc>
          <w:tcPr>
            <w:tcW w:w="1309" w:type="pct"/>
            <w:tcBorders>
              <w:tl2br w:val="nil"/>
              <w:tr2bl w:val="nil"/>
            </w:tcBorders>
            <w:noWrap w:val="0"/>
            <w:vAlign w:val="center"/>
          </w:tcPr>
          <w:p w14:paraId="258AD44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default" w:ascii="Times New Roman" w:hAnsi="Times New Roman" w:eastAsia="宋体" w:cs="Times New Roman"/>
                <w:color w:val="FF0000"/>
                <w:spacing w:val="0"/>
                <w:kern w:val="0"/>
                <w:sz w:val="21"/>
                <w:szCs w:val="21"/>
                <w:u w:val="wave" w:color="auto"/>
                <w:lang w:val="en-US" w:eastAsia="zh-CN" w:bidi="ar-SA"/>
              </w:rPr>
              <w:t>45mg/L</w:t>
            </w:r>
          </w:p>
        </w:tc>
      </w:tr>
      <w:tr w14:paraId="1B384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0" w:type="pct"/>
            <w:vMerge w:val="continue"/>
            <w:tcBorders>
              <w:tl2br w:val="nil"/>
              <w:tr2bl w:val="nil"/>
            </w:tcBorders>
            <w:noWrap w:val="0"/>
            <w:vAlign w:val="center"/>
          </w:tcPr>
          <w:p w14:paraId="2E5225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0"/>
              <w:jc w:val="center"/>
              <w:textAlignment w:val="auto"/>
              <w:rPr>
                <w:rFonts w:hint="default" w:ascii="Times New Roman" w:hAnsi="Times New Roman" w:eastAsia="宋体" w:cs="Times New Roman"/>
                <w:color w:val="FF0000"/>
                <w:kern w:val="2"/>
                <w:sz w:val="21"/>
                <w:szCs w:val="21"/>
                <w:u w:val="wave" w:color="auto"/>
              </w:rPr>
            </w:pPr>
          </w:p>
        </w:tc>
        <w:tc>
          <w:tcPr>
            <w:tcW w:w="937" w:type="pct"/>
            <w:tcBorders>
              <w:tl2br w:val="nil"/>
              <w:tr2bl w:val="nil"/>
            </w:tcBorders>
            <w:noWrap w:val="0"/>
            <w:vAlign w:val="center"/>
          </w:tcPr>
          <w:p w14:paraId="0CC909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lang w:val="en-US" w:eastAsia="zh-CN"/>
              </w:rPr>
            </w:pPr>
            <w:r>
              <w:rPr>
                <w:rFonts w:hint="default" w:ascii="Times New Roman" w:hAnsi="Times New Roman" w:eastAsia="宋体" w:cs="Times New Roman"/>
                <w:color w:val="FF0000"/>
                <w:kern w:val="2"/>
                <w:sz w:val="21"/>
                <w:szCs w:val="21"/>
                <w:u w:val="wave" w:color="auto"/>
                <w:lang w:val="en-US" w:eastAsia="zh-CN"/>
              </w:rPr>
              <w:t>TP</w:t>
            </w:r>
          </w:p>
        </w:tc>
        <w:tc>
          <w:tcPr>
            <w:tcW w:w="1302" w:type="pct"/>
            <w:tcBorders>
              <w:tl2br w:val="nil"/>
              <w:tr2bl w:val="nil"/>
            </w:tcBorders>
            <w:noWrap w:val="0"/>
            <w:vAlign w:val="center"/>
          </w:tcPr>
          <w:p w14:paraId="1788650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default" w:ascii="Times New Roman" w:hAnsi="Times New Roman" w:eastAsia="宋体" w:cs="Times New Roman"/>
                <w:color w:val="FF0000"/>
                <w:spacing w:val="0"/>
                <w:kern w:val="0"/>
                <w:sz w:val="21"/>
                <w:szCs w:val="21"/>
                <w:u w:val="wave" w:color="auto"/>
                <w:lang w:val="en-US" w:eastAsia="zh-CN" w:bidi="ar-SA"/>
              </w:rPr>
              <w:t>0.5mg/L</w:t>
            </w:r>
          </w:p>
        </w:tc>
        <w:tc>
          <w:tcPr>
            <w:tcW w:w="1309" w:type="pct"/>
            <w:tcBorders>
              <w:tl2br w:val="nil"/>
              <w:tr2bl w:val="nil"/>
            </w:tcBorders>
            <w:noWrap w:val="0"/>
            <w:vAlign w:val="center"/>
          </w:tcPr>
          <w:p w14:paraId="3EBE6164">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default" w:ascii="Times New Roman" w:hAnsi="Times New Roman" w:eastAsia="宋体" w:cs="Times New Roman"/>
                <w:color w:val="FF0000"/>
                <w:spacing w:val="0"/>
                <w:kern w:val="0"/>
                <w:sz w:val="21"/>
                <w:szCs w:val="21"/>
                <w:u w:val="wave" w:color="auto"/>
                <w:lang w:val="en-US" w:eastAsia="zh-CN" w:bidi="ar-SA"/>
              </w:rPr>
              <w:t>8mg/L</w:t>
            </w:r>
          </w:p>
        </w:tc>
      </w:tr>
      <w:tr w14:paraId="6A624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0" w:type="pct"/>
            <w:tcBorders>
              <w:tl2br w:val="nil"/>
              <w:tr2bl w:val="nil"/>
            </w:tcBorders>
            <w:noWrap w:val="0"/>
            <w:vAlign w:val="center"/>
          </w:tcPr>
          <w:p w14:paraId="5EC3C0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0"/>
              <w:jc w:val="center"/>
              <w:textAlignment w:val="auto"/>
              <w:rPr>
                <w:rFonts w:hint="eastAsia" w:ascii="Times New Roman" w:hAnsi="Times New Roman" w:eastAsia="宋体" w:cs="Times New Roman"/>
                <w:color w:val="FF0000"/>
                <w:kern w:val="2"/>
                <w:sz w:val="21"/>
                <w:szCs w:val="21"/>
                <w:u w:val="wave" w:color="auto"/>
                <w:lang w:eastAsia="zh-CN"/>
              </w:rPr>
            </w:pPr>
            <w:r>
              <w:rPr>
                <w:rFonts w:hint="default" w:ascii="Times New Roman" w:hAnsi="Times New Roman" w:eastAsia="宋体" w:cs="Times New Roman"/>
                <w:color w:val="FF0000"/>
                <w:kern w:val="2"/>
                <w:sz w:val="21"/>
                <w:szCs w:val="21"/>
                <w:u w:val="wave" w:color="auto"/>
              </w:rPr>
              <w:t>废水排放量</w:t>
            </w:r>
            <w:r>
              <w:rPr>
                <w:rFonts w:hint="eastAsia" w:ascii="Times New Roman" w:hAnsi="Times New Roman" w:eastAsia="宋体" w:cs="Times New Roman"/>
                <w:color w:val="FF0000"/>
                <w:kern w:val="2"/>
                <w:sz w:val="21"/>
                <w:szCs w:val="21"/>
                <w:u w:val="wave" w:color="auto"/>
                <w:lang w:eastAsia="zh-CN"/>
              </w:rPr>
              <w:t>（</w:t>
            </w:r>
            <w:r>
              <w:rPr>
                <w:rFonts w:hint="default" w:ascii="Times New Roman" w:hAnsi="Times New Roman" w:eastAsia="宋体" w:cs="Times New Roman"/>
                <w:color w:val="FF0000"/>
                <w:kern w:val="2"/>
                <w:sz w:val="21"/>
                <w:szCs w:val="21"/>
                <w:u w:val="wave" w:color="auto"/>
              </w:rPr>
              <w:t>Qp</w:t>
            </w:r>
            <w:r>
              <w:rPr>
                <w:rFonts w:hint="eastAsia" w:ascii="Times New Roman" w:hAnsi="Times New Roman" w:eastAsia="宋体" w:cs="Times New Roman"/>
                <w:color w:val="FF0000"/>
                <w:kern w:val="2"/>
                <w:sz w:val="21"/>
                <w:szCs w:val="21"/>
                <w:u w:val="wave" w:color="auto"/>
                <w:lang w:eastAsia="zh-CN"/>
              </w:rPr>
              <w:t>）</w:t>
            </w:r>
          </w:p>
        </w:tc>
        <w:tc>
          <w:tcPr>
            <w:tcW w:w="3549" w:type="pct"/>
            <w:gridSpan w:val="3"/>
            <w:tcBorders>
              <w:tl2br w:val="nil"/>
              <w:tr2bl w:val="nil"/>
            </w:tcBorders>
            <w:noWrap w:val="0"/>
            <w:vAlign w:val="center"/>
          </w:tcPr>
          <w:p w14:paraId="417D2EF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default" w:ascii="Times New Roman" w:hAnsi="Times New Roman" w:eastAsia="宋体" w:cs="Times New Roman"/>
                <w:color w:val="FF0000"/>
                <w:spacing w:val="0"/>
                <w:kern w:val="0"/>
                <w:sz w:val="21"/>
                <w:szCs w:val="21"/>
                <w:u w:val="wave" w:color="auto"/>
                <w:lang w:val="en-US" w:eastAsia="zh-CN" w:bidi="ar-SA"/>
              </w:rPr>
              <w:t>0.0</w:t>
            </w:r>
            <w:r>
              <w:rPr>
                <w:rFonts w:hint="eastAsia" w:cs="Times New Roman"/>
                <w:color w:val="FF0000"/>
                <w:spacing w:val="0"/>
                <w:kern w:val="0"/>
                <w:sz w:val="21"/>
                <w:szCs w:val="21"/>
                <w:u w:val="wave" w:color="auto"/>
                <w:lang w:val="en-US" w:eastAsia="zh-CN" w:bidi="ar-SA"/>
              </w:rPr>
              <w:t>35</w:t>
            </w:r>
            <w:r>
              <w:rPr>
                <w:rFonts w:hint="default" w:ascii="Times New Roman" w:hAnsi="Times New Roman" w:eastAsia="宋体" w:cs="Times New Roman"/>
                <w:color w:val="FF0000"/>
                <w:spacing w:val="0"/>
                <w:kern w:val="0"/>
                <w:sz w:val="21"/>
                <w:szCs w:val="21"/>
                <w:u w:val="wave" w:color="auto"/>
                <w:lang w:val="en-US" w:eastAsia="zh-CN" w:bidi="ar-SA"/>
              </w:rPr>
              <w:t>m</w:t>
            </w:r>
            <w:r>
              <w:rPr>
                <w:rFonts w:hint="default" w:ascii="Times New Roman" w:hAnsi="Times New Roman" w:eastAsia="宋体" w:cs="Times New Roman"/>
                <w:color w:val="FF0000"/>
                <w:spacing w:val="0"/>
                <w:kern w:val="0"/>
                <w:sz w:val="21"/>
                <w:szCs w:val="21"/>
                <w:u w:val="wave" w:color="auto"/>
                <w:vertAlign w:val="superscript"/>
                <w:lang w:val="en-US" w:eastAsia="zh-CN" w:bidi="ar-SA"/>
              </w:rPr>
              <w:t>3</w:t>
            </w:r>
            <w:r>
              <w:rPr>
                <w:rFonts w:hint="default" w:ascii="Times New Roman" w:hAnsi="Times New Roman" w:eastAsia="宋体" w:cs="Times New Roman"/>
                <w:color w:val="FF0000"/>
                <w:spacing w:val="0"/>
                <w:kern w:val="0"/>
                <w:sz w:val="21"/>
                <w:szCs w:val="21"/>
                <w:u w:val="wave" w:color="auto"/>
                <w:lang w:val="en-US" w:eastAsia="zh-CN" w:bidi="ar-SA"/>
              </w:rPr>
              <w:t>/s</w:t>
            </w:r>
          </w:p>
        </w:tc>
      </w:tr>
      <w:tr w14:paraId="566D7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tcBorders>
              <w:tl2br w:val="nil"/>
              <w:tr2bl w:val="nil"/>
            </w:tcBorders>
            <w:noWrap w:val="0"/>
            <w:vAlign w:val="center"/>
          </w:tcPr>
          <w:p w14:paraId="1FD38E3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default" w:ascii="Times New Roman" w:hAnsi="Times New Roman" w:eastAsia="宋体" w:cs="Times New Roman"/>
                <w:b/>
                <w:color w:val="FF0000"/>
                <w:spacing w:val="0"/>
                <w:kern w:val="2"/>
                <w:sz w:val="21"/>
                <w:szCs w:val="21"/>
                <w:u w:val="wave" w:color="auto"/>
                <w:lang w:val="en-US" w:eastAsia="zh-CN" w:bidi="ar-SA"/>
              </w:rPr>
              <w:t>河流背景值</w:t>
            </w:r>
          </w:p>
        </w:tc>
      </w:tr>
      <w:tr w14:paraId="6E4D0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0" w:type="pct"/>
            <w:vMerge w:val="restart"/>
            <w:tcBorders>
              <w:tl2br w:val="nil"/>
              <w:tr2bl w:val="nil"/>
            </w:tcBorders>
            <w:noWrap w:val="0"/>
            <w:vAlign w:val="center"/>
          </w:tcPr>
          <w:p w14:paraId="7F3AD50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rPr>
            </w:pPr>
            <w:r>
              <w:rPr>
                <w:rFonts w:hint="default" w:ascii="Times New Roman" w:hAnsi="Times New Roman" w:eastAsia="宋体" w:cs="Times New Roman"/>
                <w:color w:val="FF0000"/>
                <w:kern w:val="2"/>
                <w:sz w:val="21"/>
                <w:szCs w:val="21"/>
                <w:u w:val="wave" w:color="auto"/>
                <w:lang w:val="en-US" w:eastAsia="zh-CN"/>
              </w:rPr>
              <w:t>机排二十渠</w:t>
            </w:r>
            <w:r>
              <w:rPr>
                <w:rFonts w:hint="default" w:ascii="Times New Roman" w:hAnsi="Times New Roman" w:eastAsia="宋体" w:cs="Times New Roman"/>
                <w:color w:val="FF0000"/>
                <w:kern w:val="2"/>
                <w:sz w:val="21"/>
                <w:szCs w:val="21"/>
                <w:u w:val="wave" w:color="auto"/>
              </w:rPr>
              <w:t>(C</w:t>
            </w:r>
            <w:r>
              <w:rPr>
                <w:rFonts w:hint="eastAsia" w:ascii="Times New Roman" w:hAnsi="Times New Roman" w:eastAsia="宋体" w:cs="Times New Roman"/>
                <w:color w:val="FF0000"/>
                <w:kern w:val="2"/>
                <w:sz w:val="21"/>
                <w:szCs w:val="21"/>
                <w:u w:val="wave" w:color="auto"/>
                <w:vertAlign w:val="subscript"/>
                <w:lang w:val="en-US" w:eastAsia="zh-CN"/>
              </w:rPr>
              <w:t>h</w:t>
            </w:r>
            <w:r>
              <w:rPr>
                <w:rFonts w:hint="default" w:ascii="Times New Roman" w:hAnsi="Times New Roman" w:eastAsia="宋体" w:cs="Times New Roman"/>
                <w:color w:val="FF0000"/>
                <w:kern w:val="2"/>
                <w:sz w:val="21"/>
                <w:szCs w:val="21"/>
                <w:u w:val="wave" w:color="auto"/>
              </w:rPr>
              <w:t>)</w:t>
            </w:r>
          </w:p>
        </w:tc>
        <w:tc>
          <w:tcPr>
            <w:tcW w:w="937" w:type="pct"/>
            <w:tcBorders>
              <w:tl2br w:val="nil"/>
              <w:tr2bl w:val="nil"/>
            </w:tcBorders>
            <w:noWrap w:val="0"/>
            <w:vAlign w:val="center"/>
          </w:tcPr>
          <w:p w14:paraId="65EC1E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rPr>
            </w:pPr>
            <w:r>
              <w:rPr>
                <w:rFonts w:hint="default" w:ascii="Times New Roman" w:hAnsi="Times New Roman" w:eastAsia="宋体" w:cs="Times New Roman"/>
                <w:color w:val="FF0000"/>
                <w:kern w:val="2"/>
                <w:sz w:val="21"/>
                <w:szCs w:val="21"/>
                <w:u w:val="wave" w:color="auto"/>
              </w:rPr>
              <w:t>CODcr</w:t>
            </w:r>
          </w:p>
        </w:tc>
        <w:tc>
          <w:tcPr>
            <w:tcW w:w="2611" w:type="pct"/>
            <w:gridSpan w:val="2"/>
            <w:tcBorders>
              <w:tl2br w:val="nil"/>
              <w:tr2bl w:val="nil"/>
            </w:tcBorders>
            <w:noWrap w:val="0"/>
            <w:vAlign w:val="center"/>
          </w:tcPr>
          <w:p w14:paraId="13F5DDDF">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default" w:ascii="Times New Roman" w:hAnsi="Times New Roman" w:eastAsia="宋体" w:cs="Times New Roman"/>
                <w:color w:val="FF0000"/>
                <w:spacing w:val="0"/>
                <w:kern w:val="0"/>
                <w:sz w:val="21"/>
                <w:szCs w:val="21"/>
                <w:u w:val="wave" w:color="auto"/>
                <w:lang w:val="en-US" w:eastAsia="zh-CN" w:bidi="ar-SA"/>
              </w:rPr>
              <w:t>16mg/L</w:t>
            </w:r>
          </w:p>
        </w:tc>
      </w:tr>
      <w:tr w14:paraId="05F31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450" w:type="pct"/>
            <w:vMerge w:val="continue"/>
            <w:tcBorders>
              <w:tl2br w:val="nil"/>
              <w:tr2bl w:val="nil"/>
            </w:tcBorders>
            <w:noWrap w:val="0"/>
            <w:vAlign w:val="center"/>
          </w:tcPr>
          <w:p w14:paraId="1DFD510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lang w:val="en-US" w:eastAsia="zh-CN"/>
              </w:rPr>
            </w:pPr>
          </w:p>
        </w:tc>
        <w:tc>
          <w:tcPr>
            <w:tcW w:w="937" w:type="pct"/>
            <w:tcBorders>
              <w:tl2br w:val="nil"/>
              <w:tr2bl w:val="nil"/>
            </w:tcBorders>
            <w:noWrap w:val="0"/>
            <w:vAlign w:val="center"/>
          </w:tcPr>
          <w:p w14:paraId="53039C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lang w:val="en-US" w:eastAsia="zh-CN"/>
              </w:rPr>
            </w:pPr>
            <w:r>
              <w:rPr>
                <w:rFonts w:hint="default" w:ascii="Times New Roman" w:hAnsi="Times New Roman" w:eastAsia="宋体" w:cs="Times New Roman"/>
                <w:color w:val="FF0000"/>
                <w:kern w:val="2"/>
                <w:sz w:val="21"/>
                <w:szCs w:val="21"/>
                <w:u w:val="wave" w:color="auto"/>
              </w:rPr>
              <w:t>NH</w:t>
            </w:r>
            <w:r>
              <w:rPr>
                <w:rFonts w:hint="default" w:ascii="Times New Roman" w:hAnsi="Times New Roman" w:eastAsia="宋体" w:cs="Times New Roman"/>
                <w:color w:val="FF0000"/>
                <w:kern w:val="2"/>
                <w:sz w:val="21"/>
                <w:szCs w:val="21"/>
                <w:u w:val="wave" w:color="auto"/>
                <w:vertAlign w:val="subscript"/>
              </w:rPr>
              <w:t>3</w:t>
            </w:r>
            <w:r>
              <w:rPr>
                <w:rFonts w:hint="default" w:ascii="Times New Roman" w:hAnsi="Times New Roman" w:eastAsia="宋体" w:cs="Times New Roman"/>
                <w:color w:val="FF0000"/>
                <w:kern w:val="2"/>
                <w:sz w:val="21"/>
                <w:szCs w:val="21"/>
                <w:u w:val="wave" w:color="auto"/>
              </w:rPr>
              <w:t>-N</w:t>
            </w:r>
          </w:p>
        </w:tc>
        <w:tc>
          <w:tcPr>
            <w:tcW w:w="2611" w:type="pct"/>
            <w:gridSpan w:val="2"/>
            <w:tcBorders>
              <w:tl2br w:val="nil"/>
              <w:tr2bl w:val="nil"/>
            </w:tcBorders>
            <w:noWrap w:val="0"/>
            <w:vAlign w:val="center"/>
          </w:tcPr>
          <w:p w14:paraId="76BC30CE">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default" w:ascii="Times New Roman" w:hAnsi="Times New Roman" w:eastAsia="宋体" w:cs="Times New Roman"/>
                <w:color w:val="FF0000"/>
                <w:spacing w:val="0"/>
                <w:kern w:val="0"/>
                <w:sz w:val="21"/>
                <w:szCs w:val="21"/>
                <w:u w:val="wave" w:color="auto"/>
                <w:lang w:val="en-US" w:eastAsia="zh-CN" w:bidi="ar-SA"/>
              </w:rPr>
              <w:t>0.453mg/L</w:t>
            </w:r>
          </w:p>
        </w:tc>
      </w:tr>
      <w:tr w14:paraId="3CD0B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0" w:type="pct"/>
            <w:vMerge w:val="continue"/>
            <w:tcBorders>
              <w:tl2br w:val="nil"/>
              <w:tr2bl w:val="nil"/>
            </w:tcBorders>
            <w:noWrap w:val="0"/>
            <w:vAlign w:val="center"/>
          </w:tcPr>
          <w:p w14:paraId="7634B18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lang w:val="en-US" w:eastAsia="zh-CN"/>
              </w:rPr>
            </w:pPr>
          </w:p>
        </w:tc>
        <w:tc>
          <w:tcPr>
            <w:tcW w:w="937" w:type="pct"/>
            <w:tcBorders>
              <w:tl2br w:val="nil"/>
              <w:tr2bl w:val="nil"/>
            </w:tcBorders>
            <w:noWrap w:val="0"/>
            <w:vAlign w:val="center"/>
          </w:tcPr>
          <w:p w14:paraId="4A49A1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lang w:val="en-US" w:eastAsia="zh-CN" w:bidi="ar-SA"/>
              </w:rPr>
            </w:pPr>
            <w:r>
              <w:rPr>
                <w:rFonts w:hint="default" w:ascii="Times New Roman" w:hAnsi="Times New Roman" w:eastAsia="宋体" w:cs="Times New Roman"/>
                <w:color w:val="FF0000"/>
                <w:kern w:val="2"/>
                <w:sz w:val="21"/>
                <w:szCs w:val="21"/>
                <w:u w:val="wave" w:color="auto"/>
                <w:lang w:val="en-US" w:eastAsia="zh-CN"/>
              </w:rPr>
              <w:t>TP</w:t>
            </w:r>
          </w:p>
        </w:tc>
        <w:tc>
          <w:tcPr>
            <w:tcW w:w="2611" w:type="pct"/>
            <w:gridSpan w:val="2"/>
            <w:tcBorders>
              <w:tl2br w:val="nil"/>
              <w:tr2bl w:val="nil"/>
            </w:tcBorders>
            <w:noWrap w:val="0"/>
            <w:vAlign w:val="center"/>
          </w:tcPr>
          <w:p w14:paraId="51CBF163">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default" w:ascii="Times New Roman" w:hAnsi="Times New Roman" w:eastAsia="宋体" w:cs="Times New Roman"/>
                <w:color w:val="FF0000"/>
                <w:spacing w:val="0"/>
                <w:kern w:val="0"/>
                <w:sz w:val="21"/>
                <w:szCs w:val="21"/>
                <w:u w:val="wave" w:color="auto"/>
                <w:lang w:val="en-US" w:eastAsia="zh-CN" w:bidi="ar-SA"/>
              </w:rPr>
              <w:t>0.06 mg/L</w:t>
            </w:r>
          </w:p>
        </w:tc>
      </w:tr>
      <w:tr w14:paraId="740BD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8" w:type="pct"/>
            <w:gridSpan w:val="2"/>
            <w:tcBorders>
              <w:tl2br w:val="nil"/>
              <w:tr2bl w:val="nil"/>
            </w:tcBorders>
            <w:noWrap w:val="0"/>
            <w:vAlign w:val="center"/>
          </w:tcPr>
          <w:p w14:paraId="10C46C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2"/>
                <w:sz w:val="21"/>
                <w:szCs w:val="21"/>
                <w:u w:val="wave" w:color="auto"/>
                <w:lang w:val="en-US" w:eastAsia="zh-CN"/>
              </w:rPr>
            </w:pPr>
            <w:r>
              <w:rPr>
                <w:rFonts w:hint="eastAsia" w:ascii="Times New Roman" w:hAnsi="Times New Roman" w:eastAsia="宋体" w:cs="Times New Roman"/>
                <w:color w:val="FF0000"/>
                <w:kern w:val="2"/>
                <w:sz w:val="21"/>
                <w:szCs w:val="21"/>
                <w:u w:val="wave" w:color="auto"/>
                <w:lang w:val="en-US" w:eastAsia="zh-CN"/>
              </w:rPr>
              <w:t>流量</w:t>
            </w:r>
            <w:r>
              <w:rPr>
                <w:rFonts w:hint="eastAsia" w:ascii="Times New Roman" w:hAnsi="Times New Roman" w:eastAsia="宋体" w:cs="Times New Roman"/>
                <w:color w:val="FF0000"/>
                <w:kern w:val="2"/>
                <w:sz w:val="21"/>
                <w:szCs w:val="21"/>
                <w:u w:val="wave" w:color="auto"/>
                <w:lang w:eastAsia="zh-CN"/>
              </w:rPr>
              <w:t>（</w:t>
            </w:r>
            <w:r>
              <w:rPr>
                <w:rFonts w:hint="default" w:ascii="Times New Roman" w:hAnsi="Times New Roman" w:eastAsia="宋体" w:cs="Times New Roman"/>
                <w:color w:val="FF0000"/>
                <w:kern w:val="2"/>
                <w:sz w:val="21"/>
                <w:szCs w:val="21"/>
                <w:u w:val="wave" w:color="auto"/>
              </w:rPr>
              <w:t>Q</w:t>
            </w:r>
            <w:r>
              <w:rPr>
                <w:rFonts w:hint="eastAsia" w:ascii="Times New Roman" w:hAnsi="Times New Roman" w:eastAsia="宋体" w:cs="Times New Roman"/>
                <w:color w:val="FF0000"/>
                <w:kern w:val="2"/>
                <w:sz w:val="21"/>
                <w:szCs w:val="21"/>
                <w:u w:val="wave" w:color="auto"/>
                <w:lang w:val="en-US" w:eastAsia="zh-CN"/>
              </w:rPr>
              <w:t>h</w:t>
            </w:r>
            <w:r>
              <w:rPr>
                <w:rFonts w:hint="eastAsia" w:ascii="Times New Roman" w:hAnsi="Times New Roman" w:eastAsia="宋体" w:cs="Times New Roman"/>
                <w:color w:val="FF0000"/>
                <w:kern w:val="2"/>
                <w:sz w:val="21"/>
                <w:szCs w:val="21"/>
                <w:u w:val="wave" w:color="auto"/>
                <w:lang w:eastAsia="zh-CN"/>
              </w:rPr>
              <w:t>）</w:t>
            </w:r>
          </w:p>
        </w:tc>
        <w:tc>
          <w:tcPr>
            <w:tcW w:w="2611" w:type="pct"/>
            <w:gridSpan w:val="2"/>
            <w:tcBorders>
              <w:tl2br w:val="nil"/>
              <w:tr2bl w:val="nil"/>
            </w:tcBorders>
            <w:noWrap w:val="0"/>
            <w:vAlign w:val="center"/>
          </w:tcPr>
          <w:p w14:paraId="496F08D7">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FF0000"/>
                <w:spacing w:val="0"/>
                <w:kern w:val="0"/>
                <w:sz w:val="21"/>
                <w:szCs w:val="21"/>
                <w:u w:val="wave" w:color="auto"/>
                <w:lang w:val="en-US" w:eastAsia="zh-CN" w:bidi="ar-SA"/>
              </w:rPr>
            </w:pPr>
            <w:r>
              <w:rPr>
                <w:rFonts w:hint="eastAsia" w:ascii="Times New Roman" w:hAnsi="Times New Roman" w:eastAsia="宋体" w:cs="Times New Roman"/>
                <w:color w:val="FF0000"/>
                <w:spacing w:val="0"/>
                <w:kern w:val="0"/>
                <w:sz w:val="21"/>
                <w:szCs w:val="21"/>
                <w:u w:val="wave" w:color="auto"/>
                <w:lang w:val="en-US" w:eastAsia="zh-CN" w:bidi="ar-SA"/>
              </w:rPr>
              <w:t>0.76</w:t>
            </w:r>
            <w:r>
              <w:rPr>
                <w:rFonts w:hint="default" w:ascii="Times New Roman" w:hAnsi="Times New Roman" w:eastAsia="宋体" w:cs="Times New Roman"/>
                <w:color w:val="FF0000"/>
                <w:kern w:val="0"/>
                <w:sz w:val="24"/>
                <w:szCs w:val="24"/>
                <w:u w:val="wave" w:color="auto"/>
                <w:lang w:val="en-US" w:eastAsia="zh-CN" w:bidi="ar"/>
              </w:rPr>
              <w:t>m</w:t>
            </w:r>
            <w:r>
              <w:rPr>
                <w:rFonts w:hint="default" w:ascii="Times New Roman" w:hAnsi="Times New Roman" w:eastAsia="宋体" w:cs="Times New Roman"/>
                <w:color w:val="FF0000"/>
                <w:kern w:val="0"/>
                <w:sz w:val="24"/>
                <w:szCs w:val="24"/>
                <w:u w:val="wave" w:color="auto"/>
                <w:vertAlign w:val="superscript"/>
                <w:lang w:val="en-US" w:eastAsia="zh-CN" w:bidi="ar"/>
              </w:rPr>
              <w:t>3</w:t>
            </w:r>
            <w:r>
              <w:rPr>
                <w:rFonts w:hint="default" w:ascii="Times New Roman" w:hAnsi="Times New Roman" w:eastAsia="宋体" w:cs="Times New Roman"/>
                <w:color w:val="FF0000"/>
                <w:kern w:val="0"/>
                <w:sz w:val="24"/>
                <w:szCs w:val="24"/>
                <w:u w:val="wave" w:color="auto"/>
                <w:lang w:val="en-US" w:eastAsia="zh-CN" w:bidi="ar"/>
              </w:rPr>
              <w:t xml:space="preserve"> /s</w:t>
            </w:r>
          </w:p>
        </w:tc>
      </w:tr>
    </w:tbl>
    <w:p w14:paraId="498A3C8A">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kern w:val="2"/>
          <w:sz w:val="21"/>
          <w:u w:val="wave" w:color="auto"/>
          <w14:textFill>
            <w14:solidFill>
              <w14:schemeClr w14:val="tx1"/>
            </w14:solidFill>
          </w14:textFill>
        </w:rPr>
      </w:pPr>
      <w:r>
        <w:rPr>
          <w:rFonts w:hint="default" w:ascii="Times New Roman" w:hAnsi="Times New Roman" w:eastAsia="宋体" w:cs="Times New Roman"/>
          <w:b/>
          <w:bCs/>
          <w:color w:val="000000" w:themeColor="text1"/>
          <w:kern w:val="0"/>
          <w:sz w:val="24"/>
          <w:szCs w:val="24"/>
          <w:u w:val="wave" w:color="auto"/>
          <w:lang w:val="en-US" w:eastAsia="zh-CN" w:bidi="ar"/>
          <w14:textFill>
            <w14:solidFill>
              <w14:schemeClr w14:val="tx1"/>
            </w14:solidFill>
          </w14:textFill>
        </w:rPr>
        <w:t>表 6.1-3 项目废水正常排放及非正常排放完全混合水质浓度预测结果一览表</w:t>
      </w:r>
    </w:p>
    <w:tbl>
      <w:tblPr>
        <w:tblStyle w:val="77"/>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26"/>
        <w:gridCol w:w="1327"/>
        <w:gridCol w:w="1327"/>
        <w:gridCol w:w="1482"/>
        <w:gridCol w:w="1740"/>
        <w:gridCol w:w="1110"/>
        <w:gridCol w:w="976"/>
      </w:tblGrid>
      <w:tr w14:paraId="05FB0B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26" w:type="dxa"/>
            <w:tcBorders>
              <w:tl2br w:val="nil"/>
              <w:tr2bl w:val="nil"/>
            </w:tcBorders>
            <w:noWrap w:val="0"/>
            <w:vAlign w:val="top"/>
          </w:tcPr>
          <w:p w14:paraId="38927B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u w:val="wave" w:color="auto"/>
                <w:vertAlign w:val="baseline"/>
                <w:lang w:val="en-US" w:eastAsia="zh-CN" w:bidi="ar-SA"/>
                <w14:textFill>
                  <w14:solidFill>
                    <w14:schemeClr w14:val="tx1"/>
                  </w14:solidFill>
                </w14:textFill>
              </w:rPr>
              <w:t>污染因子</w:t>
            </w:r>
          </w:p>
        </w:tc>
        <w:tc>
          <w:tcPr>
            <w:tcW w:w="1327" w:type="dxa"/>
            <w:tcBorders>
              <w:tl2br w:val="nil"/>
              <w:tr2bl w:val="nil"/>
            </w:tcBorders>
            <w:noWrap w:val="0"/>
            <w:vAlign w:val="top"/>
          </w:tcPr>
          <w:p w14:paraId="05167E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u w:val="wave" w:color="auto"/>
                <w:vertAlign w:val="baseline"/>
                <w:lang w:val="en-US" w:eastAsia="zh-CN" w:bidi="ar-SA"/>
                <w14:textFill>
                  <w14:solidFill>
                    <w14:schemeClr w14:val="tx1"/>
                  </w14:solidFill>
                </w14:textFill>
              </w:rPr>
              <w:t>排放状况</w:t>
            </w:r>
          </w:p>
        </w:tc>
        <w:tc>
          <w:tcPr>
            <w:tcW w:w="1327" w:type="dxa"/>
            <w:tcBorders>
              <w:tl2br w:val="nil"/>
              <w:tr2bl w:val="nil"/>
            </w:tcBorders>
            <w:noWrap w:val="0"/>
            <w:vAlign w:val="top"/>
          </w:tcPr>
          <w:p w14:paraId="4AE1E265">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t>排放浓度（mg/L)</w:t>
            </w:r>
          </w:p>
        </w:tc>
        <w:tc>
          <w:tcPr>
            <w:tcW w:w="1482" w:type="dxa"/>
            <w:tcBorders>
              <w:tl2br w:val="nil"/>
              <w:tr2bl w:val="nil"/>
            </w:tcBorders>
            <w:noWrap w:val="0"/>
            <w:vAlign w:val="top"/>
          </w:tcPr>
          <w:p w14:paraId="2BF39CFA">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t>河流背景浓度（mg/L)</w:t>
            </w:r>
          </w:p>
        </w:tc>
        <w:tc>
          <w:tcPr>
            <w:tcW w:w="1740" w:type="dxa"/>
            <w:tcBorders>
              <w:tl2br w:val="nil"/>
              <w:tr2bl w:val="nil"/>
            </w:tcBorders>
            <w:noWrap w:val="0"/>
            <w:vAlign w:val="top"/>
          </w:tcPr>
          <w:p w14:paraId="550B7FEC">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t>完全混合水质浓度（mg/L)</w:t>
            </w:r>
          </w:p>
        </w:tc>
        <w:tc>
          <w:tcPr>
            <w:tcW w:w="1110" w:type="dxa"/>
            <w:tcBorders>
              <w:tl2br w:val="nil"/>
              <w:tr2bl w:val="nil"/>
            </w:tcBorders>
            <w:noWrap w:val="0"/>
            <w:vAlign w:val="top"/>
          </w:tcPr>
          <w:p w14:paraId="125AB071">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t>标准值（mg/L)</w:t>
            </w:r>
          </w:p>
        </w:tc>
        <w:tc>
          <w:tcPr>
            <w:tcW w:w="976" w:type="dxa"/>
            <w:tcBorders>
              <w:tl2br w:val="nil"/>
              <w:tr2bl w:val="nil"/>
            </w:tcBorders>
            <w:noWrap w:val="0"/>
            <w:vAlign w:val="top"/>
          </w:tcPr>
          <w:p w14:paraId="73DB0190">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t>达标</w:t>
            </w:r>
          </w:p>
          <w:p w14:paraId="6BE4E8B5">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u w:val="wave" w:color="auto"/>
                <w:lang w:val="en-US" w:eastAsia="zh-CN"/>
                <w14:textFill>
                  <w14:solidFill>
                    <w14:schemeClr w14:val="tx1"/>
                  </w14:solidFill>
                </w14:textFill>
              </w:rPr>
              <w:t>情况</w:t>
            </w:r>
          </w:p>
        </w:tc>
      </w:tr>
      <w:tr w14:paraId="005BA1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26" w:type="dxa"/>
            <w:vMerge w:val="restart"/>
            <w:tcBorders>
              <w:tl2br w:val="nil"/>
              <w:tr2bl w:val="nil"/>
            </w:tcBorders>
            <w:noWrap w:val="0"/>
            <w:vAlign w:val="top"/>
          </w:tcPr>
          <w:p w14:paraId="51C8C16D">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pPr>
          </w:p>
          <w:p w14:paraId="40D8F49C">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t>CODcr</w:t>
            </w:r>
          </w:p>
        </w:tc>
        <w:tc>
          <w:tcPr>
            <w:tcW w:w="1327" w:type="dxa"/>
            <w:tcBorders>
              <w:tl2br w:val="nil"/>
              <w:tr2bl w:val="nil"/>
            </w:tcBorders>
            <w:noWrap w:val="0"/>
            <w:vAlign w:val="top"/>
          </w:tcPr>
          <w:p w14:paraId="2D6A3C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正常排放</w:t>
            </w:r>
          </w:p>
        </w:tc>
        <w:tc>
          <w:tcPr>
            <w:tcW w:w="1327" w:type="dxa"/>
            <w:tcBorders>
              <w:tl2br w:val="nil"/>
              <w:tr2bl w:val="nil"/>
            </w:tcBorders>
            <w:noWrap w:val="0"/>
            <w:vAlign w:val="top"/>
          </w:tcPr>
          <w:p w14:paraId="4B6FEB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50</w:t>
            </w:r>
          </w:p>
        </w:tc>
        <w:tc>
          <w:tcPr>
            <w:tcW w:w="1482" w:type="dxa"/>
            <w:vMerge w:val="restart"/>
            <w:tcBorders>
              <w:tl2br w:val="nil"/>
              <w:tr2bl w:val="nil"/>
            </w:tcBorders>
            <w:noWrap w:val="0"/>
            <w:vAlign w:val="center"/>
          </w:tcPr>
          <w:p w14:paraId="10A4554B">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16</w:t>
            </w:r>
          </w:p>
        </w:tc>
        <w:tc>
          <w:tcPr>
            <w:tcW w:w="1740" w:type="dxa"/>
            <w:tcBorders>
              <w:tl2br w:val="nil"/>
              <w:tr2bl w:val="nil"/>
            </w:tcBorders>
            <w:noWrap w:val="0"/>
            <w:vAlign w:val="top"/>
          </w:tcPr>
          <w:p w14:paraId="73B86B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17.</w:t>
            </w: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50</w:t>
            </w:r>
          </w:p>
        </w:tc>
        <w:tc>
          <w:tcPr>
            <w:tcW w:w="1110" w:type="dxa"/>
            <w:tcBorders>
              <w:tl2br w:val="nil"/>
              <w:tr2bl w:val="nil"/>
            </w:tcBorders>
            <w:noWrap w:val="0"/>
            <w:vAlign w:val="top"/>
          </w:tcPr>
          <w:p w14:paraId="4963D5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30</w:t>
            </w:r>
          </w:p>
        </w:tc>
        <w:tc>
          <w:tcPr>
            <w:tcW w:w="976" w:type="dxa"/>
            <w:tcBorders>
              <w:tl2br w:val="nil"/>
              <w:tr2bl w:val="nil"/>
            </w:tcBorders>
            <w:noWrap w:val="0"/>
            <w:vAlign w:val="top"/>
          </w:tcPr>
          <w:p w14:paraId="664472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达标</w:t>
            </w:r>
          </w:p>
        </w:tc>
      </w:tr>
      <w:tr w14:paraId="4C54D6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26" w:type="dxa"/>
            <w:vMerge w:val="continue"/>
            <w:tcBorders>
              <w:tl2br w:val="nil"/>
              <w:tr2bl w:val="nil"/>
            </w:tcBorders>
            <w:noWrap w:val="0"/>
            <w:vAlign w:val="top"/>
          </w:tcPr>
          <w:p w14:paraId="0650D19F">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pPr>
          </w:p>
        </w:tc>
        <w:tc>
          <w:tcPr>
            <w:tcW w:w="1327" w:type="dxa"/>
            <w:tcBorders>
              <w:tl2br w:val="nil"/>
              <w:tr2bl w:val="nil"/>
            </w:tcBorders>
            <w:noWrap w:val="0"/>
            <w:vAlign w:val="top"/>
          </w:tcPr>
          <w:p w14:paraId="2ADE81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非正常排放</w:t>
            </w:r>
          </w:p>
        </w:tc>
        <w:tc>
          <w:tcPr>
            <w:tcW w:w="1327" w:type="dxa"/>
            <w:tcBorders>
              <w:tl2br w:val="nil"/>
              <w:tr2bl w:val="nil"/>
            </w:tcBorders>
            <w:noWrap w:val="0"/>
            <w:vAlign w:val="top"/>
          </w:tcPr>
          <w:p w14:paraId="76C9D6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500</w:t>
            </w:r>
          </w:p>
        </w:tc>
        <w:tc>
          <w:tcPr>
            <w:tcW w:w="1482" w:type="dxa"/>
            <w:vMerge w:val="continue"/>
            <w:tcBorders>
              <w:tl2br w:val="nil"/>
              <w:tr2bl w:val="nil"/>
            </w:tcBorders>
            <w:noWrap w:val="0"/>
            <w:vAlign w:val="center"/>
          </w:tcPr>
          <w:p w14:paraId="370E5EA1">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2"/>
                <w:sz w:val="21"/>
                <w:szCs w:val="21"/>
                <w:u w:val="wave" w:color="auto"/>
                <w:vertAlign w:val="baseline"/>
                <w:lang w:val="en-US" w:eastAsia="zh-CN" w:bidi="ar-SA"/>
                <w14:textFill>
                  <w14:solidFill>
                    <w14:schemeClr w14:val="tx1"/>
                  </w14:solidFill>
                </w14:textFill>
              </w:rPr>
            </w:pPr>
          </w:p>
        </w:tc>
        <w:tc>
          <w:tcPr>
            <w:tcW w:w="1740" w:type="dxa"/>
            <w:tcBorders>
              <w:tl2br w:val="nil"/>
              <w:tr2bl w:val="nil"/>
            </w:tcBorders>
            <w:noWrap w:val="0"/>
            <w:vAlign w:val="top"/>
          </w:tcPr>
          <w:p w14:paraId="21937B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37.31</w:t>
            </w:r>
          </w:p>
        </w:tc>
        <w:tc>
          <w:tcPr>
            <w:tcW w:w="1110" w:type="dxa"/>
            <w:tcBorders>
              <w:tl2br w:val="nil"/>
              <w:tr2bl w:val="nil"/>
            </w:tcBorders>
            <w:noWrap w:val="0"/>
            <w:vAlign w:val="top"/>
          </w:tcPr>
          <w:p w14:paraId="079EAB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30</w:t>
            </w:r>
          </w:p>
        </w:tc>
        <w:tc>
          <w:tcPr>
            <w:tcW w:w="976" w:type="dxa"/>
            <w:tcBorders>
              <w:tl2br w:val="nil"/>
              <w:tr2bl w:val="nil"/>
            </w:tcBorders>
            <w:noWrap w:val="0"/>
            <w:vAlign w:val="top"/>
          </w:tcPr>
          <w:p w14:paraId="152D82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不</w:t>
            </w: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达标</w:t>
            </w:r>
          </w:p>
        </w:tc>
      </w:tr>
      <w:tr w14:paraId="598A50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26" w:type="dxa"/>
            <w:vMerge w:val="restart"/>
            <w:tcBorders>
              <w:tl2br w:val="nil"/>
              <w:tr2bl w:val="nil"/>
            </w:tcBorders>
            <w:noWrap w:val="0"/>
            <w:vAlign w:val="top"/>
          </w:tcPr>
          <w:p w14:paraId="46876BE9">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pPr>
          </w:p>
          <w:p w14:paraId="6B72B5EB">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kern w:val="2"/>
                <w:sz w:val="21"/>
                <w:szCs w:val="21"/>
                <w:u w:val="wave" w:color="auto"/>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t>-N</w:t>
            </w:r>
          </w:p>
        </w:tc>
        <w:tc>
          <w:tcPr>
            <w:tcW w:w="1327" w:type="dxa"/>
            <w:tcBorders>
              <w:tl2br w:val="nil"/>
              <w:tr2bl w:val="nil"/>
            </w:tcBorders>
            <w:noWrap w:val="0"/>
            <w:vAlign w:val="top"/>
          </w:tcPr>
          <w:p w14:paraId="0CAF51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正常排放</w:t>
            </w:r>
          </w:p>
        </w:tc>
        <w:tc>
          <w:tcPr>
            <w:tcW w:w="1327" w:type="dxa"/>
            <w:tcBorders>
              <w:tl2br w:val="nil"/>
              <w:tr2bl w:val="nil"/>
            </w:tcBorders>
            <w:noWrap w:val="0"/>
            <w:vAlign w:val="top"/>
          </w:tcPr>
          <w:p w14:paraId="43F1FF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5</w:t>
            </w:r>
          </w:p>
        </w:tc>
        <w:tc>
          <w:tcPr>
            <w:tcW w:w="1482" w:type="dxa"/>
            <w:vMerge w:val="restart"/>
            <w:tcBorders>
              <w:tl2br w:val="nil"/>
              <w:tr2bl w:val="nil"/>
            </w:tcBorders>
            <w:noWrap w:val="0"/>
            <w:vAlign w:val="center"/>
          </w:tcPr>
          <w:p w14:paraId="312E4C1A">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pacing w:val="0"/>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wave" w:color="auto"/>
                <w:lang w:val="en-US" w:eastAsia="zh-CN" w:bidi="ar-SA"/>
                <w14:textFill>
                  <w14:solidFill>
                    <w14:schemeClr w14:val="tx1"/>
                  </w14:solidFill>
                </w14:textFill>
              </w:rPr>
              <w:t>0.453</w:t>
            </w:r>
          </w:p>
        </w:tc>
        <w:tc>
          <w:tcPr>
            <w:tcW w:w="1740" w:type="dxa"/>
            <w:tcBorders>
              <w:tl2br w:val="nil"/>
              <w:tr2bl w:val="nil"/>
            </w:tcBorders>
            <w:noWrap w:val="0"/>
            <w:vAlign w:val="top"/>
          </w:tcPr>
          <w:p w14:paraId="198BEF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0.6</w:t>
            </w: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4</w:t>
            </w:r>
          </w:p>
        </w:tc>
        <w:tc>
          <w:tcPr>
            <w:tcW w:w="1110" w:type="dxa"/>
            <w:tcBorders>
              <w:tl2br w:val="nil"/>
              <w:tr2bl w:val="nil"/>
            </w:tcBorders>
            <w:noWrap w:val="0"/>
            <w:vAlign w:val="top"/>
          </w:tcPr>
          <w:p w14:paraId="71B9BE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1.5</w:t>
            </w:r>
          </w:p>
        </w:tc>
        <w:tc>
          <w:tcPr>
            <w:tcW w:w="976" w:type="dxa"/>
            <w:tcBorders>
              <w:tl2br w:val="nil"/>
              <w:tr2bl w:val="nil"/>
            </w:tcBorders>
            <w:noWrap w:val="0"/>
            <w:vAlign w:val="top"/>
          </w:tcPr>
          <w:p w14:paraId="629A26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达标</w:t>
            </w:r>
          </w:p>
        </w:tc>
      </w:tr>
      <w:tr w14:paraId="6E57DD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26" w:type="dxa"/>
            <w:vMerge w:val="continue"/>
            <w:tcBorders>
              <w:tl2br w:val="nil"/>
              <w:tr2bl w:val="nil"/>
            </w:tcBorders>
            <w:noWrap w:val="0"/>
            <w:vAlign w:val="top"/>
          </w:tcPr>
          <w:p w14:paraId="2BA857C1">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pPr>
          </w:p>
        </w:tc>
        <w:tc>
          <w:tcPr>
            <w:tcW w:w="1327" w:type="dxa"/>
            <w:tcBorders>
              <w:tl2br w:val="nil"/>
              <w:tr2bl w:val="nil"/>
            </w:tcBorders>
            <w:noWrap w:val="0"/>
            <w:vAlign w:val="top"/>
          </w:tcPr>
          <w:p w14:paraId="577ED0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非正常排放</w:t>
            </w:r>
          </w:p>
        </w:tc>
        <w:tc>
          <w:tcPr>
            <w:tcW w:w="1327" w:type="dxa"/>
            <w:tcBorders>
              <w:tl2br w:val="nil"/>
              <w:tr2bl w:val="nil"/>
            </w:tcBorders>
            <w:noWrap w:val="0"/>
            <w:vAlign w:val="top"/>
          </w:tcPr>
          <w:p w14:paraId="0B0668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45</w:t>
            </w:r>
          </w:p>
        </w:tc>
        <w:tc>
          <w:tcPr>
            <w:tcW w:w="1482" w:type="dxa"/>
            <w:vMerge w:val="continue"/>
            <w:tcBorders>
              <w:tl2br w:val="nil"/>
              <w:tr2bl w:val="nil"/>
            </w:tcBorders>
            <w:noWrap w:val="0"/>
            <w:vAlign w:val="top"/>
          </w:tcPr>
          <w:p w14:paraId="6C670B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p>
        </w:tc>
        <w:tc>
          <w:tcPr>
            <w:tcW w:w="1740" w:type="dxa"/>
            <w:tcBorders>
              <w:tl2br w:val="nil"/>
              <w:tr2bl w:val="nil"/>
            </w:tcBorders>
            <w:noWrap w:val="0"/>
            <w:vAlign w:val="top"/>
          </w:tcPr>
          <w:p w14:paraId="5EAAD7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2.</w:t>
            </w: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41</w:t>
            </w:r>
          </w:p>
        </w:tc>
        <w:tc>
          <w:tcPr>
            <w:tcW w:w="1110" w:type="dxa"/>
            <w:tcBorders>
              <w:tl2br w:val="nil"/>
              <w:tr2bl w:val="nil"/>
            </w:tcBorders>
            <w:noWrap w:val="0"/>
            <w:vAlign w:val="top"/>
          </w:tcPr>
          <w:p w14:paraId="645D33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1.5</w:t>
            </w:r>
          </w:p>
        </w:tc>
        <w:tc>
          <w:tcPr>
            <w:tcW w:w="976" w:type="dxa"/>
            <w:tcBorders>
              <w:tl2br w:val="nil"/>
              <w:tr2bl w:val="nil"/>
            </w:tcBorders>
            <w:noWrap w:val="0"/>
            <w:vAlign w:val="top"/>
          </w:tcPr>
          <w:p w14:paraId="7FDF7F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不</w:t>
            </w: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达标</w:t>
            </w:r>
          </w:p>
        </w:tc>
      </w:tr>
      <w:tr w14:paraId="6D5ECE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26" w:type="dxa"/>
            <w:vMerge w:val="restart"/>
            <w:tcBorders>
              <w:tl2br w:val="nil"/>
              <w:tr2bl w:val="nil"/>
            </w:tcBorders>
            <w:noWrap w:val="0"/>
            <w:vAlign w:val="top"/>
          </w:tcPr>
          <w:p w14:paraId="462B6C6D">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pPr>
          </w:p>
          <w:p w14:paraId="45E1BDD5">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u w:val="wave" w:color="auto"/>
                <w:lang w:val="en-US" w:eastAsia="zh-CN"/>
                <w14:textFill>
                  <w14:solidFill>
                    <w14:schemeClr w14:val="tx1"/>
                  </w14:solidFill>
                </w14:textFill>
              </w:rPr>
              <w:t>TP</w:t>
            </w:r>
          </w:p>
        </w:tc>
        <w:tc>
          <w:tcPr>
            <w:tcW w:w="1327" w:type="dxa"/>
            <w:tcBorders>
              <w:tl2br w:val="nil"/>
              <w:tr2bl w:val="nil"/>
            </w:tcBorders>
            <w:noWrap w:val="0"/>
            <w:vAlign w:val="top"/>
          </w:tcPr>
          <w:p w14:paraId="6D5453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正常排放</w:t>
            </w:r>
          </w:p>
        </w:tc>
        <w:tc>
          <w:tcPr>
            <w:tcW w:w="1327" w:type="dxa"/>
            <w:tcBorders>
              <w:tl2br w:val="nil"/>
              <w:tr2bl w:val="nil"/>
            </w:tcBorders>
            <w:noWrap w:val="0"/>
            <w:vAlign w:val="top"/>
          </w:tcPr>
          <w:p w14:paraId="090ADB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0.5</w:t>
            </w:r>
          </w:p>
        </w:tc>
        <w:tc>
          <w:tcPr>
            <w:tcW w:w="1482" w:type="dxa"/>
            <w:vMerge w:val="restart"/>
            <w:tcBorders>
              <w:tl2br w:val="nil"/>
              <w:tr2bl w:val="nil"/>
            </w:tcBorders>
            <w:noWrap w:val="0"/>
            <w:vAlign w:val="top"/>
          </w:tcPr>
          <w:p w14:paraId="1D07F0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 xml:space="preserve">0.06 </w:t>
            </w:r>
          </w:p>
        </w:tc>
        <w:tc>
          <w:tcPr>
            <w:tcW w:w="1740" w:type="dxa"/>
            <w:tcBorders>
              <w:tl2br w:val="nil"/>
              <w:tr2bl w:val="nil"/>
            </w:tcBorders>
            <w:noWrap w:val="0"/>
            <w:vAlign w:val="top"/>
          </w:tcPr>
          <w:p w14:paraId="70F26B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0.08</w:t>
            </w:r>
          </w:p>
        </w:tc>
        <w:tc>
          <w:tcPr>
            <w:tcW w:w="1110" w:type="dxa"/>
            <w:tcBorders>
              <w:tl2br w:val="nil"/>
              <w:tr2bl w:val="nil"/>
            </w:tcBorders>
            <w:noWrap w:val="0"/>
            <w:vAlign w:val="top"/>
          </w:tcPr>
          <w:p w14:paraId="1234AF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0.3</w:t>
            </w:r>
          </w:p>
        </w:tc>
        <w:tc>
          <w:tcPr>
            <w:tcW w:w="976" w:type="dxa"/>
            <w:tcBorders>
              <w:tl2br w:val="nil"/>
              <w:tr2bl w:val="nil"/>
            </w:tcBorders>
            <w:noWrap w:val="0"/>
            <w:vAlign w:val="top"/>
          </w:tcPr>
          <w:p w14:paraId="766D8F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达标</w:t>
            </w:r>
          </w:p>
        </w:tc>
      </w:tr>
      <w:tr w14:paraId="456901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26" w:type="dxa"/>
            <w:vMerge w:val="continue"/>
            <w:tcBorders>
              <w:tl2br w:val="nil"/>
              <w:tr2bl w:val="nil"/>
            </w:tcBorders>
            <w:noWrap w:val="0"/>
            <w:vAlign w:val="top"/>
          </w:tcPr>
          <w:p w14:paraId="09D360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p>
        </w:tc>
        <w:tc>
          <w:tcPr>
            <w:tcW w:w="1327" w:type="dxa"/>
            <w:tcBorders>
              <w:tl2br w:val="nil"/>
              <w:tr2bl w:val="nil"/>
            </w:tcBorders>
            <w:noWrap w:val="0"/>
            <w:vAlign w:val="top"/>
          </w:tcPr>
          <w:p w14:paraId="1C1F21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非正常排放</w:t>
            </w:r>
          </w:p>
        </w:tc>
        <w:tc>
          <w:tcPr>
            <w:tcW w:w="1327" w:type="dxa"/>
            <w:tcBorders>
              <w:tl2br w:val="nil"/>
              <w:tr2bl w:val="nil"/>
            </w:tcBorders>
            <w:noWrap w:val="0"/>
            <w:vAlign w:val="top"/>
          </w:tcPr>
          <w:p w14:paraId="551E68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8</w:t>
            </w:r>
          </w:p>
        </w:tc>
        <w:tc>
          <w:tcPr>
            <w:tcW w:w="1482" w:type="dxa"/>
            <w:vMerge w:val="continue"/>
            <w:tcBorders>
              <w:tl2br w:val="nil"/>
              <w:tr2bl w:val="nil"/>
            </w:tcBorders>
            <w:noWrap w:val="0"/>
            <w:vAlign w:val="top"/>
          </w:tcPr>
          <w:p w14:paraId="06178C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p>
        </w:tc>
        <w:tc>
          <w:tcPr>
            <w:tcW w:w="1740" w:type="dxa"/>
            <w:tcBorders>
              <w:tl2br w:val="nil"/>
              <w:tr2bl w:val="nil"/>
            </w:tcBorders>
            <w:noWrap w:val="0"/>
            <w:vAlign w:val="top"/>
          </w:tcPr>
          <w:p w14:paraId="23FA84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0.</w:t>
            </w: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41</w:t>
            </w:r>
          </w:p>
        </w:tc>
        <w:tc>
          <w:tcPr>
            <w:tcW w:w="1110" w:type="dxa"/>
            <w:tcBorders>
              <w:tl2br w:val="nil"/>
              <w:tr2bl w:val="nil"/>
            </w:tcBorders>
            <w:noWrap w:val="0"/>
            <w:vAlign w:val="top"/>
          </w:tcPr>
          <w:p w14:paraId="00DC4F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0.3</w:t>
            </w:r>
          </w:p>
        </w:tc>
        <w:tc>
          <w:tcPr>
            <w:tcW w:w="976" w:type="dxa"/>
            <w:tcBorders>
              <w:tl2br w:val="nil"/>
              <w:tr2bl w:val="nil"/>
            </w:tcBorders>
            <w:noWrap w:val="0"/>
            <w:vAlign w:val="top"/>
          </w:tcPr>
          <w:p w14:paraId="1C43D5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pPr>
            <w:r>
              <w:rPr>
                <w:rFonts w:hint="eastAsia" w:cs="Times New Roman"/>
                <w:color w:val="000000" w:themeColor="text1"/>
                <w:kern w:val="2"/>
                <w:sz w:val="21"/>
                <w:szCs w:val="21"/>
                <w:u w:val="wave" w:color="auto"/>
                <w:vertAlign w:val="baseline"/>
                <w:lang w:val="en-US" w:eastAsia="zh-CN" w:bidi="ar-SA"/>
                <w14:textFill>
                  <w14:solidFill>
                    <w14:schemeClr w14:val="tx1"/>
                  </w14:solidFill>
                </w14:textFill>
              </w:rPr>
              <w:t>不</w:t>
            </w:r>
            <w:r>
              <w:rPr>
                <w:rFonts w:hint="default" w:ascii="Times New Roman" w:hAnsi="Times New Roman" w:eastAsia="宋体" w:cs="Times New Roman"/>
                <w:color w:val="000000" w:themeColor="text1"/>
                <w:kern w:val="2"/>
                <w:sz w:val="21"/>
                <w:szCs w:val="21"/>
                <w:u w:val="wave" w:color="auto"/>
                <w:vertAlign w:val="baseline"/>
                <w:lang w:val="en-US" w:eastAsia="zh-CN" w:bidi="ar-SA"/>
                <w14:textFill>
                  <w14:solidFill>
                    <w14:schemeClr w14:val="tx1"/>
                  </w14:solidFill>
                </w14:textFill>
              </w:rPr>
              <w:t>达标</w:t>
            </w:r>
          </w:p>
        </w:tc>
      </w:tr>
    </w:tbl>
    <w:p w14:paraId="679CFA8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由以上预测结果可知，大通湖工业园污水处理厂提质改造建设项目</w:t>
      </w:r>
      <w:r>
        <w:rPr>
          <w:rFonts w:hint="eastAsia" w:cs="Times New Roman"/>
          <w:color w:val="000000" w:themeColor="text1"/>
          <w:kern w:val="2"/>
          <w:sz w:val="24"/>
          <w:szCs w:val="20"/>
          <w:u w:val="wave" w:color="auto"/>
          <w:lang w:val="en-US" w:eastAsia="zh-CN" w:bidi="ar-SA"/>
          <w14:textFill>
            <w14:solidFill>
              <w14:schemeClr w14:val="tx1"/>
            </w14:solidFill>
          </w14:textFill>
        </w:rPr>
        <w:t>（一期）</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在枯水期，排水量最大</w:t>
      </w:r>
      <w:r>
        <w:rPr>
          <w:rFonts w:hint="eastAsia" w:cs="Times New Roman"/>
          <w:color w:val="000000" w:themeColor="text1"/>
          <w:kern w:val="2"/>
          <w:sz w:val="24"/>
          <w:szCs w:val="20"/>
          <w:u w:val="wave" w:color="auto"/>
          <w:lang w:val="en-US" w:eastAsia="zh-CN" w:bidi="ar-SA"/>
          <w14:textFill>
            <w14:solidFill>
              <w14:schemeClr w14:val="tx1"/>
            </w14:solidFill>
          </w14:textFill>
        </w:rPr>
        <w:t>30</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00m³/d（0.0</w:t>
      </w:r>
      <w:r>
        <w:rPr>
          <w:rFonts w:hint="eastAsia" w:cs="Times New Roman"/>
          <w:color w:val="000000" w:themeColor="text1"/>
          <w:kern w:val="2"/>
          <w:sz w:val="24"/>
          <w:szCs w:val="20"/>
          <w:u w:val="wave" w:color="auto"/>
          <w:lang w:val="en-US" w:eastAsia="zh-CN" w:bidi="ar-SA"/>
          <w14:textFill>
            <w14:solidFill>
              <w14:schemeClr w14:val="tx1"/>
            </w14:solidFill>
          </w14:textFill>
        </w:rPr>
        <w:t>35</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m³/s）时，污染物正常排放情况下，污染因子排入机排二十渠后，CODcr</w:t>
      </w:r>
      <w:r>
        <w:rPr>
          <w:rFonts w:hint="eastAsia" w:cs="Times New Roman"/>
          <w:color w:val="000000" w:themeColor="text1"/>
          <w:kern w:val="2"/>
          <w:sz w:val="24"/>
          <w:szCs w:val="20"/>
          <w:u w:val="wave" w:color="auto"/>
          <w:lang w:val="en-US" w:eastAsia="zh-CN" w:bidi="ar-SA"/>
          <w14:textFill>
            <w14:solidFill>
              <w14:schemeClr w14:val="tx1"/>
            </w14:solidFill>
          </w14:textFill>
        </w:rPr>
        <w:t>、NH</w:t>
      </w:r>
      <w:r>
        <w:rPr>
          <w:rFonts w:hint="eastAsia" w:cs="Times New Roman"/>
          <w:color w:val="000000" w:themeColor="text1"/>
          <w:kern w:val="2"/>
          <w:sz w:val="24"/>
          <w:szCs w:val="20"/>
          <w:u w:val="wave" w:color="auto"/>
          <w:vertAlign w:val="subscript"/>
          <w:lang w:val="en-US" w:eastAsia="zh-CN" w:bidi="ar-SA"/>
          <w14:textFill>
            <w14:solidFill>
              <w14:schemeClr w14:val="tx1"/>
            </w14:solidFill>
          </w14:textFill>
        </w:rPr>
        <w:t>3</w:t>
      </w:r>
      <w:r>
        <w:rPr>
          <w:rFonts w:hint="eastAsia" w:cs="Times New Roman"/>
          <w:color w:val="000000" w:themeColor="text1"/>
          <w:kern w:val="2"/>
          <w:sz w:val="24"/>
          <w:szCs w:val="20"/>
          <w:u w:val="wave" w:color="auto"/>
          <w:lang w:val="en-US" w:eastAsia="zh-CN" w:bidi="ar-SA"/>
          <w14:textFill>
            <w14:solidFill>
              <w14:schemeClr w14:val="tx1"/>
            </w14:solidFill>
          </w14:textFill>
        </w:rPr>
        <w:t>-N、TP均</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能满足《地表水环境质量标准》（GB3838-2002）</w:t>
      </w:r>
      <w:r>
        <w:rPr>
          <w:rFonts w:hint="eastAsia" w:cs="Times New Roman"/>
          <w:color w:val="000000" w:themeColor="text1"/>
          <w:kern w:val="2"/>
          <w:sz w:val="24"/>
          <w:szCs w:val="20"/>
          <w:u w:val="wave" w:color="auto"/>
          <w:lang w:val="en-US" w:eastAsia="zh-CN" w:bidi="ar-SA"/>
          <w14:textFill>
            <w14:solidFill>
              <w14:schemeClr w14:val="tx1"/>
            </w14:solidFill>
          </w14:textFill>
        </w:rPr>
        <w:t>IV</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类标准，未出现超标。因此，该入河排污口的扩建不会降低机排二十渠现状水环境质量要求，满足区域管理要求。污染物非正常排放情况下</w:t>
      </w:r>
      <w:r>
        <w:rPr>
          <w:rFonts w:hint="eastAsia" w:cs="Times New Roman"/>
          <w:color w:val="000000" w:themeColor="text1"/>
          <w:kern w:val="2"/>
          <w:sz w:val="24"/>
          <w:szCs w:val="20"/>
          <w:u w:val="wav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污染因子排入机排二十渠后，CODcr</w:t>
      </w:r>
      <w:r>
        <w:rPr>
          <w:rFonts w:hint="eastAsia" w:cs="Times New Roman"/>
          <w:color w:val="000000" w:themeColor="text1"/>
          <w:kern w:val="2"/>
          <w:sz w:val="24"/>
          <w:szCs w:val="20"/>
          <w:u w:val="wave" w:color="auto"/>
          <w:lang w:val="en-US" w:eastAsia="zh-CN" w:bidi="ar-SA"/>
          <w14:textFill>
            <w14:solidFill>
              <w14:schemeClr w14:val="tx1"/>
            </w14:solidFill>
          </w14:textFill>
        </w:rPr>
        <w:t>、NH</w:t>
      </w:r>
      <w:r>
        <w:rPr>
          <w:rFonts w:hint="eastAsia" w:cs="Times New Roman"/>
          <w:color w:val="000000" w:themeColor="text1"/>
          <w:kern w:val="2"/>
          <w:sz w:val="24"/>
          <w:szCs w:val="20"/>
          <w:u w:val="wave" w:color="auto"/>
          <w:vertAlign w:val="subscript"/>
          <w:lang w:val="en-US" w:eastAsia="zh-CN" w:bidi="ar-SA"/>
          <w14:textFill>
            <w14:solidFill>
              <w14:schemeClr w14:val="tx1"/>
            </w14:solidFill>
          </w14:textFill>
        </w:rPr>
        <w:t>3</w:t>
      </w:r>
      <w:r>
        <w:rPr>
          <w:rFonts w:hint="eastAsia" w:cs="Times New Roman"/>
          <w:color w:val="000000" w:themeColor="text1"/>
          <w:kern w:val="2"/>
          <w:sz w:val="24"/>
          <w:szCs w:val="20"/>
          <w:u w:val="wave" w:color="auto"/>
          <w:lang w:val="en-US" w:eastAsia="zh-CN" w:bidi="ar-SA"/>
          <w14:textFill>
            <w14:solidFill>
              <w14:schemeClr w14:val="tx1"/>
            </w14:solidFill>
          </w14:textFill>
        </w:rPr>
        <w:t>-N、TP均不</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能满足《地表水环境质量标准》（GB3838-2002）</w:t>
      </w:r>
      <w:r>
        <w:rPr>
          <w:rFonts w:hint="eastAsia" w:cs="Times New Roman"/>
          <w:color w:val="000000" w:themeColor="text1"/>
          <w:kern w:val="2"/>
          <w:sz w:val="24"/>
          <w:szCs w:val="20"/>
          <w:u w:val="wave" w:color="auto"/>
          <w:lang w:val="en-US" w:eastAsia="zh-CN" w:bidi="ar-SA"/>
          <w14:textFill>
            <w14:solidFill>
              <w14:schemeClr w14:val="tx1"/>
            </w14:solidFill>
          </w14:textFill>
        </w:rPr>
        <w:t>IV</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类标准</w:t>
      </w:r>
      <w:r>
        <w:rPr>
          <w:rFonts w:hint="eastAsia" w:cs="Times New Roman"/>
          <w:color w:val="000000" w:themeColor="text1"/>
          <w:kern w:val="2"/>
          <w:sz w:val="24"/>
          <w:szCs w:val="20"/>
          <w:u w:val="wave" w:color="auto"/>
          <w:lang w:val="en-US" w:eastAsia="zh-CN" w:bidi="ar-SA"/>
          <w14:textFill>
            <w14:solidFill>
              <w14:schemeClr w14:val="tx1"/>
            </w14:solidFill>
          </w14:textFill>
        </w:rPr>
        <w:t>。</w:t>
      </w:r>
    </w:p>
    <w:p w14:paraId="2EC59BA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因此，建设单位应加强废水排放管理并制定突发环境事件应急预案采取相应的应急措施，投加应急药剂或停止生产排水等，把事故排放的影响降低到最低。</w:t>
      </w:r>
    </w:p>
    <w:p w14:paraId="06128E4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val="0"/>
          <w:color w:val="000000" w:themeColor="text1"/>
          <w:kern w:val="2"/>
          <w:sz w:val="24"/>
          <w:szCs w:val="24"/>
          <w:u w:val="wav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u w:val="wave" w:color="auto"/>
          <w:lang w:val="en-US" w:eastAsia="zh-CN" w:bidi="ar-SA"/>
          <w14:textFill>
            <w14:solidFill>
              <w14:schemeClr w14:val="tx1"/>
            </w14:solidFill>
          </w14:textFill>
        </w:rPr>
        <w:t>6.1.7.2 纵向一维模型</w:t>
      </w:r>
    </w:p>
    <w:p w14:paraId="025363A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kern w:val="2"/>
          <w:sz w:val="24"/>
          <w:szCs w:val="20"/>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以大通湖工业园污水处理厂提质改造建设项目</w:t>
      </w:r>
      <w:r>
        <w:rPr>
          <w:rFonts w:hint="eastAsia" w:cs="Times New Roman"/>
          <w:color w:val="000000" w:themeColor="text1"/>
          <w:kern w:val="2"/>
          <w:sz w:val="24"/>
          <w:szCs w:val="20"/>
          <w:u w:val="wave" w:color="auto"/>
          <w:lang w:val="en-US" w:eastAsia="zh-CN" w:bidi="ar-SA"/>
          <w14:textFill>
            <w14:solidFill>
              <w14:schemeClr w14:val="tx1"/>
            </w14:solidFill>
          </w14:textFill>
        </w:rPr>
        <w:t>（一期）</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废水与机排二十渠完全混合浓度为初始浓度对老三运河进行预测，采用纵向一维</w:t>
      </w:r>
      <w:r>
        <w:rPr>
          <w:rFonts w:hint="default" w:ascii="Times New Roman" w:hAnsi="Times New Roman" w:eastAsia="宋体" w:cs="Times New Roman"/>
          <w:b w:val="0"/>
          <w:bCs w:val="0"/>
          <w:color w:val="000000" w:themeColor="text1"/>
          <w:kern w:val="2"/>
          <w:sz w:val="24"/>
          <w:szCs w:val="20"/>
          <w:u w:val="wave" w:color="auto"/>
          <w:lang w:val="en-US" w:eastAsia="zh-CN" w:bidi="ar-SA"/>
          <w14:textFill>
            <w14:solidFill>
              <w14:schemeClr w14:val="tx1"/>
            </w14:solidFill>
          </w14:textFill>
        </w:rPr>
        <w:t>模型计算影响距离，选取 COD、氨氮、总磷作为预测因子，将各参数代入模型，经计算，正常排放、非正常排放水质预测结果见下表。</w:t>
      </w:r>
    </w:p>
    <w:p w14:paraId="70934F19">
      <w:pPr>
        <w:widowControl w:val="0"/>
        <w:bidi w:val="0"/>
        <w:spacing w:line="240" w:lineRule="auto"/>
        <w:ind w:left="0" w:leftChars="0" w:right="0" w:firstLine="0" w:firstLineChars="0"/>
        <w:jc w:val="center"/>
        <w:rPr>
          <w:rFonts w:hint="default" w:ascii="Times New Roman" w:hAnsi="Times New Roman" w:eastAsia="宋体" w:cs="Times New Roman"/>
          <w:b/>
          <w:bCs/>
          <w:color w:val="000000" w:themeColor="text1"/>
          <w:kern w:val="2"/>
          <w:sz w:val="24"/>
          <w:szCs w:val="24"/>
          <w:u w:val="wav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u w:val="wave" w:color="auto"/>
          <w:lang w:val="en-US" w:eastAsia="zh-CN" w:bidi="ar-SA"/>
          <w14:textFill>
            <w14:solidFill>
              <w14:schemeClr w14:val="tx1"/>
            </w14:solidFill>
          </w14:textFill>
        </w:rPr>
        <w:t>表6.1-3  枯水期项目正常排放对老三运河浓度预测值 单位：mg/L</w:t>
      </w:r>
    </w:p>
    <w:tbl>
      <w:tblPr>
        <w:tblStyle w:val="76"/>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854"/>
        <w:gridCol w:w="2141"/>
        <w:gridCol w:w="2141"/>
        <w:gridCol w:w="2146"/>
      </w:tblGrid>
      <w:tr w14:paraId="5C24FD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0" w:hRule="atLeast"/>
        </w:trPr>
        <w:tc>
          <w:tcPr>
            <w:tcW w:w="1537" w:type="pct"/>
            <w:tcBorders>
              <w:tl2br w:val="nil"/>
              <w:tr2bl w:val="nil"/>
            </w:tcBorders>
            <w:noWrap w:val="0"/>
            <w:vAlign w:val="center"/>
          </w:tcPr>
          <w:p w14:paraId="24F2131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污染物</w:t>
            </w:r>
          </w:p>
        </w:tc>
        <w:tc>
          <w:tcPr>
            <w:tcW w:w="3462" w:type="pct"/>
            <w:gridSpan w:val="3"/>
            <w:tcBorders>
              <w:tl2br w:val="nil"/>
              <w:tr2bl w:val="nil"/>
            </w:tcBorders>
            <w:noWrap w:val="0"/>
            <w:vAlign w:val="center"/>
          </w:tcPr>
          <w:p w14:paraId="6AFD5BA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正常排放</w:t>
            </w:r>
          </w:p>
        </w:tc>
      </w:tr>
      <w:tr w14:paraId="64875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37" w:type="pct"/>
            <w:tcBorders>
              <w:tl2br w:val="nil"/>
              <w:tr2bl w:val="nil"/>
            </w:tcBorders>
            <w:noWrap w:val="0"/>
            <w:vAlign w:val="center"/>
          </w:tcPr>
          <w:p w14:paraId="165A575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距排放口下游距离x/m</w:t>
            </w:r>
          </w:p>
        </w:tc>
        <w:tc>
          <w:tcPr>
            <w:tcW w:w="1153" w:type="pct"/>
            <w:tcBorders>
              <w:tl2br w:val="nil"/>
              <w:tr2bl w:val="nil"/>
            </w:tcBorders>
            <w:noWrap w:val="0"/>
            <w:vAlign w:val="center"/>
          </w:tcPr>
          <w:p w14:paraId="02B65DB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CODcr</w:t>
            </w:r>
          </w:p>
        </w:tc>
        <w:tc>
          <w:tcPr>
            <w:tcW w:w="1153" w:type="pct"/>
            <w:tcBorders>
              <w:tl2br w:val="nil"/>
              <w:tr2bl w:val="nil"/>
            </w:tcBorders>
            <w:noWrap w:val="0"/>
            <w:vAlign w:val="center"/>
          </w:tcPr>
          <w:p w14:paraId="3B8B778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NH</w:t>
            </w:r>
            <w:r>
              <w:rPr>
                <w:rFonts w:hint="default" w:ascii="Times New Roman" w:hAnsi="Times New Roman" w:eastAsia="宋体" w:cs="Times New Roman"/>
                <w:color w:val="000000" w:themeColor="text1"/>
                <w:kern w:val="2"/>
                <w:sz w:val="21"/>
                <w:szCs w:val="21"/>
                <w:u w:val="wav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-N</w:t>
            </w:r>
          </w:p>
        </w:tc>
        <w:tc>
          <w:tcPr>
            <w:tcW w:w="1156" w:type="pct"/>
            <w:tcBorders>
              <w:tl2br w:val="nil"/>
              <w:tr2bl w:val="nil"/>
            </w:tcBorders>
            <w:noWrap w:val="0"/>
            <w:vAlign w:val="center"/>
          </w:tcPr>
          <w:p w14:paraId="7D40BBB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TP</w:t>
            </w:r>
          </w:p>
        </w:tc>
      </w:tr>
      <w:tr w14:paraId="411666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38FA7A3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10</w:t>
            </w:r>
          </w:p>
        </w:tc>
        <w:tc>
          <w:tcPr>
            <w:tcW w:w="1153" w:type="pct"/>
            <w:tcBorders>
              <w:tl2br w:val="nil"/>
              <w:tr2bl w:val="nil"/>
            </w:tcBorders>
            <w:noWrap w:val="0"/>
            <w:vAlign w:val="center"/>
          </w:tcPr>
          <w:p w14:paraId="014957C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18.</w:t>
            </w:r>
            <w:r>
              <w:rPr>
                <w:rFonts w:hint="eastAsia" w:cs="Times New Roman"/>
                <w:color w:val="000000" w:themeColor="text1"/>
                <w:kern w:val="2"/>
                <w:sz w:val="21"/>
                <w:szCs w:val="21"/>
                <w:u w:val="wave" w:color="auto"/>
                <w:lang w:val="en-US" w:eastAsia="zh-CN"/>
                <w14:textFill>
                  <w14:solidFill>
                    <w14:schemeClr w14:val="tx1"/>
                  </w14:solidFill>
                </w14:textFill>
              </w:rPr>
              <w:t>8103</w:t>
            </w:r>
          </w:p>
        </w:tc>
        <w:tc>
          <w:tcPr>
            <w:tcW w:w="1153" w:type="pct"/>
            <w:tcBorders>
              <w:tl2br w:val="nil"/>
              <w:tr2bl w:val="nil"/>
            </w:tcBorders>
            <w:noWrap w:val="0"/>
            <w:vAlign w:val="center"/>
          </w:tcPr>
          <w:p w14:paraId="72F9E10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w:t>
            </w:r>
            <w:r>
              <w:rPr>
                <w:rFonts w:hint="eastAsia" w:cs="Times New Roman"/>
                <w:color w:val="000000" w:themeColor="text1"/>
                <w:kern w:val="2"/>
                <w:sz w:val="21"/>
                <w:szCs w:val="21"/>
                <w:u w:val="wave" w:color="auto"/>
                <w:lang w:val="en-US" w:eastAsia="zh-CN"/>
                <w14:textFill>
                  <w14:solidFill>
                    <w14:schemeClr w14:val="tx1"/>
                  </w14:solidFill>
                </w14:textFill>
              </w:rPr>
              <w:t>8261</w:t>
            </w:r>
          </w:p>
        </w:tc>
        <w:tc>
          <w:tcPr>
            <w:tcW w:w="1156" w:type="pct"/>
            <w:tcBorders>
              <w:tl2br w:val="nil"/>
              <w:tr2bl w:val="nil"/>
            </w:tcBorders>
            <w:noWrap w:val="0"/>
            <w:vAlign w:val="center"/>
          </w:tcPr>
          <w:p w14:paraId="05F5D77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w:t>
            </w:r>
            <w:r>
              <w:rPr>
                <w:rFonts w:hint="eastAsia" w:cs="Times New Roman"/>
                <w:color w:val="000000" w:themeColor="text1"/>
                <w:kern w:val="2"/>
                <w:sz w:val="21"/>
                <w:szCs w:val="21"/>
                <w:u w:val="wave" w:color="auto"/>
                <w:lang w:val="en-US" w:eastAsia="zh-CN"/>
                <w14:textFill>
                  <w14:solidFill>
                    <w14:schemeClr w14:val="tx1"/>
                  </w14:solidFill>
                </w14:textFill>
              </w:rPr>
              <w:t>1081</w:t>
            </w:r>
          </w:p>
        </w:tc>
      </w:tr>
      <w:tr w14:paraId="569A0B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7E943CFD">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110</w:t>
            </w:r>
          </w:p>
        </w:tc>
        <w:tc>
          <w:tcPr>
            <w:tcW w:w="1153" w:type="pct"/>
            <w:tcBorders>
              <w:tl2br w:val="nil"/>
              <w:tr2bl w:val="nil"/>
            </w:tcBorders>
            <w:noWrap w:val="0"/>
            <w:vAlign w:val="center"/>
          </w:tcPr>
          <w:p w14:paraId="7BB18E7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17.5</w:t>
            </w:r>
            <w:r>
              <w:rPr>
                <w:rFonts w:hint="eastAsia" w:cs="Times New Roman"/>
                <w:color w:val="000000" w:themeColor="text1"/>
                <w:kern w:val="2"/>
                <w:sz w:val="21"/>
                <w:szCs w:val="21"/>
                <w:u w:val="wave" w:color="auto"/>
                <w:lang w:val="en-US" w:eastAsia="zh-CN"/>
                <w14:textFill>
                  <w14:solidFill>
                    <w14:schemeClr w14:val="tx1"/>
                  </w14:solidFill>
                </w14:textFill>
              </w:rPr>
              <w:t>351</w:t>
            </w:r>
          </w:p>
        </w:tc>
        <w:tc>
          <w:tcPr>
            <w:tcW w:w="1153" w:type="pct"/>
            <w:tcBorders>
              <w:tl2br w:val="nil"/>
              <w:tr2bl w:val="nil"/>
            </w:tcBorders>
            <w:noWrap w:val="0"/>
            <w:vAlign w:val="center"/>
          </w:tcPr>
          <w:p w14:paraId="5E60B25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995</w:t>
            </w:r>
          </w:p>
        </w:tc>
        <w:tc>
          <w:tcPr>
            <w:tcW w:w="1156" w:type="pct"/>
            <w:tcBorders>
              <w:tl2br w:val="nil"/>
              <w:tr2bl w:val="nil"/>
            </w:tcBorders>
            <w:noWrap w:val="0"/>
            <w:vAlign w:val="center"/>
          </w:tcPr>
          <w:p w14:paraId="4AB1A1B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w:t>
            </w:r>
            <w:r>
              <w:rPr>
                <w:rFonts w:hint="eastAsia" w:cs="Times New Roman"/>
                <w:color w:val="000000" w:themeColor="text1"/>
                <w:kern w:val="2"/>
                <w:sz w:val="21"/>
                <w:szCs w:val="21"/>
                <w:u w:val="wave" w:color="auto"/>
                <w:lang w:val="en-US" w:eastAsia="zh-CN"/>
                <w14:textFill>
                  <w14:solidFill>
                    <w14:schemeClr w14:val="tx1"/>
                  </w14:solidFill>
                </w14:textFill>
              </w:rPr>
              <w:t>0954</w:t>
            </w:r>
          </w:p>
        </w:tc>
      </w:tr>
      <w:tr w14:paraId="74DDE3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61B4CE8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210</w:t>
            </w:r>
          </w:p>
        </w:tc>
        <w:tc>
          <w:tcPr>
            <w:tcW w:w="1153" w:type="pct"/>
            <w:tcBorders>
              <w:tl2br w:val="nil"/>
              <w:tr2bl w:val="nil"/>
            </w:tcBorders>
            <w:noWrap w:val="0"/>
            <w:vAlign w:val="center"/>
          </w:tcPr>
          <w:p w14:paraId="535E6D6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3884</w:t>
            </w:r>
          </w:p>
        </w:tc>
        <w:tc>
          <w:tcPr>
            <w:tcW w:w="1153" w:type="pct"/>
            <w:tcBorders>
              <w:tl2br w:val="nil"/>
              <w:tr2bl w:val="nil"/>
            </w:tcBorders>
            <w:noWrap w:val="0"/>
            <w:vAlign w:val="center"/>
          </w:tcPr>
          <w:p w14:paraId="22786F9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857</w:t>
            </w:r>
          </w:p>
        </w:tc>
        <w:tc>
          <w:tcPr>
            <w:tcW w:w="1156" w:type="pct"/>
            <w:tcBorders>
              <w:tl2br w:val="nil"/>
              <w:tr2bl w:val="nil"/>
            </w:tcBorders>
            <w:noWrap w:val="0"/>
            <w:vAlign w:val="center"/>
          </w:tcPr>
          <w:p w14:paraId="5B8B076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940</w:t>
            </w: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 xml:space="preserve"> </w:t>
            </w:r>
          </w:p>
        </w:tc>
      </w:tr>
      <w:tr w14:paraId="517DDF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363947B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310</w:t>
            </w:r>
          </w:p>
        </w:tc>
        <w:tc>
          <w:tcPr>
            <w:tcW w:w="1153" w:type="pct"/>
            <w:tcBorders>
              <w:tl2br w:val="nil"/>
              <w:tr2bl w:val="nil"/>
            </w:tcBorders>
            <w:noWrap w:val="0"/>
            <w:vAlign w:val="center"/>
          </w:tcPr>
          <w:p w14:paraId="2674665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3192</w:t>
            </w:r>
          </w:p>
        </w:tc>
        <w:tc>
          <w:tcPr>
            <w:tcW w:w="1153" w:type="pct"/>
            <w:tcBorders>
              <w:tl2br w:val="nil"/>
              <w:tr2bl w:val="nil"/>
            </w:tcBorders>
            <w:noWrap w:val="0"/>
            <w:vAlign w:val="center"/>
          </w:tcPr>
          <w:p w14:paraId="5AAA0F3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796</w:t>
            </w:r>
          </w:p>
        </w:tc>
        <w:tc>
          <w:tcPr>
            <w:tcW w:w="1156" w:type="pct"/>
            <w:tcBorders>
              <w:tl2br w:val="nil"/>
              <w:tr2bl w:val="nil"/>
            </w:tcBorders>
            <w:noWrap w:val="0"/>
            <w:vAlign w:val="center"/>
          </w:tcPr>
          <w:p w14:paraId="231A948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934</w:t>
            </w: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 xml:space="preserve"> </w:t>
            </w:r>
          </w:p>
        </w:tc>
      </w:tr>
      <w:tr w14:paraId="6AAADA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006D713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410</w:t>
            </w:r>
          </w:p>
        </w:tc>
        <w:tc>
          <w:tcPr>
            <w:tcW w:w="1153" w:type="pct"/>
            <w:tcBorders>
              <w:tl2br w:val="nil"/>
              <w:tr2bl w:val="nil"/>
            </w:tcBorders>
            <w:noWrap w:val="0"/>
            <w:vAlign w:val="center"/>
          </w:tcPr>
          <w:p w14:paraId="190D79C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2716</w:t>
            </w:r>
          </w:p>
        </w:tc>
        <w:tc>
          <w:tcPr>
            <w:tcW w:w="1153" w:type="pct"/>
            <w:tcBorders>
              <w:tl2br w:val="nil"/>
              <w:tr2bl w:val="nil"/>
            </w:tcBorders>
            <w:noWrap w:val="0"/>
            <w:vAlign w:val="center"/>
          </w:tcPr>
          <w:p w14:paraId="3927C19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757</w:t>
            </w:r>
          </w:p>
        </w:tc>
        <w:tc>
          <w:tcPr>
            <w:tcW w:w="1156" w:type="pct"/>
            <w:tcBorders>
              <w:tl2br w:val="nil"/>
              <w:tr2bl w:val="nil"/>
            </w:tcBorders>
            <w:noWrap w:val="0"/>
            <w:vAlign w:val="center"/>
          </w:tcPr>
          <w:p w14:paraId="2D1ACD3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930</w:t>
            </w: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 xml:space="preserve"> </w:t>
            </w:r>
          </w:p>
        </w:tc>
      </w:tr>
      <w:tr w14:paraId="2BC5B9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06F3E8F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510</w:t>
            </w:r>
          </w:p>
        </w:tc>
        <w:tc>
          <w:tcPr>
            <w:tcW w:w="1153" w:type="pct"/>
            <w:tcBorders>
              <w:tl2br w:val="nil"/>
              <w:tr2bl w:val="nil"/>
            </w:tcBorders>
            <w:noWrap w:val="0"/>
            <w:vAlign w:val="center"/>
          </w:tcPr>
          <w:p w14:paraId="7415736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2335</w:t>
            </w:r>
          </w:p>
        </w:tc>
        <w:tc>
          <w:tcPr>
            <w:tcW w:w="1153" w:type="pct"/>
            <w:tcBorders>
              <w:tl2br w:val="nil"/>
              <w:tr2bl w:val="nil"/>
            </w:tcBorders>
            <w:noWrap w:val="0"/>
            <w:vAlign w:val="center"/>
          </w:tcPr>
          <w:p w14:paraId="79306BA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728</w:t>
            </w:r>
          </w:p>
        </w:tc>
        <w:tc>
          <w:tcPr>
            <w:tcW w:w="1156" w:type="pct"/>
            <w:tcBorders>
              <w:tl2br w:val="nil"/>
              <w:tr2bl w:val="nil"/>
            </w:tcBorders>
            <w:noWrap w:val="0"/>
            <w:vAlign w:val="center"/>
          </w:tcPr>
          <w:p w14:paraId="69F7F30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927</w:t>
            </w:r>
          </w:p>
        </w:tc>
      </w:tr>
      <w:tr w14:paraId="3BEA6F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2" w:hRule="atLeast"/>
        </w:trPr>
        <w:tc>
          <w:tcPr>
            <w:tcW w:w="1537" w:type="pct"/>
            <w:tcBorders>
              <w:tl2br w:val="nil"/>
              <w:tr2bl w:val="nil"/>
            </w:tcBorders>
            <w:noWrap w:val="0"/>
            <w:vAlign w:val="center"/>
          </w:tcPr>
          <w:p w14:paraId="4208429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610</w:t>
            </w:r>
          </w:p>
        </w:tc>
        <w:tc>
          <w:tcPr>
            <w:tcW w:w="1153" w:type="pct"/>
            <w:tcBorders>
              <w:tl2br w:val="nil"/>
              <w:tr2bl w:val="nil"/>
            </w:tcBorders>
            <w:noWrap w:val="0"/>
            <w:vAlign w:val="center"/>
          </w:tcPr>
          <w:p w14:paraId="277AB58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2006</w:t>
            </w:r>
          </w:p>
        </w:tc>
        <w:tc>
          <w:tcPr>
            <w:tcW w:w="1153" w:type="pct"/>
            <w:tcBorders>
              <w:tl2br w:val="nil"/>
              <w:tr2bl w:val="nil"/>
            </w:tcBorders>
            <w:noWrap w:val="0"/>
            <w:vAlign w:val="center"/>
          </w:tcPr>
          <w:p w14:paraId="61A052F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704</w:t>
            </w:r>
          </w:p>
        </w:tc>
        <w:tc>
          <w:tcPr>
            <w:tcW w:w="1156" w:type="pct"/>
            <w:tcBorders>
              <w:tl2br w:val="nil"/>
              <w:tr2bl w:val="nil"/>
            </w:tcBorders>
            <w:noWrap w:val="0"/>
            <w:vAlign w:val="center"/>
          </w:tcPr>
          <w:p w14:paraId="40E6E38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924</w:t>
            </w: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 xml:space="preserve"> </w:t>
            </w:r>
          </w:p>
        </w:tc>
      </w:tr>
      <w:tr w14:paraId="44DCEE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253FC4B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710</w:t>
            </w:r>
          </w:p>
        </w:tc>
        <w:tc>
          <w:tcPr>
            <w:tcW w:w="1153" w:type="pct"/>
            <w:tcBorders>
              <w:tl2br w:val="nil"/>
              <w:tr2bl w:val="nil"/>
            </w:tcBorders>
            <w:noWrap w:val="0"/>
            <w:vAlign w:val="center"/>
          </w:tcPr>
          <w:p w14:paraId="6DF9410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1710</w:t>
            </w:r>
          </w:p>
        </w:tc>
        <w:tc>
          <w:tcPr>
            <w:tcW w:w="1153" w:type="pct"/>
            <w:tcBorders>
              <w:tl2br w:val="nil"/>
              <w:tr2bl w:val="nil"/>
            </w:tcBorders>
            <w:noWrap w:val="0"/>
            <w:vAlign w:val="center"/>
          </w:tcPr>
          <w:p w14:paraId="5943567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683</w:t>
            </w:r>
          </w:p>
        </w:tc>
        <w:tc>
          <w:tcPr>
            <w:tcW w:w="1156" w:type="pct"/>
            <w:tcBorders>
              <w:tl2br w:val="nil"/>
              <w:tr2bl w:val="nil"/>
            </w:tcBorders>
            <w:noWrap w:val="0"/>
            <w:vAlign w:val="center"/>
          </w:tcPr>
          <w:p w14:paraId="50BFD53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922</w:t>
            </w: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 xml:space="preserve"> </w:t>
            </w:r>
          </w:p>
        </w:tc>
      </w:tr>
      <w:tr w14:paraId="3F9D7A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250C354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810</w:t>
            </w:r>
          </w:p>
        </w:tc>
        <w:tc>
          <w:tcPr>
            <w:tcW w:w="1153" w:type="pct"/>
            <w:tcBorders>
              <w:tl2br w:val="nil"/>
              <w:tr2bl w:val="nil"/>
            </w:tcBorders>
            <w:noWrap w:val="0"/>
            <w:vAlign w:val="center"/>
          </w:tcPr>
          <w:p w14:paraId="436521C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1439</w:t>
            </w:r>
          </w:p>
        </w:tc>
        <w:tc>
          <w:tcPr>
            <w:tcW w:w="1153" w:type="pct"/>
            <w:tcBorders>
              <w:tl2br w:val="nil"/>
              <w:tr2bl w:val="nil"/>
            </w:tcBorders>
            <w:noWrap w:val="0"/>
            <w:vAlign w:val="center"/>
          </w:tcPr>
          <w:p w14:paraId="4C7A9A8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664</w:t>
            </w:r>
          </w:p>
        </w:tc>
        <w:tc>
          <w:tcPr>
            <w:tcW w:w="1156" w:type="pct"/>
            <w:tcBorders>
              <w:tl2br w:val="nil"/>
              <w:tr2bl w:val="nil"/>
            </w:tcBorders>
            <w:noWrap w:val="0"/>
            <w:vAlign w:val="center"/>
          </w:tcPr>
          <w:p w14:paraId="1999059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920</w:t>
            </w: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 xml:space="preserve"> </w:t>
            </w:r>
          </w:p>
        </w:tc>
      </w:tr>
      <w:tr w14:paraId="65E8D5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37" w:type="pct"/>
            <w:tcBorders>
              <w:tl2br w:val="nil"/>
              <w:tr2bl w:val="nil"/>
            </w:tcBorders>
            <w:noWrap w:val="0"/>
            <w:vAlign w:val="center"/>
          </w:tcPr>
          <w:p w14:paraId="1D871B0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910</w:t>
            </w:r>
          </w:p>
        </w:tc>
        <w:tc>
          <w:tcPr>
            <w:tcW w:w="1153" w:type="pct"/>
            <w:tcBorders>
              <w:tl2br w:val="nil"/>
              <w:tr2bl w:val="nil"/>
            </w:tcBorders>
            <w:noWrap w:val="0"/>
            <w:vAlign w:val="center"/>
          </w:tcPr>
          <w:p w14:paraId="75D9838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1186</w:t>
            </w:r>
          </w:p>
        </w:tc>
        <w:tc>
          <w:tcPr>
            <w:tcW w:w="1153" w:type="pct"/>
            <w:tcBorders>
              <w:tl2br w:val="nil"/>
              <w:tr2bl w:val="nil"/>
            </w:tcBorders>
            <w:noWrap w:val="0"/>
            <w:vAlign w:val="center"/>
          </w:tcPr>
          <w:p w14:paraId="7A44C2F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632</w:t>
            </w:r>
          </w:p>
        </w:tc>
        <w:tc>
          <w:tcPr>
            <w:tcW w:w="1156" w:type="pct"/>
            <w:tcBorders>
              <w:tl2br w:val="nil"/>
              <w:tr2bl w:val="nil"/>
            </w:tcBorders>
            <w:noWrap w:val="0"/>
            <w:vAlign w:val="center"/>
          </w:tcPr>
          <w:p w14:paraId="364FF5D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918</w:t>
            </w:r>
          </w:p>
        </w:tc>
      </w:tr>
      <w:tr w14:paraId="19D458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233F044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1010</w:t>
            </w:r>
          </w:p>
        </w:tc>
        <w:tc>
          <w:tcPr>
            <w:tcW w:w="1153" w:type="pct"/>
            <w:tcBorders>
              <w:tl2br w:val="nil"/>
              <w:tr2bl w:val="nil"/>
            </w:tcBorders>
            <w:noWrap w:val="0"/>
            <w:vAlign w:val="center"/>
          </w:tcPr>
          <w:p w14:paraId="14D758D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0947</w:t>
            </w:r>
          </w:p>
        </w:tc>
        <w:tc>
          <w:tcPr>
            <w:tcW w:w="1153" w:type="pct"/>
            <w:tcBorders>
              <w:tl2br w:val="nil"/>
              <w:tr2bl w:val="nil"/>
            </w:tcBorders>
            <w:noWrap w:val="0"/>
            <w:vAlign w:val="center"/>
          </w:tcPr>
          <w:p w14:paraId="3EC94D1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0.</w:t>
            </w:r>
            <w:r>
              <w:rPr>
                <w:rFonts w:hint="eastAsia" w:cs="Times New Roman"/>
                <w:color w:val="000000" w:themeColor="text1"/>
                <w:kern w:val="2"/>
                <w:sz w:val="21"/>
                <w:szCs w:val="21"/>
                <w:u w:val="wave" w:color="auto"/>
                <w:lang w:val="en-US" w:eastAsia="zh-CN"/>
                <w14:textFill>
                  <w14:solidFill>
                    <w14:schemeClr w14:val="tx1"/>
                  </w14:solidFill>
                </w14:textFill>
              </w:rPr>
              <w:t>6618</w:t>
            </w:r>
          </w:p>
        </w:tc>
        <w:tc>
          <w:tcPr>
            <w:tcW w:w="1156" w:type="pct"/>
            <w:tcBorders>
              <w:tl2br w:val="nil"/>
              <w:tr2bl w:val="nil"/>
            </w:tcBorders>
            <w:noWrap w:val="0"/>
            <w:vAlign w:val="center"/>
          </w:tcPr>
          <w:p w14:paraId="23F76CD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916</w:t>
            </w:r>
          </w:p>
        </w:tc>
      </w:tr>
      <w:tr w14:paraId="031C63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4930BCB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1110</w:t>
            </w:r>
          </w:p>
        </w:tc>
        <w:tc>
          <w:tcPr>
            <w:tcW w:w="1153" w:type="pct"/>
            <w:tcBorders>
              <w:tl2br w:val="nil"/>
              <w:tr2bl w:val="nil"/>
            </w:tcBorders>
            <w:noWrap w:val="0"/>
            <w:vAlign w:val="center"/>
          </w:tcPr>
          <w:p w14:paraId="46CA174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0720</w:t>
            </w:r>
          </w:p>
        </w:tc>
        <w:tc>
          <w:tcPr>
            <w:tcW w:w="1153" w:type="pct"/>
            <w:tcBorders>
              <w:tl2br w:val="nil"/>
              <w:tr2bl w:val="nil"/>
            </w:tcBorders>
            <w:noWrap w:val="0"/>
            <w:vAlign w:val="center"/>
          </w:tcPr>
          <w:p w14:paraId="397E414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605</w:t>
            </w:r>
          </w:p>
        </w:tc>
        <w:tc>
          <w:tcPr>
            <w:tcW w:w="1156" w:type="pct"/>
            <w:tcBorders>
              <w:tl2br w:val="nil"/>
              <w:tr2bl w:val="nil"/>
            </w:tcBorders>
            <w:noWrap w:val="0"/>
            <w:vAlign w:val="center"/>
          </w:tcPr>
          <w:p w14:paraId="6C9E78E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915</w:t>
            </w:r>
          </w:p>
        </w:tc>
      </w:tr>
      <w:tr w14:paraId="46474D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46A1847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1210</w:t>
            </w:r>
          </w:p>
        </w:tc>
        <w:tc>
          <w:tcPr>
            <w:tcW w:w="1153" w:type="pct"/>
            <w:tcBorders>
              <w:tl2br w:val="nil"/>
              <w:tr2bl w:val="nil"/>
            </w:tcBorders>
            <w:noWrap w:val="0"/>
            <w:vAlign w:val="center"/>
          </w:tcPr>
          <w:p w14:paraId="162B6CA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0501</w:t>
            </w:r>
          </w:p>
        </w:tc>
        <w:tc>
          <w:tcPr>
            <w:tcW w:w="1153" w:type="pct"/>
            <w:tcBorders>
              <w:tl2br w:val="nil"/>
              <w:tr2bl w:val="nil"/>
            </w:tcBorders>
            <w:noWrap w:val="0"/>
            <w:vAlign w:val="center"/>
          </w:tcPr>
          <w:p w14:paraId="29E0E30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593</w:t>
            </w:r>
          </w:p>
        </w:tc>
        <w:tc>
          <w:tcPr>
            <w:tcW w:w="1156" w:type="pct"/>
            <w:tcBorders>
              <w:tl2br w:val="nil"/>
              <w:tr2bl w:val="nil"/>
            </w:tcBorders>
            <w:noWrap w:val="0"/>
            <w:vAlign w:val="center"/>
          </w:tcPr>
          <w:p w14:paraId="3EDAEE8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913</w:t>
            </w:r>
          </w:p>
        </w:tc>
      </w:tr>
      <w:tr w14:paraId="47F83F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3C1AFA2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1310</w:t>
            </w:r>
          </w:p>
        </w:tc>
        <w:tc>
          <w:tcPr>
            <w:tcW w:w="1153" w:type="pct"/>
            <w:tcBorders>
              <w:tl2br w:val="nil"/>
              <w:tr2bl w:val="nil"/>
            </w:tcBorders>
            <w:noWrap w:val="0"/>
            <w:vAlign w:val="center"/>
          </w:tcPr>
          <w:p w14:paraId="51A3972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0291</w:t>
            </w:r>
          </w:p>
        </w:tc>
        <w:tc>
          <w:tcPr>
            <w:tcW w:w="1153" w:type="pct"/>
            <w:tcBorders>
              <w:tl2br w:val="nil"/>
              <w:tr2bl w:val="nil"/>
            </w:tcBorders>
            <w:noWrap w:val="0"/>
            <w:vAlign w:val="center"/>
          </w:tcPr>
          <w:p w14:paraId="3F13401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581</w:t>
            </w:r>
          </w:p>
        </w:tc>
        <w:tc>
          <w:tcPr>
            <w:tcW w:w="1156" w:type="pct"/>
            <w:tcBorders>
              <w:tl2br w:val="nil"/>
              <w:tr2bl w:val="nil"/>
            </w:tcBorders>
            <w:noWrap w:val="0"/>
            <w:vAlign w:val="center"/>
          </w:tcPr>
          <w:p w14:paraId="763E8C9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912</w:t>
            </w:r>
          </w:p>
        </w:tc>
      </w:tr>
      <w:tr w14:paraId="12FA28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778E957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1410</w:t>
            </w:r>
          </w:p>
        </w:tc>
        <w:tc>
          <w:tcPr>
            <w:tcW w:w="1153" w:type="pct"/>
            <w:tcBorders>
              <w:tl2br w:val="nil"/>
              <w:tr2bl w:val="nil"/>
            </w:tcBorders>
            <w:noWrap w:val="0"/>
            <w:vAlign w:val="center"/>
          </w:tcPr>
          <w:p w14:paraId="0E72F7B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w:t>
            </w:r>
            <w:r>
              <w:rPr>
                <w:rFonts w:hint="eastAsia" w:cs="Times New Roman"/>
                <w:color w:val="000000" w:themeColor="text1"/>
                <w:kern w:val="2"/>
                <w:sz w:val="21"/>
                <w:szCs w:val="21"/>
                <w:u w:val="wave" w:color="auto"/>
                <w:lang w:val="en-US" w:eastAsia="zh-CN"/>
                <w14:textFill>
                  <w14:solidFill>
                    <w14:schemeClr w14:val="tx1"/>
                  </w14:solidFill>
                </w14:textFill>
              </w:rPr>
              <w:t>0087</w:t>
            </w:r>
          </w:p>
        </w:tc>
        <w:tc>
          <w:tcPr>
            <w:tcW w:w="1153" w:type="pct"/>
            <w:tcBorders>
              <w:tl2br w:val="nil"/>
              <w:tr2bl w:val="nil"/>
            </w:tcBorders>
            <w:noWrap w:val="0"/>
            <w:vAlign w:val="center"/>
          </w:tcPr>
          <w:p w14:paraId="1102A86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570</w:t>
            </w:r>
          </w:p>
        </w:tc>
        <w:tc>
          <w:tcPr>
            <w:tcW w:w="1156" w:type="pct"/>
            <w:tcBorders>
              <w:tl2br w:val="nil"/>
              <w:tr2bl w:val="nil"/>
            </w:tcBorders>
            <w:noWrap w:val="0"/>
            <w:vAlign w:val="center"/>
          </w:tcPr>
          <w:p w14:paraId="30EBBA1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910</w:t>
            </w:r>
          </w:p>
        </w:tc>
      </w:tr>
      <w:tr w14:paraId="42F89F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69B6ECED">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1510</w:t>
            </w:r>
          </w:p>
        </w:tc>
        <w:tc>
          <w:tcPr>
            <w:tcW w:w="1153" w:type="pct"/>
            <w:tcBorders>
              <w:tl2br w:val="nil"/>
              <w:tr2bl w:val="nil"/>
            </w:tcBorders>
            <w:noWrap w:val="0"/>
            <w:vAlign w:val="center"/>
          </w:tcPr>
          <w:p w14:paraId="6C37D21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16.9888</w:t>
            </w:r>
          </w:p>
        </w:tc>
        <w:tc>
          <w:tcPr>
            <w:tcW w:w="1153" w:type="pct"/>
            <w:tcBorders>
              <w:tl2br w:val="nil"/>
              <w:tr2bl w:val="nil"/>
            </w:tcBorders>
            <w:noWrap w:val="0"/>
            <w:vAlign w:val="center"/>
          </w:tcPr>
          <w:p w14:paraId="6777D80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559</w:t>
            </w:r>
          </w:p>
        </w:tc>
        <w:tc>
          <w:tcPr>
            <w:tcW w:w="1156" w:type="pct"/>
            <w:tcBorders>
              <w:tl2br w:val="nil"/>
              <w:tr2bl w:val="nil"/>
            </w:tcBorders>
            <w:noWrap w:val="0"/>
            <w:vAlign w:val="center"/>
          </w:tcPr>
          <w:p w14:paraId="39CC6D0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909</w:t>
            </w: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 xml:space="preserve"> </w:t>
            </w:r>
          </w:p>
        </w:tc>
      </w:tr>
      <w:tr w14:paraId="50597B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1987E70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1610</w:t>
            </w:r>
          </w:p>
        </w:tc>
        <w:tc>
          <w:tcPr>
            <w:tcW w:w="1153" w:type="pct"/>
            <w:tcBorders>
              <w:tl2br w:val="nil"/>
              <w:tr2bl w:val="nil"/>
            </w:tcBorders>
            <w:noWrap w:val="0"/>
            <w:vAlign w:val="center"/>
          </w:tcPr>
          <w:p w14:paraId="107C49D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16.9695</w:t>
            </w:r>
          </w:p>
        </w:tc>
        <w:tc>
          <w:tcPr>
            <w:tcW w:w="1153" w:type="pct"/>
            <w:tcBorders>
              <w:tl2br w:val="nil"/>
              <w:tr2bl w:val="nil"/>
            </w:tcBorders>
            <w:noWrap w:val="0"/>
            <w:vAlign w:val="center"/>
          </w:tcPr>
          <w:p w14:paraId="794BB68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549</w:t>
            </w:r>
          </w:p>
        </w:tc>
        <w:tc>
          <w:tcPr>
            <w:tcW w:w="1156" w:type="pct"/>
            <w:tcBorders>
              <w:tl2br w:val="nil"/>
              <w:tr2bl w:val="nil"/>
            </w:tcBorders>
            <w:noWrap w:val="0"/>
            <w:vAlign w:val="center"/>
          </w:tcPr>
          <w:p w14:paraId="5DCA206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908</w:t>
            </w:r>
          </w:p>
        </w:tc>
      </w:tr>
      <w:tr w14:paraId="7D7FAF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33F3326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1710</w:t>
            </w:r>
          </w:p>
        </w:tc>
        <w:tc>
          <w:tcPr>
            <w:tcW w:w="1153" w:type="pct"/>
            <w:tcBorders>
              <w:tl2br w:val="nil"/>
              <w:tr2bl w:val="nil"/>
            </w:tcBorders>
            <w:noWrap w:val="0"/>
            <w:vAlign w:val="center"/>
          </w:tcPr>
          <w:p w14:paraId="5FAB43D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16.9505</w:t>
            </w:r>
          </w:p>
        </w:tc>
        <w:tc>
          <w:tcPr>
            <w:tcW w:w="1153" w:type="pct"/>
            <w:tcBorders>
              <w:tl2br w:val="nil"/>
              <w:tr2bl w:val="nil"/>
            </w:tcBorders>
            <w:noWrap w:val="0"/>
            <w:vAlign w:val="center"/>
          </w:tcPr>
          <w:p w14:paraId="57FC1F5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539</w:t>
            </w:r>
          </w:p>
        </w:tc>
        <w:tc>
          <w:tcPr>
            <w:tcW w:w="1156" w:type="pct"/>
            <w:tcBorders>
              <w:tl2br w:val="nil"/>
              <w:tr2bl w:val="nil"/>
            </w:tcBorders>
            <w:noWrap w:val="0"/>
            <w:vAlign w:val="center"/>
          </w:tcPr>
          <w:p w14:paraId="69D7B29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906</w:t>
            </w:r>
          </w:p>
        </w:tc>
      </w:tr>
      <w:tr w14:paraId="6B351E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5AAB271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1810</w:t>
            </w:r>
          </w:p>
        </w:tc>
        <w:tc>
          <w:tcPr>
            <w:tcW w:w="1153" w:type="pct"/>
            <w:tcBorders>
              <w:tl2br w:val="nil"/>
              <w:tr2bl w:val="nil"/>
            </w:tcBorders>
            <w:noWrap w:val="0"/>
            <w:vAlign w:val="center"/>
          </w:tcPr>
          <w:p w14:paraId="5FFDA09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16.9320</w:t>
            </w:r>
          </w:p>
        </w:tc>
        <w:tc>
          <w:tcPr>
            <w:tcW w:w="1153" w:type="pct"/>
            <w:tcBorders>
              <w:tl2br w:val="nil"/>
              <w:tr2bl w:val="nil"/>
            </w:tcBorders>
            <w:noWrap w:val="0"/>
            <w:vAlign w:val="center"/>
          </w:tcPr>
          <w:p w14:paraId="22F6BA1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529</w:t>
            </w:r>
          </w:p>
        </w:tc>
        <w:tc>
          <w:tcPr>
            <w:tcW w:w="1156" w:type="pct"/>
            <w:tcBorders>
              <w:tl2br w:val="nil"/>
              <w:tr2bl w:val="nil"/>
            </w:tcBorders>
            <w:noWrap w:val="0"/>
            <w:vAlign w:val="center"/>
          </w:tcPr>
          <w:p w14:paraId="4FDC58D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905</w:t>
            </w:r>
          </w:p>
        </w:tc>
      </w:tr>
      <w:tr w14:paraId="69F513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1537" w:type="pct"/>
            <w:tcBorders>
              <w:tl2br w:val="nil"/>
              <w:tr2bl w:val="nil"/>
            </w:tcBorders>
            <w:noWrap w:val="0"/>
            <w:vAlign w:val="center"/>
          </w:tcPr>
          <w:p w14:paraId="00FB814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1910</w:t>
            </w:r>
          </w:p>
        </w:tc>
        <w:tc>
          <w:tcPr>
            <w:tcW w:w="1153" w:type="pct"/>
            <w:tcBorders>
              <w:tl2br w:val="nil"/>
              <w:tr2bl w:val="nil"/>
            </w:tcBorders>
            <w:noWrap w:val="0"/>
            <w:vAlign w:val="center"/>
          </w:tcPr>
          <w:p w14:paraId="03F7F20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16.9137</w:t>
            </w:r>
          </w:p>
        </w:tc>
        <w:tc>
          <w:tcPr>
            <w:tcW w:w="1153" w:type="pct"/>
            <w:tcBorders>
              <w:tl2br w:val="nil"/>
              <w:tr2bl w:val="nil"/>
            </w:tcBorders>
            <w:noWrap w:val="0"/>
            <w:vAlign w:val="center"/>
          </w:tcPr>
          <w:p w14:paraId="5233C5F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520</w:t>
            </w:r>
          </w:p>
        </w:tc>
        <w:tc>
          <w:tcPr>
            <w:tcW w:w="1156" w:type="pct"/>
            <w:tcBorders>
              <w:tl2br w:val="nil"/>
              <w:tr2bl w:val="nil"/>
            </w:tcBorders>
            <w:noWrap w:val="0"/>
            <w:vAlign w:val="center"/>
          </w:tcPr>
          <w:p w14:paraId="63B2975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w:t>
            </w:r>
            <w:r>
              <w:rPr>
                <w:rFonts w:hint="eastAsia" w:cs="Times New Roman"/>
                <w:color w:val="000000" w:themeColor="text1"/>
                <w:kern w:val="2"/>
                <w:sz w:val="21"/>
                <w:szCs w:val="21"/>
                <w:u w:val="wave" w:color="auto"/>
                <w:lang w:val="en-US" w:eastAsia="zh-CN"/>
                <w14:textFill>
                  <w14:solidFill>
                    <w14:schemeClr w14:val="tx1"/>
                  </w14:solidFill>
                </w14:textFill>
              </w:rPr>
              <w:t>0904</w:t>
            </w:r>
          </w:p>
        </w:tc>
      </w:tr>
      <w:tr w14:paraId="11F282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1AAB375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2010</w:t>
            </w:r>
          </w:p>
        </w:tc>
        <w:tc>
          <w:tcPr>
            <w:tcW w:w="1153" w:type="pct"/>
            <w:tcBorders>
              <w:tl2br w:val="nil"/>
              <w:tr2bl w:val="nil"/>
            </w:tcBorders>
            <w:noWrap w:val="0"/>
            <w:vAlign w:val="center"/>
          </w:tcPr>
          <w:p w14:paraId="61703A0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16.8958</w:t>
            </w:r>
          </w:p>
        </w:tc>
        <w:tc>
          <w:tcPr>
            <w:tcW w:w="1153" w:type="pct"/>
            <w:tcBorders>
              <w:tl2br w:val="nil"/>
              <w:tr2bl w:val="nil"/>
            </w:tcBorders>
            <w:noWrap w:val="0"/>
            <w:vAlign w:val="center"/>
          </w:tcPr>
          <w:p w14:paraId="14644D1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511</w:t>
            </w:r>
          </w:p>
        </w:tc>
        <w:tc>
          <w:tcPr>
            <w:tcW w:w="1156" w:type="pct"/>
            <w:tcBorders>
              <w:tl2br w:val="nil"/>
              <w:tr2bl w:val="nil"/>
            </w:tcBorders>
            <w:noWrap w:val="0"/>
            <w:vAlign w:val="center"/>
          </w:tcPr>
          <w:p w14:paraId="4FCC8F5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903</w:t>
            </w:r>
          </w:p>
        </w:tc>
      </w:tr>
      <w:tr w14:paraId="2643A7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1D7E1B9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2110</w:t>
            </w:r>
          </w:p>
        </w:tc>
        <w:tc>
          <w:tcPr>
            <w:tcW w:w="1153" w:type="pct"/>
            <w:tcBorders>
              <w:tl2br w:val="nil"/>
              <w:tr2bl w:val="nil"/>
            </w:tcBorders>
            <w:noWrap w:val="0"/>
            <w:vAlign w:val="center"/>
          </w:tcPr>
          <w:p w14:paraId="695B3B4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16.8782</w:t>
            </w:r>
          </w:p>
        </w:tc>
        <w:tc>
          <w:tcPr>
            <w:tcW w:w="1153" w:type="pct"/>
            <w:tcBorders>
              <w:tl2br w:val="nil"/>
              <w:tr2bl w:val="nil"/>
            </w:tcBorders>
            <w:noWrap w:val="0"/>
            <w:vAlign w:val="center"/>
          </w:tcPr>
          <w:p w14:paraId="5EA124A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502</w:t>
            </w:r>
          </w:p>
        </w:tc>
        <w:tc>
          <w:tcPr>
            <w:tcW w:w="1156" w:type="pct"/>
            <w:tcBorders>
              <w:tl2br w:val="nil"/>
              <w:tr2bl w:val="nil"/>
            </w:tcBorders>
            <w:noWrap w:val="0"/>
            <w:vAlign w:val="center"/>
          </w:tcPr>
          <w:p w14:paraId="23AB47C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902</w:t>
            </w:r>
          </w:p>
        </w:tc>
      </w:tr>
      <w:tr w14:paraId="3FEC5D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5954975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2210</w:t>
            </w:r>
          </w:p>
        </w:tc>
        <w:tc>
          <w:tcPr>
            <w:tcW w:w="1153" w:type="pct"/>
            <w:tcBorders>
              <w:tl2br w:val="nil"/>
              <w:tr2bl w:val="nil"/>
            </w:tcBorders>
            <w:noWrap w:val="0"/>
            <w:vAlign w:val="center"/>
          </w:tcPr>
          <w:p w14:paraId="33020D4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16.8608</w:t>
            </w:r>
          </w:p>
        </w:tc>
        <w:tc>
          <w:tcPr>
            <w:tcW w:w="1153" w:type="pct"/>
            <w:tcBorders>
              <w:tl2br w:val="nil"/>
              <w:tr2bl w:val="nil"/>
            </w:tcBorders>
            <w:noWrap w:val="0"/>
            <w:vAlign w:val="center"/>
          </w:tcPr>
          <w:p w14:paraId="6B368D2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493</w:t>
            </w:r>
          </w:p>
        </w:tc>
        <w:tc>
          <w:tcPr>
            <w:tcW w:w="1156" w:type="pct"/>
            <w:tcBorders>
              <w:tl2br w:val="nil"/>
              <w:tr2bl w:val="nil"/>
            </w:tcBorders>
            <w:noWrap w:val="0"/>
            <w:vAlign w:val="center"/>
          </w:tcPr>
          <w:p w14:paraId="2119803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901</w:t>
            </w:r>
          </w:p>
        </w:tc>
      </w:tr>
      <w:tr w14:paraId="132A4C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254777E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2310</w:t>
            </w:r>
          </w:p>
        </w:tc>
        <w:tc>
          <w:tcPr>
            <w:tcW w:w="1153" w:type="pct"/>
            <w:tcBorders>
              <w:tl2br w:val="nil"/>
              <w:tr2bl w:val="nil"/>
            </w:tcBorders>
            <w:noWrap w:val="0"/>
            <w:vAlign w:val="center"/>
          </w:tcPr>
          <w:p w14:paraId="280FCED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16.8436</w:t>
            </w:r>
          </w:p>
        </w:tc>
        <w:tc>
          <w:tcPr>
            <w:tcW w:w="1153" w:type="pct"/>
            <w:tcBorders>
              <w:tl2br w:val="nil"/>
              <w:tr2bl w:val="nil"/>
            </w:tcBorders>
            <w:noWrap w:val="0"/>
            <w:vAlign w:val="center"/>
          </w:tcPr>
          <w:p w14:paraId="0D109ED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485</w:t>
            </w:r>
          </w:p>
        </w:tc>
        <w:tc>
          <w:tcPr>
            <w:tcW w:w="1156" w:type="pct"/>
            <w:tcBorders>
              <w:tl2br w:val="nil"/>
              <w:tr2bl w:val="nil"/>
            </w:tcBorders>
            <w:noWrap w:val="0"/>
            <w:vAlign w:val="center"/>
          </w:tcPr>
          <w:p w14:paraId="767FC5D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899</w:t>
            </w:r>
          </w:p>
        </w:tc>
      </w:tr>
      <w:tr w14:paraId="0CC5B2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615752D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2410</w:t>
            </w:r>
          </w:p>
        </w:tc>
        <w:tc>
          <w:tcPr>
            <w:tcW w:w="1153" w:type="pct"/>
            <w:tcBorders>
              <w:tl2br w:val="nil"/>
              <w:tr2bl w:val="nil"/>
            </w:tcBorders>
            <w:noWrap w:val="0"/>
            <w:vAlign w:val="center"/>
          </w:tcPr>
          <w:p w14:paraId="0B42233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16.8266</w:t>
            </w:r>
          </w:p>
        </w:tc>
        <w:tc>
          <w:tcPr>
            <w:tcW w:w="1153" w:type="pct"/>
            <w:tcBorders>
              <w:tl2br w:val="nil"/>
              <w:tr2bl w:val="nil"/>
            </w:tcBorders>
            <w:noWrap w:val="0"/>
            <w:vAlign w:val="center"/>
          </w:tcPr>
          <w:p w14:paraId="075A08E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476</w:t>
            </w:r>
          </w:p>
        </w:tc>
        <w:tc>
          <w:tcPr>
            <w:tcW w:w="1156" w:type="pct"/>
            <w:tcBorders>
              <w:tl2br w:val="nil"/>
              <w:tr2bl w:val="nil"/>
            </w:tcBorders>
            <w:noWrap w:val="0"/>
            <w:vAlign w:val="center"/>
          </w:tcPr>
          <w:p w14:paraId="00637CF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898</w:t>
            </w:r>
          </w:p>
        </w:tc>
      </w:tr>
      <w:tr w14:paraId="476DB8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20E3915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2510</w:t>
            </w:r>
          </w:p>
        </w:tc>
        <w:tc>
          <w:tcPr>
            <w:tcW w:w="1153" w:type="pct"/>
            <w:tcBorders>
              <w:tl2br w:val="nil"/>
              <w:tr2bl w:val="nil"/>
            </w:tcBorders>
            <w:noWrap w:val="0"/>
            <w:vAlign w:val="center"/>
          </w:tcPr>
          <w:p w14:paraId="4206C97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16.</w:t>
            </w:r>
            <w:r>
              <w:rPr>
                <w:rFonts w:hint="eastAsia" w:cs="Times New Roman"/>
                <w:color w:val="000000" w:themeColor="text1"/>
                <w:kern w:val="2"/>
                <w:sz w:val="21"/>
                <w:szCs w:val="21"/>
                <w:u w:val="wave" w:color="auto"/>
                <w:lang w:val="en-US" w:eastAsia="zh-CN"/>
                <w14:textFill>
                  <w14:solidFill>
                    <w14:schemeClr w14:val="tx1"/>
                  </w14:solidFill>
                </w14:textFill>
              </w:rPr>
              <w:t>8097</w:t>
            </w:r>
          </w:p>
        </w:tc>
        <w:tc>
          <w:tcPr>
            <w:tcW w:w="1153" w:type="pct"/>
            <w:tcBorders>
              <w:tl2br w:val="nil"/>
              <w:tr2bl w:val="nil"/>
            </w:tcBorders>
            <w:noWrap w:val="0"/>
            <w:vAlign w:val="center"/>
          </w:tcPr>
          <w:p w14:paraId="67C1BAB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468</w:t>
            </w:r>
          </w:p>
        </w:tc>
        <w:tc>
          <w:tcPr>
            <w:tcW w:w="1156" w:type="pct"/>
            <w:tcBorders>
              <w:tl2br w:val="nil"/>
              <w:tr2bl w:val="nil"/>
            </w:tcBorders>
            <w:noWrap w:val="0"/>
            <w:vAlign w:val="center"/>
          </w:tcPr>
          <w:p w14:paraId="261B9CC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897</w:t>
            </w:r>
          </w:p>
        </w:tc>
      </w:tr>
      <w:tr w14:paraId="1F21DD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49FBE7FD">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2610</w:t>
            </w:r>
          </w:p>
        </w:tc>
        <w:tc>
          <w:tcPr>
            <w:tcW w:w="1153" w:type="pct"/>
            <w:tcBorders>
              <w:tl2br w:val="nil"/>
              <w:tr2bl w:val="nil"/>
            </w:tcBorders>
            <w:noWrap w:val="0"/>
            <w:vAlign w:val="center"/>
          </w:tcPr>
          <w:p w14:paraId="10F7854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16.</w:t>
            </w:r>
            <w:r>
              <w:rPr>
                <w:rFonts w:hint="eastAsia" w:cs="Times New Roman"/>
                <w:color w:val="000000" w:themeColor="text1"/>
                <w:kern w:val="2"/>
                <w:sz w:val="21"/>
                <w:szCs w:val="21"/>
                <w:u w:val="wave" w:color="auto"/>
                <w:lang w:val="en-US" w:eastAsia="zh-CN"/>
                <w14:textFill>
                  <w14:solidFill>
                    <w14:schemeClr w14:val="tx1"/>
                  </w14:solidFill>
                </w14:textFill>
              </w:rPr>
              <w:t>7931</w:t>
            </w:r>
          </w:p>
        </w:tc>
        <w:tc>
          <w:tcPr>
            <w:tcW w:w="1153" w:type="pct"/>
            <w:tcBorders>
              <w:tl2br w:val="nil"/>
              <w:tr2bl w:val="nil"/>
            </w:tcBorders>
            <w:noWrap w:val="0"/>
            <w:vAlign w:val="center"/>
          </w:tcPr>
          <w:p w14:paraId="370CB2C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0.6096</w:t>
            </w:r>
          </w:p>
        </w:tc>
        <w:tc>
          <w:tcPr>
            <w:tcW w:w="1156" w:type="pct"/>
            <w:tcBorders>
              <w:tl2br w:val="nil"/>
              <w:tr2bl w:val="nil"/>
            </w:tcBorders>
            <w:noWrap w:val="0"/>
            <w:vAlign w:val="center"/>
          </w:tcPr>
          <w:p w14:paraId="70E24CB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896</w:t>
            </w:r>
          </w:p>
        </w:tc>
      </w:tr>
      <w:tr w14:paraId="79DEB7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4F943BA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2710</w:t>
            </w:r>
          </w:p>
        </w:tc>
        <w:tc>
          <w:tcPr>
            <w:tcW w:w="1153" w:type="pct"/>
            <w:tcBorders>
              <w:tl2br w:val="nil"/>
              <w:tr2bl w:val="nil"/>
            </w:tcBorders>
            <w:noWrap w:val="0"/>
            <w:vAlign w:val="center"/>
          </w:tcPr>
          <w:p w14:paraId="764302B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16.</w:t>
            </w:r>
            <w:r>
              <w:rPr>
                <w:rFonts w:hint="eastAsia" w:cs="Times New Roman"/>
                <w:color w:val="000000" w:themeColor="text1"/>
                <w:kern w:val="2"/>
                <w:sz w:val="21"/>
                <w:szCs w:val="21"/>
                <w:u w:val="wave" w:color="auto"/>
                <w:lang w:val="en-US" w:eastAsia="zh-CN"/>
                <w14:textFill>
                  <w14:solidFill>
                    <w14:schemeClr w14:val="tx1"/>
                  </w14:solidFill>
                </w14:textFill>
              </w:rPr>
              <w:t>7766</w:t>
            </w:r>
          </w:p>
        </w:tc>
        <w:tc>
          <w:tcPr>
            <w:tcW w:w="1153" w:type="pct"/>
            <w:tcBorders>
              <w:tl2br w:val="nil"/>
              <w:tr2bl w:val="nil"/>
            </w:tcBorders>
            <w:noWrap w:val="0"/>
            <w:vAlign w:val="center"/>
          </w:tcPr>
          <w:p w14:paraId="2371DB9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460</w:t>
            </w:r>
          </w:p>
        </w:tc>
        <w:tc>
          <w:tcPr>
            <w:tcW w:w="1156" w:type="pct"/>
            <w:tcBorders>
              <w:tl2br w:val="nil"/>
              <w:tr2bl w:val="nil"/>
            </w:tcBorders>
            <w:noWrap w:val="0"/>
            <w:vAlign w:val="center"/>
          </w:tcPr>
          <w:p w14:paraId="2E01F47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895</w:t>
            </w:r>
          </w:p>
        </w:tc>
      </w:tr>
      <w:tr w14:paraId="37B34A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5B5B665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2810</w:t>
            </w:r>
          </w:p>
        </w:tc>
        <w:tc>
          <w:tcPr>
            <w:tcW w:w="1153" w:type="pct"/>
            <w:tcBorders>
              <w:tl2br w:val="nil"/>
              <w:tr2bl w:val="nil"/>
            </w:tcBorders>
            <w:noWrap w:val="0"/>
            <w:vAlign w:val="center"/>
          </w:tcPr>
          <w:p w14:paraId="629C6F2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16.</w:t>
            </w:r>
            <w:r>
              <w:rPr>
                <w:rFonts w:hint="eastAsia" w:cs="Times New Roman"/>
                <w:color w:val="000000" w:themeColor="text1"/>
                <w:kern w:val="2"/>
                <w:sz w:val="21"/>
                <w:szCs w:val="21"/>
                <w:u w:val="wave" w:color="auto"/>
                <w:lang w:val="en-US" w:eastAsia="zh-CN"/>
                <w14:textFill>
                  <w14:solidFill>
                    <w14:schemeClr w14:val="tx1"/>
                  </w14:solidFill>
                </w14:textFill>
              </w:rPr>
              <w:t>7603</w:t>
            </w:r>
          </w:p>
        </w:tc>
        <w:tc>
          <w:tcPr>
            <w:tcW w:w="1153" w:type="pct"/>
            <w:tcBorders>
              <w:tl2br w:val="nil"/>
              <w:tr2bl w:val="nil"/>
            </w:tcBorders>
            <w:noWrap w:val="0"/>
            <w:vAlign w:val="center"/>
          </w:tcPr>
          <w:p w14:paraId="2EBA6A2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0.6</w:t>
            </w:r>
            <w:r>
              <w:rPr>
                <w:rFonts w:hint="eastAsia" w:cs="Times New Roman"/>
                <w:color w:val="000000" w:themeColor="text1"/>
                <w:kern w:val="2"/>
                <w:sz w:val="21"/>
                <w:szCs w:val="21"/>
                <w:u w:val="wave" w:color="auto"/>
                <w:lang w:val="en-US" w:eastAsia="zh-CN"/>
                <w14:textFill>
                  <w14:solidFill>
                    <w14:schemeClr w14:val="tx1"/>
                  </w14:solidFill>
                </w14:textFill>
              </w:rPr>
              <w:t>453</w:t>
            </w:r>
          </w:p>
        </w:tc>
        <w:tc>
          <w:tcPr>
            <w:tcW w:w="1156" w:type="pct"/>
            <w:tcBorders>
              <w:tl2br w:val="nil"/>
              <w:tr2bl w:val="nil"/>
            </w:tcBorders>
            <w:noWrap w:val="0"/>
            <w:vAlign w:val="center"/>
          </w:tcPr>
          <w:p w14:paraId="7CFCD26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894</w:t>
            </w:r>
          </w:p>
        </w:tc>
      </w:tr>
      <w:tr w14:paraId="22E135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5113CC6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2910</w:t>
            </w:r>
          </w:p>
        </w:tc>
        <w:tc>
          <w:tcPr>
            <w:tcW w:w="1153" w:type="pct"/>
            <w:tcBorders>
              <w:tl2br w:val="nil"/>
              <w:tr2bl w:val="nil"/>
            </w:tcBorders>
            <w:noWrap w:val="0"/>
            <w:vAlign w:val="center"/>
          </w:tcPr>
          <w:p w14:paraId="3353919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16.</w:t>
            </w:r>
            <w:r>
              <w:rPr>
                <w:rFonts w:hint="eastAsia" w:cs="Times New Roman"/>
                <w:color w:val="000000" w:themeColor="text1"/>
                <w:kern w:val="2"/>
                <w:sz w:val="21"/>
                <w:szCs w:val="21"/>
                <w:u w:val="wave" w:color="auto"/>
                <w:lang w:val="en-US" w:eastAsia="zh-CN"/>
                <w14:textFill>
                  <w14:solidFill>
                    <w14:schemeClr w14:val="tx1"/>
                  </w14:solidFill>
                </w14:textFill>
              </w:rPr>
              <w:t>7440</w:t>
            </w:r>
          </w:p>
        </w:tc>
        <w:tc>
          <w:tcPr>
            <w:tcW w:w="1153" w:type="pct"/>
            <w:tcBorders>
              <w:tl2br w:val="nil"/>
              <w:tr2bl w:val="nil"/>
            </w:tcBorders>
            <w:noWrap w:val="0"/>
            <w:vAlign w:val="center"/>
          </w:tcPr>
          <w:p w14:paraId="25F5F18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w:t>
            </w:r>
            <w:r>
              <w:rPr>
                <w:rFonts w:hint="eastAsia" w:cs="Times New Roman"/>
                <w:color w:val="000000" w:themeColor="text1"/>
                <w:kern w:val="2"/>
                <w:sz w:val="21"/>
                <w:szCs w:val="21"/>
                <w:u w:val="wave" w:color="auto"/>
                <w:lang w:val="en-US" w:eastAsia="zh-CN"/>
                <w14:textFill>
                  <w14:solidFill>
                    <w14:schemeClr w14:val="tx1"/>
                  </w14:solidFill>
                </w14:textFill>
              </w:rPr>
              <w:t>6445</w:t>
            </w:r>
          </w:p>
        </w:tc>
        <w:tc>
          <w:tcPr>
            <w:tcW w:w="1156" w:type="pct"/>
            <w:tcBorders>
              <w:tl2br w:val="nil"/>
              <w:tr2bl w:val="nil"/>
            </w:tcBorders>
            <w:noWrap w:val="0"/>
            <w:vAlign w:val="center"/>
          </w:tcPr>
          <w:p w14:paraId="0203C53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0.0</w:t>
            </w:r>
            <w:r>
              <w:rPr>
                <w:rFonts w:hint="eastAsia" w:cs="Times New Roman"/>
                <w:color w:val="000000" w:themeColor="text1"/>
                <w:kern w:val="2"/>
                <w:sz w:val="21"/>
                <w:szCs w:val="21"/>
                <w:u w:val="wave" w:color="auto"/>
                <w:lang w:val="en-US" w:eastAsia="zh-CN"/>
                <w14:textFill>
                  <w14:solidFill>
                    <w14:schemeClr w14:val="tx1"/>
                  </w14:solidFill>
                </w14:textFill>
              </w:rPr>
              <w:t>893</w:t>
            </w:r>
          </w:p>
        </w:tc>
      </w:tr>
    </w:tbl>
    <w:p w14:paraId="5FD02321">
      <w:pPr>
        <w:widowControl w:val="0"/>
        <w:bidi w:val="0"/>
        <w:spacing w:line="240" w:lineRule="auto"/>
        <w:ind w:left="0" w:leftChars="0" w:right="0" w:firstLine="0" w:firstLineChars="0"/>
        <w:jc w:val="center"/>
        <w:rPr>
          <w:rFonts w:hint="default" w:ascii="Times New Roman" w:hAnsi="Times New Roman" w:eastAsia="宋体" w:cs="Times New Roman"/>
          <w:b/>
          <w:bCs/>
          <w:color w:val="000000" w:themeColor="text1"/>
          <w:kern w:val="2"/>
          <w:sz w:val="24"/>
          <w:szCs w:val="24"/>
          <w:u w:val="wav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u w:val="wave" w:color="auto"/>
          <w:lang w:val="en-US" w:eastAsia="zh-CN" w:bidi="ar-SA"/>
          <w14:textFill>
            <w14:solidFill>
              <w14:schemeClr w14:val="tx1"/>
            </w14:solidFill>
          </w14:textFill>
        </w:rPr>
        <w:t>表6.1-4  枯水期项目非正常排放对老三运河浓度预测值 单位：mg/L</w:t>
      </w:r>
    </w:p>
    <w:tbl>
      <w:tblPr>
        <w:tblStyle w:val="76"/>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854"/>
        <w:gridCol w:w="2141"/>
        <w:gridCol w:w="2141"/>
        <w:gridCol w:w="2146"/>
      </w:tblGrid>
      <w:tr w14:paraId="1CB6B7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241BAE3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污染物</w:t>
            </w:r>
          </w:p>
        </w:tc>
        <w:tc>
          <w:tcPr>
            <w:tcW w:w="3462" w:type="pct"/>
            <w:gridSpan w:val="3"/>
            <w:tcBorders>
              <w:tl2br w:val="nil"/>
              <w:tr2bl w:val="nil"/>
            </w:tcBorders>
            <w:noWrap w:val="0"/>
            <w:vAlign w:val="center"/>
          </w:tcPr>
          <w:p w14:paraId="079EB77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非正常排放</w:t>
            </w:r>
          </w:p>
        </w:tc>
      </w:tr>
      <w:tr w14:paraId="2E2B1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37" w:type="pct"/>
            <w:tcBorders>
              <w:tl2br w:val="nil"/>
              <w:tr2bl w:val="nil"/>
            </w:tcBorders>
            <w:noWrap w:val="0"/>
            <w:vAlign w:val="center"/>
          </w:tcPr>
          <w:p w14:paraId="381E5E7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距排放口下游距离x/m</w:t>
            </w:r>
          </w:p>
        </w:tc>
        <w:tc>
          <w:tcPr>
            <w:tcW w:w="1153" w:type="pct"/>
            <w:tcBorders>
              <w:tl2br w:val="nil"/>
              <w:tr2bl w:val="nil"/>
            </w:tcBorders>
            <w:noWrap w:val="0"/>
            <w:vAlign w:val="center"/>
          </w:tcPr>
          <w:p w14:paraId="35550B3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CODcr</w:t>
            </w:r>
          </w:p>
        </w:tc>
        <w:tc>
          <w:tcPr>
            <w:tcW w:w="1153" w:type="pct"/>
            <w:tcBorders>
              <w:tl2br w:val="nil"/>
              <w:tr2bl w:val="nil"/>
            </w:tcBorders>
            <w:noWrap w:val="0"/>
            <w:vAlign w:val="center"/>
          </w:tcPr>
          <w:p w14:paraId="2FDA9CF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NH</w:t>
            </w:r>
            <w:r>
              <w:rPr>
                <w:rFonts w:hint="default" w:ascii="Times New Roman" w:hAnsi="Times New Roman" w:eastAsia="宋体" w:cs="Times New Roman"/>
                <w:color w:val="000000" w:themeColor="text1"/>
                <w:kern w:val="2"/>
                <w:sz w:val="21"/>
                <w:szCs w:val="21"/>
                <w:u w:val="wav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-N</w:t>
            </w:r>
          </w:p>
        </w:tc>
        <w:tc>
          <w:tcPr>
            <w:tcW w:w="1156" w:type="pct"/>
            <w:tcBorders>
              <w:tl2br w:val="nil"/>
              <w:tr2bl w:val="nil"/>
            </w:tcBorders>
            <w:noWrap w:val="0"/>
            <w:vAlign w:val="center"/>
          </w:tcPr>
          <w:p w14:paraId="64D9DD3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TP</w:t>
            </w:r>
          </w:p>
        </w:tc>
      </w:tr>
      <w:tr w14:paraId="32AFCD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1CE7716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10</w:t>
            </w:r>
          </w:p>
        </w:tc>
        <w:tc>
          <w:tcPr>
            <w:tcW w:w="1153" w:type="pct"/>
            <w:tcBorders>
              <w:tl2br w:val="nil"/>
              <w:tr2bl w:val="nil"/>
            </w:tcBorders>
            <w:noWrap w:val="0"/>
            <w:vAlign w:val="center"/>
          </w:tcPr>
          <w:p w14:paraId="3E06C88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35.1160</w:t>
            </w:r>
          </w:p>
        </w:tc>
        <w:tc>
          <w:tcPr>
            <w:tcW w:w="1153" w:type="pct"/>
            <w:tcBorders>
              <w:tl2br w:val="nil"/>
              <w:tr2bl w:val="nil"/>
            </w:tcBorders>
            <w:noWrap w:val="0"/>
            <w:vAlign w:val="center"/>
          </w:tcPr>
          <w:p w14:paraId="72277FD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2.2755</w:t>
            </w:r>
          </w:p>
        </w:tc>
        <w:tc>
          <w:tcPr>
            <w:tcW w:w="1156" w:type="pct"/>
            <w:tcBorders>
              <w:tl2br w:val="nil"/>
              <w:tr2bl w:val="nil"/>
            </w:tcBorders>
            <w:noWrap w:val="0"/>
            <w:vAlign w:val="center"/>
          </w:tcPr>
          <w:p w14:paraId="7222635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0.3799</w:t>
            </w:r>
          </w:p>
        </w:tc>
      </w:tr>
      <w:tr w14:paraId="273BFB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0D9128E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110</w:t>
            </w:r>
          </w:p>
        </w:tc>
        <w:tc>
          <w:tcPr>
            <w:tcW w:w="1153" w:type="pct"/>
            <w:tcBorders>
              <w:tl2br w:val="nil"/>
              <w:tr2bl w:val="nil"/>
            </w:tcBorders>
            <w:noWrap w:val="0"/>
            <w:vAlign w:val="center"/>
          </w:tcPr>
          <w:p w14:paraId="2133773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22.4897</w:t>
            </w:r>
          </w:p>
        </w:tc>
        <w:tc>
          <w:tcPr>
            <w:tcW w:w="1153" w:type="pct"/>
            <w:tcBorders>
              <w:tl2br w:val="nil"/>
              <w:tr2bl w:val="nil"/>
            </w:tcBorders>
            <w:noWrap w:val="0"/>
            <w:vAlign w:val="center"/>
          </w:tcPr>
          <w:p w14:paraId="1854653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1.1399</w:t>
            </w:r>
          </w:p>
        </w:tc>
        <w:tc>
          <w:tcPr>
            <w:tcW w:w="1156" w:type="pct"/>
            <w:tcBorders>
              <w:tl2br w:val="nil"/>
              <w:tr2bl w:val="nil"/>
            </w:tcBorders>
            <w:noWrap w:val="0"/>
            <w:vAlign w:val="center"/>
          </w:tcPr>
          <w:p w14:paraId="4FE0EA2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0.1780</w:t>
            </w:r>
          </w:p>
        </w:tc>
      </w:tr>
      <w:tr w14:paraId="44C9DD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2066CEB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210</w:t>
            </w:r>
          </w:p>
        </w:tc>
        <w:tc>
          <w:tcPr>
            <w:tcW w:w="1153" w:type="pct"/>
            <w:tcBorders>
              <w:tl2br w:val="nil"/>
              <w:tr2bl w:val="nil"/>
            </w:tcBorders>
            <w:noWrap w:val="0"/>
            <w:vAlign w:val="center"/>
          </w:tcPr>
          <w:p w14:paraId="4EDE604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21.1499</w:t>
            </w:r>
          </w:p>
        </w:tc>
        <w:tc>
          <w:tcPr>
            <w:tcW w:w="1153" w:type="pct"/>
            <w:tcBorders>
              <w:tl2br w:val="nil"/>
              <w:tr2bl w:val="nil"/>
            </w:tcBorders>
            <w:noWrap w:val="0"/>
            <w:vAlign w:val="center"/>
          </w:tcPr>
          <w:p w14:paraId="344B0E0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1.0200</w:t>
            </w:r>
          </w:p>
        </w:tc>
        <w:tc>
          <w:tcPr>
            <w:tcW w:w="1156" w:type="pct"/>
            <w:tcBorders>
              <w:tl2br w:val="nil"/>
              <w:tr2bl w:val="nil"/>
            </w:tcBorders>
            <w:noWrap w:val="0"/>
            <w:vAlign w:val="center"/>
          </w:tcPr>
          <w:p w14:paraId="48D27A2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0.1567</w:t>
            </w:r>
          </w:p>
        </w:tc>
      </w:tr>
      <w:tr w14:paraId="5A5E03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24A8B33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310</w:t>
            </w:r>
          </w:p>
        </w:tc>
        <w:tc>
          <w:tcPr>
            <w:tcW w:w="1153" w:type="pct"/>
            <w:tcBorders>
              <w:tl2br w:val="nil"/>
              <w:tr2bl w:val="nil"/>
            </w:tcBorders>
            <w:noWrap w:val="0"/>
            <w:vAlign w:val="center"/>
          </w:tcPr>
          <w:p w14:paraId="233824E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20.5832</w:t>
            </w:r>
          </w:p>
        </w:tc>
        <w:tc>
          <w:tcPr>
            <w:tcW w:w="1153" w:type="pct"/>
            <w:tcBorders>
              <w:tl2br w:val="nil"/>
              <w:tr2bl w:val="nil"/>
            </w:tcBorders>
            <w:noWrap w:val="0"/>
            <w:vAlign w:val="center"/>
          </w:tcPr>
          <w:p w14:paraId="60ECFE9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0.9697</w:t>
            </w:r>
          </w:p>
        </w:tc>
        <w:tc>
          <w:tcPr>
            <w:tcW w:w="1156" w:type="pct"/>
            <w:tcBorders>
              <w:tl2br w:val="nil"/>
              <w:tr2bl w:val="nil"/>
            </w:tcBorders>
            <w:noWrap w:val="0"/>
            <w:vAlign w:val="center"/>
          </w:tcPr>
          <w:p w14:paraId="77ADF75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0.1478</w:t>
            </w:r>
          </w:p>
        </w:tc>
      </w:tr>
      <w:tr w14:paraId="4144F0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797ACCA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410</w:t>
            </w:r>
          </w:p>
        </w:tc>
        <w:tc>
          <w:tcPr>
            <w:tcW w:w="1153" w:type="pct"/>
            <w:tcBorders>
              <w:tl2br w:val="nil"/>
              <w:tr2bl w:val="nil"/>
            </w:tcBorders>
            <w:noWrap w:val="0"/>
            <w:vAlign w:val="center"/>
          </w:tcPr>
          <w:p w14:paraId="04993B5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20.2337</w:t>
            </w:r>
          </w:p>
        </w:tc>
        <w:tc>
          <w:tcPr>
            <w:tcW w:w="1153" w:type="pct"/>
            <w:tcBorders>
              <w:tl2br w:val="nil"/>
              <w:tr2bl w:val="nil"/>
            </w:tcBorders>
            <w:noWrap w:val="0"/>
            <w:vAlign w:val="center"/>
          </w:tcPr>
          <w:p w14:paraId="1EE90BD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0.9390</w:t>
            </w:r>
          </w:p>
        </w:tc>
        <w:tc>
          <w:tcPr>
            <w:tcW w:w="1156" w:type="pct"/>
            <w:tcBorders>
              <w:tl2br w:val="nil"/>
              <w:tr2bl w:val="nil"/>
            </w:tcBorders>
            <w:noWrap w:val="0"/>
            <w:vAlign w:val="center"/>
          </w:tcPr>
          <w:p w14:paraId="2A0F2A4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0.1424</w:t>
            </w:r>
          </w:p>
        </w:tc>
      </w:tr>
      <w:tr w14:paraId="146F39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58B7AEA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510</w:t>
            </w:r>
          </w:p>
        </w:tc>
        <w:tc>
          <w:tcPr>
            <w:tcW w:w="1153" w:type="pct"/>
            <w:tcBorders>
              <w:tl2br w:val="nil"/>
              <w:tr2bl w:val="nil"/>
            </w:tcBorders>
            <w:noWrap w:val="0"/>
            <w:vAlign w:val="center"/>
          </w:tcPr>
          <w:p w14:paraId="7E390FA0">
            <w:pPr>
              <w:keepNext w:val="0"/>
              <w:keepLines w:val="0"/>
              <w:widowControl/>
              <w:suppressLineNumbers w:val="0"/>
              <w:autoSpaceDE/>
              <w:autoSpaceDN/>
              <w:adjustRightIn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19.9783</w:t>
            </w:r>
          </w:p>
        </w:tc>
        <w:tc>
          <w:tcPr>
            <w:tcW w:w="1153" w:type="pct"/>
            <w:tcBorders>
              <w:tl2br w:val="nil"/>
              <w:tr2bl w:val="nil"/>
            </w:tcBorders>
            <w:noWrap w:val="0"/>
            <w:vAlign w:val="center"/>
          </w:tcPr>
          <w:p w14:paraId="6CEA74E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0.9168</w:t>
            </w:r>
          </w:p>
        </w:tc>
        <w:tc>
          <w:tcPr>
            <w:tcW w:w="1156" w:type="pct"/>
            <w:tcBorders>
              <w:tl2br w:val="nil"/>
              <w:tr2bl w:val="nil"/>
            </w:tcBorders>
            <w:noWrap w:val="0"/>
            <w:vAlign w:val="center"/>
          </w:tcPr>
          <w:p w14:paraId="5CE0C68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0.1384</w:t>
            </w:r>
          </w:p>
        </w:tc>
      </w:tr>
      <w:tr w14:paraId="4352B0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2" w:hRule="atLeast"/>
        </w:trPr>
        <w:tc>
          <w:tcPr>
            <w:tcW w:w="1537" w:type="pct"/>
            <w:tcBorders>
              <w:tl2br w:val="nil"/>
              <w:tr2bl w:val="nil"/>
            </w:tcBorders>
            <w:noWrap w:val="0"/>
            <w:vAlign w:val="center"/>
          </w:tcPr>
          <w:p w14:paraId="5359B77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610</w:t>
            </w:r>
          </w:p>
        </w:tc>
        <w:tc>
          <w:tcPr>
            <w:tcW w:w="1153" w:type="pct"/>
            <w:tcBorders>
              <w:tl2br w:val="nil"/>
              <w:tr2bl w:val="nil"/>
            </w:tcBorders>
            <w:noWrap w:val="0"/>
            <w:vAlign w:val="center"/>
          </w:tcPr>
          <w:p w14:paraId="65B1F55C">
            <w:pPr>
              <w:keepNext w:val="0"/>
              <w:keepLines w:val="0"/>
              <w:widowControl/>
              <w:suppressLineNumbers w:val="0"/>
              <w:autoSpaceDE/>
              <w:autoSpaceDN/>
              <w:adjustRightIn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19.7752</w:t>
            </w:r>
          </w:p>
        </w:tc>
        <w:tc>
          <w:tcPr>
            <w:tcW w:w="1153" w:type="pct"/>
            <w:tcBorders>
              <w:tl2br w:val="nil"/>
              <w:tr2bl w:val="nil"/>
            </w:tcBorders>
            <w:noWrap w:val="0"/>
            <w:vAlign w:val="center"/>
          </w:tcPr>
          <w:p w14:paraId="3A1BDE2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0.8992</w:t>
            </w:r>
          </w:p>
        </w:tc>
        <w:tc>
          <w:tcPr>
            <w:tcW w:w="1156" w:type="pct"/>
            <w:tcBorders>
              <w:tl2br w:val="nil"/>
              <w:tr2bl w:val="nil"/>
            </w:tcBorders>
            <w:noWrap w:val="0"/>
            <w:vAlign w:val="center"/>
          </w:tcPr>
          <w:p w14:paraId="178C40F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0.1353</w:t>
            </w:r>
          </w:p>
        </w:tc>
      </w:tr>
      <w:tr w14:paraId="584D32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33E72F0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710</w:t>
            </w:r>
          </w:p>
        </w:tc>
        <w:tc>
          <w:tcPr>
            <w:tcW w:w="1153" w:type="pct"/>
            <w:tcBorders>
              <w:tl2br w:val="nil"/>
              <w:tr2bl w:val="nil"/>
            </w:tcBorders>
            <w:noWrap w:val="0"/>
            <w:vAlign w:val="center"/>
          </w:tcPr>
          <w:p w14:paraId="416B2ABA">
            <w:pPr>
              <w:keepNext w:val="0"/>
              <w:keepLines w:val="0"/>
              <w:widowControl/>
              <w:suppressLineNumbers w:val="0"/>
              <w:autoSpaceDE/>
              <w:autoSpaceDN/>
              <w:adjustRightIn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19.6059</w:t>
            </w:r>
          </w:p>
        </w:tc>
        <w:tc>
          <w:tcPr>
            <w:tcW w:w="1153" w:type="pct"/>
            <w:tcBorders>
              <w:tl2br w:val="nil"/>
              <w:tr2bl w:val="nil"/>
            </w:tcBorders>
            <w:noWrap w:val="0"/>
            <w:vAlign w:val="center"/>
          </w:tcPr>
          <w:p w14:paraId="18B2AE8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0.8847</w:t>
            </w:r>
          </w:p>
        </w:tc>
        <w:tc>
          <w:tcPr>
            <w:tcW w:w="1156" w:type="pct"/>
            <w:tcBorders>
              <w:tl2br w:val="nil"/>
              <w:tr2bl w:val="nil"/>
            </w:tcBorders>
            <w:noWrap w:val="0"/>
            <w:vAlign w:val="center"/>
          </w:tcPr>
          <w:p w14:paraId="38F2791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0.1328</w:t>
            </w:r>
          </w:p>
        </w:tc>
      </w:tr>
      <w:tr w14:paraId="537F7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2563581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810</w:t>
            </w:r>
          </w:p>
        </w:tc>
        <w:tc>
          <w:tcPr>
            <w:tcW w:w="1153" w:type="pct"/>
            <w:tcBorders>
              <w:tl2br w:val="nil"/>
              <w:tr2bl w:val="nil"/>
            </w:tcBorders>
            <w:noWrap w:val="0"/>
            <w:vAlign w:val="center"/>
          </w:tcPr>
          <w:p w14:paraId="644B7FD1">
            <w:pPr>
              <w:keepNext w:val="0"/>
              <w:keepLines w:val="0"/>
              <w:widowControl/>
              <w:suppressLineNumbers w:val="0"/>
              <w:autoSpaceDE/>
              <w:autoSpaceDN/>
              <w:adjustRightIn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19.4605</w:t>
            </w:r>
          </w:p>
        </w:tc>
        <w:tc>
          <w:tcPr>
            <w:tcW w:w="1153" w:type="pct"/>
            <w:tcBorders>
              <w:tl2br w:val="nil"/>
              <w:tr2bl w:val="nil"/>
            </w:tcBorders>
            <w:noWrap w:val="0"/>
            <w:vAlign w:val="center"/>
          </w:tcPr>
          <w:p w14:paraId="32FC8E3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0.8724</w:t>
            </w:r>
          </w:p>
        </w:tc>
        <w:tc>
          <w:tcPr>
            <w:tcW w:w="1156" w:type="pct"/>
            <w:tcBorders>
              <w:tl2br w:val="nil"/>
              <w:tr2bl w:val="nil"/>
            </w:tcBorders>
            <w:noWrap w:val="0"/>
            <w:vAlign w:val="center"/>
          </w:tcPr>
          <w:p w14:paraId="0B578F1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0.1306</w:t>
            </w:r>
          </w:p>
        </w:tc>
      </w:tr>
      <w:tr w14:paraId="4A696C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37" w:type="pct"/>
            <w:tcBorders>
              <w:tl2br w:val="nil"/>
              <w:tr2bl w:val="nil"/>
            </w:tcBorders>
            <w:noWrap w:val="0"/>
            <w:vAlign w:val="center"/>
          </w:tcPr>
          <w:p w14:paraId="42C396E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910</w:t>
            </w:r>
          </w:p>
        </w:tc>
        <w:tc>
          <w:tcPr>
            <w:tcW w:w="1153" w:type="pct"/>
            <w:tcBorders>
              <w:tl2br w:val="nil"/>
              <w:tr2bl w:val="nil"/>
            </w:tcBorders>
            <w:noWrap w:val="0"/>
            <w:vAlign w:val="center"/>
          </w:tcPr>
          <w:p w14:paraId="0776595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19.3331</w:t>
            </w:r>
          </w:p>
        </w:tc>
        <w:tc>
          <w:tcPr>
            <w:tcW w:w="1153" w:type="pct"/>
            <w:tcBorders>
              <w:tl2br w:val="nil"/>
              <w:tr2bl w:val="nil"/>
            </w:tcBorders>
            <w:noWrap w:val="0"/>
            <w:vAlign w:val="center"/>
          </w:tcPr>
          <w:p w14:paraId="65642C6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0.8616</w:t>
            </w:r>
          </w:p>
        </w:tc>
        <w:tc>
          <w:tcPr>
            <w:tcW w:w="1156" w:type="pct"/>
            <w:tcBorders>
              <w:tl2br w:val="nil"/>
              <w:tr2bl w:val="nil"/>
            </w:tcBorders>
            <w:noWrap w:val="0"/>
            <w:vAlign w:val="center"/>
          </w:tcPr>
          <w:p w14:paraId="680E21C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0.1287</w:t>
            </w:r>
          </w:p>
        </w:tc>
      </w:tr>
      <w:tr w14:paraId="7BD6D7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430187F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1010</w:t>
            </w:r>
          </w:p>
        </w:tc>
        <w:tc>
          <w:tcPr>
            <w:tcW w:w="1153" w:type="pct"/>
            <w:tcBorders>
              <w:tl2br w:val="nil"/>
              <w:tr2bl w:val="nil"/>
            </w:tcBorders>
            <w:noWrap w:val="0"/>
            <w:vAlign w:val="center"/>
          </w:tcPr>
          <w:p w14:paraId="62F19F2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19.2196</w:t>
            </w:r>
          </w:p>
        </w:tc>
        <w:tc>
          <w:tcPr>
            <w:tcW w:w="1153" w:type="pct"/>
            <w:tcBorders>
              <w:tl2br w:val="nil"/>
              <w:tr2bl w:val="nil"/>
            </w:tcBorders>
            <w:noWrap w:val="0"/>
            <w:vAlign w:val="center"/>
          </w:tcPr>
          <w:p w14:paraId="304C48B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0.8521</w:t>
            </w:r>
          </w:p>
        </w:tc>
        <w:tc>
          <w:tcPr>
            <w:tcW w:w="1156" w:type="pct"/>
            <w:tcBorders>
              <w:tl2br w:val="nil"/>
              <w:tr2bl w:val="nil"/>
            </w:tcBorders>
            <w:noWrap w:val="0"/>
            <w:vAlign w:val="center"/>
          </w:tcPr>
          <w:p w14:paraId="54B6F82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0.1270</w:t>
            </w:r>
          </w:p>
        </w:tc>
      </w:tr>
      <w:tr w14:paraId="7BF8C2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46E8767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1110</w:t>
            </w:r>
          </w:p>
        </w:tc>
        <w:tc>
          <w:tcPr>
            <w:tcW w:w="1153" w:type="pct"/>
            <w:tcBorders>
              <w:tl2br w:val="nil"/>
              <w:tr2bl w:val="nil"/>
            </w:tcBorders>
            <w:noWrap w:val="0"/>
            <w:vAlign w:val="center"/>
          </w:tcPr>
          <w:p w14:paraId="03D1CB4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19.1173</w:t>
            </w:r>
          </w:p>
        </w:tc>
        <w:tc>
          <w:tcPr>
            <w:tcW w:w="1153" w:type="pct"/>
            <w:tcBorders>
              <w:tl2br w:val="nil"/>
              <w:tr2bl w:val="nil"/>
            </w:tcBorders>
            <w:noWrap w:val="0"/>
            <w:vAlign w:val="center"/>
          </w:tcPr>
          <w:p w14:paraId="67AB452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0.8436</w:t>
            </w:r>
          </w:p>
        </w:tc>
        <w:tc>
          <w:tcPr>
            <w:tcW w:w="1156" w:type="pct"/>
            <w:tcBorders>
              <w:tl2br w:val="nil"/>
              <w:tr2bl w:val="nil"/>
            </w:tcBorders>
            <w:noWrap w:val="0"/>
            <w:vAlign w:val="center"/>
          </w:tcPr>
          <w:p w14:paraId="1B1EE60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0.1255</w:t>
            </w:r>
          </w:p>
        </w:tc>
      </w:tr>
      <w:tr w14:paraId="0051F2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504D508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1210</w:t>
            </w:r>
          </w:p>
        </w:tc>
        <w:tc>
          <w:tcPr>
            <w:tcW w:w="1153" w:type="pct"/>
            <w:tcBorders>
              <w:tl2br w:val="nil"/>
              <w:tr2bl w:val="nil"/>
            </w:tcBorders>
            <w:noWrap w:val="0"/>
            <w:vAlign w:val="center"/>
          </w:tcPr>
          <w:p w14:paraId="6DE7626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19.0242</w:t>
            </w:r>
          </w:p>
        </w:tc>
        <w:tc>
          <w:tcPr>
            <w:tcW w:w="1153" w:type="pct"/>
            <w:tcBorders>
              <w:tl2br w:val="nil"/>
              <w:tr2bl w:val="nil"/>
            </w:tcBorders>
            <w:noWrap w:val="0"/>
            <w:vAlign w:val="center"/>
          </w:tcPr>
          <w:p w14:paraId="39B1737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0.8360</w:t>
            </w:r>
          </w:p>
        </w:tc>
        <w:tc>
          <w:tcPr>
            <w:tcW w:w="1156" w:type="pct"/>
            <w:tcBorders>
              <w:tl2br w:val="nil"/>
              <w:tr2bl w:val="nil"/>
            </w:tcBorders>
            <w:noWrap w:val="0"/>
            <w:vAlign w:val="center"/>
          </w:tcPr>
          <w:p w14:paraId="5B1DAF9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0.1242</w:t>
            </w:r>
          </w:p>
        </w:tc>
      </w:tr>
      <w:tr w14:paraId="01A967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0C4D207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1310</w:t>
            </w:r>
          </w:p>
        </w:tc>
        <w:tc>
          <w:tcPr>
            <w:tcW w:w="1153" w:type="pct"/>
            <w:tcBorders>
              <w:tl2br w:val="nil"/>
              <w:tr2bl w:val="nil"/>
            </w:tcBorders>
            <w:noWrap w:val="0"/>
            <w:vAlign w:val="center"/>
          </w:tcPr>
          <w:p w14:paraId="51C8D91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18.9387</w:t>
            </w:r>
          </w:p>
        </w:tc>
        <w:tc>
          <w:tcPr>
            <w:tcW w:w="1153" w:type="pct"/>
            <w:tcBorders>
              <w:tl2br w:val="nil"/>
              <w:tr2bl w:val="nil"/>
            </w:tcBorders>
            <w:noWrap w:val="0"/>
            <w:vAlign w:val="center"/>
          </w:tcPr>
          <w:p w14:paraId="0767B8B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0.8290</w:t>
            </w:r>
          </w:p>
        </w:tc>
        <w:tc>
          <w:tcPr>
            <w:tcW w:w="1156" w:type="pct"/>
            <w:tcBorders>
              <w:tl2br w:val="nil"/>
              <w:tr2bl w:val="nil"/>
            </w:tcBorders>
            <w:noWrap w:val="0"/>
            <w:vAlign w:val="center"/>
          </w:tcPr>
          <w:p w14:paraId="71B1266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0.1230</w:t>
            </w:r>
          </w:p>
        </w:tc>
      </w:tr>
      <w:tr w14:paraId="55440B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4435519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1410</w:t>
            </w:r>
          </w:p>
        </w:tc>
        <w:tc>
          <w:tcPr>
            <w:tcW w:w="1153" w:type="pct"/>
            <w:tcBorders>
              <w:tl2br w:val="nil"/>
              <w:tr2bl w:val="nil"/>
            </w:tcBorders>
            <w:noWrap w:val="0"/>
            <w:vAlign w:val="center"/>
          </w:tcPr>
          <w:p w14:paraId="27C21B0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18.</w:t>
            </w:r>
            <w:r>
              <w:rPr>
                <w:rFonts w:hint="eastAsia" w:cs="Times New Roman"/>
                <w:color w:val="000000" w:themeColor="text1"/>
                <w:kern w:val="2"/>
                <w:sz w:val="21"/>
                <w:szCs w:val="21"/>
                <w:u w:val="wave" w:color="auto"/>
                <w:lang w:val="en-US" w:eastAsia="zh-CN"/>
                <w14:textFill>
                  <w14:solidFill>
                    <w14:schemeClr w14:val="tx1"/>
                  </w14:solidFill>
                </w14:textFill>
              </w:rPr>
              <w:t>8597</w:t>
            </w:r>
          </w:p>
        </w:tc>
        <w:tc>
          <w:tcPr>
            <w:tcW w:w="1153" w:type="pct"/>
            <w:tcBorders>
              <w:tl2br w:val="nil"/>
              <w:tr2bl w:val="nil"/>
            </w:tcBorders>
            <w:noWrap w:val="0"/>
            <w:vAlign w:val="center"/>
          </w:tcPr>
          <w:p w14:paraId="1FD4887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0.8226</w:t>
            </w:r>
          </w:p>
        </w:tc>
        <w:tc>
          <w:tcPr>
            <w:tcW w:w="1156" w:type="pct"/>
            <w:tcBorders>
              <w:tl2br w:val="nil"/>
              <w:tr2bl w:val="nil"/>
            </w:tcBorders>
            <w:noWrap w:val="0"/>
            <w:vAlign w:val="center"/>
          </w:tcPr>
          <w:p w14:paraId="1FF4ED8F">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0.1219</w:t>
            </w:r>
          </w:p>
        </w:tc>
      </w:tr>
      <w:tr w14:paraId="1FC9B1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502624A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1510</w:t>
            </w:r>
          </w:p>
        </w:tc>
        <w:tc>
          <w:tcPr>
            <w:tcW w:w="1153" w:type="pct"/>
            <w:tcBorders>
              <w:tl2br w:val="nil"/>
              <w:tr2bl w:val="nil"/>
            </w:tcBorders>
            <w:noWrap w:val="0"/>
            <w:vAlign w:val="center"/>
          </w:tcPr>
          <w:p w14:paraId="6D06D7D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18.</w:t>
            </w:r>
            <w:r>
              <w:rPr>
                <w:rFonts w:hint="eastAsia" w:cs="Times New Roman"/>
                <w:color w:val="000000" w:themeColor="text1"/>
                <w:kern w:val="2"/>
                <w:sz w:val="21"/>
                <w:szCs w:val="21"/>
                <w:u w:val="wave" w:color="auto"/>
                <w:lang w:val="en-US" w:eastAsia="zh-CN"/>
                <w14:textFill>
                  <w14:solidFill>
                    <w14:schemeClr w14:val="tx1"/>
                  </w14:solidFill>
                </w14:textFill>
              </w:rPr>
              <w:t>7863</w:t>
            </w:r>
          </w:p>
        </w:tc>
        <w:tc>
          <w:tcPr>
            <w:tcW w:w="1153" w:type="pct"/>
            <w:tcBorders>
              <w:tl2br w:val="nil"/>
              <w:tr2bl w:val="nil"/>
            </w:tcBorders>
            <w:noWrap w:val="0"/>
            <w:vAlign w:val="center"/>
          </w:tcPr>
          <w:p w14:paraId="44B9039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0.8167</w:t>
            </w:r>
          </w:p>
        </w:tc>
        <w:tc>
          <w:tcPr>
            <w:tcW w:w="1156" w:type="pct"/>
            <w:tcBorders>
              <w:tl2br w:val="nil"/>
              <w:tr2bl w:val="nil"/>
            </w:tcBorders>
            <w:noWrap w:val="0"/>
            <w:vAlign w:val="center"/>
          </w:tcPr>
          <w:p w14:paraId="1B6F2EB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0.1208</w:t>
            </w:r>
          </w:p>
        </w:tc>
      </w:tr>
      <w:tr w14:paraId="3BBE3C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2CD5751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1610</w:t>
            </w:r>
          </w:p>
        </w:tc>
        <w:tc>
          <w:tcPr>
            <w:tcW w:w="1153" w:type="pct"/>
            <w:tcBorders>
              <w:tl2br w:val="nil"/>
              <w:tr2bl w:val="nil"/>
            </w:tcBorders>
            <w:noWrap w:val="0"/>
            <w:vAlign w:val="center"/>
          </w:tcPr>
          <w:p w14:paraId="680402D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18.</w:t>
            </w:r>
            <w:r>
              <w:rPr>
                <w:rFonts w:hint="eastAsia" w:cs="Times New Roman"/>
                <w:color w:val="000000" w:themeColor="text1"/>
                <w:kern w:val="2"/>
                <w:sz w:val="21"/>
                <w:szCs w:val="21"/>
                <w:u w:val="wave" w:color="auto"/>
                <w:lang w:val="en-US" w:eastAsia="zh-CN"/>
                <w14:textFill>
                  <w14:solidFill>
                    <w14:schemeClr w14:val="tx1"/>
                  </w14:solidFill>
                </w14:textFill>
              </w:rPr>
              <w:t>7175</w:t>
            </w:r>
          </w:p>
        </w:tc>
        <w:tc>
          <w:tcPr>
            <w:tcW w:w="1153" w:type="pct"/>
            <w:tcBorders>
              <w:tl2br w:val="nil"/>
              <w:tr2bl w:val="nil"/>
            </w:tcBorders>
            <w:noWrap w:val="0"/>
            <w:vAlign w:val="center"/>
          </w:tcPr>
          <w:p w14:paraId="14C9C23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0.8113</w:t>
            </w:r>
          </w:p>
        </w:tc>
        <w:tc>
          <w:tcPr>
            <w:tcW w:w="1156" w:type="pct"/>
            <w:tcBorders>
              <w:tl2br w:val="nil"/>
              <w:tr2bl w:val="nil"/>
            </w:tcBorders>
            <w:noWrap w:val="0"/>
            <w:vAlign w:val="center"/>
          </w:tcPr>
          <w:p w14:paraId="0058155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0.1199</w:t>
            </w:r>
          </w:p>
        </w:tc>
      </w:tr>
      <w:tr w14:paraId="3D2A51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7" w:type="pct"/>
            <w:tcBorders>
              <w:tl2br w:val="nil"/>
              <w:tr2bl w:val="nil"/>
            </w:tcBorders>
            <w:noWrap w:val="0"/>
            <w:vAlign w:val="center"/>
          </w:tcPr>
          <w:p w14:paraId="0CDB867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1710</w:t>
            </w:r>
          </w:p>
        </w:tc>
        <w:tc>
          <w:tcPr>
            <w:tcW w:w="1153" w:type="pct"/>
            <w:tcBorders>
              <w:tl2br w:val="nil"/>
              <w:tr2bl w:val="nil"/>
            </w:tcBorders>
            <w:noWrap w:val="0"/>
            <w:vAlign w:val="center"/>
          </w:tcPr>
          <w:p w14:paraId="6FF5DAC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18.</w:t>
            </w:r>
            <w:r>
              <w:rPr>
                <w:rFonts w:hint="eastAsia" w:cs="Times New Roman"/>
                <w:color w:val="000000" w:themeColor="text1"/>
                <w:kern w:val="2"/>
                <w:sz w:val="21"/>
                <w:szCs w:val="21"/>
                <w:u w:val="wave" w:color="auto"/>
                <w:lang w:val="en-US" w:eastAsia="zh-CN"/>
                <w14:textFill>
                  <w14:solidFill>
                    <w14:schemeClr w14:val="tx1"/>
                  </w14:solidFill>
                </w14:textFill>
              </w:rPr>
              <w:t>6530</w:t>
            </w:r>
          </w:p>
        </w:tc>
        <w:tc>
          <w:tcPr>
            <w:tcW w:w="1153" w:type="pct"/>
            <w:tcBorders>
              <w:tl2br w:val="nil"/>
              <w:tr2bl w:val="nil"/>
            </w:tcBorders>
            <w:noWrap w:val="0"/>
            <w:vAlign w:val="center"/>
          </w:tcPr>
          <w:p w14:paraId="67575D8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0.8062</w:t>
            </w:r>
          </w:p>
        </w:tc>
        <w:tc>
          <w:tcPr>
            <w:tcW w:w="1156" w:type="pct"/>
            <w:tcBorders>
              <w:tl2br w:val="nil"/>
              <w:tr2bl w:val="nil"/>
            </w:tcBorders>
            <w:noWrap w:val="0"/>
            <w:vAlign w:val="center"/>
          </w:tcPr>
          <w:p w14:paraId="435675E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0.1190</w:t>
            </w:r>
          </w:p>
        </w:tc>
      </w:tr>
      <w:tr w14:paraId="214493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1537" w:type="pct"/>
            <w:tcBorders>
              <w:tl2br w:val="nil"/>
              <w:tr2bl w:val="nil"/>
            </w:tcBorders>
            <w:noWrap w:val="0"/>
            <w:vAlign w:val="center"/>
          </w:tcPr>
          <w:p w14:paraId="04A31CF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1810</w:t>
            </w:r>
          </w:p>
        </w:tc>
        <w:tc>
          <w:tcPr>
            <w:tcW w:w="1153" w:type="pct"/>
            <w:tcBorders>
              <w:tl2br w:val="nil"/>
              <w:tr2bl w:val="nil"/>
            </w:tcBorders>
            <w:noWrap w:val="0"/>
            <w:vAlign w:val="center"/>
          </w:tcPr>
          <w:p w14:paraId="1E7B234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18.</w:t>
            </w:r>
            <w:r>
              <w:rPr>
                <w:rFonts w:hint="eastAsia" w:cs="Times New Roman"/>
                <w:color w:val="000000" w:themeColor="text1"/>
                <w:kern w:val="2"/>
                <w:sz w:val="21"/>
                <w:szCs w:val="21"/>
                <w:u w:val="wave" w:color="auto"/>
                <w:lang w:val="en-US" w:eastAsia="zh-CN"/>
                <w14:textFill>
                  <w14:solidFill>
                    <w14:schemeClr w14:val="tx1"/>
                  </w14:solidFill>
                </w14:textFill>
              </w:rPr>
              <w:t>5921</w:t>
            </w:r>
          </w:p>
        </w:tc>
        <w:tc>
          <w:tcPr>
            <w:tcW w:w="1153" w:type="pct"/>
            <w:tcBorders>
              <w:tl2br w:val="nil"/>
              <w:tr2bl w:val="nil"/>
            </w:tcBorders>
            <w:noWrap w:val="0"/>
            <w:vAlign w:val="center"/>
          </w:tcPr>
          <w:p w14:paraId="0A11E48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0.8014</w:t>
            </w:r>
          </w:p>
        </w:tc>
        <w:tc>
          <w:tcPr>
            <w:tcW w:w="1156" w:type="pct"/>
            <w:tcBorders>
              <w:tl2br w:val="nil"/>
              <w:tr2bl w:val="nil"/>
            </w:tcBorders>
            <w:noWrap w:val="0"/>
            <w:vAlign w:val="center"/>
          </w:tcPr>
          <w:p w14:paraId="1FA32D3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0.1182</w:t>
            </w:r>
          </w:p>
        </w:tc>
      </w:tr>
      <w:tr w14:paraId="7701B3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46AE7D4D">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1910</w:t>
            </w:r>
          </w:p>
        </w:tc>
        <w:tc>
          <w:tcPr>
            <w:tcW w:w="1153" w:type="pct"/>
            <w:tcBorders>
              <w:tl2br w:val="nil"/>
              <w:tr2bl w:val="nil"/>
            </w:tcBorders>
            <w:noWrap w:val="0"/>
            <w:vAlign w:val="center"/>
          </w:tcPr>
          <w:p w14:paraId="18034F4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18.</w:t>
            </w:r>
            <w:r>
              <w:rPr>
                <w:rFonts w:hint="eastAsia" w:cs="Times New Roman"/>
                <w:color w:val="000000" w:themeColor="text1"/>
                <w:kern w:val="2"/>
                <w:sz w:val="21"/>
                <w:szCs w:val="21"/>
                <w:u w:val="wave" w:color="auto"/>
                <w:lang w:val="en-US" w:eastAsia="zh-CN"/>
                <w14:textFill>
                  <w14:solidFill>
                    <w14:schemeClr w14:val="tx1"/>
                  </w14:solidFill>
                </w14:textFill>
              </w:rPr>
              <w:t>5344</w:t>
            </w:r>
          </w:p>
        </w:tc>
        <w:tc>
          <w:tcPr>
            <w:tcW w:w="1153" w:type="pct"/>
            <w:tcBorders>
              <w:tl2br w:val="nil"/>
              <w:tr2bl w:val="nil"/>
            </w:tcBorders>
            <w:noWrap w:val="0"/>
            <w:vAlign w:val="center"/>
          </w:tcPr>
          <w:p w14:paraId="4F05E09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0.7970</w:t>
            </w:r>
          </w:p>
        </w:tc>
        <w:tc>
          <w:tcPr>
            <w:tcW w:w="1156" w:type="pct"/>
            <w:tcBorders>
              <w:tl2br w:val="nil"/>
              <w:tr2bl w:val="nil"/>
            </w:tcBorders>
            <w:noWrap w:val="0"/>
            <w:vAlign w:val="center"/>
          </w:tcPr>
          <w:p w14:paraId="6ECC4E70">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0.1174</w:t>
            </w:r>
          </w:p>
        </w:tc>
      </w:tr>
      <w:tr w14:paraId="5162E2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3949772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2010</w:t>
            </w:r>
          </w:p>
        </w:tc>
        <w:tc>
          <w:tcPr>
            <w:tcW w:w="1153" w:type="pct"/>
            <w:tcBorders>
              <w:tl2br w:val="nil"/>
              <w:tr2bl w:val="nil"/>
            </w:tcBorders>
            <w:noWrap w:val="0"/>
            <w:vAlign w:val="center"/>
          </w:tcPr>
          <w:p w14:paraId="3C627DC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18.</w:t>
            </w:r>
            <w:r>
              <w:rPr>
                <w:rFonts w:hint="eastAsia" w:cs="Times New Roman"/>
                <w:color w:val="000000" w:themeColor="text1"/>
                <w:kern w:val="2"/>
                <w:sz w:val="21"/>
                <w:szCs w:val="21"/>
                <w:u w:val="wave" w:color="auto"/>
                <w:lang w:val="en-US" w:eastAsia="zh-CN"/>
                <w14:textFill>
                  <w14:solidFill>
                    <w14:schemeClr w14:val="tx1"/>
                  </w14:solidFill>
                </w14:textFill>
              </w:rPr>
              <w:t>4796</w:t>
            </w:r>
          </w:p>
        </w:tc>
        <w:tc>
          <w:tcPr>
            <w:tcW w:w="1153" w:type="pct"/>
            <w:tcBorders>
              <w:tl2br w:val="nil"/>
              <w:tr2bl w:val="nil"/>
            </w:tcBorders>
            <w:noWrap w:val="0"/>
            <w:vAlign w:val="center"/>
          </w:tcPr>
          <w:p w14:paraId="42CAF2D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0.7928</w:t>
            </w:r>
          </w:p>
        </w:tc>
        <w:tc>
          <w:tcPr>
            <w:tcW w:w="1156" w:type="pct"/>
            <w:tcBorders>
              <w:tl2br w:val="nil"/>
              <w:tr2bl w:val="nil"/>
            </w:tcBorders>
            <w:noWrap w:val="0"/>
            <w:vAlign w:val="center"/>
          </w:tcPr>
          <w:p w14:paraId="423749C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0.1167</w:t>
            </w:r>
          </w:p>
        </w:tc>
      </w:tr>
      <w:tr w14:paraId="56977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698D203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2110</w:t>
            </w:r>
          </w:p>
        </w:tc>
        <w:tc>
          <w:tcPr>
            <w:tcW w:w="1153" w:type="pct"/>
            <w:tcBorders>
              <w:tl2br w:val="nil"/>
              <w:tr2bl w:val="nil"/>
            </w:tcBorders>
            <w:noWrap w:val="0"/>
            <w:vAlign w:val="center"/>
          </w:tcPr>
          <w:p w14:paraId="21A282A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zh-CN" w:eastAsia="zh-CN"/>
                <w14:textFill>
                  <w14:solidFill>
                    <w14:schemeClr w14:val="tx1"/>
                  </w14:solidFill>
                </w14:textFill>
              </w:rPr>
              <w:t>18.</w:t>
            </w:r>
            <w:r>
              <w:rPr>
                <w:rFonts w:hint="eastAsia" w:cs="Times New Roman"/>
                <w:color w:val="000000" w:themeColor="text1"/>
                <w:kern w:val="2"/>
                <w:sz w:val="21"/>
                <w:szCs w:val="21"/>
                <w:u w:val="wave" w:color="auto"/>
                <w:lang w:val="en-US" w:eastAsia="zh-CN"/>
                <w14:textFill>
                  <w14:solidFill>
                    <w14:schemeClr w14:val="tx1"/>
                  </w14:solidFill>
                </w14:textFill>
              </w:rPr>
              <w:t>4274</w:t>
            </w:r>
          </w:p>
        </w:tc>
        <w:tc>
          <w:tcPr>
            <w:tcW w:w="1153" w:type="pct"/>
            <w:tcBorders>
              <w:tl2br w:val="nil"/>
              <w:tr2bl w:val="nil"/>
            </w:tcBorders>
            <w:noWrap w:val="0"/>
            <w:vAlign w:val="center"/>
          </w:tcPr>
          <w:p w14:paraId="38CA2D8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0.7888</w:t>
            </w:r>
          </w:p>
        </w:tc>
        <w:tc>
          <w:tcPr>
            <w:tcW w:w="1156" w:type="pct"/>
            <w:tcBorders>
              <w:tl2br w:val="nil"/>
              <w:tr2bl w:val="nil"/>
            </w:tcBorders>
            <w:noWrap w:val="0"/>
            <w:vAlign w:val="center"/>
          </w:tcPr>
          <w:p w14:paraId="57F6E5E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0.1160</w:t>
            </w:r>
          </w:p>
        </w:tc>
      </w:tr>
      <w:tr w14:paraId="7D15A3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4EA0C14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2210</w:t>
            </w:r>
          </w:p>
        </w:tc>
        <w:tc>
          <w:tcPr>
            <w:tcW w:w="1153" w:type="pct"/>
            <w:tcBorders>
              <w:tl2br w:val="nil"/>
              <w:tr2bl w:val="nil"/>
            </w:tcBorders>
            <w:noWrap w:val="0"/>
            <w:vAlign w:val="center"/>
          </w:tcPr>
          <w:p w14:paraId="7C19353B">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18.3775</w:t>
            </w:r>
          </w:p>
        </w:tc>
        <w:tc>
          <w:tcPr>
            <w:tcW w:w="1153" w:type="pct"/>
            <w:tcBorders>
              <w:tl2br w:val="nil"/>
              <w:tr2bl w:val="nil"/>
            </w:tcBorders>
            <w:noWrap w:val="0"/>
            <w:vAlign w:val="center"/>
          </w:tcPr>
          <w:p w14:paraId="5687B84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0.7850</w:t>
            </w:r>
          </w:p>
        </w:tc>
        <w:tc>
          <w:tcPr>
            <w:tcW w:w="1156" w:type="pct"/>
            <w:tcBorders>
              <w:tl2br w:val="nil"/>
              <w:tr2bl w:val="nil"/>
            </w:tcBorders>
            <w:noWrap w:val="0"/>
            <w:vAlign w:val="center"/>
          </w:tcPr>
          <w:p w14:paraId="489FA9AD">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0.1153</w:t>
            </w:r>
          </w:p>
        </w:tc>
      </w:tr>
      <w:tr w14:paraId="64E768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2489B3C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2310</w:t>
            </w:r>
          </w:p>
        </w:tc>
        <w:tc>
          <w:tcPr>
            <w:tcW w:w="1153" w:type="pct"/>
            <w:tcBorders>
              <w:tl2br w:val="nil"/>
              <w:tr2bl w:val="nil"/>
            </w:tcBorders>
            <w:noWrap w:val="0"/>
            <w:vAlign w:val="center"/>
          </w:tcPr>
          <w:p w14:paraId="2731424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18.3296</w:t>
            </w:r>
          </w:p>
        </w:tc>
        <w:tc>
          <w:tcPr>
            <w:tcW w:w="1153" w:type="pct"/>
            <w:tcBorders>
              <w:tl2br w:val="nil"/>
              <w:tr2bl w:val="nil"/>
            </w:tcBorders>
            <w:noWrap w:val="0"/>
            <w:vAlign w:val="center"/>
          </w:tcPr>
          <w:p w14:paraId="6E3D897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0.7814</w:t>
            </w:r>
          </w:p>
        </w:tc>
        <w:tc>
          <w:tcPr>
            <w:tcW w:w="1156" w:type="pct"/>
            <w:tcBorders>
              <w:tl2br w:val="nil"/>
              <w:tr2bl w:val="nil"/>
            </w:tcBorders>
            <w:noWrap w:val="0"/>
            <w:vAlign w:val="center"/>
          </w:tcPr>
          <w:p w14:paraId="5A23FB6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0.1147</w:t>
            </w:r>
          </w:p>
        </w:tc>
      </w:tr>
      <w:tr w14:paraId="24BD60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014B3115">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2410</w:t>
            </w:r>
          </w:p>
        </w:tc>
        <w:tc>
          <w:tcPr>
            <w:tcW w:w="1153" w:type="pct"/>
            <w:tcBorders>
              <w:tl2br w:val="nil"/>
              <w:tr2bl w:val="nil"/>
            </w:tcBorders>
            <w:noWrap w:val="0"/>
            <w:vAlign w:val="center"/>
          </w:tcPr>
          <w:p w14:paraId="480F94C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18.2838</w:t>
            </w:r>
          </w:p>
        </w:tc>
        <w:tc>
          <w:tcPr>
            <w:tcW w:w="1153" w:type="pct"/>
            <w:tcBorders>
              <w:tl2br w:val="nil"/>
              <w:tr2bl w:val="nil"/>
            </w:tcBorders>
            <w:noWrap w:val="0"/>
            <w:vAlign w:val="center"/>
          </w:tcPr>
          <w:p w14:paraId="27C5F9AD">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0.7780</w:t>
            </w:r>
          </w:p>
        </w:tc>
        <w:tc>
          <w:tcPr>
            <w:tcW w:w="1156" w:type="pct"/>
            <w:tcBorders>
              <w:tl2br w:val="nil"/>
              <w:tr2bl w:val="nil"/>
            </w:tcBorders>
            <w:noWrap w:val="0"/>
            <w:vAlign w:val="center"/>
          </w:tcPr>
          <w:p w14:paraId="6FD2FA4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0.1141</w:t>
            </w:r>
          </w:p>
        </w:tc>
      </w:tr>
      <w:tr w14:paraId="2BE49E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18BDB53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2510</w:t>
            </w:r>
          </w:p>
        </w:tc>
        <w:tc>
          <w:tcPr>
            <w:tcW w:w="1153" w:type="pct"/>
            <w:tcBorders>
              <w:tl2br w:val="nil"/>
              <w:tr2bl w:val="nil"/>
            </w:tcBorders>
            <w:noWrap w:val="0"/>
            <w:vAlign w:val="center"/>
          </w:tcPr>
          <w:p w14:paraId="539EBB92">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18.2396</w:t>
            </w:r>
          </w:p>
        </w:tc>
        <w:tc>
          <w:tcPr>
            <w:tcW w:w="1153" w:type="pct"/>
            <w:tcBorders>
              <w:tl2br w:val="nil"/>
              <w:tr2bl w:val="nil"/>
            </w:tcBorders>
            <w:noWrap w:val="0"/>
            <w:vAlign w:val="center"/>
          </w:tcPr>
          <w:p w14:paraId="4F573C63">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0.7747</w:t>
            </w:r>
          </w:p>
        </w:tc>
        <w:tc>
          <w:tcPr>
            <w:tcW w:w="1156" w:type="pct"/>
            <w:tcBorders>
              <w:tl2br w:val="nil"/>
              <w:tr2bl w:val="nil"/>
            </w:tcBorders>
            <w:noWrap w:val="0"/>
            <w:vAlign w:val="center"/>
          </w:tcPr>
          <w:p w14:paraId="604CF0B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0.1136</w:t>
            </w:r>
          </w:p>
        </w:tc>
      </w:tr>
      <w:tr w14:paraId="6D0494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2A4A26C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2610</w:t>
            </w:r>
          </w:p>
        </w:tc>
        <w:tc>
          <w:tcPr>
            <w:tcW w:w="1153" w:type="pct"/>
            <w:tcBorders>
              <w:tl2br w:val="nil"/>
              <w:tr2bl w:val="nil"/>
            </w:tcBorders>
            <w:noWrap w:val="0"/>
            <w:vAlign w:val="center"/>
          </w:tcPr>
          <w:p w14:paraId="33EDAFD8">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18.1970</w:t>
            </w:r>
          </w:p>
        </w:tc>
        <w:tc>
          <w:tcPr>
            <w:tcW w:w="1153" w:type="pct"/>
            <w:tcBorders>
              <w:tl2br w:val="nil"/>
              <w:tr2bl w:val="nil"/>
            </w:tcBorders>
            <w:noWrap w:val="0"/>
            <w:vAlign w:val="center"/>
          </w:tcPr>
          <w:p w14:paraId="6672473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0.7716</w:t>
            </w:r>
          </w:p>
        </w:tc>
        <w:tc>
          <w:tcPr>
            <w:tcW w:w="1156" w:type="pct"/>
            <w:tcBorders>
              <w:tl2br w:val="nil"/>
              <w:tr2bl w:val="nil"/>
            </w:tcBorders>
            <w:noWrap w:val="0"/>
            <w:vAlign w:val="center"/>
          </w:tcPr>
          <w:p w14:paraId="3F2C600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0.1130</w:t>
            </w:r>
          </w:p>
        </w:tc>
      </w:tr>
      <w:tr w14:paraId="0A7043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5B1F79A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2710</w:t>
            </w:r>
          </w:p>
        </w:tc>
        <w:tc>
          <w:tcPr>
            <w:tcW w:w="1153" w:type="pct"/>
            <w:tcBorders>
              <w:tl2br w:val="nil"/>
              <w:tr2bl w:val="nil"/>
            </w:tcBorders>
            <w:noWrap w:val="0"/>
            <w:vAlign w:val="center"/>
          </w:tcPr>
          <w:p w14:paraId="2B85CEB1">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18.1558</w:t>
            </w:r>
          </w:p>
        </w:tc>
        <w:tc>
          <w:tcPr>
            <w:tcW w:w="1153" w:type="pct"/>
            <w:tcBorders>
              <w:tl2br w:val="nil"/>
              <w:tr2bl w:val="nil"/>
            </w:tcBorders>
            <w:noWrap w:val="0"/>
            <w:vAlign w:val="center"/>
          </w:tcPr>
          <w:p w14:paraId="30CC089D">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0.7686</w:t>
            </w:r>
          </w:p>
        </w:tc>
        <w:tc>
          <w:tcPr>
            <w:tcW w:w="1156" w:type="pct"/>
            <w:tcBorders>
              <w:tl2br w:val="nil"/>
              <w:tr2bl w:val="nil"/>
            </w:tcBorders>
            <w:noWrap w:val="0"/>
            <w:vAlign w:val="center"/>
          </w:tcPr>
          <w:p w14:paraId="4B7BEB6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0.1125</w:t>
            </w:r>
          </w:p>
        </w:tc>
      </w:tr>
      <w:tr w14:paraId="638C34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58830704">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2810</w:t>
            </w:r>
          </w:p>
        </w:tc>
        <w:tc>
          <w:tcPr>
            <w:tcW w:w="1153" w:type="pct"/>
            <w:tcBorders>
              <w:tl2br w:val="nil"/>
              <w:tr2bl w:val="nil"/>
            </w:tcBorders>
            <w:noWrap w:val="0"/>
            <w:vAlign w:val="center"/>
          </w:tcPr>
          <w:p w14:paraId="4133B65C">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18.1160</w:t>
            </w:r>
          </w:p>
        </w:tc>
        <w:tc>
          <w:tcPr>
            <w:tcW w:w="1153" w:type="pct"/>
            <w:tcBorders>
              <w:tl2br w:val="nil"/>
              <w:tr2bl w:val="nil"/>
            </w:tcBorders>
            <w:noWrap w:val="0"/>
            <w:vAlign w:val="center"/>
          </w:tcPr>
          <w:p w14:paraId="3EA747AE">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0.7658</w:t>
            </w:r>
          </w:p>
        </w:tc>
        <w:tc>
          <w:tcPr>
            <w:tcW w:w="1156" w:type="pct"/>
            <w:tcBorders>
              <w:tl2br w:val="nil"/>
              <w:tr2bl w:val="nil"/>
            </w:tcBorders>
            <w:noWrap w:val="0"/>
            <w:vAlign w:val="center"/>
          </w:tcPr>
          <w:p w14:paraId="637A02D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0.1120</w:t>
            </w:r>
          </w:p>
        </w:tc>
      </w:tr>
      <w:tr w14:paraId="6F526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7" w:type="pct"/>
            <w:tcBorders>
              <w:tl2br w:val="nil"/>
              <w:tr2bl w:val="nil"/>
            </w:tcBorders>
            <w:noWrap w:val="0"/>
            <w:vAlign w:val="center"/>
          </w:tcPr>
          <w:p w14:paraId="01E600B9">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2910</w:t>
            </w:r>
          </w:p>
        </w:tc>
        <w:tc>
          <w:tcPr>
            <w:tcW w:w="1153" w:type="pct"/>
            <w:tcBorders>
              <w:tl2br w:val="nil"/>
              <w:tr2bl w:val="nil"/>
            </w:tcBorders>
            <w:noWrap w:val="0"/>
            <w:vAlign w:val="center"/>
          </w:tcPr>
          <w:p w14:paraId="28A75B17">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18.0774</w:t>
            </w:r>
          </w:p>
        </w:tc>
        <w:tc>
          <w:tcPr>
            <w:tcW w:w="1153" w:type="pct"/>
            <w:tcBorders>
              <w:tl2br w:val="nil"/>
              <w:tr2bl w:val="nil"/>
            </w:tcBorders>
            <w:noWrap w:val="0"/>
            <w:vAlign w:val="center"/>
          </w:tcPr>
          <w:p w14:paraId="55B7E4AA">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0.7630</w:t>
            </w:r>
          </w:p>
        </w:tc>
        <w:tc>
          <w:tcPr>
            <w:tcW w:w="1156" w:type="pct"/>
            <w:tcBorders>
              <w:tl2br w:val="nil"/>
              <w:tr2bl w:val="nil"/>
            </w:tcBorders>
            <w:noWrap w:val="0"/>
            <w:vAlign w:val="center"/>
          </w:tcPr>
          <w:p w14:paraId="5A714366">
            <w:pPr>
              <w:keepNext w:val="0"/>
              <w:keepLines w:val="0"/>
              <w:widowControl/>
              <w:suppressLineNumbers w:val="0"/>
              <w:autoSpaceDE/>
              <w:autoSpaceDN/>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0.1116</w:t>
            </w:r>
          </w:p>
        </w:tc>
      </w:tr>
    </w:tbl>
    <w:p w14:paraId="147035D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color="auto"/>
          <w14:textFill>
            <w14:solidFill>
              <w14:schemeClr w14:val="tx1"/>
            </w14:solidFill>
          </w14:textFill>
        </w:rPr>
      </w:pPr>
      <w:bookmarkStart w:id="336" w:name="_Toc20172"/>
      <w:bookmarkStart w:id="337" w:name="_Toc18792"/>
      <w:bookmarkStart w:id="338" w:name="_Toc9844"/>
      <w:bookmarkStart w:id="339" w:name="_Toc2802"/>
      <w:bookmarkStart w:id="340" w:name="_Toc17124"/>
      <w:bookmarkStart w:id="341" w:name="_Toc16784"/>
      <w:bookmarkStart w:id="342" w:name="_Toc2066"/>
      <w:r>
        <w:rPr>
          <w:rFonts w:hint="default" w:ascii="Times New Roman" w:hAnsi="Times New Roman" w:eastAsia="宋体" w:cs="Times New Roman"/>
          <w:b/>
          <w:bCs/>
          <w:color w:val="000000" w:themeColor="text1"/>
          <w:kern w:val="0"/>
          <w:sz w:val="24"/>
          <w:szCs w:val="24"/>
          <w:u w:val="wave" w:color="auto"/>
          <w:lang w:val="en-US" w:eastAsia="zh-CN" w:bidi="ar"/>
          <w14:textFill>
            <w14:solidFill>
              <w14:schemeClr w14:val="tx1"/>
            </w14:solidFill>
          </w14:textFill>
        </w:rPr>
        <w:t xml:space="preserve">预测结论： </w:t>
      </w:r>
    </w:p>
    <w:p w14:paraId="6B5B40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由预测结果表明，正常排污工况下，</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大通湖工业园污水处理厂提质改造建设项目</w:t>
      </w:r>
      <w:r>
        <w:rPr>
          <w:rFonts w:hint="eastAsia" w:cs="Times New Roman"/>
          <w:color w:val="000000" w:themeColor="text1"/>
          <w:kern w:val="2"/>
          <w:sz w:val="24"/>
          <w:szCs w:val="20"/>
          <w:u w:val="wave" w:color="auto"/>
          <w:lang w:val="en-US" w:eastAsia="zh-CN" w:bidi="ar-SA"/>
          <w14:textFill>
            <w14:solidFill>
              <w14:schemeClr w14:val="tx1"/>
            </w14:solidFill>
          </w14:textFill>
        </w:rPr>
        <w:t>（一期）</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废水对排口下游老三运河汇水处至大通湖洪道河段枯水期的CODcr、氨氮和总磷的预测结果能满足《地表水环境质量标准》（GB3838-2002）III类标准。在非正常排污工况情况下，污水处理</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厂排污口下游</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老三运河汇水处至大通湖洪道河段</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枯水期的CODcr、氨氮、总磷</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的预测结果</w:t>
      </w: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 xml:space="preserve">均出现超标，不能满足《地表水环境质量标准》（GB3838-2002）III类标准限值。 </w:t>
      </w:r>
    </w:p>
    <w:p w14:paraId="375CD1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singl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wave" w:color="auto"/>
          <w:lang w:val="en-US" w:eastAsia="zh-CN" w:bidi="ar"/>
          <w14:textFill>
            <w14:solidFill>
              <w14:schemeClr w14:val="tx1"/>
            </w14:solidFill>
          </w14:textFill>
        </w:rPr>
        <w:t>综上，本污水处理厂正常运行情况下出水对老三运河水质的影响程度及范围均较小，对整个预测河段产生的影响较小。但在非正常情况下小范围内对老三运河水质有一定影响，故建议污水处理厂在以后运营中加强管理，避免事故发生。</w:t>
      </w:r>
    </w:p>
    <w:p w14:paraId="55D15557">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1"/>
        <w:rPr>
          <w:rFonts w:hint="default" w:ascii="Times New Roman" w:hAnsi="Times New Roman" w:eastAsia="宋体" w:cs="Times New Roman"/>
          <w:b/>
          <w:kern w:val="2"/>
          <w:sz w:val="28"/>
          <w:szCs w:val="28"/>
          <w:lang w:val="en-US" w:eastAsia="zh-CN" w:bidi="ar-SA"/>
        </w:rPr>
      </w:pPr>
      <w:bookmarkStart w:id="343" w:name="_Toc2060"/>
      <w:r>
        <w:rPr>
          <w:rFonts w:hint="default" w:ascii="Times New Roman" w:hAnsi="Times New Roman" w:eastAsia="宋体" w:cs="Times New Roman"/>
          <w:b/>
          <w:kern w:val="2"/>
          <w:sz w:val="28"/>
          <w:szCs w:val="28"/>
          <w:lang w:val="en-US" w:eastAsia="zh-CN" w:bidi="ar-SA"/>
        </w:rPr>
        <w:t>6.2对下游水域水质影响</w:t>
      </w:r>
      <w:bookmarkEnd w:id="336"/>
      <w:bookmarkEnd w:id="337"/>
      <w:bookmarkEnd w:id="338"/>
      <w:bookmarkEnd w:id="339"/>
      <w:bookmarkEnd w:id="340"/>
      <w:bookmarkEnd w:id="341"/>
      <w:bookmarkEnd w:id="342"/>
      <w:bookmarkEnd w:id="343"/>
    </w:p>
    <w:p w14:paraId="006C4D57">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right="213" w:firstLine="480" w:firstLineChars="200"/>
        <w:jc w:val="both"/>
        <w:textAlignment w:val="auto"/>
        <w:rPr>
          <w:rFonts w:hint="default" w:ascii="Times New Roman" w:hAnsi="Times New Roman" w:eastAsia="宋体" w:cs="Times New Roman"/>
          <w:kern w:val="2"/>
          <w:sz w:val="24"/>
          <w:szCs w:val="20"/>
          <w:u w:val="none"/>
          <w:lang w:val="en-US" w:eastAsia="zh-CN" w:bidi="ar-SA"/>
        </w:rPr>
      </w:pPr>
      <w:r>
        <w:rPr>
          <w:rFonts w:hint="default" w:ascii="Times New Roman" w:hAnsi="Times New Roman" w:eastAsia="宋体" w:cs="Times New Roman"/>
          <w:kern w:val="2"/>
          <w:sz w:val="24"/>
          <w:szCs w:val="20"/>
          <w:u w:val="none"/>
          <w:lang w:val="en-US" w:eastAsia="zh-CN" w:bidi="ar-SA"/>
        </w:rPr>
        <w:t>根据设计要求，项目污水处理厂正常运行情况下将污水处理达到《城镇污水处理厂污染物排放标准》（GB18918-2002）表1中一级A标准后排放至老三运河。CODcr、NH</w:t>
      </w:r>
      <w:r>
        <w:rPr>
          <w:rFonts w:hint="default" w:ascii="Times New Roman" w:hAnsi="Times New Roman" w:eastAsia="宋体" w:cs="Times New Roman"/>
          <w:kern w:val="2"/>
          <w:sz w:val="24"/>
          <w:szCs w:val="20"/>
          <w:u w:val="none"/>
          <w:vertAlign w:val="subscript"/>
          <w:lang w:val="en-US" w:eastAsia="zh-CN" w:bidi="ar-SA"/>
        </w:rPr>
        <w:t>3</w:t>
      </w:r>
      <w:r>
        <w:rPr>
          <w:rFonts w:hint="default" w:ascii="Times New Roman" w:hAnsi="Times New Roman" w:eastAsia="宋体" w:cs="Times New Roman"/>
          <w:kern w:val="2"/>
          <w:sz w:val="24"/>
          <w:szCs w:val="20"/>
          <w:u w:val="none"/>
          <w:lang w:val="en-US" w:eastAsia="zh-CN" w:bidi="ar-SA"/>
        </w:rPr>
        <w:t>-N、TP等因子均能满足</w:t>
      </w:r>
      <w:r>
        <w:rPr>
          <w:rFonts w:hint="default" w:ascii="Times New Roman" w:hAnsi="Times New Roman" w:eastAsia="宋体" w:cs="Times New Roman"/>
          <w:color w:val="000000"/>
          <w:kern w:val="0"/>
          <w:sz w:val="24"/>
          <w:szCs w:val="24"/>
          <w:lang w:val="en-US" w:eastAsia="zh-CN" w:bidi="ar"/>
        </w:rPr>
        <w:t>《地表水环境质量标准》（GB3838-2002）</w:t>
      </w:r>
      <w:r>
        <w:rPr>
          <w:rFonts w:hint="default" w:ascii="Times New Roman" w:hAnsi="Times New Roman" w:eastAsia="宋体" w:cs="Times New Roman"/>
          <w:kern w:val="2"/>
          <w:sz w:val="24"/>
          <w:szCs w:val="20"/>
          <w:u w:val="none"/>
          <w:lang w:val="en-US" w:eastAsia="zh-CN" w:bidi="ar-SA"/>
        </w:rPr>
        <w:t>III类水质要求，本排污口的设置不改变排污口所处水功能区及下游水功能的使用功能，也基本不会影响相邻水功能区的使用。</w:t>
      </w:r>
    </w:p>
    <w:p w14:paraId="1635AFBE">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right="213" w:firstLine="480" w:firstLineChars="200"/>
        <w:jc w:val="both"/>
        <w:textAlignment w:val="auto"/>
        <w:rPr>
          <w:rFonts w:hint="default" w:ascii="Times New Roman" w:hAnsi="Times New Roman" w:eastAsia="宋体" w:cs="Times New Roman"/>
          <w:kern w:val="2"/>
          <w:sz w:val="24"/>
          <w:szCs w:val="20"/>
          <w:u w:val="none"/>
          <w:lang w:val="en-US" w:eastAsia="zh-CN" w:bidi="ar-SA"/>
        </w:rPr>
      </w:pPr>
      <w:r>
        <w:rPr>
          <w:rFonts w:hint="default" w:ascii="Times New Roman" w:hAnsi="Times New Roman" w:eastAsia="宋体" w:cs="Times New Roman"/>
          <w:kern w:val="2"/>
          <w:sz w:val="24"/>
          <w:szCs w:val="20"/>
          <w:u w:val="none"/>
          <w:lang w:val="en-US" w:eastAsia="zh-CN" w:bidi="ar-SA"/>
        </w:rPr>
        <w:t>污水处理厂在事故排污时，CODcr、NH</w:t>
      </w:r>
      <w:r>
        <w:rPr>
          <w:rFonts w:hint="default" w:ascii="Times New Roman" w:hAnsi="Times New Roman" w:eastAsia="宋体" w:cs="Times New Roman"/>
          <w:kern w:val="2"/>
          <w:sz w:val="24"/>
          <w:szCs w:val="20"/>
          <w:u w:val="none"/>
          <w:vertAlign w:val="subscript"/>
          <w:lang w:val="en-US" w:eastAsia="zh-CN" w:bidi="ar-SA"/>
        </w:rPr>
        <w:t>3</w:t>
      </w:r>
      <w:r>
        <w:rPr>
          <w:rFonts w:hint="default" w:ascii="Times New Roman" w:hAnsi="Times New Roman" w:eastAsia="宋体" w:cs="Times New Roman"/>
          <w:kern w:val="2"/>
          <w:sz w:val="24"/>
          <w:szCs w:val="20"/>
          <w:u w:val="none"/>
          <w:lang w:val="en-US" w:eastAsia="zh-CN" w:bidi="ar-SA"/>
        </w:rPr>
        <w:t>-N、总磷等对水质有一定影响，会出现超标。</w:t>
      </w:r>
      <w:r>
        <w:rPr>
          <w:rFonts w:hint="eastAsia" w:cs="Times New Roman"/>
          <w:kern w:val="2"/>
          <w:sz w:val="24"/>
          <w:szCs w:val="20"/>
          <w:u w:val="none"/>
          <w:lang w:val="en-US" w:eastAsia="zh-CN" w:bidi="ar-SA"/>
        </w:rPr>
        <w:t xml:space="preserve">                                                                                                                                                                                                                                                                     </w:t>
      </w:r>
    </w:p>
    <w:p w14:paraId="641DC40C">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1"/>
        <w:rPr>
          <w:rFonts w:hint="default" w:ascii="Times New Roman" w:hAnsi="Times New Roman" w:eastAsia="宋体" w:cs="Times New Roman"/>
          <w:b/>
          <w:color w:val="000000" w:themeColor="text1"/>
          <w:kern w:val="2"/>
          <w:sz w:val="28"/>
          <w:szCs w:val="28"/>
          <w:u w:val="wave" w:color="auto"/>
          <w:lang w:val="en-US" w:eastAsia="zh-CN" w:bidi="ar-SA"/>
          <w14:textFill>
            <w14:solidFill>
              <w14:schemeClr w14:val="tx1"/>
            </w14:solidFill>
          </w14:textFill>
        </w:rPr>
      </w:pPr>
      <w:bookmarkStart w:id="344" w:name="_Toc3403"/>
      <w:bookmarkStart w:id="345" w:name="_Toc2452"/>
      <w:bookmarkStart w:id="346" w:name="_Toc28004"/>
      <w:bookmarkStart w:id="347" w:name="_Toc25852"/>
      <w:bookmarkStart w:id="348" w:name="_Toc7306"/>
      <w:bookmarkStart w:id="349" w:name="_Toc18965"/>
      <w:bookmarkStart w:id="350" w:name="_Toc26440"/>
      <w:bookmarkStart w:id="351" w:name="_Toc11605"/>
      <w:bookmarkStart w:id="352" w:name="_Toc7441"/>
      <w:r>
        <w:rPr>
          <w:rFonts w:hint="default" w:ascii="Times New Roman" w:hAnsi="Times New Roman" w:eastAsia="宋体" w:cs="Times New Roman"/>
          <w:b/>
          <w:color w:val="000000" w:themeColor="text1"/>
          <w:kern w:val="2"/>
          <w:sz w:val="28"/>
          <w:szCs w:val="28"/>
          <w:u w:val="wave" w:color="auto"/>
          <w:lang w:val="en-US" w:eastAsia="zh-CN" w:bidi="ar-SA"/>
          <w14:textFill>
            <w14:solidFill>
              <w14:schemeClr w14:val="tx1"/>
            </w14:solidFill>
          </w14:textFill>
        </w:rPr>
        <w:t>6.3对水生态的影响分析</w:t>
      </w:r>
      <w:bookmarkEnd w:id="344"/>
      <w:bookmarkEnd w:id="345"/>
      <w:bookmarkEnd w:id="346"/>
      <w:bookmarkEnd w:id="347"/>
      <w:bookmarkEnd w:id="348"/>
      <w:bookmarkEnd w:id="349"/>
      <w:bookmarkEnd w:id="350"/>
      <w:bookmarkEnd w:id="351"/>
      <w:bookmarkEnd w:id="352"/>
    </w:p>
    <w:p w14:paraId="1523D569">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right="213" w:firstLine="480" w:firstLineChars="200"/>
        <w:jc w:val="both"/>
        <w:textAlignment w:val="auto"/>
        <w:rPr>
          <w:rFonts w:hint="default" w:ascii="Times New Roman" w:hAnsi="Times New Roman" w:eastAsia="宋体" w:cs="Times New Roman"/>
          <w:color w:val="FF0000"/>
          <w:kern w:val="2"/>
          <w:sz w:val="24"/>
          <w:szCs w:val="24"/>
          <w:u w:val="wave" w:color="auto"/>
          <w:lang w:val="en-US" w:eastAsia="zh-CN" w:bidi="ar-SA"/>
        </w:rPr>
      </w:pPr>
      <w:r>
        <w:rPr>
          <w:rFonts w:hint="default" w:ascii="Times New Roman" w:hAnsi="Times New Roman" w:eastAsia="宋体" w:cs="Times New Roman"/>
          <w:color w:val="FF0000"/>
          <w:kern w:val="2"/>
          <w:sz w:val="24"/>
          <w:szCs w:val="24"/>
          <w:u w:val="wave" w:color="auto"/>
          <w:lang w:val="en-US" w:eastAsia="zh-CN" w:bidi="ar-SA"/>
        </w:rPr>
        <w:t>大通湖工业园污水处理厂提质改造建设项目</w:t>
      </w:r>
      <w:r>
        <w:rPr>
          <w:rFonts w:hint="eastAsia" w:cs="Times New Roman"/>
          <w:color w:val="FF0000"/>
          <w:kern w:val="2"/>
          <w:sz w:val="24"/>
          <w:szCs w:val="24"/>
          <w:u w:val="wave" w:color="auto"/>
          <w:lang w:val="en-US" w:eastAsia="zh-CN" w:bidi="ar-SA"/>
        </w:rPr>
        <w:t>（一期）</w:t>
      </w:r>
      <w:r>
        <w:rPr>
          <w:rFonts w:hint="default" w:ascii="Times New Roman" w:hAnsi="Times New Roman" w:eastAsia="宋体" w:cs="Times New Roman"/>
          <w:color w:val="FF0000"/>
          <w:kern w:val="2"/>
          <w:sz w:val="24"/>
          <w:szCs w:val="24"/>
          <w:u w:val="wave" w:color="auto"/>
          <w:lang w:val="en-US" w:eastAsia="zh-CN" w:bidi="ar-SA"/>
        </w:rPr>
        <w:t>废水经排口排入机排二十渠</w:t>
      </w:r>
      <w:r>
        <w:rPr>
          <w:rFonts w:hint="eastAsia" w:cs="Times New Roman"/>
          <w:color w:val="FF0000"/>
          <w:kern w:val="2"/>
          <w:sz w:val="24"/>
          <w:szCs w:val="24"/>
          <w:u w:val="wave" w:color="auto"/>
          <w:lang w:val="en-US" w:eastAsia="zh-CN" w:bidi="ar-SA"/>
        </w:rPr>
        <w:t>再</w:t>
      </w:r>
      <w:r>
        <w:rPr>
          <w:rFonts w:hint="default" w:ascii="Times New Roman" w:hAnsi="Times New Roman" w:eastAsia="宋体" w:cs="Times New Roman"/>
          <w:color w:val="FF0000"/>
          <w:kern w:val="2"/>
          <w:sz w:val="24"/>
          <w:szCs w:val="24"/>
          <w:u w:val="wave" w:color="auto"/>
          <w:lang w:val="en-US" w:eastAsia="zh-CN" w:bidi="ar-SA"/>
        </w:rPr>
        <w:t>汇入老三运河，根据</w:t>
      </w:r>
      <w:r>
        <w:rPr>
          <w:rFonts w:hint="eastAsia" w:cs="Times New Roman"/>
          <w:color w:val="FF0000"/>
          <w:kern w:val="2"/>
          <w:sz w:val="24"/>
          <w:szCs w:val="24"/>
          <w:u w:val="wave" w:color="auto"/>
          <w:lang w:val="en-US" w:eastAsia="zh-CN" w:bidi="ar-SA"/>
        </w:rPr>
        <w:t>引用的</w:t>
      </w:r>
      <w:r>
        <w:rPr>
          <w:rFonts w:hint="default" w:ascii="Times New Roman" w:hAnsi="Times New Roman" w:eastAsia="宋体" w:cs="Times New Roman"/>
          <w:color w:val="FF0000"/>
          <w:kern w:val="0"/>
          <w:sz w:val="24"/>
          <w:szCs w:val="24"/>
          <w:u w:val="wave"/>
          <w:lang w:val="en-US" w:eastAsia="zh-CN" w:bidi="ar"/>
        </w:rPr>
        <w:t>项目所在水域水生生物现状</w:t>
      </w:r>
      <w:r>
        <w:rPr>
          <w:rFonts w:hint="eastAsia" w:ascii="Times New Roman" w:hAnsi="Times New Roman" w:eastAsia="宋体" w:cs="Times New Roman"/>
          <w:color w:val="FF0000"/>
          <w:kern w:val="0"/>
          <w:sz w:val="24"/>
          <w:szCs w:val="24"/>
          <w:u w:val="wave"/>
          <w:lang w:val="en-US" w:eastAsia="zh-CN" w:bidi="ar"/>
        </w:rPr>
        <w:t>调查数据</w:t>
      </w:r>
      <w:r>
        <w:rPr>
          <w:rFonts w:hint="default" w:ascii="Times New Roman" w:hAnsi="Times New Roman" w:eastAsia="宋体" w:cs="Times New Roman"/>
          <w:color w:val="FF0000"/>
          <w:kern w:val="2"/>
          <w:sz w:val="24"/>
          <w:szCs w:val="24"/>
          <w:u w:val="wave" w:color="auto"/>
          <w:lang w:val="en-US" w:eastAsia="zh-CN" w:bidi="ar-SA"/>
        </w:rPr>
        <w:t>，老三运河水生生物资源</w:t>
      </w:r>
      <w:r>
        <w:rPr>
          <w:rFonts w:hint="eastAsia" w:cs="Times New Roman"/>
          <w:color w:val="FF0000"/>
          <w:kern w:val="2"/>
          <w:sz w:val="24"/>
          <w:szCs w:val="24"/>
          <w:u w:val="wave" w:color="auto"/>
          <w:lang w:val="en-US" w:eastAsia="zh-CN" w:bidi="ar-SA"/>
        </w:rPr>
        <w:t>较为丰富</w:t>
      </w:r>
      <w:r>
        <w:rPr>
          <w:rFonts w:hint="default" w:ascii="Times New Roman" w:hAnsi="Times New Roman" w:eastAsia="宋体" w:cs="Times New Roman"/>
          <w:color w:val="FF0000"/>
          <w:kern w:val="2"/>
          <w:sz w:val="24"/>
          <w:szCs w:val="24"/>
          <w:u w:val="wave" w:color="auto"/>
          <w:lang w:val="en-US" w:eastAsia="zh-CN" w:bidi="ar-SA"/>
        </w:rPr>
        <w:t>，主要种类有</w:t>
      </w:r>
      <w:r>
        <w:rPr>
          <w:rFonts w:hint="eastAsia" w:cs="Times New Roman"/>
          <w:color w:val="FF0000"/>
          <w:kern w:val="2"/>
          <w:sz w:val="24"/>
          <w:szCs w:val="24"/>
          <w:u w:val="wave" w:color="auto"/>
          <w:lang w:val="en-US" w:eastAsia="zh-CN" w:bidi="ar-SA"/>
        </w:rPr>
        <w:t>浮游植物、浮游动物、底栖动物、</w:t>
      </w:r>
      <w:r>
        <w:rPr>
          <w:rFonts w:hint="default" w:ascii="Times New Roman" w:hAnsi="Times New Roman" w:eastAsia="宋体" w:cs="Times New Roman"/>
          <w:color w:val="FF0000"/>
          <w:kern w:val="2"/>
          <w:sz w:val="24"/>
          <w:szCs w:val="24"/>
          <w:u w:val="wave" w:color="auto"/>
          <w:lang w:val="en-US" w:eastAsia="zh-CN" w:bidi="ar-SA"/>
        </w:rPr>
        <w:t>鱼类等水生动物，构成了当地的生态系统。</w:t>
      </w:r>
    </w:p>
    <w:p w14:paraId="0FF71134">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right="213" w:firstLine="480" w:firstLineChars="200"/>
        <w:jc w:val="both"/>
        <w:textAlignment w:val="auto"/>
        <w:rPr>
          <w:rFonts w:hint="default" w:ascii="Times New Roman" w:hAnsi="Times New Roman" w:eastAsia="宋体" w:cs="Times New Roman"/>
          <w:color w:val="FF0000"/>
          <w:kern w:val="2"/>
          <w:sz w:val="24"/>
          <w:szCs w:val="24"/>
          <w:u w:val="wave" w:color="auto"/>
          <w:lang w:val="en-US" w:eastAsia="zh-CN" w:bidi="ar-SA"/>
        </w:rPr>
      </w:pPr>
      <w:r>
        <w:rPr>
          <w:rFonts w:hint="default" w:ascii="Times New Roman" w:hAnsi="Times New Roman" w:eastAsia="宋体" w:cs="Times New Roman"/>
          <w:color w:val="FF0000"/>
          <w:kern w:val="2"/>
          <w:sz w:val="24"/>
          <w:szCs w:val="24"/>
          <w:u w:val="wave" w:color="auto"/>
          <w:lang w:val="en-US" w:eastAsia="zh-CN" w:bidi="ar-SA"/>
        </w:rPr>
        <w:t>根据水质模型预测分析，本项目尾水外排到老三运河后，受纳水体水质满足《地表水环境质量标准》（GB3838-2002）III类标准的要求，项目对水生生物造成影响小。项目排污口下游无鱼虾类越冬场、产卵场以及索饵场，也无鱼类栖息地、洄游通道，对该河段水域生态的需水水质影响相对较小，对该河段水域生态影响轻微。</w:t>
      </w:r>
    </w:p>
    <w:p w14:paraId="15206F59">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right="213" w:firstLine="480" w:firstLineChars="200"/>
        <w:jc w:val="both"/>
        <w:textAlignment w:val="auto"/>
        <w:rPr>
          <w:rFonts w:hint="default" w:ascii="Times New Roman" w:hAnsi="Times New Roman" w:eastAsia="宋体" w:cs="Times New Roman"/>
          <w:color w:val="FF0000"/>
          <w:kern w:val="2"/>
          <w:sz w:val="24"/>
          <w:szCs w:val="24"/>
          <w:u w:val="wave" w:color="auto"/>
          <w:lang w:val="en-US" w:eastAsia="zh-CN" w:bidi="ar-SA"/>
        </w:rPr>
      </w:pPr>
      <w:r>
        <w:rPr>
          <w:rFonts w:hint="default" w:ascii="Times New Roman" w:hAnsi="Times New Roman" w:eastAsia="宋体" w:cs="Times New Roman"/>
          <w:color w:val="FF0000"/>
          <w:kern w:val="2"/>
          <w:sz w:val="24"/>
          <w:szCs w:val="24"/>
          <w:u w:val="wave" w:color="auto"/>
          <w:lang w:val="en-US" w:eastAsia="zh-CN" w:bidi="ar-SA"/>
        </w:rPr>
        <w:t>老三运河下游现有鱼类绝大多数是广布性种类；下游河段无鱼类“三场”，不会对鱼类产卵、索饵、越冬等产生影响。考虑到正常排污及非正常排污影响范围均有限，不会对鱼类产生明显不利影响。因此，大通湖工业园污水处理厂入河排污口的</w:t>
      </w:r>
      <w:r>
        <w:rPr>
          <w:rFonts w:hint="eastAsia" w:cs="Times New Roman"/>
          <w:color w:val="FF0000"/>
          <w:kern w:val="2"/>
          <w:sz w:val="24"/>
          <w:szCs w:val="24"/>
          <w:u w:val="wave" w:color="auto"/>
          <w:lang w:val="en-US" w:eastAsia="zh-CN" w:bidi="ar-SA"/>
        </w:rPr>
        <w:t>扩建</w:t>
      </w:r>
      <w:r>
        <w:rPr>
          <w:rFonts w:hint="default" w:ascii="Times New Roman" w:hAnsi="Times New Roman" w:eastAsia="宋体" w:cs="Times New Roman"/>
          <w:color w:val="FF0000"/>
          <w:kern w:val="2"/>
          <w:sz w:val="24"/>
          <w:szCs w:val="24"/>
          <w:u w:val="wave" w:color="auto"/>
          <w:lang w:val="en-US" w:eastAsia="zh-CN" w:bidi="ar-SA"/>
        </w:rPr>
        <w:t>对该河段</w:t>
      </w:r>
      <w:r>
        <w:rPr>
          <w:rFonts w:hint="eastAsia" w:cs="Times New Roman"/>
          <w:color w:val="FF0000"/>
          <w:kern w:val="2"/>
          <w:sz w:val="24"/>
          <w:szCs w:val="24"/>
          <w:u w:val="wave" w:color="auto"/>
          <w:lang w:val="en-US" w:eastAsia="zh-CN" w:bidi="ar-SA"/>
        </w:rPr>
        <w:t>水生生态</w:t>
      </w:r>
      <w:r>
        <w:rPr>
          <w:rFonts w:hint="default" w:ascii="Times New Roman" w:hAnsi="Times New Roman" w:eastAsia="宋体" w:cs="Times New Roman"/>
          <w:color w:val="FF0000"/>
          <w:kern w:val="2"/>
          <w:sz w:val="24"/>
          <w:szCs w:val="24"/>
          <w:u w:val="wave" w:color="auto"/>
          <w:lang w:val="en-US" w:eastAsia="zh-CN" w:bidi="ar-SA"/>
        </w:rPr>
        <w:t>无明显不利影响。</w:t>
      </w:r>
    </w:p>
    <w:p w14:paraId="6B651BC0">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1"/>
        <w:rPr>
          <w:rFonts w:hint="default" w:ascii="Times New Roman" w:hAnsi="Times New Roman" w:eastAsia="宋体" w:cs="Times New Roman"/>
          <w:b/>
          <w:kern w:val="2"/>
          <w:sz w:val="28"/>
          <w:szCs w:val="28"/>
          <w:lang w:val="en-US" w:eastAsia="zh-CN" w:bidi="ar-SA"/>
        </w:rPr>
      </w:pPr>
      <w:bookmarkStart w:id="353" w:name="_Toc2598"/>
      <w:r>
        <w:rPr>
          <w:rFonts w:hint="default" w:ascii="Times New Roman" w:hAnsi="Times New Roman" w:eastAsia="宋体" w:cs="Times New Roman"/>
          <w:b/>
          <w:kern w:val="2"/>
          <w:sz w:val="28"/>
          <w:szCs w:val="28"/>
          <w:lang w:val="en-US" w:eastAsia="zh-CN" w:bidi="ar-SA"/>
        </w:rPr>
        <w:t>6.4对生活饮用水水源的影响</w:t>
      </w:r>
      <w:bookmarkEnd w:id="353"/>
    </w:p>
    <w:p w14:paraId="51302A72">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right="213" w:firstLine="480" w:firstLineChars="200"/>
        <w:jc w:val="both"/>
        <w:textAlignment w:val="auto"/>
        <w:rPr>
          <w:rFonts w:hint="default" w:ascii="Times New Roman" w:hAnsi="Times New Roman" w:eastAsia="宋体" w:cs="Times New Roman"/>
          <w:kern w:val="2"/>
          <w:sz w:val="24"/>
          <w:szCs w:val="20"/>
          <w:u w:val="none"/>
          <w:lang w:val="en-US" w:eastAsia="zh-CN" w:bidi="ar-SA"/>
        </w:rPr>
      </w:pPr>
      <w:r>
        <w:rPr>
          <w:rFonts w:hint="default" w:ascii="Times New Roman" w:hAnsi="Times New Roman" w:eastAsia="宋体" w:cs="Times New Roman"/>
          <w:kern w:val="2"/>
          <w:sz w:val="24"/>
          <w:szCs w:val="20"/>
          <w:u w:val="none"/>
          <w:lang w:val="en-US" w:eastAsia="zh-CN" w:bidi="ar-SA"/>
        </w:rPr>
        <w:t>根据现状调查，本项目论证范围内无饮用水源保护区。因此，本排污口的设置对排污口附近取水单位用水不会产生不良影响。因此，本项目入河排污口的设置不影响第三者的合法权益。</w:t>
      </w:r>
    </w:p>
    <w:p w14:paraId="153A6C0B">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1"/>
        <w:rPr>
          <w:rFonts w:hint="default" w:ascii="Times New Roman" w:hAnsi="Times New Roman" w:eastAsia="宋体" w:cs="Times New Roman"/>
          <w:b/>
          <w:kern w:val="2"/>
          <w:sz w:val="28"/>
          <w:szCs w:val="28"/>
          <w:lang w:val="en-US" w:eastAsia="zh-CN" w:bidi="ar-SA"/>
        </w:rPr>
      </w:pPr>
      <w:bookmarkStart w:id="354" w:name="_Toc24806"/>
      <w:r>
        <w:rPr>
          <w:rFonts w:hint="default" w:ascii="Times New Roman" w:hAnsi="Times New Roman" w:eastAsia="宋体" w:cs="Times New Roman"/>
          <w:b/>
          <w:kern w:val="2"/>
          <w:sz w:val="28"/>
          <w:szCs w:val="28"/>
          <w:lang w:val="en-US" w:eastAsia="zh-CN" w:bidi="ar-SA"/>
        </w:rPr>
        <w:t>6.5对上下游取水安全的影响</w:t>
      </w:r>
      <w:bookmarkEnd w:id="354"/>
    </w:p>
    <w:p w14:paraId="35FE6B4E">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right="213" w:firstLine="480" w:firstLineChars="200"/>
        <w:jc w:val="both"/>
        <w:textAlignment w:val="auto"/>
        <w:rPr>
          <w:rFonts w:hint="default" w:ascii="Times New Roman" w:hAnsi="Times New Roman" w:eastAsia="宋体" w:cs="Times New Roman"/>
          <w:color w:val="FF0000"/>
          <w:kern w:val="2"/>
          <w:sz w:val="24"/>
          <w:szCs w:val="20"/>
          <w:u w:val="none"/>
          <w:lang w:val="en-US" w:eastAsia="zh-CN" w:bidi="ar-SA"/>
        </w:rPr>
      </w:pPr>
      <w:r>
        <w:rPr>
          <w:rFonts w:hint="default" w:ascii="Times New Roman" w:hAnsi="Times New Roman" w:eastAsia="宋体" w:cs="Times New Roman"/>
          <w:color w:val="FF0000"/>
          <w:kern w:val="2"/>
          <w:sz w:val="24"/>
          <w:szCs w:val="20"/>
          <w:u w:val="none"/>
          <w:lang w:val="en-US" w:eastAsia="zh-CN" w:bidi="ar-SA"/>
        </w:rPr>
        <w:t>大通湖工业园污水处理厂提质改造建设项目</w:t>
      </w:r>
      <w:r>
        <w:rPr>
          <w:rFonts w:hint="eastAsia" w:cs="Times New Roman"/>
          <w:color w:val="FF0000"/>
          <w:kern w:val="2"/>
          <w:sz w:val="24"/>
          <w:szCs w:val="20"/>
          <w:u w:val="none"/>
          <w:lang w:val="en-US" w:eastAsia="zh-CN" w:bidi="ar-SA"/>
        </w:rPr>
        <w:t>（一期）</w:t>
      </w:r>
      <w:r>
        <w:rPr>
          <w:rFonts w:hint="default" w:ascii="Times New Roman" w:hAnsi="Times New Roman" w:eastAsia="宋体" w:cs="Times New Roman"/>
          <w:color w:val="FF0000"/>
          <w:kern w:val="2"/>
          <w:sz w:val="24"/>
          <w:szCs w:val="20"/>
          <w:u w:val="none"/>
          <w:lang w:val="en-US" w:eastAsia="zh-CN" w:bidi="ar-SA"/>
        </w:rPr>
        <w:t>排放的水污染因子主要为常规污染物，不涉及重金属、不涉及有毒有机污染物及持久性有毒化学污染，本项目废水经排污口</w:t>
      </w:r>
      <w:r>
        <w:rPr>
          <w:rFonts w:hint="eastAsia" w:cs="Times New Roman"/>
          <w:color w:val="FF0000"/>
          <w:kern w:val="2"/>
          <w:sz w:val="24"/>
          <w:szCs w:val="20"/>
          <w:u w:val="none"/>
          <w:lang w:val="en-US" w:eastAsia="zh-CN" w:bidi="ar-SA"/>
        </w:rPr>
        <w:t>排</w:t>
      </w:r>
      <w:r>
        <w:rPr>
          <w:rFonts w:hint="default" w:ascii="Times New Roman" w:hAnsi="Times New Roman" w:eastAsia="宋体" w:cs="Times New Roman"/>
          <w:color w:val="FF0000"/>
          <w:kern w:val="2"/>
          <w:sz w:val="24"/>
          <w:szCs w:val="20"/>
          <w:u w:val="none"/>
          <w:lang w:val="en-US" w:eastAsia="zh-CN" w:bidi="ar-SA"/>
        </w:rPr>
        <w:t>入机排二十渠</w:t>
      </w:r>
      <w:r>
        <w:rPr>
          <w:rFonts w:hint="eastAsia" w:cs="Times New Roman"/>
          <w:color w:val="FF0000"/>
          <w:kern w:val="2"/>
          <w:sz w:val="24"/>
          <w:szCs w:val="20"/>
          <w:u w:val="none"/>
          <w:lang w:val="en-US" w:eastAsia="zh-CN" w:bidi="ar-SA"/>
        </w:rPr>
        <w:t>。根据益阳市大通湖区农业农村和水利局关于</w:t>
      </w:r>
      <w:r>
        <w:rPr>
          <w:rFonts w:hint="default" w:ascii="Times New Roman" w:hAnsi="Times New Roman" w:eastAsia="宋体" w:cs="Times New Roman"/>
          <w:color w:val="FF0000"/>
          <w:kern w:val="2"/>
          <w:sz w:val="24"/>
          <w:szCs w:val="20"/>
          <w:u w:val="none"/>
          <w:lang w:val="en-US" w:eastAsia="zh-CN" w:bidi="ar-SA"/>
        </w:rPr>
        <w:t>机排二十渠</w:t>
      </w:r>
      <w:r>
        <w:rPr>
          <w:rFonts w:hint="eastAsia" w:cs="Times New Roman"/>
          <w:color w:val="FF0000"/>
          <w:kern w:val="2"/>
          <w:sz w:val="24"/>
          <w:szCs w:val="20"/>
          <w:u w:val="none"/>
          <w:lang w:val="en-US" w:eastAsia="zh-CN" w:bidi="ar-SA"/>
        </w:rPr>
        <w:t>功能的情况说明，机排二十渠不直接参与农田灌溉，不具有农田灌溉功能，</w:t>
      </w:r>
      <w:r>
        <w:rPr>
          <w:rFonts w:hint="default" w:ascii="Times New Roman" w:hAnsi="Times New Roman" w:eastAsia="宋体" w:cs="Times New Roman"/>
          <w:color w:val="FF0000"/>
          <w:kern w:val="2"/>
          <w:sz w:val="24"/>
          <w:szCs w:val="20"/>
          <w:u w:val="none"/>
          <w:lang w:val="en-US" w:eastAsia="zh-CN" w:bidi="ar-SA"/>
        </w:rPr>
        <w:t>项目污染物的排放不会影响农业灌溉取水。经核实，机排二十渠汇水处机排二十渠上游1km范围内无取水口，对上游区域基本不会产生明显不利影响。</w:t>
      </w:r>
    </w:p>
    <w:p w14:paraId="655E1E95">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right="213" w:firstLine="480" w:firstLineChars="200"/>
        <w:jc w:val="both"/>
        <w:textAlignment w:val="auto"/>
        <w:rPr>
          <w:rFonts w:hint="default" w:ascii="Times New Roman" w:hAnsi="Times New Roman" w:eastAsia="宋体" w:cs="Times New Roman"/>
          <w:kern w:val="2"/>
          <w:sz w:val="24"/>
          <w:szCs w:val="20"/>
          <w:u w:val="none"/>
          <w:lang w:val="en-US" w:eastAsia="zh-CN" w:bidi="ar-SA"/>
        </w:rPr>
      </w:pPr>
      <w:r>
        <w:rPr>
          <w:rFonts w:hint="default" w:ascii="Times New Roman" w:hAnsi="Times New Roman" w:eastAsia="宋体" w:cs="Times New Roman"/>
          <w:kern w:val="2"/>
          <w:sz w:val="24"/>
          <w:szCs w:val="20"/>
          <w:u w:val="none"/>
          <w:lang w:val="en-US" w:eastAsia="zh-CN" w:bidi="ar-SA"/>
        </w:rPr>
        <w:t>根据模型分析，污水在正常排放下经过充分混合后，最终受纳水体老三运河段水质满足III类目标，且下游无饮用水、工业取水单位，下游水质可达到《地表水环境质量标准》（GB3838-2002）中III类标准要求，不影响老三运河下游河段的水质，因此排污口污水排放基本不会对下游取水安全造成影响。</w:t>
      </w:r>
    </w:p>
    <w:p w14:paraId="5E5BAFCF">
      <w:pPr>
        <w:keepNext/>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outlineLvl w:val="1"/>
        <w:rPr>
          <w:rFonts w:hint="default" w:ascii="Times New Roman" w:hAnsi="Times New Roman" w:eastAsia="宋体" w:cs="Times New Roman"/>
          <w:b/>
          <w:kern w:val="2"/>
          <w:sz w:val="28"/>
          <w:szCs w:val="28"/>
          <w:lang w:val="en-US" w:eastAsia="zh-CN" w:bidi="ar-SA"/>
        </w:rPr>
      </w:pPr>
      <w:bookmarkStart w:id="355" w:name="_Toc23386"/>
      <w:r>
        <w:rPr>
          <w:rFonts w:hint="default" w:ascii="Times New Roman" w:hAnsi="Times New Roman" w:eastAsia="宋体" w:cs="Times New Roman"/>
          <w:b/>
          <w:kern w:val="2"/>
          <w:sz w:val="28"/>
          <w:szCs w:val="28"/>
          <w:lang w:val="en-US" w:eastAsia="zh-CN" w:bidi="ar-SA"/>
        </w:rPr>
        <w:t>6.6对地下水影响的分析</w:t>
      </w:r>
      <w:bookmarkEnd w:id="355"/>
    </w:p>
    <w:p w14:paraId="6B8C3C3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0"/>
          <w:u w:val="none"/>
          <w:lang w:val="en-US" w:eastAsia="zh-CN" w:bidi="ar-SA"/>
        </w:rPr>
      </w:pPr>
      <w:bookmarkStart w:id="356" w:name="_Hlk479694747"/>
      <w:r>
        <w:rPr>
          <w:rFonts w:hint="default" w:ascii="Times New Roman" w:hAnsi="Times New Roman" w:eastAsia="宋体" w:cs="Times New Roman"/>
          <w:kern w:val="2"/>
          <w:sz w:val="24"/>
          <w:szCs w:val="20"/>
          <w:u w:val="none"/>
          <w:lang w:val="en-US" w:eastAsia="zh-CN" w:bidi="ar-SA"/>
        </w:rPr>
        <w:t>益阳大通湖区自来水有限公司</w:t>
      </w:r>
      <w:bookmarkEnd w:id="356"/>
      <w:r>
        <w:rPr>
          <w:rFonts w:hint="default" w:ascii="Times New Roman" w:hAnsi="Times New Roman" w:eastAsia="宋体" w:cs="Times New Roman"/>
          <w:kern w:val="2"/>
          <w:sz w:val="24"/>
          <w:szCs w:val="20"/>
          <w:u w:val="none"/>
          <w:lang w:val="en-US" w:eastAsia="zh-CN" w:bidi="ar-SA"/>
        </w:rPr>
        <w:t>日产3万m</w:t>
      </w:r>
      <w:r>
        <w:rPr>
          <w:rFonts w:hint="default" w:ascii="Times New Roman" w:hAnsi="Times New Roman" w:eastAsia="宋体" w:cs="Times New Roman"/>
          <w:kern w:val="2"/>
          <w:sz w:val="24"/>
          <w:szCs w:val="20"/>
          <w:u w:val="none"/>
          <w:vertAlign w:val="superscript"/>
          <w:lang w:val="en-US" w:eastAsia="zh-CN" w:bidi="ar-SA"/>
        </w:rPr>
        <w:t>3</w:t>
      </w:r>
      <w:r>
        <w:rPr>
          <w:rFonts w:hint="default" w:ascii="Times New Roman" w:hAnsi="Times New Roman" w:eastAsia="宋体" w:cs="Times New Roman"/>
          <w:kern w:val="2"/>
          <w:sz w:val="24"/>
          <w:szCs w:val="20"/>
          <w:u w:val="none"/>
          <w:lang w:val="en-US" w:eastAsia="zh-CN" w:bidi="ar-SA"/>
        </w:rPr>
        <w:t>/d自来水，水源以地下水为主要水源，水厂位于河坝镇文化路以西、五一路以北，位于项目厂址以东，距离项目约1.5km。供水井位于水厂里面，自来水厂集中式饮用水源保护范围为井口周边200m，水厂周边300m范围内，没有工业企业。根据调查得知，大通湖区污水处理厂地表径流方向判定，污水处理厂位于地下水流场下游区，不属于自来水厂地下水饮用水源的保护区、准保护区和补给径流区。</w:t>
      </w:r>
    </w:p>
    <w:p w14:paraId="342667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2"/>
          <w:sz w:val="24"/>
          <w:szCs w:val="20"/>
          <w:u w:val="none"/>
          <w:lang w:val="en-US" w:eastAsia="zh-CN" w:bidi="ar-SA"/>
        </w:rPr>
      </w:pPr>
      <w:r>
        <w:rPr>
          <w:rFonts w:hint="default" w:ascii="Times New Roman" w:hAnsi="Times New Roman" w:eastAsia="宋体" w:cs="Times New Roman"/>
          <w:kern w:val="2"/>
          <w:sz w:val="24"/>
          <w:szCs w:val="20"/>
          <w:u w:val="none"/>
          <w:lang w:val="en-US" w:eastAsia="zh-CN" w:bidi="ar-SA"/>
        </w:rPr>
        <w:t>本项目运营期对地下水的污染主要是由于污染物迁移穿过包气带进入含水层。项目场地多为粘土层，包气带防污性能较强，说明浅层地下水不太容易受到污染，本项目废水不含特殊有机物，不涉及重金属；对废水收集管道做好密封及防腐，确保无管道腐蚀、渗漏现象。本项目采用</w:t>
      </w:r>
      <w:r>
        <w:rPr>
          <w:rFonts w:hint="default" w:ascii="Times New Roman" w:hAnsi="Times New Roman" w:eastAsia="宋体" w:cs="Times New Roman"/>
          <w:color w:val="auto"/>
          <w:kern w:val="2"/>
          <w:sz w:val="24"/>
          <w:szCs w:val="32"/>
          <w:u w:val="none" w:color="auto"/>
          <w:lang w:val="en-US" w:eastAsia="zh-CN" w:bidi="ar-SA"/>
        </w:rPr>
        <w:t>“</w:t>
      </w:r>
      <w:r>
        <w:rPr>
          <w:rFonts w:hint="default" w:ascii="Times New Roman" w:hAnsi="Times New Roman" w:eastAsia="宋体" w:cs="Times New Roman"/>
          <w:color w:val="000000"/>
          <w:kern w:val="2"/>
          <w:sz w:val="24"/>
          <w:szCs w:val="32"/>
          <w:u w:val="none" w:color="auto"/>
          <w:lang w:val="en-US" w:eastAsia="zh-CN" w:bidi="ar-SA"/>
        </w:rPr>
        <w:t>一体化泵站+调节均质+水解酸化+AAO生化+混凝沉淀+精密过滤+接触消毒</w:t>
      </w:r>
      <w:r>
        <w:rPr>
          <w:rFonts w:hint="default" w:ascii="Times New Roman" w:hAnsi="Times New Roman" w:eastAsia="宋体" w:cs="Times New Roman"/>
          <w:color w:val="auto"/>
          <w:kern w:val="2"/>
          <w:sz w:val="24"/>
          <w:szCs w:val="32"/>
          <w:u w:val="none" w:color="auto"/>
          <w:lang w:val="en-US" w:eastAsia="zh-CN" w:bidi="ar-SA"/>
        </w:rPr>
        <w:t>”</w:t>
      </w:r>
      <w:r>
        <w:rPr>
          <w:rFonts w:hint="default" w:ascii="Times New Roman" w:hAnsi="Times New Roman" w:eastAsia="宋体" w:cs="Times New Roman"/>
          <w:kern w:val="2"/>
          <w:sz w:val="24"/>
          <w:szCs w:val="20"/>
          <w:u w:val="none"/>
          <w:lang w:val="en-US" w:eastAsia="zh-CN" w:bidi="ar-SA"/>
        </w:rPr>
        <w:t>处理工艺；污水处理工艺处理达到《城镇污水处理厂污染物排放标准》（GB 18918—2002）</w:t>
      </w:r>
      <w:r>
        <w:rPr>
          <w:rFonts w:hint="eastAsia" w:cs="Times New Roman"/>
          <w:kern w:val="2"/>
          <w:sz w:val="24"/>
          <w:szCs w:val="20"/>
          <w:u w:val="none"/>
          <w:lang w:val="en-US" w:eastAsia="zh-CN" w:bidi="ar-SA"/>
        </w:rPr>
        <w:t>及</w:t>
      </w:r>
      <w:r>
        <w:rPr>
          <w:rFonts w:hint="default" w:ascii="Times New Roman" w:hAnsi="Times New Roman" w:eastAsia="宋体" w:cs="Times New Roman"/>
          <w:kern w:val="2"/>
          <w:sz w:val="24"/>
          <w:szCs w:val="20"/>
          <w:u w:val="none"/>
          <w:lang w:val="en-US" w:eastAsia="zh-CN" w:bidi="ar-SA"/>
        </w:rPr>
        <w:t>修改单一级 A 标准后，经过排污口排入机排二十渠道，最终汇入老三运河，不会造成地下水的污染。</w:t>
      </w:r>
    </w:p>
    <w:p w14:paraId="0A3DA24C">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1"/>
        <w:rPr>
          <w:rFonts w:hint="default" w:ascii="Times New Roman" w:hAnsi="Times New Roman" w:eastAsia="宋体" w:cs="Times New Roman"/>
          <w:b/>
          <w:color w:val="000000" w:themeColor="text1"/>
          <w:kern w:val="2"/>
          <w:sz w:val="28"/>
          <w:szCs w:val="28"/>
          <w:u w:val="wave"/>
          <w:lang w:val="en-US" w:eastAsia="zh-CN" w:bidi="ar-SA"/>
          <w14:textFill>
            <w14:solidFill>
              <w14:schemeClr w14:val="tx1"/>
            </w14:solidFill>
          </w14:textFill>
        </w:rPr>
      </w:pPr>
      <w:bookmarkStart w:id="357" w:name="_Toc9681"/>
      <w:r>
        <w:rPr>
          <w:rFonts w:hint="default" w:ascii="Times New Roman" w:hAnsi="Times New Roman" w:eastAsia="宋体" w:cs="Times New Roman"/>
          <w:b/>
          <w:color w:val="000000" w:themeColor="text1"/>
          <w:kern w:val="2"/>
          <w:sz w:val="28"/>
          <w:szCs w:val="28"/>
          <w:u w:val="wave"/>
          <w:lang w:val="en-US" w:eastAsia="zh-CN" w:bidi="ar-SA"/>
          <w14:textFill>
            <w14:solidFill>
              <w14:schemeClr w14:val="tx1"/>
            </w14:solidFill>
          </w14:textFill>
        </w:rPr>
        <w:t>6.7 对农业灌溉用水的影响</w:t>
      </w:r>
      <w:bookmarkEnd w:id="357"/>
      <w:r>
        <w:rPr>
          <w:rFonts w:hint="default" w:ascii="Times New Roman" w:hAnsi="Times New Roman" w:eastAsia="宋体" w:cs="Times New Roman"/>
          <w:b/>
          <w:color w:val="000000" w:themeColor="text1"/>
          <w:kern w:val="2"/>
          <w:sz w:val="28"/>
          <w:szCs w:val="28"/>
          <w:u w:val="wave"/>
          <w:lang w:val="en-US" w:eastAsia="zh-CN" w:bidi="ar-SA"/>
          <w14:textFill>
            <w14:solidFill>
              <w14:schemeClr w14:val="tx1"/>
            </w14:solidFill>
          </w14:textFill>
        </w:rPr>
        <w:t xml:space="preserve"> </w:t>
      </w:r>
    </w:p>
    <w:p w14:paraId="5259D5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kern w:val="2"/>
          <w:sz w:val="21"/>
          <w:u w:val="wave"/>
        </w:rPr>
      </w:pPr>
      <w:r>
        <w:rPr>
          <w:rFonts w:hint="eastAsia" w:cs="Times New Roman"/>
          <w:color w:val="FF0000"/>
          <w:kern w:val="2"/>
          <w:sz w:val="24"/>
          <w:szCs w:val="20"/>
          <w:u w:val="wave"/>
          <w:lang w:val="en-US" w:eastAsia="zh-CN" w:bidi="ar-SA"/>
        </w:rPr>
        <w:t>项目所在区域</w:t>
      </w:r>
      <w:r>
        <w:rPr>
          <w:rFonts w:hint="default" w:ascii="Times New Roman" w:hAnsi="Times New Roman" w:eastAsia="宋体" w:cs="Times New Roman"/>
          <w:color w:val="FF0000"/>
          <w:kern w:val="2"/>
          <w:sz w:val="24"/>
          <w:szCs w:val="20"/>
          <w:u w:val="wave"/>
          <w:lang w:val="en-US" w:eastAsia="zh-CN" w:bidi="ar-SA"/>
        </w:rPr>
        <w:t>的主要作物类型是水稻、油菜及其它杂粮和经济作物。</w:t>
      </w:r>
      <w:r>
        <w:rPr>
          <w:rFonts w:hint="default" w:ascii="Times New Roman" w:hAnsi="Times New Roman" w:eastAsia="宋体" w:cs="Times New Roman"/>
          <w:color w:val="FF0000"/>
          <w:kern w:val="2"/>
          <w:sz w:val="24"/>
          <w:szCs w:val="20"/>
          <w:u w:val="wave"/>
          <w:lang w:val="en-US" w:eastAsia="zh-CN" w:bidi="ar-SA"/>
        </w:rPr>
        <w:t>大通湖工业园污水处理厂提质改造建设项目</w:t>
      </w:r>
      <w:r>
        <w:rPr>
          <w:rFonts w:hint="eastAsia" w:cs="Times New Roman"/>
          <w:color w:val="FF0000"/>
          <w:kern w:val="2"/>
          <w:sz w:val="24"/>
          <w:szCs w:val="20"/>
          <w:u w:val="wave"/>
          <w:lang w:val="en-US" w:eastAsia="zh-CN" w:bidi="ar-SA"/>
        </w:rPr>
        <w:t>（一期）</w:t>
      </w:r>
      <w:r>
        <w:rPr>
          <w:rFonts w:hint="default" w:ascii="Times New Roman" w:hAnsi="Times New Roman" w:eastAsia="宋体" w:cs="Times New Roman"/>
          <w:color w:val="FF0000"/>
          <w:kern w:val="2"/>
          <w:sz w:val="24"/>
          <w:szCs w:val="20"/>
          <w:u w:val="wave"/>
          <w:lang w:val="en-US" w:eastAsia="zh-CN" w:bidi="ar-SA"/>
        </w:rPr>
        <w:t>排放的水污染因子主要为常规污染物，不涉及重金属、不涉及有毒有机污染物及持久性有毒化学污染，本项目废水经排污口</w:t>
      </w:r>
      <w:r>
        <w:rPr>
          <w:rFonts w:hint="eastAsia" w:cs="Times New Roman"/>
          <w:color w:val="FF0000"/>
          <w:kern w:val="2"/>
          <w:sz w:val="24"/>
          <w:szCs w:val="20"/>
          <w:u w:val="wave"/>
          <w:lang w:val="en-US" w:eastAsia="zh-CN" w:bidi="ar-SA"/>
        </w:rPr>
        <w:t>排</w:t>
      </w:r>
      <w:r>
        <w:rPr>
          <w:rFonts w:hint="default" w:ascii="Times New Roman" w:hAnsi="Times New Roman" w:eastAsia="宋体" w:cs="Times New Roman"/>
          <w:color w:val="FF0000"/>
          <w:kern w:val="2"/>
          <w:sz w:val="24"/>
          <w:szCs w:val="20"/>
          <w:u w:val="wave"/>
          <w:lang w:val="en-US" w:eastAsia="zh-CN" w:bidi="ar-SA"/>
        </w:rPr>
        <w:t>入机排二十渠</w:t>
      </w:r>
      <w:r>
        <w:rPr>
          <w:rFonts w:hint="eastAsia" w:ascii="Times New Roman" w:hAnsi="Times New Roman" w:eastAsia="宋体" w:cs="Times New Roman"/>
          <w:color w:val="FF0000"/>
          <w:kern w:val="2"/>
          <w:sz w:val="24"/>
          <w:szCs w:val="20"/>
          <w:u w:val="wave"/>
          <w:lang w:val="en-US" w:eastAsia="zh-CN" w:bidi="ar-SA"/>
        </w:rPr>
        <w:t>。</w:t>
      </w:r>
      <w:r>
        <w:rPr>
          <w:rFonts w:hint="eastAsia" w:cs="Times New Roman"/>
          <w:color w:val="FF0000"/>
          <w:kern w:val="2"/>
          <w:sz w:val="24"/>
          <w:szCs w:val="20"/>
          <w:u w:val="wave"/>
          <w:lang w:val="en-US" w:eastAsia="zh-CN" w:bidi="ar-SA"/>
        </w:rPr>
        <w:t>根据益阳市大通湖区农业农村和水利局关于</w:t>
      </w:r>
      <w:r>
        <w:rPr>
          <w:rFonts w:hint="default" w:ascii="Times New Roman" w:hAnsi="Times New Roman" w:eastAsia="宋体" w:cs="Times New Roman"/>
          <w:color w:val="FF0000"/>
          <w:kern w:val="2"/>
          <w:sz w:val="24"/>
          <w:szCs w:val="20"/>
          <w:u w:val="wave"/>
          <w:lang w:val="en-US" w:eastAsia="zh-CN" w:bidi="ar-SA"/>
        </w:rPr>
        <w:t>机排二十渠</w:t>
      </w:r>
      <w:r>
        <w:rPr>
          <w:rFonts w:hint="eastAsia" w:cs="Times New Roman"/>
          <w:color w:val="FF0000"/>
          <w:kern w:val="2"/>
          <w:sz w:val="24"/>
          <w:szCs w:val="20"/>
          <w:u w:val="wave"/>
          <w:lang w:val="en-US" w:eastAsia="zh-CN" w:bidi="ar-SA"/>
        </w:rPr>
        <w:t>功能的情况说明，机排二十渠不直接参与农田灌溉，不具有农田灌溉功能，</w:t>
      </w:r>
      <w:r>
        <w:rPr>
          <w:rFonts w:hint="default" w:ascii="Times New Roman" w:hAnsi="Times New Roman" w:eastAsia="宋体" w:cs="Times New Roman"/>
          <w:color w:val="FF0000"/>
          <w:kern w:val="2"/>
          <w:sz w:val="24"/>
          <w:szCs w:val="20"/>
          <w:u w:val="wave"/>
          <w:lang w:val="en-US" w:eastAsia="zh-CN" w:bidi="ar-SA"/>
        </w:rPr>
        <w:t>项目污染物的排放不会影响农业灌溉</w:t>
      </w:r>
      <w:r>
        <w:rPr>
          <w:rFonts w:hint="eastAsia" w:ascii="Times New Roman" w:hAnsi="Times New Roman" w:eastAsia="宋体" w:cs="Times New Roman"/>
          <w:color w:val="FF0000"/>
          <w:kern w:val="2"/>
          <w:sz w:val="24"/>
          <w:szCs w:val="20"/>
          <w:u w:val="wave"/>
          <w:lang w:val="en-US" w:eastAsia="zh-CN" w:bidi="ar-SA"/>
        </w:rPr>
        <w:t>用</w:t>
      </w:r>
      <w:r>
        <w:rPr>
          <w:rFonts w:hint="default" w:ascii="Times New Roman" w:hAnsi="Times New Roman" w:eastAsia="宋体" w:cs="Times New Roman"/>
          <w:color w:val="FF0000"/>
          <w:kern w:val="2"/>
          <w:sz w:val="24"/>
          <w:szCs w:val="20"/>
          <w:u w:val="wave"/>
          <w:lang w:val="en-US" w:eastAsia="zh-CN" w:bidi="ar-SA"/>
        </w:rPr>
        <w:t>水。</w:t>
      </w:r>
      <w:r>
        <w:rPr>
          <w:rFonts w:hint="default" w:ascii="Times New Roman" w:hAnsi="Times New Roman" w:eastAsia="宋体" w:cs="Times New Roman"/>
          <w:color w:val="FF0000"/>
          <w:kern w:val="2"/>
          <w:sz w:val="24"/>
          <w:szCs w:val="20"/>
          <w:u w:val="wave"/>
          <w:lang w:val="en-US" w:eastAsia="zh-CN" w:bidi="ar-SA"/>
        </w:rPr>
        <w:t>基本不会对</w:t>
      </w:r>
      <w:r>
        <w:rPr>
          <w:rFonts w:hint="eastAsia" w:cs="Times New Roman"/>
          <w:color w:val="FF0000"/>
          <w:kern w:val="2"/>
          <w:sz w:val="24"/>
          <w:szCs w:val="20"/>
          <w:u w:val="wave"/>
          <w:lang w:val="en-US" w:eastAsia="zh-CN" w:bidi="ar-SA"/>
        </w:rPr>
        <w:t>区域</w:t>
      </w:r>
      <w:r>
        <w:rPr>
          <w:rFonts w:hint="default" w:ascii="Times New Roman" w:hAnsi="Times New Roman" w:eastAsia="宋体" w:cs="Times New Roman"/>
          <w:color w:val="FF0000"/>
          <w:kern w:val="2"/>
          <w:sz w:val="24"/>
          <w:szCs w:val="20"/>
          <w:u w:val="wave"/>
          <w:lang w:val="en-US" w:eastAsia="zh-CN" w:bidi="ar-SA"/>
        </w:rPr>
        <w:t>农业灌溉产生不利影响。</w:t>
      </w:r>
    </w:p>
    <w:p w14:paraId="76EA2D8B">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1"/>
        <w:rPr>
          <w:rFonts w:hint="default" w:ascii="Times New Roman" w:hAnsi="Times New Roman" w:eastAsia="宋体" w:cs="Times New Roman"/>
          <w:b/>
          <w:kern w:val="2"/>
          <w:sz w:val="28"/>
          <w:szCs w:val="28"/>
          <w:lang w:val="en-US" w:eastAsia="zh-CN" w:bidi="ar-SA"/>
        </w:rPr>
      </w:pPr>
      <w:bookmarkStart w:id="358" w:name="_Toc14120"/>
      <w:r>
        <w:rPr>
          <w:rFonts w:hint="default" w:ascii="Times New Roman" w:hAnsi="Times New Roman" w:eastAsia="宋体" w:cs="Times New Roman"/>
          <w:b/>
          <w:kern w:val="2"/>
          <w:sz w:val="28"/>
          <w:szCs w:val="28"/>
          <w:lang w:val="en-US" w:eastAsia="zh-CN" w:bidi="ar-SA"/>
        </w:rPr>
        <w:t>6.8枯水期排水对下游监控断面影响分析</w:t>
      </w:r>
      <w:bookmarkEnd w:id="358"/>
    </w:p>
    <w:p w14:paraId="7117A5F1">
      <w:pPr>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kern w:val="2"/>
          <w:sz w:val="24"/>
          <w:szCs w:val="20"/>
          <w:u w:val="none"/>
          <w:lang w:val="en-US" w:eastAsia="zh-CN" w:bidi="ar-SA"/>
        </w:rPr>
      </w:pPr>
      <w:r>
        <w:rPr>
          <w:rFonts w:hint="default" w:ascii="Times New Roman" w:hAnsi="Times New Roman" w:eastAsia="宋体" w:cs="Times New Roman"/>
          <w:kern w:val="2"/>
          <w:sz w:val="24"/>
          <w:szCs w:val="20"/>
          <w:u w:val="none"/>
          <w:lang w:val="en-US" w:eastAsia="zh-CN" w:bidi="ar-SA"/>
        </w:rPr>
        <w:t>项目污水处理站尾水排放流量为0.0</w:t>
      </w:r>
      <w:r>
        <w:rPr>
          <w:rFonts w:hint="eastAsia" w:cs="Times New Roman"/>
          <w:kern w:val="2"/>
          <w:sz w:val="24"/>
          <w:szCs w:val="20"/>
          <w:u w:val="none"/>
          <w:lang w:val="en-US" w:eastAsia="zh-CN" w:bidi="ar-SA"/>
        </w:rPr>
        <w:t>35</w:t>
      </w:r>
      <w:r>
        <w:rPr>
          <w:rFonts w:hint="default" w:ascii="Times New Roman" w:hAnsi="Times New Roman" w:eastAsia="宋体" w:cs="Times New Roman"/>
          <w:kern w:val="2"/>
          <w:sz w:val="24"/>
          <w:szCs w:val="20"/>
          <w:u w:val="none"/>
          <w:lang w:val="en-US" w:eastAsia="zh-CN" w:bidi="ar-SA"/>
        </w:rPr>
        <w:t>m</w:t>
      </w:r>
      <w:r>
        <w:rPr>
          <w:rFonts w:hint="default" w:ascii="Times New Roman" w:hAnsi="Times New Roman" w:eastAsia="宋体" w:cs="Times New Roman"/>
          <w:kern w:val="2"/>
          <w:sz w:val="24"/>
          <w:szCs w:val="20"/>
          <w:u w:val="none"/>
          <w:vertAlign w:val="superscript"/>
          <w:lang w:val="en-US" w:eastAsia="zh-CN" w:bidi="ar-SA"/>
        </w:rPr>
        <w:t>3</w:t>
      </w:r>
      <w:r>
        <w:rPr>
          <w:rFonts w:hint="default" w:ascii="Times New Roman" w:hAnsi="Times New Roman" w:eastAsia="宋体" w:cs="Times New Roman"/>
          <w:kern w:val="2"/>
          <w:sz w:val="24"/>
          <w:szCs w:val="20"/>
          <w:u w:val="none"/>
          <w:lang w:val="en-US" w:eastAsia="zh-CN" w:bidi="ar-SA"/>
        </w:rPr>
        <w:t>/s，下游机排二十渠、老三运河段等论证范围内无国控、省控断面监控断面，在非灌溉季节，废水排放流量也不会对下游水质较大造成影响。</w:t>
      </w:r>
    </w:p>
    <w:p w14:paraId="5935941E">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1"/>
        <w:rPr>
          <w:rFonts w:hint="default" w:ascii="Times New Roman" w:hAnsi="Times New Roman" w:eastAsia="宋体" w:cs="Times New Roman"/>
          <w:b/>
          <w:kern w:val="2"/>
          <w:sz w:val="28"/>
          <w:szCs w:val="28"/>
          <w:lang w:val="en-US" w:eastAsia="zh-CN" w:bidi="ar-SA"/>
        </w:rPr>
      </w:pPr>
      <w:bookmarkStart w:id="359" w:name="_Toc5730"/>
      <w:r>
        <w:rPr>
          <w:rFonts w:hint="default" w:ascii="Times New Roman" w:hAnsi="Times New Roman" w:eastAsia="宋体" w:cs="Times New Roman"/>
          <w:b/>
          <w:kern w:val="2"/>
          <w:sz w:val="28"/>
          <w:szCs w:val="28"/>
          <w:lang w:val="en-US" w:eastAsia="zh-CN" w:bidi="ar-SA"/>
        </w:rPr>
        <w:t>6.9对湿地公园的影响</w:t>
      </w:r>
      <w:bookmarkEnd w:id="359"/>
    </w:p>
    <w:p w14:paraId="21F62D6A">
      <w:pPr>
        <w:keepLines w:val="0"/>
        <w:pageBreakBefore w:val="0"/>
        <w:kinsoku/>
        <w:wordWrap/>
        <w:overflowPunct/>
        <w:topLinePunct w:val="0"/>
        <w:autoSpaceDE/>
        <w:autoSpaceDN/>
        <w:bidi w:val="0"/>
        <w:adjustRightInd/>
        <w:spacing w:line="360" w:lineRule="auto"/>
        <w:textAlignment w:val="auto"/>
        <w:rPr>
          <w:rFonts w:hint="default" w:ascii="Times New Roman" w:hAnsi="Times New Roman" w:eastAsia="宋体" w:cs="Times New Roman"/>
          <w:u w:val="none"/>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kern w:val="2"/>
          <w:sz w:val="24"/>
          <w:szCs w:val="20"/>
          <w:u w:val="none"/>
          <w:lang w:val="en-US" w:eastAsia="zh-CN" w:bidi="ar-SA"/>
        </w:rPr>
        <w:t>项目排放的水污染因子主要为常规污染物，且本项目属于净水工程，污水处理厂正常运行情况下将污水处理达到《城镇污水处理厂污染物排放标准》（GB 18918—2002）</w:t>
      </w:r>
      <w:r>
        <w:rPr>
          <w:rFonts w:hint="eastAsia" w:cs="Times New Roman"/>
          <w:kern w:val="2"/>
          <w:sz w:val="24"/>
          <w:szCs w:val="20"/>
          <w:u w:val="none"/>
          <w:lang w:val="en-US" w:eastAsia="zh-CN" w:bidi="ar-SA"/>
        </w:rPr>
        <w:t>及</w:t>
      </w:r>
      <w:r>
        <w:rPr>
          <w:rFonts w:hint="default" w:ascii="Times New Roman" w:hAnsi="Times New Roman" w:eastAsia="宋体" w:cs="Times New Roman"/>
          <w:kern w:val="2"/>
          <w:sz w:val="24"/>
          <w:szCs w:val="20"/>
          <w:u w:val="none"/>
          <w:lang w:val="en-US" w:eastAsia="zh-CN" w:bidi="ar-SA"/>
        </w:rPr>
        <w:t>修改单表1中一级A标准后排放至机排二十渠，</w:t>
      </w:r>
      <w:r>
        <w:rPr>
          <w:rFonts w:hint="eastAsia" w:cs="Times New Roman"/>
          <w:kern w:val="2"/>
          <w:sz w:val="24"/>
          <w:szCs w:val="20"/>
          <w:u w:val="none"/>
          <w:lang w:val="en-US" w:eastAsia="zh-CN" w:bidi="ar-SA"/>
        </w:rPr>
        <w:t>再汇入老三运河，最终排入漉湖。本项目受纳水体不涉及</w:t>
      </w:r>
      <w:r>
        <w:rPr>
          <w:rFonts w:hint="default" w:ascii="Times New Roman" w:hAnsi="Times New Roman" w:eastAsia="宋体" w:cs="Times New Roman"/>
          <w:kern w:val="2"/>
          <w:sz w:val="24"/>
          <w:szCs w:val="20"/>
          <w:u w:val="none"/>
          <w:lang w:val="en-US" w:eastAsia="zh-CN" w:bidi="ar-SA"/>
        </w:rPr>
        <w:t>大通湖国家湿地公园，对湿地公园</w:t>
      </w:r>
      <w:r>
        <w:rPr>
          <w:rFonts w:hint="eastAsia" w:cs="Times New Roman"/>
          <w:kern w:val="2"/>
          <w:sz w:val="24"/>
          <w:szCs w:val="20"/>
          <w:u w:val="none"/>
          <w:lang w:val="en-US" w:eastAsia="zh-CN" w:bidi="ar-SA"/>
        </w:rPr>
        <w:t>基本无影响</w:t>
      </w:r>
      <w:r>
        <w:rPr>
          <w:rFonts w:hint="default" w:ascii="Times New Roman" w:hAnsi="Times New Roman" w:eastAsia="宋体" w:cs="Times New Roman"/>
          <w:kern w:val="2"/>
          <w:sz w:val="24"/>
          <w:szCs w:val="20"/>
          <w:u w:val="none"/>
          <w:lang w:val="en-US" w:eastAsia="zh-CN" w:bidi="ar-SA"/>
        </w:rPr>
        <w:t>。</w:t>
      </w:r>
    </w:p>
    <w:p w14:paraId="5D566878">
      <w:pPr>
        <w:keepNext w:val="0"/>
        <w:keepLines w:val="0"/>
        <w:widowControl/>
        <w:suppressLineNumbers w:val="0"/>
        <w:autoSpaceDE/>
        <w:autoSpaceDN/>
        <w:adjustRightInd/>
        <w:spacing w:line="240" w:lineRule="auto"/>
        <w:ind w:firstLine="0" w:firstLineChars="0"/>
        <w:jc w:val="center"/>
        <w:outlineLvl w:val="0"/>
        <w:rPr>
          <w:rFonts w:hint="default" w:ascii="Times New Roman" w:hAnsi="Times New Roman" w:eastAsia="宋体" w:cs="Times New Roman"/>
          <w:kern w:val="2"/>
          <w:sz w:val="36"/>
          <w:szCs w:val="36"/>
        </w:rPr>
      </w:pPr>
      <w:bookmarkStart w:id="360" w:name="_Toc20133"/>
      <w:r>
        <w:rPr>
          <w:rFonts w:hint="default" w:ascii="Times New Roman" w:hAnsi="Times New Roman" w:eastAsia="宋体" w:cs="Times New Roman"/>
          <w:b/>
          <w:bCs/>
          <w:color w:val="000000"/>
          <w:kern w:val="0"/>
          <w:sz w:val="36"/>
          <w:szCs w:val="36"/>
          <w:lang w:val="en-US" w:eastAsia="zh-CN" w:bidi="ar"/>
        </w:rPr>
        <w:t>7 入河排污口设置水生态影响分析</w:t>
      </w:r>
      <w:bookmarkEnd w:id="360"/>
    </w:p>
    <w:p w14:paraId="49A0064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p>
    <w:p w14:paraId="01B74C1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（1）对水生生物区系组成的影响分析 </w:t>
      </w:r>
    </w:p>
    <w:p w14:paraId="3355A8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kern w:val="2"/>
          <w:sz w:val="24"/>
          <w:szCs w:val="24"/>
        </w:rPr>
      </w:pPr>
      <w:r>
        <w:rPr>
          <w:rFonts w:hint="default" w:ascii="Times New Roman" w:hAnsi="Times New Roman" w:eastAsia="宋体" w:cs="Times New Roman"/>
          <w:color w:val="FF0000"/>
          <w:kern w:val="0"/>
          <w:sz w:val="24"/>
          <w:szCs w:val="24"/>
          <w:lang w:val="en-US" w:eastAsia="zh-CN" w:bidi="ar"/>
        </w:rPr>
        <w:t>运营期</w:t>
      </w:r>
      <w:r>
        <w:rPr>
          <w:rFonts w:hint="eastAsia" w:cs="Times New Roman"/>
          <w:color w:val="FF0000"/>
          <w:kern w:val="0"/>
          <w:sz w:val="24"/>
          <w:szCs w:val="24"/>
          <w:lang w:val="en-US" w:eastAsia="zh-CN" w:bidi="ar"/>
        </w:rPr>
        <w:t>项目</w:t>
      </w:r>
      <w:r>
        <w:rPr>
          <w:rFonts w:hint="default" w:ascii="Times New Roman" w:hAnsi="Times New Roman" w:eastAsia="宋体" w:cs="Times New Roman"/>
          <w:color w:val="FF0000"/>
          <w:kern w:val="0"/>
          <w:sz w:val="24"/>
          <w:szCs w:val="24"/>
          <w:lang w:val="en-US" w:eastAsia="zh-CN" w:bidi="ar"/>
        </w:rPr>
        <w:t>尾水</w:t>
      </w:r>
      <w:r>
        <w:rPr>
          <w:rFonts w:hint="eastAsia" w:cs="Times New Roman"/>
          <w:color w:val="FF0000"/>
          <w:kern w:val="0"/>
          <w:sz w:val="24"/>
          <w:szCs w:val="24"/>
          <w:lang w:val="en-US" w:eastAsia="zh-CN" w:bidi="ar"/>
        </w:rPr>
        <w:t>经处理达标后排入机排二十渠，再汇入</w:t>
      </w:r>
      <w:r>
        <w:rPr>
          <w:rFonts w:hint="default" w:ascii="Times New Roman" w:hAnsi="Times New Roman" w:eastAsia="宋体" w:cs="Times New Roman"/>
          <w:color w:val="FF0000"/>
          <w:kern w:val="0"/>
          <w:sz w:val="24"/>
          <w:szCs w:val="24"/>
          <w:lang w:val="en-US" w:eastAsia="zh-CN" w:bidi="ar"/>
        </w:rPr>
        <w:t>老三运河，</w:t>
      </w:r>
      <w:r>
        <w:rPr>
          <w:rFonts w:hint="eastAsia" w:cs="Times New Roman"/>
          <w:color w:val="FF0000"/>
          <w:kern w:val="0"/>
          <w:sz w:val="24"/>
          <w:szCs w:val="24"/>
          <w:lang w:val="en-US" w:eastAsia="zh-CN" w:bidi="ar"/>
        </w:rPr>
        <w:t>根据第6章对水功能区水质的预测分析可知，</w:t>
      </w:r>
      <w:r>
        <w:rPr>
          <w:rFonts w:hint="default" w:ascii="Times New Roman" w:hAnsi="Times New Roman" w:eastAsia="宋体" w:cs="Times New Roman"/>
          <w:color w:val="FF0000"/>
          <w:kern w:val="0"/>
          <w:sz w:val="24"/>
          <w:szCs w:val="24"/>
          <w:lang w:val="en-US" w:eastAsia="zh-CN" w:bidi="ar"/>
        </w:rPr>
        <w:t>论证排污口排污量较小，由于河水自身的稀释作用，污染物进入水体后被迅速稀释至地表水环境质量标准范围内。因此运营期正常排放时，尾水排放对老三运河水生生物区系组成的影响</w:t>
      </w:r>
      <w:r>
        <w:rPr>
          <w:rFonts w:hint="eastAsia" w:cs="Times New Roman"/>
          <w:color w:val="FF0000"/>
          <w:kern w:val="0"/>
          <w:sz w:val="24"/>
          <w:szCs w:val="24"/>
          <w:lang w:val="en-US" w:eastAsia="zh-CN" w:bidi="ar"/>
        </w:rPr>
        <w:t>较小</w:t>
      </w:r>
      <w:r>
        <w:rPr>
          <w:rFonts w:hint="default" w:ascii="Times New Roman" w:hAnsi="Times New Roman" w:eastAsia="宋体" w:cs="Times New Roman"/>
          <w:color w:val="FF0000"/>
          <w:kern w:val="0"/>
          <w:sz w:val="24"/>
          <w:szCs w:val="24"/>
          <w:lang w:val="en-US" w:eastAsia="zh-CN" w:bidi="ar"/>
        </w:rPr>
        <w:t xml:space="preserve">。 </w:t>
      </w:r>
    </w:p>
    <w:p w14:paraId="1C6B164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（2）对水生生物种群结构的影响分析 </w:t>
      </w:r>
    </w:p>
    <w:p w14:paraId="6701BD3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运营期</w:t>
      </w:r>
      <w:r>
        <w:rPr>
          <w:rFonts w:hint="eastAsia" w:cs="Times New Roman"/>
          <w:color w:val="000000"/>
          <w:kern w:val="0"/>
          <w:sz w:val="24"/>
          <w:szCs w:val="24"/>
          <w:lang w:val="en-US" w:eastAsia="zh-CN" w:bidi="ar"/>
        </w:rPr>
        <w:t>项目</w:t>
      </w:r>
      <w:r>
        <w:rPr>
          <w:rFonts w:hint="default" w:ascii="Times New Roman" w:hAnsi="Times New Roman" w:eastAsia="宋体" w:cs="Times New Roman"/>
          <w:color w:val="000000"/>
          <w:kern w:val="0"/>
          <w:sz w:val="24"/>
          <w:szCs w:val="24"/>
          <w:lang w:val="en-US" w:eastAsia="zh-CN" w:bidi="ar"/>
        </w:rPr>
        <w:t xml:space="preserve">尾水排放将导致氮磷增加，富营养化风险增加。排污口附近浮游生物、底栖动物耐污性种类比例升高，寡污性种类减少或消失，种群结构发生改变。由于尾水排放量占老三运河径流量的比例较小，污染物进入水体后被迅速稀释至河流污染物本底值附近，影响范围主要是排水口附近水域。因此，运营期对水生生物种群结构的影响在可控范围内。 </w:t>
      </w:r>
    </w:p>
    <w:p w14:paraId="1A633E7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（3）对鱼类的影响分析 </w:t>
      </w:r>
    </w:p>
    <w:p w14:paraId="455DCD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项目不产生温排水，外排废水污染物种类较简单，不存在温排水影响鱼类等敏感生态影响问题，项目主要污染因子 COD、氨氮、总磷等，不含第一类污染 物，废水中没有典型盐类污染物，出水水质可达到《城镇污水处理厂污染物排放标准》（GB 18918-2002）</w:t>
      </w:r>
      <w:r>
        <w:rPr>
          <w:rFonts w:hint="eastAsia" w:cs="Times New Roman"/>
          <w:color w:val="000000"/>
          <w:kern w:val="0"/>
          <w:sz w:val="24"/>
          <w:szCs w:val="24"/>
          <w:lang w:val="en-US" w:eastAsia="zh-CN" w:bidi="ar"/>
        </w:rPr>
        <w:t>及修改单</w:t>
      </w:r>
      <w:r>
        <w:rPr>
          <w:rFonts w:hint="default" w:ascii="Times New Roman" w:hAnsi="Times New Roman" w:eastAsia="宋体" w:cs="Times New Roman"/>
          <w:color w:val="000000"/>
          <w:kern w:val="0"/>
          <w:sz w:val="24"/>
          <w:szCs w:val="24"/>
          <w:lang w:val="en-US" w:eastAsia="zh-CN" w:bidi="ar"/>
        </w:rPr>
        <w:t xml:space="preserve">一级A标准，项目废水排入老三运河后河流水质可以达到《地表水环境质量标准》Ⅲ类标准。尾水排放对鱼类的影响主要是通过饵料基础产生的间接影响，局部区域污染物浓度升高，浮游生物的增加将导致滤食性种类比例升高，而杂食性、草食性鱼类的比例将下降。尾水经一段距离的降解稀释后水质变化不大，且老三运河属于小型河流，鱼类资源不丰富，项目不会对鱼类产生较大影响。 </w:t>
      </w:r>
    </w:p>
    <w:p w14:paraId="246177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非正常排放情况下，影响范围相对正常排放有所增大，对老三运河水质造成一定影响，可能会对鱼类产生毒害作用，因此需要建设单位加强风险管控，杜绝废水的事故排放。 </w:t>
      </w:r>
    </w:p>
    <w:p w14:paraId="054202F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（4）对重要水生态保护目标的影响分析 </w:t>
      </w:r>
    </w:p>
    <w:p w14:paraId="097178B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经调查，论证范围内水域无珍稀水生生物和鱼类，未发现重要水生生物的产 </w:t>
      </w:r>
    </w:p>
    <w:p w14:paraId="06CD30A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卵场、索饵场、越冬场和洄游通道等，不涉及水产种质资源保护区、湿地保护区等生态敏感因素和水生生态保护目标。老三运河水质可以达到《地表水环境质量标准》（GB3838 -2002）Ⅲ类标准，且项目排放的污染物不含第一类污染物及营养盐类污染物，入河排污口污染物不会对水体造成较大的影响。 </w:t>
      </w:r>
    </w:p>
    <w:p w14:paraId="1008AB1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（4）对水体富营养化的影响 </w:t>
      </w:r>
    </w:p>
    <w:p w14:paraId="30AA78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论证排污口经处理达标排放后其污染负荷也得到消减，对水生生态环境影响 </w:t>
      </w:r>
    </w:p>
    <w:p w14:paraId="7F3DB80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不大，排污口排出的污水中含有一定浓度的氮、磷，能够增加水体中的养分，导 </w:t>
      </w:r>
    </w:p>
    <w:p w14:paraId="6255C96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致藻类繁殖，对排污口附近喜清水类水生生物生长、繁殖产生一定影响，论证排 </w:t>
      </w:r>
    </w:p>
    <w:p w14:paraId="06238B5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污口污水含有机物浓度较低，其影响的范围和程度较小。</w:t>
      </w:r>
    </w:p>
    <w:p w14:paraId="6CD5C8A7">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24528DB1">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5C92792E">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6E47F93C">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67392FEE">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1C66B16E">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26267508">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7CEB25C1">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1F6A26AE">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2BFF7B4E">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129679C0">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4739CB68">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4F0B99FD">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028FB135">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7425CEE7">
      <w:pPr>
        <w:keepNext w:val="0"/>
        <w:keepLines w:val="0"/>
        <w:widowControl/>
        <w:suppressLineNumbers w:val="0"/>
        <w:autoSpaceDE/>
        <w:autoSpaceDN/>
        <w:adjustRightInd/>
        <w:spacing w:line="240" w:lineRule="auto"/>
        <w:ind w:firstLine="0" w:firstLineChars="0"/>
        <w:jc w:val="center"/>
        <w:rPr>
          <w:rFonts w:hint="default" w:ascii="Times New Roman" w:hAnsi="Times New Roman" w:eastAsia="宋体" w:cs="Times New Roman"/>
          <w:b/>
          <w:bCs/>
          <w:color w:val="000000"/>
          <w:kern w:val="0"/>
          <w:sz w:val="31"/>
          <w:szCs w:val="31"/>
          <w:lang w:val="en-US" w:eastAsia="zh-CN" w:bidi="ar"/>
        </w:rPr>
      </w:pPr>
    </w:p>
    <w:p w14:paraId="416D2F9E">
      <w:pPr>
        <w:rPr>
          <w:rFonts w:hint="default" w:ascii="Times New Roman" w:hAnsi="Times New Roman" w:eastAsia="宋体" w:cs="Times New Roman"/>
          <w:b/>
          <w:bCs/>
          <w:color w:val="000000"/>
          <w:kern w:val="0"/>
          <w:sz w:val="31"/>
          <w:szCs w:val="31"/>
          <w:lang w:val="en-US" w:eastAsia="zh-CN" w:bidi="ar"/>
        </w:rPr>
      </w:pPr>
      <w:bookmarkStart w:id="361" w:name="_Toc13564"/>
      <w:r>
        <w:rPr>
          <w:rFonts w:hint="default" w:ascii="Times New Roman" w:hAnsi="Times New Roman" w:eastAsia="宋体" w:cs="Times New Roman"/>
          <w:b/>
          <w:bCs/>
          <w:color w:val="000000"/>
          <w:kern w:val="0"/>
          <w:sz w:val="31"/>
          <w:szCs w:val="31"/>
          <w:lang w:val="en-US" w:eastAsia="zh-CN" w:bidi="ar"/>
        </w:rPr>
        <w:br w:type="page"/>
      </w:r>
    </w:p>
    <w:p w14:paraId="67000A40">
      <w:pPr>
        <w:keepNext w:val="0"/>
        <w:keepLines w:val="0"/>
        <w:widowControl/>
        <w:suppressLineNumbers w:val="0"/>
        <w:autoSpaceDE/>
        <w:autoSpaceDN/>
        <w:adjustRightInd/>
        <w:spacing w:line="240" w:lineRule="auto"/>
        <w:ind w:firstLine="0" w:firstLineChars="0"/>
        <w:jc w:val="center"/>
        <w:outlineLvl w:val="0"/>
        <w:rPr>
          <w:rFonts w:hint="default" w:ascii="Times New Roman" w:hAnsi="Times New Roman" w:eastAsia="宋体" w:cs="Times New Roman"/>
          <w:kern w:val="2"/>
          <w:sz w:val="21"/>
        </w:rPr>
      </w:pPr>
      <w:r>
        <w:rPr>
          <w:rFonts w:hint="default" w:ascii="Times New Roman" w:hAnsi="Times New Roman" w:eastAsia="宋体" w:cs="Times New Roman"/>
          <w:b/>
          <w:bCs/>
          <w:color w:val="000000"/>
          <w:kern w:val="0"/>
          <w:sz w:val="31"/>
          <w:szCs w:val="31"/>
          <w:lang w:val="en-US" w:eastAsia="zh-CN" w:bidi="ar"/>
        </w:rPr>
        <w:t>8 入河排污口设置水环境风险影响分析</w:t>
      </w:r>
      <w:bookmarkEnd w:id="361"/>
    </w:p>
    <w:p w14:paraId="4C6BC39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kern w:val="2"/>
          <w:sz w:val="28"/>
          <w:szCs w:val="28"/>
        </w:rPr>
      </w:pPr>
      <w:bookmarkStart w:id="362" w:name="_Toc25025"/>
      <w:bookmarkStart w:id="363" w:name="_Toc8653"/>
      <w:bookmarkStart w:id="364" w:name="_Toc15491"/>
      <w:bookmarkStart w:id="365" w:name="_Toc17883"/>
      <w:bookmarkStart w:id="366" w:name="_Toc79960008"/>
      <w:bookmarkStart w:id="367" w:name="_Toc14047"/>
      <w:r>
        <w:rPr>
          <w:rFonts w:hint="default" w:ascii="Times New Roman" w:hAnsi="Times New Roman" w:eastAsia="宋体" w:cs="Times New Roman"/>
          <w:b/>
          <w:bCs/>
          <w:color w:val="000000"/>
          <w:kern w:val="0"/>
          <w:sz w:val="28"/>
          <w:szCs w:val="28"/>
          <w:lang w:val="en-US" w:eastAsia="zh-CN" w:bidi="ar"/>
        </w:rPr>
        <w:t>8.1 环境风险识别</w:t>
      </w:r>
      <w:bookmarkEnd w:id="362"/>
      <w:r>
        <w:rPr>
          <w:rFonts w:hint="default" w:ascii="Times New Roman" w:hAnsi="Times New Roman" w:eastAsia="宋体" w:cs="Times New Roman"/>
          <w:b/>
          <w:bCs/>
          <w:color w:val="000000"/>
          <w:kern w:val="0"/>
          <w:sz w:val="28"/>
          <w:szCs w:val="28"/>
          <w:lang w:val="en-US" w:eastAsia="zh-CN" w:bidi="ar"/>
        </w:rPr>
        <w:t xml:space="preserve"> </w:t>
      </w:r>
    </w:p>
    <w:p w14:paraId="634403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本项目运行过程中水环境风险主要为污水事故排放。 </w:t>
      </w:r>
    </w:p>
    <w:p w14:paraId="6EE322D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污水处理工程运行过程中比较常见的事故工况主要包括以下情形： </w:t>
      </w:r>
    </w:p>
    <w:p w14:paraId="3297095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（1）设备故障、管道破裂导致水质异常 </w:t>
      </w:r>
    </w:p>
    <w:p w14:paraId="736674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污水处理厂运行异常，通常是因机械故障、设备损坏等原因导致的： </w:t>
      </w:r>
    </w:p>
    <w:p w14:paraId="15E476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1）机械故障是比较常见的现象。污水处理厂进水杂物处理不彻底，导致机 </w:t>
      </w:r>
    </w:p>
    <w:p w14:paraId="18FF7F4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械故障是主要因素，因此需要及时对拦污格栅进行清理、维护、更新，避免杂物 </w:t>
      </w:r>
    </w:p>
    <w:p w14:paraId="0A4E3F6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进入后期处理系统，影响系统正常运行。 </w:t>
      </w:r>
    </w:p>
    <w:p w14:paraId="2DF1B5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2）设备运行中磨损、老化、损坏是设备故障的主要原因，需要加强设备维 </w:t>
      </w:r>
    </w:p>
    <w:p w14:paraId="29ADE55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护、保养，对老旧设备进行更新，保障设备正常运行。 </w:t>
      </w:r>
    </w:p>
    <w:p w14:paraId="7255FA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3）污水管道破裂 </w:t>
      </w:r>
    </w:p>
    <w:p w14:paraId="65452B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污水管道破裂，如爆管、断管、漏水等将会造成大量的污水外溢，污染地下 </w:t>
      </w:r>
    </w:p>
    <w:p w14:paraId="75FA367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水及地表水。 </w:t>
      </w:r>
    </w:p>
    <w:p w14:paraId="7EE3A10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（2）进水水质异常 </w:t>
      </w:r>
    </w:p>
    <w:p w14:paraId="573851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污水管网服务范围内污水来源发生变化，导致进水水质异常，是极难控制的 </w:t>
      </w:r>
    </w:p>
    <w:p w14:paraId="33CB585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影响因素，因此进水水质监测非常重要。当出现水质异常时，要及时对服务范围 </w:t>
      </w:r>
    </w:p>
    <w:p w14:paraId="2754302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内异常污水来源进行调查，及时进行处置。同时在发现进水水质异常后，对出水 </w:t>
      </w:r>
    </w:p>
    <w:p w14:paraId="0065192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进行控制，一般可利用水泵将不达标出水回流到进水泵房或应急事故水池，重新 </w:t>
      </w:r>
    </w:p>
    <w:p w14:paraId="268F35A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进行处理，并关闭出水水阀，防止超标尾水排至纳污水体。由于工艺参数等变化 </w:t>
      </w:r>
    </w:p>
    <w:p w14:paraId="4637605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导致出水水质异常。 </w:t>
      </w:r>
    </w:p>
    <w:p w14:paraId="1BC5467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（3）供电故障 </w:t>
      </w:r>
    </w:p>
    <w:p w14:paraId="09AE10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供电系统安全是污水处理厂重要保障之一，现行污水处理厂在设计中，对供 </w:t>
      </w:r>
    </w:p>
    <w:p w14:paraId="6B3AB3A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电方面采取双电路保障，并配备自备电源，因此供电故障处置相对快速，影响时 </w:t>
      </w:r>
    </w:p>
    <w:p w14:paraId="08EB257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间相对较短，事故后可采取延长污水处理时间的方法对事故期间污水进行处理。 </w:t>
      </w:r>
    </w:p>
    <w:p w14:paraId="6BF7E8A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（4）汛期影响 </w:t>
      </w:r>
    </w:p>
    <w:p w14:paraId="268C11A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每年都有暴雨、洪水季节，导致进厂污水超过污水处理能力，或出现配电房 </w:t>
      </w:r>
    </w:p>
    <w:p w14:paraId="05EEA05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等污水处理设施被洪水淹没，影响污水处理厂正常运营。 </w:t>
      </w:r>
    </w:p>
    <w:p w14:paraId="45A4377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（5）提升泵站故障 </w:t>
      </w:r>
    </w:p>
    <w:p w14:paraId="1CA044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提升泵站设备故障，导致管道中污水溢流、外泄，影响周围地表水水质。 </w:t>
      </w:r>
    </w:p>
    <w:p w14:paraId="77E93DB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（6）火灾影响及其他不可抗拒因素 </w:t>
      </w:r>
    </w:p>
    <w:p w14:paraId="0F0483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配电室、控制室等污水处理设施因长期运行，易出现电路老化而诱发火灾， </w:t>
      </w:r>
    </w:p>
    <w:p w14:paraId="79EDCA7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从而导致污水处理厂运行中断，引发环境污染事故。其他不可抗拒因素如地震、 </w:t>
      </w:r>
    </w:p>
    <w:p w14:paraId="3932528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超标洪水等自然灾害的影响，也将给污水处理工程造成破坏性损害，造成水污染 </w:t>
      </w:r>
    </w:p>
    <w:p w14:paraId="2C4E666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事故。 </w:t>
      </w:r>
    </w:p>
    <w:p w14:paraId="3FCBEAE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kern w:val="2"/>
          <w:sz w:val="28"/>
          <w:szCs w:val="28"/>
        </w:rPr>
      </w:pPr>
      <w:bookmarkStart w:id="368" w:name="_Toc21632"/>
      <w:r>
        <w:rPr>
          <w:rFonts w:hint="default" w:ascii="Times New Roman" w:hAnsi="Times New Roman" w:eastAsia="宋体" w:cs="Times New Roman"/>
          <w:b/>
          <w:bCs/>
          <w:color w:val="000000"/>
          <w:kern w:val="0"/>
          <w:sz w:val="28"/>
          <w:szCs w:val="28"/>
          <w:lang w:val="en-US" w:eastAsia="zh-CN" w:bidi="ar"/>
        </w:rPr>
        <w:t>8.2 环境风险防控措施</w:t>
      </w:r>
      <w:bookmarkEnd w:id="368"/>
      <w:r>
        <w:rPr>
          <w:rFonts w:hint="default" w:ascii="Times New Roman" w:hAnsi="Times New Roman" w:eastAsia="宋体" w:cs="Times New Roman"/>
          <w:b/>
          <w:bCs/>
          <w:color w:val="000000"/>
          <w:kern w:val="0"/>
          <w:sz w:val="28"/>
          <w:szCs w:val="28"/>
          <w:lang w:val="en-US" w:eastAsia="zh-CN" w:bidi="ar"/>
        </w:rPr>
        <w:t xml:space="preserve"> </w:t>
      </w:r>
    </w:p>
    <w:p w14:paraId="16D016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为了保证污水得到有效处理，实现达标排放，避免项目运行期间出现污水事 </w:t>
      </w:r>
    </w:p>
    <w:p w14:paraId="26A99FA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故排放，或将事故排放损失降至最低，需制定相应的环境风险防范措施。 </w:t>
      </w:r>
    </w:p>
    <w:p w14:paraId="4F64307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（1）设备故障、停电风险防范措施 </w:t>
      </w:r>
    </w:p>
    <w:p w14:paraId="175C1D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1）污水处理厂应采用双电路供电，水泵设计应考虑备用，机械设备应采用 </w:t>
      </w:r>
    </w:p>
    <w:p w14:paraId="06DC80B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性能可靠的优质产品。 </w:t>
      </w:r>
    </w:p>
    <w:p w14:paraId="333408C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2）为使在事故状态下污水处理厂仪表等设备正常运转，必须选择质量优良、 </w:t>
      </w:r>
    </w:p>
    <w:p w14:paraId="48F321A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事故率低、便于维修的产品。关键设备应有备用，易损部件也要有备用，在事故 </w:t>
      </w:r>
    </w:p>
    <w:p w14:paraId="0ECC172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出现时做到及时更换。 </w:t>
      </w:r>
    </w:p>
    <w:p w14:paraId="7E6172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3）为使在事故状态下污水处理厂能够迅速恢复正常运行，应在主要水工建 </w:t>
      </w:r>
    </w:p>
    <w:p w14:paraId="1BC77CF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筑物的容积上留有相应的缓冲能力，并配有相应的设备（如回流泵、回流管道、 </w:t>
      </w:r>
    </w:p>
    <w:p w14:paraId="69F5430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阀门等）。 </w:t>
      </w:r>
    </w:p>
    <w:p w14:paraId="306923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4）加强事故隐患监控，定期巡检、调节、保养、维修。及时发现有可能引 </w:t>
      </w:r>
    </w:p>
    <w:p w14:paraId="2D392F6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起事故的异常运行苗头，消除事故隐患。 </w:t>
      </w:r>
    </w:p>
    <w:p w14:paraId="2C6A67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5）严格控制处理单元的水量、水质、停留时问、负荷强度等工艺参数，确 </w:t>
      </w:r>
    </w:p>
    <w:p w14:paraId="7176C7E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保处理效果的稳定性。配备流量、水质自动分析监控仪器，定期取样监测。操作 </w:t>
      </w:r>
    </w:p>
    <w:p w14:paraId="4AAD3CB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人员及时调整，使设备处于最佳工况。如发现不正常现象，就需立即采取预防措 </w:t>
      </w:r>
    </w:p>
    <w:p w14:paraId="1EBC093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施。 </w:t>
      </w:r>
    </w:p>
    <w:p w14:paraId="270599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6）污水处理厂建设有调节池、生化池等，在发生事故、检修等特殊情况下， </w:t>
      </w:r>
    </w:p>
    <w:p w14:paraId="32816E1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可短暂贮存排出的废水，避免污水未经处理外排造成严重的污染事件。 </w:t>
      </w:r>
    </w:p>
    <w:p w14:paraId="7160BF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7）在污水处理厂尾水排入专用管道前，设置阀门，并定时查看尾水在线监 </w:t>
      </w:r>
    </w:p>
    <w:p w14:paraId="4AFF911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控系统的运行情况，记录相关数值，在发现尾水排放指标超过限值或在线监控系 </w:t>
      </w:r>
    </w:p>
    <w:p w14:paraId="6DA27A7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统发生故障自动报警时，关闭管道闸门，防止未经处理或超标尾水外排。 </w:t>
      </w:r>
    </w:p>
    <w:p w14:paraId="573CC4F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（2）管道破损泄漏风险防范 </w:t>
      </w:r>
    </w:p>
    <w:p w14:paraId="6672938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1）管道衔接应防止泄漏污染地下水，淤塞应及时疏浚，保证管道通畅。 </w:t>
      </w:r>
    </w:p>
    <w:p w14:paraId="2CF946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2）为减少管节更换时问，对现状道路，需要破路施工地段，以管沟代替覆 </w:t>
      </w:r>
    </w:p>
    <w:p w14:paraId="521849C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土回填，避免将来可能的破路抢修。 </w:t>
      </w:r>
    </w:p>
    <w:p w14:paraId="794A40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3）设立明显的管道标志，防止意外破坏，绿化地段，管道上方不宜栽植高 </w:t>
      </w:r>
    </w:p>
    <w:p w14:paraId="30DEF7E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大乔木或深根性的植物。 </w:t>
      </w:r>
    </w:p>
    <w:p w14:paraId="190A5D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4）运营期建立定期巡视制度，尤其是运营数年后应加大巡视密度，发现小 </w:t>
      </w:r>
    </w:p>
    <w:p w14:paraId="2B81342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股泄露即应更换破损管节，避免爆管更换。 </w:t>
      </w:r>
    </w:p>
    <w:p w14:paraId="53BBAC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5）当发生管网爆管、断管、漏水时，必须立即采取措施，对突发地段进行 </w:t>
      </w:r>
    </w:p>
    <w:p w14:paraId="1E4003D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闭管，并及时报告当地有关职能部门。 </w:t>
      </w:r>
    </w:p>
    <w:p w14:paraId="4348416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（3）进水水质异常风险防范措施 </w:t>
      </w:r>
    </w:p>
    <w:p w14:paraId="5FE5BC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1）设置进、出水水质自动检测装置及报警装置，或定期对进水水质进行次监测，及时发现不良水质的进入。 </w:t>
      </w:r>
    </w:p>
    <w:p w14:paraId="2A6590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2）一旦发现进水水质异常，应及时向有关部门反映查明原因，采取加大药 </w:t>
      </w:r>
    </w:p>
    <w:p w14:paraId="7CA076D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剂投入，增加停留时间等有效处理措施，最大限度降低对周围环境及财产造成的 </w:t>
      </w:r>
    </w:p>
    <w:p w14:paraId="7B620F2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危害。 </w:t>
      </w:r>
    </w:p>
    <w:p w14:paraId="0CA5609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（4）其它风险防范措施 </w:t>
      </w:r>
    </w:p>
    <w:p w14:paraId="19A015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1）严格规范设计，高标准建设 </w:t>
      </w:r>
    </w:p>
    <w:p w14:paraId="385558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在工程设计上，对系统设备要按照经济合理、技术成熟、设备先进的原则进 </w:t>
      </w:r>
    </w:p>
    <w:p w14:paraId="17D0FBA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行设计，建设过程中严格监督管理、保证质量，从源头上严控风险隐患。 </w:t>
      </w:r>
    </w:p>
    <w:p w14:paraId="007E25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2）规范管理，制定应急事故处置预案 </w:t>
      </w:r>
    </w:p>
    <w:p w14:paraId="180556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根据污水处理厂事故成因，分别制定应急处置预案，做到管理有序、操作规 </w:t>
      </w:r>
    </w:p>
    <w:p w14:paraId="1CC0CAD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范、巡查到位，把安全生产放在首位。 </w:t>
      </w:r>
    </w:p>
    <w:p w14:paraId="4C66CE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3）加强职工培训，增强安全意识 </w:t>
      </w:r>
    </w:p>
    <w:p w14:paraId="22A127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严格执行持证上岗制度。在生产过程中，要按照相关规定对管理、技术、生 </w:t>
      </w:r>
    </w:p>
    <w:p w14:paraId="0746B11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产等人员定期进行操作技术、安全知识等培训，提高操作技术水平，强化风险意 </w:t>
      </w:r>
    </w:p>
    <w:p w14:paraId="395DBD8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识，从人的因素上杜绝风险事故产生。 </w:t>
      </w:r>
    </w:p>
    <w:p w14:paraId="5A1560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4）强化运行管理，故障处置及时 </w:t>
      </w:r>
    </w:p>
    <w:p w14:paraId="453FD17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强化系统安全检查、巡查，健全巡检档案。对关键设备做好备品备件储存、 </w:t>
      </w:r>
    </w:p>
    <w:p w14:paraId="156B549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保养。强化自然灾害防范，做好防雷、防风设备维护。在做好双电路供电保障的 </w:t>
      </w:r>
    </w:p>
    <w:p w14:paraId="02DF1CB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同时，自备供电设备要定期检查、调试。 </w:t>
      </w:r>
    </w:p>
    <w:p w14:paraId="29F4D4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5）建立信息互通，共同处置 </w:t>
      </w:r>
    </w:p>
    <w:p w14:paraId="252BA3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污水处理厂应与地方政府、环保、水利等相关部门建立信息互通机制，当发 </w:t>
      </w:r>
    </w:p>
    <w:p w14:paraId="3A49D1D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生故障时，应在1小时内通报相关部门，会同相关部门成立应急处理小组，协同 </w:t>
      </w:r>
    </w:p>
    <w:p w14:paraId="2DED98B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处置污染事故。 </w:t>
      </w:r>
    </w:p>
    <w:p w14:paraId="724804B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政府部门负责指挥、协调，水利部门负责水利工程调度、水污染调查;环保 </w:t>
      </w:r>
    </w:p>
    <w:p w14:paraId="3D67EE6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部门组织开展应急监测、水污染情况通报等。各相关部门在政府部门统一指挥下， </w:t>
      </w:r>
    </w:p>
    <w:p w14:paraId="5C1133E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协同工作，将事故影响控制在最小范围，影响程度控制在最低，后期处理最彻底。 </w:t>
      </w:r>
    </w:p>
    <w:p w14:paraId="5C7E9F4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kern w:val="2"/>
          <w:sz w:val="28"/>
          <w:szCs w:val="28"/>
        </w:rPr>
      </w:pPr>
      <w:bookmarkStart w:id="369" w:name="_Toc1995"/>
      <w:r>
        <w:rPr>
          <w:rFonts w:hint="default" w:ascii="Times New Roman" w:hAnsi="Times New Roman" w:eastAsia="宋体" w:cs="Times New Roman"/>
          <w:b/>
          <w:bCs/>
          <w:color w:val="000000"/>
          <w:kern w:val="0"/>
          <w:sz w:val="28"/>
          <w:szCs w:val="28"/>
          <w:lang w:val="en-US" w:eastAsia="zh-CN" w:bidi="ar"/>
        </w:rPr>
        <w:t>8.3风险应急预案</w:t>
      </w:r>
      <w:bookmarkEnd w:id="369"/>
      <w:r>
        <w:rPr>
          <w:rFonts w:hint="default" w:ascii="Times New Roman" w:hAnsi="Times New Roman" w:eastAsia="宋体" w:cs="Times New Roman"/>
          <w:b/>
          <w:bCs/>
          <w:color w:val="000000"/>
          <w:kern w:val="0"/>
          <w:sz w:val="28"/>
          <w:szCs w:val="28"/>
          <w:lang w:val="en-US" w:eastAsia="zh-CN" w:bidi="ar"/>
        </w:rPr>
        <w:t xml:space="preserve"> </w:t>
      </w:r>
    </w:p>
    <w:p w14:paraId="709898D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8.3.1 成立应急救援领导小组 </w:t>
      </w:r>
    </w:p>
    <w:p w14:paraId="67B6A1F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eastAsia" w:cs="Times New Roman"/>
          <w:color w:val="000000"/>
          <w:kern w:val="0"/>
          <w:sz w:val="24"/>
          <w:szCs w:val="24"/>
          <w:lang w:val="en-US" w:eastAsia="zh-CN" w:bidi="ar"/>
        </w:rPr>
        <w:t>项目本次改扩建完成后须修编突发环境事件应急预案，</w:t>
      </w:r>
      <w:r>
        <w:rPr>
          <w:rFonts w:hint="default" w:ascii="Times New Roman" w:hAnsi="Times New Roman" w:eastAsia="宋体" w:cs="Times New Roman"/>
          <w:color w:val="000000"/>
          <w:kern w:val="0"/>
          <w:sz w:val="24"/>
          <w:szCs w:val="24"/>
          <w:lang w:val="en-US" w:eastAsia="zh-CN" w:bidi="ar"/>
        </w:rPr>
        <w:t>领导小组负责组织编制《大通湖工业园污水处理厂突发环境事件应急预案</w:t>
      </w:r>
      <w:r>
        <w:rPr>
          <w:rFonts w:hint="eastAsia" w:cs="Times New Roman"/>
          <w:color w:val="000000"/>
          <w:kern w:val="0"/>
          <w:sz w:val="24"/>
          <w:szCs w:val="24"/>
          <w:lang w:val="en-US" w:eastAsia="zh-CN" w:bidi="ar"/>
        </w:rPr>
        <w:t>（修编）</w:t>
      </w:r>
      <w:r>
        <w:rPr>
          <w:rFonts w:hint="default" w:ascii="Times New Roman" w:hAnsi="Times New Roman" w:eastAsia="宋体" w:cs="Times New Roman"/>
          <w:color w:val="000000"/>
          <w:kern w:val="0"/>
          <w:sz w:val="24"/>
          <w:szCs w:val="24"/>
          <w:lang w:val="en-US" w:eastAsia="zh-CN" w:bidi="ar"/>
        </w:rPr>
        <w:t xml:space="preserve">》，组建应急救援专业队伍，并组织训练和演练；检查、督促做好污水处理厂事故的预防措施和应急救援的各项准备工作，发布和解除应急救援指令;组织、指挥救援队伍，实施救援行动；向县生态环境主管部门、镇政府和事故现场周边单位通报事故情况，必要时向有关单位发出救援指令；组织事故调查，对应急救援工作进行总结。应急救援领导小组内部做好人员分工。 </w:t>
      </w:r>
    </w:p>
    <w:p w14:paraId="197307F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8.3.2 应急保障 </w:t>
      </w:r>
    </w:p>
    <w:p w14:paraId="32F1A5C4">
      <w:pPr>
        <w:keepNext w:val="0"/>
        <w:keepLines w:val="0"/>
        <w:pageBreakBefore w:val="0"/>
        <w:widowControl/>
        <w:suppressLineNumbers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配备必要的应急保障设备。包括： </w:t>
      </w:r>
    </w:p>
    <w:p w14:paraId="2F259A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（1）消防器材:配电问、操作室及仓库内放置有二氧化碳灭火器，数量充足。 </w:t>
      </w:r>
    </w:p>
    <w:p w14:paraId="30B83E1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厂区按消防设计要求配有室外消防栓，保证火灾发生时能得到有效扑灭。 </w:t>
      </w:r>
    </w:p>
    <w:p w14:paraId="74D672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（2）救灾器材：仓库内备有安全帽、安全带、小型电动工具、雨衣、雨鞋、 </w:t>
      </w:r>
    </w:p>
    <w:p w14:paraId="33129F3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手电筒等。操作岗位备有黄沙、麻袋、铁丝等。 </w:t>
      </w:r>
    </w:p>
    <w:p w14:paraId="03673C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（3）污水处理设施的必要备件、易损件。 </w:t>
      </w:r>
    </w:p>
    <w:p w14:paraId="250A0C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（4）向县污水处理厂请求援助。 </w:t>
      </w:r>
    </w:p>
    <w:p w14:paraId="4B6562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（5）周边急救车辆：公司值班小车，立即向镇卫生院或 120 急救车求助。 </w:t>
      </w:r>
    </w:p>
    <w:p w14:paraId="24016B4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8.3.3 应急步骤和程序 </w:t>
      </w:r>
    </w:p>
    <w:p w14:paraId="4C78A06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（1）突发暴雨 </w:t>
      </w:r>
    </w:p>
    <w:p w14:paraId="6C7B99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①根据天气预报先对闸门等设备进行检查，确保完好。 </w:t>
      </w:r>
    </w:p>
    <w:p w14:paraId="1534D1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②随时观察集水池的水位并向领导汇报。 </w:t>
      </w:r>
    </w:p>
    <w:p w14:paraId="06261D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③外出巡视，必须注意个人安全，注意防滑，需要有人配合时两人或三人一 起协作操作。 </w:t>
      </w:r>
    </w:p>
    <w:p w14:paraId="30D43E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④待洪水消退后方能重新开启厂区进水。 </w:t>
      </w:r>
    </w:p>
    <w:p w14:paraId="4581FB2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（2）突然停电 </w:t>
      </w:r>
    </w:p>
    <w:p w14:paraId="4AFD0B5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①生产班组人员将现场各设备、阀门退出运行状态。 </w:t>
      </w:r>
    </w:p>
    <w:p w14:paraId="5BE78B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②向领导汇报，组织查明原因，制定对策。 </w:t>
      </w:r>
    </w:p>
    <w:p w14:paraId="56E5BE9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③来电后，电工检查线路正常情况下，按操作规程及时开启设备，恢复运行。 </w:t>
      </w:r>
    </w:p>
    <w:p w14:paraId="2EBF80A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（3）长时间停电 </w:t>
      </w:r>
    </w:p>
    <w:p w14:paraId="16F504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①接供电部门通知时，告知未停电接管单位，请各单位在停电期问务必尽最大可能，减少污水排放，利用周边村庄湿地和各种处理设施处理、贮存污水。停电时，停止向管网排水。 </w:t>
      </w:r>
    </w:p>
    <w:p w14:paraId="76E26F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②本公司在停电前一天，尽最大可能处理完各废水池废水。 </w:t>
      </w:r>
    </w:p>
    <w:p w14:paraId="5F8105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③停电时，立即向环保执法部门汇报，适时启动应急预案。 </w:t>
      </w:r>
    </w:p>
    <w:p w14:paraId="4E1F652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（4）设备故障 </w:t>
      </w:r>
    </w:p>
    <w:p w14:paraId="2783BA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①本公司设备分动力设备、静止设备和阀门。 </w:t>
      </w:r>
    </w:p>
    <w:p w14:paraId="699F6E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②动力设备大多有备用设备</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平时加强保养,建立日常维护台账，发生故障时启用备用设备，同时尽快修复。 </w:t>
      </w:r>
    </w:p>
    <w:p w14:paraId="1ED2FB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③静止设备发生故障立即修理。 </w:t>
      </w:r>
    </w:p>
    <w:p w14:paraId="7776AE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④仓库必须保证有各种设备及阀门易损件的最低库备，每月检查一次。 </w:t>
      </w:r>
    </w:p>
    <w:p w14:paraId="79CA179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（5）来水异常 </w:t>
      </w:r>
    </w:p>
    <w:p w14:paraId="40CF6E9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来水异常分为水质、水量异常两种。水量异常时，工作人员立即检查管路完 </w:t>
      </w:r>
    </w:p>
    <w:p w14:paraId="2525516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好情况并联系接管单位，查找原因解决问题。 </w:t>
      </w:r>
    </w:p>
    <w:p w14:paraId="08E0F5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水质异常：生产班组人员发现水质异常立即向领导汇报，同时取样，根据化 </w:t>
      </w:r>
    </w:p>
    <w:p w14:paraId="207A28F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验结果、异常水量计算配水时少加高浓度废水量。如果配水浓度还是偏高，按照 </w:t>
      </w:r>
    </w:p>
    <w:p w14:paraId="4E65811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10公升每次稀释的方法处理，直到浓度符合工艺要求。工作人员立即排查截污 </w:t>
      </w:r>
    </w:p>
    <w:p w14:paraId="4305AB7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管网排水情况,尽快采取整改措施。 </w:t>
      </w:r>
    </w:p>
    <w:p w14:paraId="572E6C6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（6）尾水超标 </w:t>
      </w:r>
    </w:p>
    <w:p w14:paraId="579E7D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①化验室人员检测发现尾水浓度超标时，立即汇报领取并通知生产班组人 </w:t>
      </w:r>
    </w:p>
    <w:p w14:paraId="6E5D40B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员。 </w:t>
      </w:r>
    </w:p>
    <w:p w14:paraId="0893E9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②班组生产人员立即增加污水停留时间，减少生化进水量。 </w:t>
      </w:r>
    </w:p>
    <w:p w14:paraId="02B181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③工艺技术人员检查各工艺环节是否存在异常，同时调整工艺运行参数和药 </w:t>
      </w:r>
    </w:p>
    <w:p w14:paraId="0ECFE8B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剂投加比例。 </w:t>
      </w:r>
    </w:p>
    <w:p w14:paraId="36AF100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8.3.4 保障措施 </w:t>
      </w:r>
    </w:p>
    <w:p w14:paraId="6DD3932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（1）通信与信息保障 </w:t>
      </w:r>
    </w:p>
    <w:p w14:paraId="02B103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污水处理厂运营单位实行 24 小时工作值班，随时做好处理突发事故的准备，不断建立健全值班制度。应急救援领导小组移动电话要公开，并及时更新，24小时保持开机状态。 </w:t>
      </w:r>
    </w:p>
    <w:p w14:paraId="71E78F4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（2）组织落实、人员培训 </w:t>
      </w:r>
    </w:p>
    <w:p w14:paraId="76156F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①应急救援指挥部成员应按照专业分工，本着“专业对口、便于领导、便于 </w:t>
      </w:r>
    </w:p>
    <w:p w14:paraId="0E6AE48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集结和便于抢修”的原则，建立组织，落实人员。要根据人员岗位变化随时进行 </w:t>
      </w:r>
    </w:p>
    <w:p w14:paraId="3EF5B64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调整，确保救援措施的落实。 </w:t>
      </w:r>
    </w:p>
    <w:p w14:paraId="5BA5D0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②污水处理厂常年实行岗位值班制度，及时发现问题，做好事故现场的初期 </w:t>
      </w:r>
    </w:p>
    <w:p w14:paraId="1AC894D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抢险抢修处置。 </w:t>
      </w:r>
    </w:p>
    <w:p w14:paraId="612C18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③组织应急演练和培训。各级应急救援组织要按照专业分工每年进行专业技 </w:t>
      </w:r>
    </w:p>
    <w:p w14:paraId="31543FD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能培训、训练和演习，不断提高组织、指挥和救援能力。 </w:t>
      </w:r>
    </w:p>
    <w:p w14:paraId="62090A3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④预案演习与维护 </w:t>
      </w:r>
    </w:p>
    <w:p w14:paraId="780AFA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为了迅速、准确、有条不紊地实施事故抢修，尽量减少由于事故造成的损失 </w:t>
      </w:r>
    </w:p>
    <w:p w14:paraId="5E2D6E3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和危害，定期组织预案演习。应急救援人员按职责和专业分工每年进行 1-2 次的事故模拟演练，对职工进行经常性的事故救援常识教育，使大家具备自救、逃生和互助的能力。不断提高指挥人员的指挥水平和应急救援组织的整体能力，主要提高以下几种能力： </w:t>
      </w:r>
    </w:p>
    <w:p w14:paraId="59046D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（a）检查通信系统是否畅通无阻</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14:paraId="700BAA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（b）演习抢险现场人员是否能迅速实施抢险</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14:paraId="3D1E18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（c） 有关的抢险人员、器材能不能准确到位</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14:paraId="79B7ED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（d）能否及时有效控制事故进一步扩大。 </w:t>
      </w:r>
    </w:p>
    <w:p w14:paraId="09890FA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8.3.5 应急终止的条件 </w:t>
      </w:r>
    </w:p>
    <w:p w14:paraId="2DDEB7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符合下列条件之一的，即满足应急终止条件： </w:t>
      </w:r>
    </w:p>
    <w:p w14:paraId="18D26F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（1）事件现场得到控制，事件条件已经消除。 </w:t>
      </w:r>
    </w:p>
    <w:p w14:paraId="104C1F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（2）污染源的泄漏或释放已降至规定限值内。 </w:t>
      </w:r>
    </w:p>
    <w:p w14:paraId="6C89AF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（3）事件所造成的危害已经被彻底消除，无继发的可能。 </w:t>
      </w:r>
    </w:p>
    <w:p w14:paraId="6C024FA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（4）事件现场的各种专业应急处置行动已无继续的必要。 </w:t>
      </w:r>
    </w:p>
    <w:p w14:paraId="1E30FE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（5）采取了必要的防护措施以保护公众免受再次危害，并使事件可能引起 </w:t>
      </w:r>
    </w:p>
    <w:p w14:paraId="029DBF3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的中长期影响趋于合理且最低的水平。 </w:t>
      </w:r>
    </w:p>
    <w:p w14:paraId="26C3627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8.3.6 预案管理与改进 </w:t>
      </w:r>
    </w:p>
    <w:p w14:paraId="66F7B0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各类事故发生后，要组织专业人员，进行事故分析原因，按照“四不放过” </w:t>
      </w:r>
    </w:p>
    <w:p w14:paraId="67F9729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原则查处事故，编写调查事故报告，采取纠正和预防措施，负责对预案进行评审 </w:t>
      </w:r>
    </w:p>
    <w:p w14:paraId="448DEA2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修订。 </w:t>
      </w:r>
    </w:p>
    <w:p w14:paraId="1770F5D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kern w:val="2"/>
          <w:sz w:val="24"/>
          <w:szCs w:val="24"/>
        </w:rPr>
      </w:pPr>
      <w:bookmarkStart w:id="370" w:name="_Toc10055"/>
      <w:r>
        <w:rPr>
          <w:rFonts w:hint="default" w:ascii="Times New Roman" w:hAnsi="Times New Roman" w:eastAsia="宋体" w:cs="Times New Roman"/>
          <w:b/>
          <w:bCs/>
          <w:color w:val="000000"/>
          <w:kern w:val="0"/>
          <w:sz w:val="24"/>
          <w:szCs w:val="24"/>
          <w:lang w:val="en-US" w:eastAsia="zh-CN" w:bidi="ar"/>
        </w:rPr>
        <w:t>8.4建立责任追究机制</w:t>
      </w:r>
      <w:bookmarkEnd w:id="370"/>
      <w:r>
        <w:rPr>
          <w:rFonts w:hint="default" w:ascii="Times New Roman" w:hAnsi="Times New Roman" w:eastAsia="宋体" w:cs="Times New Roman"/>
          <w:b/>
          <w:bCs/>
          <w:color w:val="000000"/>
          <w:kern w:val="0"/>
          <w:sz w:val="24"/>
          <w:szCs w:val="24"/>
          <w:lang w:val="en-US" w:eastAsia="zh-CN" w:bidi="ar"/>
        </w:rPr>
        <w:t xml:space="preserve"> </w:t>
      </w:r>
    </w:p>
    <w:p w14:paraId="7C1B45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为避免发生水环境风险事故，必须建立健全科学的责任追究制度。如果发生 </w:t>
      </w:r>
    </w:p>
    <w:p w14:paraId="2FA9A93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水环境风险事故，必须按照相关制度进行责任追究，直至诉诸法律追责。</w:t>
      </w:r>
    </w:p>
    <w:p w14:paraId="1DBEA819">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317C1E03">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3D4C08A1">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070EB98D">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6810A1BF">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2EFFDE4C">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0B4941C8">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51852D41">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658EA5FD">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4448A0F2">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6B0377CD">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6D55FCF9">
      <w:pPr>
        <w:keepNext w:val="0"/>
        <w:keepLines w:val="0"/>
        <w:widowControl/>
        <w:suppressLineNumbers w:val="0"/>
        <w:autoSpaceDE/>
        <w:autoSpaceDN/>
        <w:adjustRightInd/>
        <w:spacing w:line="240" w:lineRule="auto"/>
        <w:ind w:firstLine="0" w:firstLineChars="0"/>
        <w:jc w:val="left"/>
        <w:rPr>
          <w:rFonts w:hint="default" w:ascii="Times New Roman" w:hAnsi="Times New Roman" w:eastAsia="宋体" w:cs="Times New Roman"/>
          <w:b/>
          <w:bCs/>
          <w:color w:val="000000"/>
          <w:kern w:val="0"/>
          <w:sz w:val="31"/>
          <w:szCs w:val="31"/>
          <w:lang w:val="en-US" w:eastAsia="zh-CN" w:bidi="ar"/>
        </w:rPr>
      </w:pPr>
    </w:p>
    <w:p w14:paraId="092FA2F3">
      <w:pPr>
        <w:rPr>
          <w:rFonts w:hint="default" w:ascii="Times New Roman" w:hAnsi="Times New Roman" w:eastAsia="宋体" w:cs="Times New Roman"/>
          <w:b/>
          <w:bCs/>
          <w:color w:val="000000"/>
          <w:kern w:val="0"/>
          <w:sz w:val="31"/>
          <w:szCs w:val="31"/>
          <w:lang w:val="en-US" w:eastAsia="zh-CN" w:bidi="ar"/>
        </w:rPr>
      </w:pPr>
      <w:bookmarkStart w:id="371" w:name="_Toc18668"/>
      <w:r>
        <w:rPr>
          <w:rFonts w:hint="default" w:ascii="Times New Roman" w:hAnsi="Times New Roman" w:eastAsia="宋体" w:cs="Times New Roman"/>
          <w:b/>
          <w:bCs/>
          <w:color w:val="000000"/>
          <w:kern w:val="0"/>
          <w:sz w:val="31"/>
          <w:szCs w:val="31"/>
          <w:lang w:val="en-US" w:eastAsia="zh-CN" w:bidi="ar"/>
        </w:rPr>
        <w:br w:type="page"/>
      </w:r>
    </w:p>
    <w:p w14:paraId="1C0A081E">
      <w:pPr>
        <w:keepNext w:val="0"/>
        <w:keepLines w:val="0"/>
        <w:widowControl/>
        <w:suppressLineNumbers w:val="0"/>
        <w:autoSpaceDE/>
        <w:autoSpaceDN/>
        <w:adjustRightInd/>
        <w:spacing w:line="240" w:lineRule="auto"/>
        <w:ind w:firstLine="0" w:firstLineChars="0"/>
        <w:jc w:val="center"/>
        <w:outlineLvl w:val="0"/>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b/>
          <w:bCs/>
          <w:color w:val="000000" w:themeColor="text1"/>
          <w:kern w:val="0"/>
          <w:sz w:val="31"/>
          <w:szCs w:val="31"/>
          <w:lang w:val="en-US" w:eastAsia="zh-CN" w:bidi="ar"/>
          <w14:textFill>
            <w14:solidFill>
              <w14:schemeClr w14:val="tx1"/>
            </w14:solidFill>
          </w14:textFill>
        </w:rPr>
        <w:t>9 入河排污口设置合理性分析</w:t>
      </w:r>
      <w:bookmarkEnd w:id="371"/>
    </w:p>
    <w:p w14:paraId="327FDD2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b/>
          <w:bCs/>
          <w:color w:val="000000" w:themeColor="text1"/>
          <w:kern w:val="0"/>
          <w:sz w:val="28"/>
          <w:szCs w:val="28"/>
          <w:lang w:val="en-US" w:eastAsia="zh-CN" w:bidi="ar"/>
          <w14:textFill>
            <w14:solidFill>
              <w14:schemeClr w14:val="tx1"/>
            </w14:solidFill>
          </w14:textFill>
        </w:rPr>
      </w:pPr>
      <w:bookmarkStart w:id="372" w:name="_Toc7971"/>
      <w:bookmarkStart w:id="373" w:name="_Toc2124"/>
      <w:r>
        <w:rPr>
          <w:rFonts w:hint="default" w:ascii="Times New Roman" w:hAnsi="Times New Roman" w:eastAsia="宋体" w:cs="Times New Roman"/>
          <w:b/>
          <w:bCs/>
          <w:color w:val="000000" w:themeColor="text1"/>
          <w:kern w:val="0"/>
          <w:sz w:val="28"/>
          <w:szCs w:val="28"/>
          <w:lang w:val="en-US" w:eastAsia="zh-CN" w:bidi="ar"/>
          <w14:textFill>
            <w14:solidFill>
              <w14:schemeClr w14:val="tx1"/>
            </w14:solidFill>
          </w14:textFill>
        </w:rPr>
        <w:t>9.1 入河排污口设置可行性分析论证</w:t>
      </w:r>
      <w:bookmarkEnd w:id="372"/>
    </w:p>
    <w:p w14:paraId="7AC9AF6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9"/>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t>9.1.1废水排放方式合理性分析</w:t>
      </w:r>
      <w:bookmarkEnd w:id="373"/>
    </w:p>
    <w:p w14:paraId="68703E3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本项目排污口设置在在厂区西</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北</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侧（经度 112.613444560、纬度 29.184943717），外排</w:t>
      </w:r>
      <w:r>
        <w:rPr>
          <w:rFonts w:hint="eastAsia" w:cs="Times New Roman"/>
          <w:color w:val="000000" w:themeColor="text1"/>
          <w:kern w:val="2"/>
          <w:sz w:val="24"/>
          <w:szCs w:val="20"/>
          <w:u w:val="wave" w:color="auto"/>
          <w:lang w:val="en-US" w:eastAsia="zh-CN" w:bidi="ar-SA"/>
          <w14:textFill>
            <w14:solidFill>
              <w14:schemeClr w14:val="tx1"/>
            </w14:solidFill>
          </w14:textFill>
        </w:rPr>
        <w:t>废</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水经机排二十渠，汇入老三运河，再经分别经大通湖泄洪道、金盆河、塞阳运河、漉湖农灌渠流入漉湖。排污口</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类型</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属于工业及其他各类园区污水处理厂入河排污口，排放方式为</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连续</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排放，排污口的入河方式为管道。</w:t>
      </w:r>
    </w:p>
    <w:p w14:paraId="057E28A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排污口位置不在饮用水水源保护区、自然保护区、省级以上湿地公园内，符合《入河排污口监督管理办法》（生态环境部令第35号）及《湖南省入河排污口监督管理办法》（湘政办﹝2018﹞44号）中的基本要求。项目污染物排放总量</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均未超出</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受纳</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水</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域纳污能力</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且</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符合《环境影响评价技术导则地表水环境》（HJ2.3-2018）需预留必要的安全余量的要求。</w:t>
      </w:r>
    </w:p>
    <w:p w14:paraId="0CF90EF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9"/>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pPr>
      <w:bookmarkStart w:id="374" w:name="_Toc4136"/>
      <w:r>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t>9.1.2废水达标排放可行性分析</w:t>
      </w:r>
      <w:bookmarkEnd w:id="374"/>
    </w:p>
    <w:p w14:paraId="21AC0FD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本项目污水处理采用“一体化泵站+调节均质+水解酸化+AAO生化+混凝沉淀+精密过滤+接触消毒”组合工艺，故本项目污水处理工艺为可行技术，满足《排污许可证申请与核发技术规范水处理（试行）》（HJ978-2018）的要求。</w:t>
      </w:r>
      <w:bookmarkStart w:id="375" w:name="_Toc3161"/>
      <w:bookmarkStart w:id="376" w:name="_Toc25708"/>
    </w:p>
    <w:p w14:paraId="081029A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结合废水的水质特征及污染物含量，通过上述污水处理工艺处理后，其各处理系统的去除效率详见表9.1-1。</w:t>
      </w:r>
    </w:p>
    <w:p w14:paraId="56989A82">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bCs/>
          <w:color w:val="000000" w:themeColor="text1"/>
          <w:kern w:val="2"/>
          <w:sz w:val="24"/>
          <w:szCs w:val="24"/>
          <w:u w:val="wav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u w:val="wave" w:color="auto"/>
          <w:lang w:val="en-US" w:eastAsia="zh-CN" w:bidi="ar-SA"/>
          <w14:textFill>
            <w14:solidFill>
              <w14:schemeClr w14:val="tx1"/>
            </w14:solidFill>
          </w14:textFill>
        </w:rPr>
        <w:t>表9.1-1污染物的处理效率与目标</w:t>
      </w:r>
    </w:p>
    <w:tbl>
      <w:tblPr>
        <w:tblStyle w:val="76"/>
        <w:tblW w:w="5054" w:type="pct"/>
        <w:tblInd w:w="-5"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2339"/>
        <w:gridCol w:w="1270"/>
        <w:gridCol w:w="1160"/>
        <w:gridCol w:w="1093"/>
        <w:gridCol w:w="1289"/>
        <w:gridCol w:w="1093"/>
        <w:gridCol w:w="954"/>
      </w:tblGrid>
      <w:tr w14:paraId="142AAD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5" w:hRule="atLeast"/>
        </w:trPr>
        <w:tc>
          <w:tcPr>
            <w:tcW w:w="1271" w:type="pct"/>
            <w:tcBorders>
              <w:tl2br w:val="nil"/>
              <w:tr2bl w:val="nil"/>
            </w:tcBorders>
            <w:noWrap w:val="0"/>
            <w:vAlign w:val="center"/>
          </w:tcPr>
          <w:p w14:paraId="0D178B25">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项目</w:t>
            </w:r>
          </w:p>
        </w:tc>
        <w:tc>
          <w:tcPr>
            <w:tcW w:w="690" w:type="pct"/>
            <w:tcBorders>
              <w:tl2br w:val="nil"/>
              <w:tr2bl w:val="nil"/>
            </w:tcBorders>
            <w:noWrap w:val="0"/>
            <w:vAlign w:val="center"/>
          </w:tcPr>
          <w:p w14:paraId="747627E2">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等线"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COD</w:t>
            </w:r>
            <w:r>
              <w:rPr>
                <w:rFonts w:hint="default" w:ascii="Times New Roman" w:hAnsi="Times New Roman" w:eastAsia="宋体" w:cs="Times New Roman"/>
                <w:color w:val="000000" w:themeColor="text1"/>
                <w:kern w:val="0"/>
                <w:sz w:val="21"/>
                <w:szCs w:val="21"/>
                <w:u w:val="wave" w:color="auto"/>
                <w:vertAlign w:val="subscript"/>
                <w:lang w:val="en-US" w:eastAsia="zh-CN" w:bidi="ar-SA"/>
                <w14:textFill>
                  <w14:solidFill>
                    <w14:schemeClr w14:val="tx1"/>
                  </w14:solidFill>
                </w14:textFill>
              </w:rPr>
              <w:t>Cr</w:t>
            </w:r>
          </w:p>
        </w:tc>
        <w:tc>
          <w:tcPr>
            <w:tcW w:w="630" w:type="pct"/>
            <w:tcBorders>
              <w:tl2br w:val="nil"/>
              <w:tr2bl w:val="nil"/>
            </w:tcBorders>
            <w:noWrap w:val="0"/>
            <w:vAlign w:val="center"/>
          </w:tcPr>
          <w:p w14:paraId="672E92C7">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等线"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BOD</w:t>
            </w:r>
            <w:r>
              <w:rPr>
                <w:rFonts w:hint="default" w:ascii="Times New Roman" w:hAnsi="Times New Roman" w:eastAsia="宋体" w:cs="Times New Roman"/>
                <w:color w:val="000000" w:themeColor="text1"/>
                <w:kern w:val="0"/>
                <w:sz w:val="21"/>
                <w:szCs w:val="21"/>
                <w:u w:val="wave" w:color="auto"/>
                <w:vertAlign w:val="subscript"/>
                <w:lang w:val="en-US" w:eastAsia="zh-CN" w:bidi="ar-SA"/>
                <w14:textFill>
                  <w14:solidFill>
                    <w14:schemeClr w14:val="tx1"/>
                  </w14:solidFill>
                </w14:textFill>
              </w:rPr>
              <w:t>5</w:t>
            </w:r>
          </w:p>
        </w:tc>
        <w:tc>
          <w:tcPr>
            <w:tcW w:w="594" w:type="pct"/>
            <w:tcBorders>
              <w:tl2br w:val="nil"/>
              <w:tr2bl w:val="nil"/>
            </w:tcBorders>
            <w:noWrap w:val="0"/>
            <w:vAlign w:val="center"/>
          </w:tcPr>
          <w:p w14:paraId="15C0235E">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SS</w:t>
            </w:r>
          </w:p>
        </w:tc>
        <w:tc>
          <w:tcPr>
            <w:tcW w:w="700" w:type="pct"/>
            <w:tcBorders>
              <w:tl2br w:val="nil"/>
              <w:tr2bl w:val="nil"/>
            </w:tcBorders>
            <w:noWrap w:val="0"/>
            <w:vAlign w:val="center"/>
          </w:tcPr>
          <w:p w14:paraId="5D2EB920">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等线"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NH</w:t>
            </w:r>
            <w:r>
              <w:rPr>
                <w:rFonts w:hint="default" w:ascii="Times New Roman" w:hAnsi="Times New Roman" w:eastAsia="宋体" w:cs="Times New Roman"/>
                <w:color w:val="000000" w:themeColor="text1"/>
                <w:kern w:val="0"/>
                <w:sz w:val="21"/>
                <w:szCs w:val="21"/>
                <w:u w:val="wave" w:color="auto"/>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-N</w:t>
            </w:r>
          </w:p>
        </w:tc>
        <w:tc>
          <w:tcPr>
            <w:tcW w:w="594" w:type="pct"/>
            <w:tcBorders>
              <w:tl2br w:val="nil"/>
              <w:tr2bl w:val="nil"/>
            </w:tcBorders>
            <w:noWrap w:val="0"/>
            <w:vAlign w:val="center"/>
          </w:tcPr>
          <w:p w14:paraId="14911107">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TN</w:t>
            </w:r>
          </w:p>
        </w:tc>
        <w:tc>
          <w:tcPr>
            <w:tcW w:w="518" w:type="pct"/>
            <w:tcBorders>
              <w:tl2br w:val="nil"/>
              <w:tr2bl w:val="nil"/>
            </w:tcBorders>
            <w:noWrap w:val="0"/>
            <w:vAlign w:val="center"/>
          </w:tcPr>
          <w:p w14:paraId="542C05D6">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TP</w:t>
            </w:r>
          </w:p>
        </w:tc>
      </w:tr>
      <w:tr w14:paraId="15C89A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25" w:hRule="atLeast"/>
        </w:trPr>
        <w:tc>
          <w:tcPr>
            <w:tcW w:w="1271" w:type="pct"/>
            <w:tcBorders>
              <w:tl2br w:val="nil"/>
              <w:tr2bl w:val="nil"/>
            </w:tcBorders>
            <w:noWrap w:val="0"/>
            <w:vAlign w:val="center"/>
          </w:tcPr>
          <w:p w14:paraId="0ADE7794">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设计进水水质（mg/L）</w:t>
            </w:r>
          </w:p>
        </w:tc>
        <w:tc>
          <w:tcPr>
            <w:tcW w:w="690" w:type="pct"/>
            <w:tcBorders>
              <w:tl2br w:val="nil"/>
              <w:tr2bl w:val="nil"/>
            </w:tcBorders>
            <w:noWrap w:val="0"/>
            <w:vAlign w:val="center"/>
          </w:tcPr>
          <w:p w14:paraId="04A6BCD7">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500</w:t>
            </w:r>
          </w:p>
        </w:tc>
        <w:tc>
          <w:tcPr>
            <w:tcW w:w="630" w:type="pct"/>
            <w:tcBorders>
              <w:tl2br w:val="nil"/>
              <w:tr2bl w:val="nil"/>
            </w:tcBorders>
            <w:noWrap w:val="0"/>
            <w:vAlign w:val="center"/>
          </w:tcPr>
          <w:p w14:paraId="521D1D23">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350</w:t>
            </w:r>
          </w:p>
        </w:tc>
        <w:tc>
          <w:tcPr>
            <w:tcW w:w="594" w:type="pct"/>
            <w:tcBorders>
              <w:tl2br w:val="nil"/>
              <w:tr2bl w:val="nil"/>
            </w:tcBorders>
            <w:noWrap w:val="0"/>
            <w:vAlign w:val="center"/>
          </w:tcPr>
          <w:p w14:paraId="2D212AB3">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400</w:t>
            </w:r>
          </w:p>
        </w:tc>
        <w:tc>
          <w:tcPr>
            <w:tcW w:w="700" w:type="pct"/>
            <w:tcBorders>
              <w:tl2br w:val="nil"/>
              <w:tr2bl w:val="nil"/>
            </w:tcBorders>
            <w:noWrap w:val="0"/>
            <w:vAlign w:val="center"/>
          </w:tcPr>
          <w:p w14:paraId="30757053">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45</w:t>
            </w:r>
          </w:p>
        </w:tc>
        <w:tc>
          <w:tcPr>
            <w:tcW w:w="594" w:type="pct"/>
            <w:tcBorders>
              <w:tl2br w:val="nil"/>
              <w:tr2bl w:val="nil"/>
            </w:tcBorders>
            <w:noWrap w:val="0"/>
            <w:vAlign w:val="center"/>
          </w:tcPr>
          <w:p w14:paraId="76789706">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70</w:t>
            </w:r>
          </w:p>
        </w:tc>
        <w:tc>
          <w:tcPr>
            <w:tcW w:w="518" w:type="pct"/>
            <w:tcBorders>
              <w:tl2br w:val="nil"/>
              <w:tr2bl w:val="nil"/>
            </w:tcBorders>
            <w:noWrap w:val="0"/>
            <w:vAlign w:val="center"/>
          </w:tcPr>
          <w:p w14:paraId="1017DBA9">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8</w:t>
            </w:r>
          </w:p>
        </w:tc>
      </w:tr>
      <w:tr w14:paraId="5C022E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50" w:hRule="atLeast"/>
        </w:trPr>
        <w:tc>
          <w:tcPr>
            <w:tcW w:w="1271" w:type="pct"/>
            <w:tcBorders>
              <w:tl2br w:val="nil"/>
              <w:tr2bl w:val="nil"/>
            </w:tcBorders>
            <w:noWrap w:val="0"/>
            <w:vAlign w:val="center"/>
          </w:tcPr>
          <w:p w14:paraId="5C421824">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设计出水水质（mg/L）</w:t>
            </w:r>
          </w:p>
        </w:tc>
        <w:tc>
          <w:tcPr>
            <w:tcW w:w="690" w:type="pct"/>
            <w:tcBorders>
              <w:tl2br w:val="nil"/>
              <w:tr2bl w:val="nil"/>
            </w:tcBorders>
            <w:noWrap w:val="0"/>
            <w:vAlign w:val="center"/>
          </w:tcPr>
          <w:p w14:paraId="304CEB9C">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50</w:t>
            </w:r>
          </w:p>
        </w:tc>
        <w:tc>
          <w:tcPr>
            <w:tcW w:w="630" w:type="pct"/>
            <w:tcBorders>
              <w:tl2br w:val="nil"/>
              <w:tr2bl w:val="nil"/>
            </w:tcBorders>
            <w:noWrap w:val="0"/>
            <w:vAlign w:val="center"/>
          </w:tcPr>
          <w:p w14:paraId="3CFD86EE">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10</w:t>
            </w:r>
          </w:p>
        </w:tc>
        <w:tc>
          <w:tcPr>
            <w:tcW w:w="594" w:type="pct"/>
            <w:tcBorders>
              <w:tl2br w:val="nil"/>
              <w:tr2bl w:val="nil"/>
            </w:tcBorders>
            <w:noWrap w:val="0"/>
            <w:vAlign w:val="center"/>
          </w:tcPr>
          <w:p w14:paraId="10E6C9B4">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10</w:t>
            </w:r>
          </w:p>
        </w:tc>
        <w:tc>
          <w:tcPr>
            <w:tcW w:w="700" w:type="pct"/>
            <w:tcBorders>
              <w:tl2br w:val="nil"/>
              <w:tr2bl w:val="nil"/>
            </w:tcBorders>
            <w:noWrap w:val="0"/>
            <w:vAlign w:val="center"/>
          </w:tcPr>
          <w:p w14:paraId="62CECAE4">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5</w:t>
            </w:r>
          </w:p>
        </w:tc>
        <w:tc>
          <w:tcPr>
            <w:tcW w:w="594" w:type="pct"/>
            <w:tcBorders>
              <w:tl2br w:val="nil"/>
              <w:tr2bl w:val="nil"/>
            </w:tcBorders>
            <w:noWrap w:val="0"/>
            <w:vAlign w:val="center"/>
          </w:tcPr>
          <w:p w14:paraId="0E98DB3B">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15</w:t>
            </w:r>
          </w:p>
        </w:tc>
        <w:tc>
          <w:tcPr>
            <w:tcW w:w="518" w:type="pct"/>
            <w:tcBorders>
              <w:tl2br w:val="nil"/>
              <w:tr2bl w:val="nil"/>
            </w:tcBorders>
            <w:noWrap w:val="0"/>
            <w:vAlign w:val="center"/>
          </w:tcPr>
          <w:p w14:paraId="54189FB0">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0.5</w:t>
            </w:r>
          </w:p>
        </w:tc>
      </w:tr>
      <w:tr w14:paraId="6376F9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85" w:hRule="atLeast"/>
        </w:trPr>
        <w:tc>
          <w:tcPr>
            <w:tcW w:w="1271" w:type="pct"/>
            <w:tcBorders>
              <w:tl2br w:val="nil"/>
              <w:tr2bl w:val="nil"/>
            </w:tcBorders>
            <w:noWrap w:val="0"/>
            <w:vAlign w:val="center"/>
          </w:tcPr>
          <w:p w14:paraId="6EDEDCA3">
            <w:pPr>
              <w:keepNext w:val="0"/>
              <w:keepLines w:val="0"/>
              <w:widowControl w:val="0"/>
              <w:suppressLineNumbers w:val="0"/>
              <w:spacing w:before="0" w:beforeAutospacing="0" w:after="0" w:afterAutospacing="0" w:line="240" w:lineRule="auto"/>
              <w:ind w:left="420" w:leftChars="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综合去除效率</w:t>
            </w:r>
          </w:p>
        </w:tc>
        <w:tc>
          <w:tcPr>
            <w:tcW w:w="690" w:type="pct"/>
            <w:tcBorders>
              <w:tl2br w:val="nil"/>
              <w:tr2bl w:val="nil"/>
            </w:tcBorders>
            <w:noWrap w:val="0"/>
            <w:vAlign w:val="center"/>
          </w:tcPr>
          <w:p w14:paraId="17132642">
            <w:pPr>
              <w:keepNext w:val="0"/>
              <w:keepLines w:val="0"/>
              <w:widowControl w:val="0"/>
              <w:suppressLineNumbers w:val="0"/>
              <w:spacing w:before="0" w:beforeAutospacing="0" w:after="0" w:afterAutospacing="0" w:line="240" w:lineRule="auto"/>
              <w:ind w:left="420" w:leftChars="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90%</w:t>
            </w:r>
          </w:p>
        </w:tc>
        <w:tc>
          <w:tcPr>
            <w:tcW w:w="630" w:type="pct"/>
            <w:tcBorders>
              <w:tl2br w:val="nil"/>
              <w:tr2bl w:val="nil"/>
            </w:tcBorders>
            <w:noWrap w:val="0"/>
            <w:vAlign w:val="center"/>
          </w:tcPr>
          <w:p w14:paraId="24E6DF72">
            <w:pPr>
              <w:keepNext w:val="0"/>
              <w:keepLines w:val="0"/>
              <w:widowControl w:val="0"/>
              <w:suppressLineNumbers w:val="0"/>
              <w:spacing w:before="0" w:beforeAutospacing="0" w:after="0" w:afterAutospacing="0" w:line="240" w:lineRule="auto"/>
              <w:ind w:left="420" w:leftChars="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97.1%</w:t>
            </w:r>
          </w:p>
        </w:tc>
        <w:tc>
          <w:tcPr>
            <w:tcW w:w="594" w:type="pct"/>
            <w:tcBorders>
              <w:tl2br w:val="nil"/>
              <w:tr2bl w:val="nil"/>
            </w:tcBorders>
            <w:noWrap w:val="0"/>
            <w:vAlign w:val="center"/>
          </w:tcPr>
          <w:p w14:paraId="0CC3571F">
            <w:pPr>
              <w:keepNext w:val="0"/>
              <w:keepLines w:val="0"/>
              <w:widowControl w:val="0"/>
              <w:suppressLineNumbers w:val="0"/>
              <w:spacing w:before="0" w:beforeAutospacing="0" w:after="0" w:afterAutospacing="0" w:line="240" w:lineRule="auto"/>
              <w:ind w:left="420" w:leftChars="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97.5%</w:t>
            </w:r>
          </w:p>
        </w:tc>
        <w:tc>
          <w:tcPr>
            <w:tcW w:w="700" w:type="pct"/>
            <w:tcBorders>
              <w:tl2br w:val="nil"/>
              <w:tr2bl w:val="nil"/>
            </w:tcBorders>
            <w:noWrap w:val="0"/>
            <w:vAlign w:val="center"/>
          </w:tcPr>
          <w:p w14:paraId="17681030">
            <w:pPr>
              <w:keepNext w:val="0"/>
              <w:keepLines w:val="0"/>
              <w:widowControl w:val="0"/>
              <w:suppressLineNumbers w:val="0"/>
              <w:spacing w:before="0" w:beforeAutospacing="0" w:after="0" w:afterAutospacing="0" w:line="240" w:lineRule="auto"/>
              <w:ind w:left="420" w:leftChars="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88.9%</w:t>
            </w:r>
          </w:p>
        </w:tc>
        <w:tc>
          <w:tcPr>
            <w:tcW w:w="594" w:type="pct"/>
            <w:tcBorders>
              <w:tl2br w:val="nil"/>
              <w:tr2bl w:val="nil"/>
            </w:tcBorders>
            <w:noWrap w:val="0"/>
            <w:vAlign w:val="center"/>
          </w:tcPr>
          <w:p w14:paraId="3690457F">
            <w:pPr>
              <w:keepNext w:val="0"/>
              <w:keepLines w:val="0"/>
              <w:widowControl w:val="0"/>
              <w:suppressLineNumbers w:val="0"/>
              <w:spacing w:before="0" w:beforeAutospacing="0" w:after="0" w:afterAutospacing="0" w:line="240" w:lineRule="auto"/>
              <w:ind w:left="420" w:leftChars="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78.6%</w:t>
            </w:r>
          </w:p>
        </w:tc>
        <w:tc>
          <w:tcPr>
            <w:tcW w:w="518" w:type="pct"/>
            <w:tcBorders>
              <w:tl2br w:val="nil"/>
              <w:tr2bl w:val="nil"/>
            </w:tcBorders>
            <w:noWrap w:val="0"/>
            <w:vAlign w:val="center"/>
          </w:tcPr>
          <w:p w14:paraId="2AEB7738">
            <w:pPr>
              <w:keepNext w:val="0"/>
              <w:keepLines w:val="0"/>
              <w:widowControl w:val="0"/>
              <w:suppressLineNumbers w:val="0"/>
              <w:spacing w:before="0" w:beforeAutospacing="0" w:after="0" w:afterAutospacing="0" w:line="240" w:lineRule="auto"/>
              <w:ind w:left="420" w:leftChars="0" w:right="0" w:hanging="420" w:hangingChars="200"/>
              <w:jc w:val="cente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lang w:val="en-US" w:eastAsia="zh-CN" w:bidi="ar-SA"/>
                <w14:textFill>
                  <w14:solidFill>
                    <w14:schemeClr w14:val="tx1"/>
                  </w14:solidFill>
                </w14:textFill>
              </w:rPr>
              <w:t>93.8%</w:t>
            </w:r>
          </w:p>
        </w:tc>
      </w:tr>
    </w:tbl>
    <w:p w14:paraId="453EBEB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由上表可知，项目运营期废水经建污水处理设施处理后，其出水能够达到《城镇污水处理厂污染物排放标准》（GB18918-2002）</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及修改单</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的一级A标准。因此该生产废水处理工艺在技术上具有可行性。</w:t>
      </w:r>
    </w:p>
    <w:bookmarkEnd w:id="375"/>
    <w:bookmarkEnd w:id="376"/>
    <w:p w14:paraId="44B9DFD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9"/>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t xml:space="preserve">9.1.3与水功能管理要求符合性分析 </w:t>
      </w:r>
    </w:p>
    <w:p w14:paraId="2EEA26D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项目第一受纳水体为机排二十渠</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未划定水环境功能区</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，主要为</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排污明渠</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，水质执行《地表水环境质量标准》</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IV类</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水质标准；第二受纳水体为老三运河，主要功能为渔业用水，水质执行《地表水环境质量标准》III水质标准。本项目废水经处理后水质能达到《城镇污水处理厂污染物排放标准》（GB18918-2002）</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及修改单的</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一级 A 标准，外排废水经河段充分混合后，机排二十渠可满足《地表水环境质量标准》</w:t>
      </w:r>
      <w:r>
        <w:rPr>
          <w:rFonts w:hint="eastAsia"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IV类</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水质标准；老三运河段水质能达到《地表水环境质量标准》III水质标准要求，且所在水域不属于饮用水源准保护区、渔业用水区、水功能一级区划中的保护区等禁止排污口设置水域。项目排污口设置符合水功能区管理要求。</w:t>
      </w:r>
    </w:p>
    <w:p w14:paraId="337DCE0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9"/>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pPr>
      <w:bookmarkStart w:id="377" w:name="_Toc32319"/>
      <w:bookmarkStart w:id="378" w:name="_Toc22757"/>
      <w:r>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t>9.1.4与水生态保护要求</w:t>
      </w:r>
      <w:bookmarkEnd w:id="377"/>
      <w:r>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t>符合性分析</w:t>
      </w:r>
      <w:bookmarkEnd w:id="378"/>
    </w:p>
    <w:p w14:paraId="5CD3F23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本入河排污口位于机排二十渠右岸，未设置在自然保护区、风景名胜区、重要湿地以及鱼类“三场”和洄游通道等环境敏感区内，本入河排污口设置不存在生态制约因素，符合水生态保护要求。</w:t>
      </w:r>
    </w:p>
    <w:p w14:paraId="260D184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9"/>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pPr>
      <w:bookmarkStart w:id="379" w:name="_Toc26256"/>
      <w:r>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t>9.1.5与</w:t>
      </w:r>
      <w:bookmarkStart w:id="380" w:name="_Hlk105355096"/>
      <w:bookmarkStart w:id="381" w:name="_Hlk105354962"/>
      <w:r>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t>入河排污口设置基本要求</w:t>
      </w:r>
      <w:bookmarkEnd w:id="380"/>
      <w:r>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t>的相符性</w:t>
      </w:r>
      <w:bookmarkEnd w:id="381"/>
      <w:r>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t>分析</w:t>
      </w:r>
      <w:bookmarkEnd w:id="379"/>
    </w:p>
    <w:p w14:paraId="75295E8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zh-CN"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zh-CN" w:eastAsia="zh-CN" w:bidi="ar-SA"/>
          <w14:textFill>
            <w14:solidFill>
              <w14:schemeClr w14:val="tx1"/>
            </w14:solidFill>
          </w14:textFill>
        </w:rPr>
        <w:t>本次入河排污口设置基本要求符合性分析对照</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《入河排污口监督管理办法》（生态环境部令第35号）</w:t>
      </w:r>
      <w:r>
        <w:rPr>
          <w:rFonts w:hint="default" w:ascii="Times New Roman" w:hAnsi="Times New Roman" w:eastAsia="宋体" w:cs="Times New Roman"/>
          <w:color w:val="000000" w:themeColor="text1"/>
          <w:kern w:val="2"/>
          <w:sz w:val="24"/>
          <w:szCs w:val="20"/>
          <w:u w:val="wave" w:color="auto"/>
          <w:lang w:val="zh-CN" w:eastAsia="zh-CN" w:bidi="ar-SA"/>
          <w14:textFill>
            <w14:solidFill>
              <w14:schemeClr w14:val="tx1"/>
            </w14:solidFill>
          </w14:textFill>
        </w:rPr>
        <w:t>、《湖南省入河排污口监督管理办法》（湘政办﹝2018﹞44号）</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与</w:t>
      </w:r>
      <w:r>
        <w:rPr>
          <w:rFonts w:hint="default" w:ascii="Times New Roman" w:hAnsi="Times New Roman" w:eastAsia="宋体" w:cs="Times New Roman"/>
          <w:color w:val="000000" w:themeColor="text1"/>
          <w:kern w:val="2"/>
          <w:sz w:val="24"/>
          <w:szCs w:val="20"/>
          <w:u w:val="wave" w:color="auto"/>
          <w:lang w:val="zh-CN" w:eastAsia="zh-CN" w:bidi="ar-SA"/>
          <w14:textFill>
            <w14:solidFill>
              <w14:schemeClr w14:val="tx1"/>
            </w14:solidFill>
          </w14:textFill>
        </w:rPr>
        <w:t>《国务院办公厅关于加强入河入海排污口监督管理工作的实施意见》（国办函﹝2022﹞17号）中相关要求进行，详见表</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9.1</w:t>
      </w:r>
      <w:r>
        <w:rPr>
          <w:rFonts w:hint="default" w:ascii="Times New Roman" w:hAnsi="Times New Roman" w:eastAsia="宋体" w:cs="Times New Roman"/>
          <w:color w:val="000000" w:themeColor="text1"/>
          <w:kern w:val="2"/>
          <w:sz w:val="24"/>
          <w:szCs w:val="20"/>
          <w:u w:val="wave" w:color="auto"/>
          <w:lang w:val="zh-CN"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u w:val="wave" w:color="auto"/>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0"/>
          <w:u w:val="wave" w:color="auto"/>
          <w:lang w:val="zh-CN" w:eastAsia="zh-CN" w:bidi="ar-SA"/>
          <w14:textFill>
            <w14:solidFill>
              <w14:schemeClr w14:val="tx1"/>
            </w14:solidFill>
          </w14:textFill>
        </w:rPr>
        <w:t>。</w:t>
      </w:r>
    </w:p>
    <w:p w14:paraId="014E2139">
      <w:pPr>
        <w:autoSpaceDE/>
        <w:autoSpaceDN/>
        <w:adjustRightInd/>
        <w:spacing w:line="240" w:lineRule="auto"/>
        <w:ind w:firstLine="0" w:firstLineChars="0"/>
        <w:jc w:val="center"/>
        <w:rPr>
          <w:rFonts w:hint="default" w:ascii="Times New Roman" w:hAnsi="Times New Roman" w:eastAsia="宋体" w:cs="Times New Roman"/>
          <w:b/>
          <w:bCs/>
          <w:color w:val="000000" w:themeColor="text1"/>
          <w:kern w:val="0"/>
          <w:sz w:val="24"/>
          <w:u w:val="wave" w:color="auto"/>
          <w14:textFill>
            <w14:solidFill>
              <w14:schemeClr w14:val="tx1"/>
            </w14:solidFill>
          </w14:textFill>
        </w:rPr>
      </w:pPr>
      <w:r>
        <w:rPr>
          <w:rFonts w:hint="default" w:ascii="Times New Roman" w:hAnsi="Times New Roman" w:eastAsia="宋体" w:cs="Times New Roman"/>
          <w:b/>
          <w:bCs/>
          <w:color w:val="000000" w:themeColor="text1"/>
          <w:kern w:val="0"/>
          <w:sz w:val="24"/>
          <w:u w:val="wave" w:color="auto"/>
          <w14:textFill>
            <w14:solidFill>
              <w14:schemeClr w14:val="tx1"/>
            </w14:solidFill>
          </w14:textFill>
        </w:rPr>
        <w:t>表</w:t>
      </w:r>
      <w:r>
        <w:rPr>
          <w:rFonts w:hint="default" w:ascii="Times New Roman" w:hAnsi="Times New Roman" w:eastAsia="宋体" w:cs="Times New Roman"/>
          <w:b/>
          <w:bCs/>
          <w:color w:val="000000" w:themeColor="text1"/>
          <w:kern w:val="0"/>
          <w:sz w:val="24"/>
          <w:u w:val="wave" w:color="auto"/>
          <w:lang w:val="en-US" w:eastAsia="zh-CN"/>
          <w14:textFill>
            <w14:solidFill>
              <w14:schemeClr w14:val="tx1"/>
            </w14:solidFill>
          </w14:textFill>
        </w:rPr>
        <w:t>9.1</w:t>
      </w:r>
      <w:r>
        <w:rPr>
          <w:rFonts w:hint="default" w:ascii="Times New Roman" w:hAnsi="Times New Roman" w:eastAsia="宋体" w:cs="Times New Roman"/>
          <w:b/>
          <w:bCs/>
          <w:color w:val="000000" w:themeColor="text1"/>
          <w:kern w:val="0"/>
          <w:sz w:val="24"/>
          <w:u w:val="wave" w:color="auto"/>
          <w14:textFill>
            <w14:solidFill>
              <w14:schemeClr w14:val="tx1"/>
            </w14:solidFill>
          </w14:textFill>
        </w:rPr>
        <w:t>-</w:t>
      </w:r>
      <w:r>
        <w:rPr>
          <w:rFonts w:hint="default" w:ascii="Times New Roman" w:hAnsi="Times New Roman" w:eastAsia="宋体" w:cs="Times New Roman"/>
          <w:b/>
          <w:bCs/>
          <w:color w:val="000000" w:themeColor="text1"/>
          <w:kern w:val="0"/>
          <w:sz w:val="24"/>
          <w:u w:val="wave" w:color="auto"/>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u w:val="wave" w:color="auto"/>
          <w14:textFill>
            <w14:solidFill>
              <w14:schemeClr w14:val="tx1"/>
            </w14:solidFill>
          </w14:textFill>
        </w:rPr>
        <w:t xml:space="preserve">  与入河排污口设置基本要求相符性分析一览表</w:t>
      </w:r>
    </w:p>
    <w:tbl>
      <w:tblPr>
        <w:tblStyle w:val="76"/>
        <w:tblW w:w="522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90"/>
        <w:gridCol w:w="3690"/>
        <w:gridCol w:w="3813"/>
        <w:gridCol w:w="1316"/>
      </w:tblGrid>
      <w:tr w14:paraId="5CF720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58" w:type="pct"/>
            <w:tcBorders>
              <w:tl2br w:val="nil"/>
              <w:tr2bl w:val="nil"/>
            </w:tcBorders>
            <w:noWrap w:val="0"/>
            <w:vAlign w:val="center"/>
          </w:tcPr>
          <w:p w14:paraId="23C8E555">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序号</w:t>
            </w:r>
          </w:p>
        </w:tc>
        <w:tc>
          <w:tcPr>
            <w:tcW w:w="1900" w:type="pct"/>
            <w:tcBorders>
              <w:tl2br w:val="nil"/>
              <w:tr2bl w:val="nil"/>
            </w:tcBorders>
            <w:noWrap w:val="0"/>
            <w:vAlign w:val="center"/>
          </w:tcPr>
          <w:p w14:paraId="7C0F8344">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情形</w:t>
            </w:r>
          </w:p>
        </w:tc>
        <w:tc>
          <w:tcPr>
            <w:tcW w:w="1963" w:type="pct"/>
            <w:tcBorders>
              <w:tl2br w:val="nil"/>
              <w:tr2bl w:val="nil"/>
            </w:tcBorders>
            <w:noWrap w:val="0"/>
            <w:vAlign w:val="center"/>
          </w:tcPr>
          <w:p w14:paraId="2D202957">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本项目情况分析</w:t>
            </w:r>
          </w:p>
        </w:tc>
        <w:tc>
          <w:tcPr>
            <w:tcW w:w="677" w:type="pct"/>
            <w:tcBorders>
              <w:tl2br w:val="nil"/>
              <w:tr2bl w:val="nil"/>
            </w:tcBorders>
            <w:noWrap w:val="0"/>
            <w:vAlign w:val="center"/>
          </w:tcPr>
          <w:p w14:paraId="1CF96001">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分析结论</w:t>
            </w:r>
          </w:p>
        </w:tc>
      </w:tr>
      <w:tr w14:paraId="437538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00" w:type="pct"/>
            <w:gridSpan w:val="4"/>
            <w:tcBorders>
              <w:tl2br w:val="nil"/>
              <w:tr2bl w:val="nil"/>
            </w:tcBorders>
            <w:noWrap w:val="0"/>
            <w:vAlign w:val="center"/>
          </w:tcPr>
          <w:p w14:paraId="1BD6BC06">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《入河排污口监督管理办法》（生态环境部令第35号）第十八条规定：有下列情形之一的，禁止设置入河排污口</w:t>
            </w:r>
          </w:p>
        </w:tc>
      </w:tr>
      <w:tr w14:paraId="348416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0B1206F7">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1</w:t>
            </w:r>
          </w:p>
        </w:tc>
        <w:tc>
          <w:tcPr>
            <w:tcW w:w="1900" w:type="pct"/>
            <w:tcBorders>
              <w:tl2br w:val="nil"/>
              <w:tr2bl w:val="nil"/>
            </w:tcBorders>
            <w:noWrap w:val="0"/>
            <w:vAlign w:val="center"/>
          </w:tcPr>
          <w:p w14:paraId="343D1EC3">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在饮用水水源保护区内</w:t>
            </w:r>
          </w:p>
        </w:tc>
        <w:tc>
          <w:tcPr>
            <w:tcW w:w="1963" w:type="pct"/>
            <w:tcBorders>
              <w:tl2br w:val="nil"/>
              <w:tr2bl w:val="nil"/>
            </w:tcBorders>
            <w:noWrap w:val="0"/>
            <w:vAlign w:val="center"/>
          </w:tcPr>
          <w:p w14:paraId="487BAB11">
            <w:pPr>
              <w:keepNext w:val="0"/>
              <w:keepLines w:val="0"/>
              <w:suppressLineNumbers w:val="0"/>
              <w:tabs>
                <w:tab w:val="left" w:pos="-2486"/>
              </w:tabs>
              <w:autoSpaceDE w:val="0"/>
              <w:autoSpaceDN w:val="0"/>
              <w:adjustRightInd w:val="0"/>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项目废水影响范围内无饮用水水源保护区</w:t>
            </w:r>
          </w:p>
        </w:tc>
        <w:tc>
          <w:tcPr>
            <w:tcW w:w="677" w:type="pct"/>
            <w:vMerge w:val="restart"/>
            <w:tcBorders>
              <w:tl2br w:val="nil"/>
              <w:tr2bl w:val="nil"/>
            </w:tcBorders>
            <w:noWrap w:val="0"/>
            <w:vAlign w:val="center"/>
          </w:tcPr>
          <w:p w14:paraId="3C53D5AE">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本入河排污口设置符合《入河排污口监督管理办法》（生态环境部令第35号）要求</w:t>
            </w:r>
          </w:p>
        </w:tc>
      </w:tr>
      <w:tr w14:paraId="3395CC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4044C587">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2</w:t>
            </w:r>
          </w:p>
        </w:tc>
        <w:tc>
          <w:tcPr>
            <w:tcW w:w="1900" w:type="pct"/>
            <w:tcBorders>
              <w:tl2br w:val="nil"/>
              <w:tr2bl w:val="nil"/>
            </w:tcBorders>
            <w:noWrap w:val="0"/>
            <w:vAlign w:val="center"/>
          </w:tcPr>
          <w:p w14:paraId="5FE545D2">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在风景名胜区水体、重要渔业水体和其他具有特殊经济文化价值的水体的保护区内新建</w:t>
            </w:r>
          </w:p>
        </w:tc>
        <w:tc>
          <w:tcPr>
            <w:tcW w:w="1963" w:type="pct"/>
            <w:tcBorders>
              <w:tl2br w:val="nil"/>
              <w:tr2bl w:val="nil"/>
            </w:tcBorders>
            <w:noWrap w:val="0"/>
            <w:vAlign w:val="center"/>
          </w:tcPr>
          <w:p w14:paraId="204DD110">
            <w:pPr>
              <w:keepNext w:val="0"/>
              <w:keepLines w:val="0"/>
              <w:suppressLineNumbers w:val="0"/>
              <w:tabs>
                <w:tab w:val="left" w:pos="-2486"/>
              </w:tabs>
              <w:autoSpaceDE w:val="0"/>
              <w:autoSpaceDN w:val="0"/>
              <w:adjustRightInd w:val="0"/>
              <w:snapToGrid w:val="0"/>
              <w:spacing w:before="0" w:beforeAutospacing="0" w:after="0" w:afterAutospacing="0" w:line="240" w:lineRule="exact"/>
              <w:ind w:left="0" w:right="0" w:firstLine="0" w:firstLineChars="0"/>
              <w:jc w:val="center"/>
              <w:rPr>
                <w:rFonts w:hint="default" w:ascii="Times New Roman" w:hAnsi="Times New Roman" w:eastAsia="宋体" w:cs="Times New Roman"/>
                <w:color w:val="000000" w:themeColor="text1"/>
                <w:kern w:val="2"/>
                <w:sz w:val="21"/>
                <w:szCs w:val="21"/>
                <w:u w:val="wave" w:color="auto"/>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项目</w:t>
            </w:r>
            <w:r>
              <w:rPr>
                <w:rFonts w:hint="eastAsia" w:cs="Times New Roman"/>
                <w:color w:val="000000" w:themeColor="text1"/>
                <w:kern w:val="2"/>
                <w:sz w:val="21"/>
                <w:szCs w:val="21"/>
                <w:u w:val="wave" w:color="auto"/>
                <w:lang w:val="en-US" w:eastAsia="zh-CN"/>
                <w14:textFill>
                  <w14:solidFill>
                    <w14:schemeClr w14:val="tx1"/>
                  </w14:solidFill>
                </w14:textFill>
              </w:rPr>
              <w:t>排污口</w:t>
            </w: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为扩建，不</w:t>
            </w: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在风景名胜区水体、重要渔业水体和其他具有特殊经济文化价值的水体的保护区内</w:t>
            </w:r>
          </w:p>
        </w:tc>
        <w:tc>
          <w:tcPr>
            <w:tcW w:w="677" w:type="pct"/>
            <w:vMerge w:val="continue"/>
            <w:tcBorders>
              <w:tl2br w:val="nil"/>
              <w:tr2bl w:val="nil"/>
            </w:tcBorders>
            <w:noWrap w:val="0"/>
            <w:vAlign w:val="center"/>
          </w:tcPr>
          <w:p w14:paraId="62782810">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0FAA88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39848D10">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3</w:t>
            </w:r>
          </w:p>
        </w:tc>
        <w:tc>
          <w:tcPr>
            <w:tcW w:w="1900" w:type="pct"/>
            <w:tcBorders>
              <w:tl2br w:val="nil"/>
              <w:tr2bl w:val="nil"/>
            </w:tcBorders>
            <w:noWrap w:val="0"/>
            <w:vAlign w:val="center"/>
          </w:tcPr>
          <w:p w14:paraId="135698E3">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不符合法律、行政法规规定的其他情形</w:t>
            </w:r>
          </w:p>
        </w:tc>
        <w:tc>
          <w:tcPr>
            <w:tcW w:w="1963" w:type="pct"/>
            <w:tcBorders>
              <w:tl2br w:val="nil"/>
              <w:tr2bl w:val="nil"/>
            </w:tcBorders>
            <w:noWrap w:val="0"/>
            <w:vAlign w:val="center"/>
          </w:tcPr>
          <w:p w14:paraId="20CBB7CD">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项目符合法律、行政法规规定</w:t>
            </w:r>
          </w:p>
        </w:tc>
        <w:tc>
          <w:tcPr>
            <w:tcW w:w="677" w:type="pct"/>
            <w:vMerge w:val="continue"/>
            <w:tcBorders>
              <w:tl2br w:val="nil"/>
              <w:tr2bl w:val="nil"/>
            </w:tcBorders>
            <w:noWrap w:val="0"/>
            <w:vAlign w:val="center"/>
          </w:tcPr>
          <w:p w14:paraId="6F2915A8">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2255EC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07B747E3">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4</w:t>
            </w:r>
          </w:p>
        </w:tc>
        <w:tc>
          <w:tcPr>
            <w:tcW w:w="1900" w:type="pct"/>
            <w:tcBorders>
              <w:tl2br w:val="nil"/>
              <w:tr2bl w:val="nil"/>
            </w:tcBorders>
            <w:noWrap w:val="0"/>
            <w:vAlign w:val="center"/>
          </w:tcPr>
          <w:p w14:paraId="2E62E276">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对流域水生态环境质量不达标的水功能区，除城镇污水处理厂等重要民生工程的入河排污口外，严格控制入河排污口设置</w:t>
            </w:r>
          </w:p>
        </w:tc>
        <w:tc>
          <w:tcPr>
            <w:tcW w:w="1963" w:type="pct"/>
            <w:tcBorders>
              <w:tl2br w:val="nil"/>
              <w:tr2bl w:val="nil"/>
            </w:tcBorders>
            <w:noWrap w:val="0"/>
            <w:vAlign w:val="center"/>
          </w:tcPr>
          <w:p w14:paraId="737EB64C">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本项目为</w:t>
            </w:r>
            <w:r>
              <w:rPr>
                <w:rFonts w:hint="eastAsia" w:cs="Times New Roman"/>
                <w:color w:val="000000" w:themeColor="text1"/>
                <w:kern w:val="2"/>
                <w:sz w:val="21"/>
                <w:szCs w:val="21"/>
                <w:u w:val="wave" w:color="auto"/>
                <w:lang w:val="en-US" w:eastAsia="zh-CN" w:bidi="ar-SA"/>
                <w14:textFill>
                  <w14:solidFill>
                    <w14:schemeClr w14:val="tx1"/>
                  </w14:solidFill>
                </w14:textFill>
              </w:rPr>
              <w:t>扩建的</w:t>
            </w: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工业及其他各类园区污水处理厂入河排污口</w:t>
            </w:r>
            <w:r>
              <w:rPr>
                <w:rFonts w:hint="eastAsia" w:cs="Times New Roman"/>
                <w:color w:val="000000" w:themeColor="text1"/>
                <w:kern w:val="2"/>
                <w:sz w:val="21"/>
                <w:szCs w:val="21"/>
                <w:u w:val="wave" w:color="auto"/>
                <w:lang w:val="en-US" w:eastAsia="zh-CN" w:bidi="ar-SA"/>
                <w14:textFill>
                  <w14:solidFill>
                    <w14:schemeClr w14:val="tx1"/>
                  </w14:solidFill>
                </w14:textFill>
              </w:rPr>
              <w:t>，根据地表水环境现状监测，项目所在流域为水环境质量达标区。</w:t>
            </w:r>
          </w:p>
        </w:tc>
        <w:tc>
          <w:tcPr>
            <w:tcW w:w="677" w:type="pct"/>
            <w:vMerge w:val="continue"/>
            <w:tcBorders>
              <w:tl2br w:val="nil"/>
              <w:tr2bl w:val="nil"/>
            </w:tcBorders>
            <w:noWrap w:val="0"/>
            <w:vAlign w:val="center"/>
          </w:tcPr>
          <w:p w14:paraId="5D8B8CDC">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6CFCFF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00" w:type="pct"/>
            <w:gridSpan w:val="4"/>
            <w:tcBorders>
              <w:tl2br w:val="nil"/>
              <w:tr2bl w:val="nil"/>
            </w:tcBorders>
            <w:noWrap w:val="0"/>
            <w:vAlign w:val="center"/>
          </w:tcPr>
          <w:p w14:paraId="12F664E2">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《湖南省入河排污口监督管理办法》（湘政办﹝2018﹞44 号）第十五条规定有下列情形之一的，不予同意设置入河排污口：</w:t>
            </w:r>
          </w:p>
        </w:tc>
      </w:tr>
      <w:tr w14:paraId="607F44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7F0BF8CC">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1</w:t>
            </w:r>
          </w:p>
        </w:tc>
        <w:tc>
          <w:tcPr>
            <w:tcW w:w="1900" w:type="pct"/>
            <w:tcBorders>
              <w:tl2br w:val="nil"/>
              <w:tr2bl w:val="nil"/>
            </w:tcBorders>
            <w:noWrap w:val="0"/>
            <w:vAlign w:val="center"/>
          </w:tcPr>
          <w:p w14:paraId="7A92E83B">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饮用水水源一级、二级保护区内</w:t>
            </w:r>
          </w:p>
        </w:tc>
        <w:tc>
          <w:tcPr>
            <w:tcW w:w="1963" w:type="pct"/>
            <w:tcBorders>
              <w:tl2br w:val="nil"/>
              <w:tr2bl w:val="nil"/>
            </w:tcBorders>
            <w:noWrap w:val="0"/>
            <w:vAlign w:val="center"/>
          </w:tcPr>
          <w:p w14:paraId="665BDB57">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本入河排污口所在水域不涉及饮用水水源保护区</w:t>
            </w:r>
          </w:p>
        </w:tc>
        <w:tc>
          <w:tcPr>
            <w:tcW w:w="677" w:type="pct"/>
            <w:vMerge w:val="restart"/>
            <w:tcBorders>
              <w:tl2br w:val="nil"/>
              <w:tr2bl w:val="nil"/>
            </w:tcBorders>
            <w:noWrap w:val="0"/>
            <w:vAlign w:val="center"/>
          </w:tcPr>
          <w:p w14:paraId="03534DDA">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本入河排污口设置符合《湖南省入河排污口监督管理办法》（湘政办﹝2018﹞44号）要求</w:t>
            </w:r>
          </w:p>
        </w:tc>
      </w:tr>
      <w:tr w14:paraId="585251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259DA82D">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2</w:t>
            </w:r>
          </w:p>
        </w:tc>
        <w:tc>
          <w:tcPr>
            <w:tcW w:w="1900" w:type="pct"/>
            <w:tcBorders>
              <w:tl2br w:val="nil"/>
              <w:tr2bl w:val="nil"/>
            </w:tcBorders>
            <w:noWrap w:val="0"/>
            <w:vAlign w:val="center"/>
          </w:tcPr>
          <w:p w14:paraId="073FD79E">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自然保护区核心区、缓冲区内</w:t>
            </w:r>
          </w:p>
        </w:tc>
        <w:tc>
          <w:tcPr>
            <w:tcW w:w="1963" w:type="pct"/>
            <w:tcBorders>
              <w:tl2br w:val="nil"/>
              <w:tr2bl w:val="nil"/>
            </w:tcBorders>
            <w:noWrap w:val="0"/>
            <w:vAlign w:val="center"/>
          </w:tcPr>
          <w:p w14:paraId="416F7250">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本入河排污口所在水域无自然保护区核心区、缓冲区</w:t>
            </w:r>
          </w:p>
        </w:tc>
        <w:tc>
          <w:tcPr>
            <w:tcW w:w="677" w:type="pct"/>
            <w:vMerge w:val="continue"/>
            <w:tcBorders>
              <w:tl2br w:val="nil"/>
              <w:tr2bl w:val="nil"/>
            </w:tcBorders>
            <w:noWrap w:val="0"/>
            <w:vAlign w:val="center"/>
          </w:tcPr>
          <w:p w14:paraId="07B5D065">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46D605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8" w:type="pct"/>
            <w:tcBorders>
              <w:tl2br w:val="nil"/>
              <w:tr2bl w:val="nil"/>
            </w:tcBorders>
            <w:noWrap w:val="0"/>
            <w:vAlign w:val="center"/>
          </w:tcPr>
          <w:p w14:paraId="29EA97F6">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3</w:t>
            </w:r>
          </w:p>
        </w:tc>
        <w:tc>
          <w:tcPr>
            <w:tcW w:w="1900" w:type="pct"/>
            <w:tcBorders>
              <w:tl2br w:val="nil"/>
              <w:tr2bl w:val="nil"/>
            </w:tcBorders>
            <w:noWrap w:val="0"/>
            <w:vAlign w:val="center"/>
          </w:tcPr>
          <w:p w14:paraId="6814CFE2">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水产种质资源保护区内</w:t>
            </w:r>
          </w:p>
        </w:tc>
        <w:tc>
          <w:tcPr>
            <w:tcW w:w="1963" w:type="pct"/>
            <w:tcBorders>
              <w:tl2br w:val="nil"/>
              <w:tr2bl w:val="nil"/>
            </w:tcBorders>
            <w:noWrap w:val="0"/>
            <w:vAlign w:val="center"/>
          </w:tcPr>
          <w:p w14:paraId="44C8F8A9">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本入河排污口所在水域无水产种质资源保护区</w:t>
            </w:r>
          </w:p>
        </w:tc>
        <w:tc>
          <w:tcPr>
            <w:tcW w:w="677" w:type="pct"/>
            <w:vMerge w:val="continue"/>
            <w:tcBorders>
              <w:tl2br w:val="nil"/>
              <w:tr2bl w:val="nil"/>
            </w:tcBorders>
            <w:noWrap w:val="0"/>
            <w:vAlign w:val="center"/>
          </w:tcPr>
          <w:p w14:paraId="6DFD6F44">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0F937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26E3EB0F">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4</w:t>
            </w:r>
          </w:p>
        </w:tc>
        <w:tc>
          <w:tcPr>
            <w:tcW w:w="1900" w:type="pct"/>
            <w:tcBorders>
              <w:tl2br w:val="nil"/>
              <w:tr2bl w:val="nil"/>
            </w:tcBorders>
            <w:noWrap w:val="0"/>
            <w:vAlign w:val="center"/>
          </w:tcPr>
          <w:p w14:paraId="2DA13A18">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省级以上湿地公园保育区、恢复重建区内</w:t>
            </w:r>
          </w:p>
        </w:tc>
        <w:tc>
          <w:tcPr>
            <w:tcW w:w="1963" w:type="pct"/>
            <w:tcBorders>
              <w:tl2br w:val="nil"/>
              <w:tr2bl w:val="nil"/>
            </w:tcBorders>
            <w:noWrap w:val="0"/>
            <w:vAlign w:val="center"/>
          </w:tcPr>
          <w:p w14:paraId="4333E345">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本项目不在省级以上湿地公园保育区、恢复重建区内</w:t>
            </w:r>
          </w:p>
        </w:tc>
        <w:tc>
          <w:tcPr>
            <w:tcW w:w="677" w:type="pct"/>
            <w:vMerge w:val="continue"/>
            <w:tcBorders>
              <w:tl2br w:val="nil"/>
              <w:tr2bl w:val="nil"/>
            </w:tcBorders>
            <w:noWrap w:val="0"/>
            <w:vAlign w:val="center"/>
          </w:tcPr>
          <w:p w14:paraId="3914F197">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41C5B8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69E1C937">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5</w:t>
            </w:r>
          </w:p>
        </w:tc>
        <w:tc>
          <w:tcPr>
            <w:tcW w:w="1900" w:type="pct"/>
            <w:tcBorders>
              <w:tl2br w:val="nil"/>
              <w:tr2bl w:val="nil"/>
            </w:tcBorders>
            <w:noWrap w:val="0"/>
            <w:vAlign w:val="center"/>
          </w:tcPr>
          <w:p w14:paraId="438F5BFE">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能够由污水系统接纳但拒不接入的</w:t>
            </w:r>
          </w:p>
        </w:tc>
        <w:tc>
          <w:tcPr>
            <w:tcW w:w="1963" w:type="pct"/>
            <w:tcBorders>
              <w:tl2br w:val="nil"/>
              <w:tr2bl w:val="nil"/>
            </w:tcBorders>
            <w:noWrap w:val="0"/>
            <w:vAlign w:val="center"/>
          </w:tcPr>
          <w:p w14:paraId="0734DC97">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本项目为</w:t>
            </w:r>
            <w:r>
              <w:rPr>
                <w:rFonts w:hint="eastAsia" w:cs="Times New Roman"/>
                <w:color w:val="000000" w:themeColor="text1"/>
                <w:kern w:val="2"/>
                <w:sz w:val="21"/>
                <w:szCs w:val="21"/>
                <w:u w:val="wave" w:color="auto"/>
                <w:lang w:val="en-US" w:eastAsia="zh-CN" w:bidi="ar-SA"/>
                <w14:textFill>
                  <w14:solidFill>
                    <w14:schemeClr w14:val="tx1"/>
                  </w14:solidFill>
                </w14:textFill>
              </w:rPr>
              <w:t>工业园区污水处理厂</w:t>
            </w: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，接纳大通湖工业园区企业生产污水，不存在“能够由污水系统接纳但拒不接入的”情形</w:t>
            </w:r>
          </w:p>
        </w:tc>
        <w:tc>
          <w:tcPr>
            <w:tcW w:w="677" w:type="pct"/>
            <w:vMerge w:val="continue"/>
            <w:tcBorders>
              <w:tl2br w:val="nil"/>
              <w:tr2bl w:val="nil"/>
            </w:tcBorders>
            <w:noWrap w:val="0"/>
            <w:vAlign w:val="center"/>
          </w:tcPr>
          <w:p w14:paraId="731D37E3">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6EF9B9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21238326">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6</w:t>
            </w:r>
          </w:p>
        </w:tc>
        <w:tc>
          <w:tcPr>
            <w:tcW w:w="1900" w:type="pct"/>
            <w:tcBorders>
              <w:tl2br w:val="nil"/>
              <w:tr2bl w:val="nil"/>
            </w:tcBorders>
            <w:noWrap w:val="0"/>
            <w:vAlign w:val="center"/>
          </w:tcPr>
          <w:p w14:paraId="1F682E76">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经论证不符合设置要求的</w:t>
            </w:r>
          </w:p>
        </w:tc>
        <w:tc>
          <w:tcPr>
            <w:tcW w:w="1963" w:type="pct"/>
            <w:tcBorders>
              <w:tl2br w:val="nil"/>
              <w:tr2bl w:val="nil"/>
            </w:tcBorders>
            <w:noWrap w:val="0"/>
            <w:vAlign w:val="center"/>
          </w:tcPr>
          <w:p w14:paraId="206BD318">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经论证，本入河排污口符合设置要求</w:t>
            </w:r>
          </w:p>
        </w:tc>
        <w:tc>
          <w:tcPr>
            <w:tcW w:w="677" w:type="pct"/>
            <w:vMerge w:val="continue"/>
            <w:tcBorders>
              <w:tl2br w:val="nil"/>
              <w:tr2bl w:val="nil"/>
            </w:tcBorders>
            <w:noWrap w:val="0"/>
            <w:vAlign w:val="center"/>
          </w:tcPr>
          <w:p w14:paraId="361F701A">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1D60AB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0E2E323F">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7</w:t>
            </w:r>
          </w:p>
        </w:tc>
        <w:tc>
          <w:tcPr>
            <w:tcW w:w="1900" w:type="pct"/>
            <w:tcBorders>
              <w:tl2br w:val="nil"/>
              <w:tr2bl w:val="nil"/>
            </w:tcBorders>
            <w:noWrap w:val="0"/>
            <w:vAlign w:val="center"/>
          </w:tcPr>
          <w:p w14:paraId="4103228B">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设置可能使水域水质达不到水功能区要求的</w:t>
            </w:r>
          </w:p>
        </w:tc>
        <w:tc>
          <w:tcPr>
            <w:tcW w:w="1963" w:type="pct"/>
            <w:tcBorders>
              <w:tl2br w:val="nil"/>
              <w:tr2bl w:val="nil"/>
            </w:tcBorders>
            <w:noWrap w:val="0"/>
            <w:vAlign w:val="center"/>
          </w:tcPr>
          <w:p w14:paraId="5D36ABC0">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根据预测，项目排污会对纳污水体造成一定影响，但不会引起水域水质达不到水功能区要求</w:t>
            </w:r>
          </w:p>
        </w:tc>
        <w:tc>
          <w:tcPr>
            <w:tcW w:w="677" w:type="pct"/>
            <w:vMerge w:val="continue"/>
            <w:tcBorders>
              <w:tl2br w:val="nil"/>
              <w:tr2bl w:val="nil"/>
            </w:tcBorders>
            <w:noWrap w:val="0"/>
            <w:vAlign w:val="center"/>
          </w:tcPr>
          <w:p w14:paraId="2A342542">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6FEB60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29CD257D">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8</w:t>
            </w:r>
          </w:p>
        </w:tc>
        <w:tc>
          <w:tcPr>
            <w:tcW w:w="1900" w:type="pct"/>
            <w:tcBorders>
              <w:tl2br w:val="nil"/>
              <w:tr2bl w:val="nil"/>
            </w:tcBorders>
            <w:noWrap w:val="0"/>
            <w:vAlign w:val="center"/>
          </w:tcPr>
          <w:p w14:paraId="1C03C927">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其他不符合法律法规及国家和地方有关规定的</w:t>
            </w:r>
          </w:p>
        </w:tc>
        <w:tc>
          <w:tcPr>
            <w:tcW w:w="1963" w:type="pct"/>
            <w:tcBorders>
              <w:tl2br w:val="nil"/>
              <w:tr2bl w:val="nil"/>
            </w:tcBorders>
            <w:noWrap w:val="0"/>
            <w:vAlign w:val="center"/>
          </w:tcPr>
          <w:p w14:paraId="4E049049">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本项目符合法律法规及国家和地方有关规定</w:t>
            </w:r>
          </w:p>
        </w:tc>
        <w:tc>
          <w:tcPr>
            <w:tcW w:w="677" w:type="pct"/>
            <w:vMerge w:val="continue"/>
            <w:tcBorders>
              <w:tl2br w:val="nil"/>
              <w:tr2bl w:val="nil"/>
            </w:tcBorders>
            <w:noWrap w:val="0"/>
            <w:vAlign w:val="center"/>
          </w:tcPr>
          <w:p w14:paraId="6206B895">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1FFFB6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00" w:type="pct"/>
            <w:gridSpan w:val="4"/>
            <w:tcBorders>
              <w:tl2br w:val="nil"/>
              <w:tr2bl w:val="nil"/>
            </w:tcBorders>
            <w:noWrap w:val="0"/>
            <w:vAlign w:val="center"/>
          </w:tcPr>
          <w:p w14:paraId="2A72BBCB">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t>《国务院办公厅关于加强入河入海排污口监督管理工作的实施意见》（国办函</w:t>
            </w:r>
            <w:r>
              <w:rPr>
                <w:rFonts w:hint="default" w:ascii="Times New Roman" w:hAnsi="Times New Roman" w:eastAsia="宋体" w:cs="Times New Roman"/>
                <w:color w:val="000000" w:themeColor="text1"/>
                <w:kern w:val="2"/>
                <w:sz w:val="21"/>
                <w:szCs w:val="21"/>
                <w:u w:val="wave" w:color="auto"/>
                <w:lang w:val="zh-CN"/>
                <w14:textFill>
                  <w14:solidFill>
                    <w14:schemeClr w14:val="tx1"/>
                  </w14:solidFill>
                </w14:textFill>
              </w:rPr>
              <w:t>﹝2022﹞</w:t>
            </w:r>
            <w: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t>17号）</w:t>
            </w:r>
          </w:p>
        </w:tc>
      </w:tr>
      <w:tr w14:paraId="2D4F40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1CF2D63F">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1</w:t>
            </w:r>
          </w:p>
        </w:tc>
        <w:tc>
          <w:tcPr>
            <w:tcW w:w="1900" w:type="pct"/>
            <w:tcBorders>
              <w:tl2br w:val="nil"/>
              <w:tr2bl w:val="nil"/>
            </w:tcBorders>
            <w:noWrap w:val="0"/>
            <w:vAlign w:val="center"/>
          </w:tcPr>
          <w:p w14:paraId="4BA31CFF">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明确排污口分类。根据排污口责任主体所属行业及排放特征，将排污口分为工业排污口、城镇污水处理厂排污口、农业排口、其他排口等四种类型。其中，工业排污口包括工矿企业排污口和雨洪排口、工业及其他各类园区污水处理厂排污口和雨洪排口等；农业排口包括规模化畜禽养殖排污口、规模化水产养殖排污口等；其他排口包括大中型灌区排口、规模以下水产养殖排污口、农村污水处理设施排污口、农村生活污水散排口等。各地可从实际出发细化排污口类型。</w:t>
            </w:r>
          </w:p>
        </w:tc>
        <w:tc>
          <w:tcPr>
            <w:tcW w:w="1963" w:type="pct"/>
            <w:tcBorders>
              <w:tl2br w:val="nil"/>
              <w:tr2bl w:val="nil"/>
            </w:tcBorders>
            <w:noWrap w:val="0"/>
            <w:vAlign w:val="center"/>
          </w:tcPr>
          <w:p w14:paraId="75D6E439">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本入河排污口属于工业排污口</w:t>
            </w:r>
          </w:p>
        </w:tc>
        <w:tc>
          <w:tcPr>
            <w:tcW w:w="677" w:type="pct"/>
            <w:vMerge w:val="restart"/>
            <w:tcBorders>
              <w:tl2br w:val="nil"/>
              <w:tr2bl w:val="nil"/>
            </w:tcBorders>
            <w:noWrap w:val="0"/>
            <w:vAlign w:val="center"/>
          </w:tcPr>
          <w:p w14:paraId="4BCF8C51">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t>本入河排污口设置符合《国务院办公厅关于加强入河入海排污口监督管理工作的实施意见》（国办函</w:t>
            </w:r>
            <w:r>
              <w:rPr>
                <w:rFonts w:hint="default" w:ascii="Times New Roman" w:hAnsi="Times New Roman" w:eastAsia="宋体" w:cs="Times New Roman"/>
                <w:color w:val="000000" w:themeColor="text1"/>
                <w:kern w:val="2"/>
                <w:sz w:val="21"/>
                <w:szCs w:val="21"/>
                <w:u w:val="wave" w:color="auto"/>
                <w:lang w:val="zh-CN"/>
                <w14:textFill>
                  <w14:solidFill>
                    <w14:schemeClr w14:val="tx1"/>
                  </w14:solidFill>
                </w14:textFill>
              </w:rPr>
              <w:t>﹝2022﹞</w:t>
            </w:r>
            <w: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t>17号）</w:t>
            </w:r>
          </w:p>
        </w:tc>
      </w:tr>
      <w:tr w14:paraId="5D646E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6882FF73">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2</w:t>
            </w:r>
          </w:p>
        </w:tc>
        <w:tc>
          <w:tcPr>
            <w:tcW w:w="1900" w:type="pct"/>
            <w:tcBorders>
              <w:tl2br w:val="nil"/>
              <w:tr2bl w:val="nil"/>
            </w:tcBorders>
            <w:noWrap w:val="0"/>
            <w:vAlign w:val="center"/>
          </w:tcPr>
          <w:p w14:paraId="2B06E4DB">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对违反法律法规规定，在饮用水水源保护区、自然保护地及其他需要特殊保护区域内设置的排污口，由属地县级以上地方人民政府或生态环境部门依法采取责令拆除、责令关闭等措施予以取缔。要妥善处理历史遗留问题，避免“一刀切”，合理制定整治措施，确保相关区域水生态环境安全和供水安全。</w:t>
            </w:r>
          </w:p>
        </w:tc>
        <w:tc>
          <w:tcPr>
            <w:tcW w:w="1963" w:type="pct"/>
            <w:tcBorders>
              <w:tl2br w:val="nil"/>
              <w:tr2bl w:val="nil"/>
            </w:tcBorders>
            <w:noWrap w:val="0"/>
            <w:vAlign w:val="center"/>
          </w:tcPr>
          <w:p w14:paraId="753DE54E">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本入河排污口不涉及饮用水水源保护区、自然保护地及其他需要特殊保护区域。</w:t>
            </w:r>
          </w:p>
        </w:tc>
        <w:tc>
          <w:tcPr>
            <w:tcW w:w="677" w:type="pct"/>
            <w:vMerge w:val="continue"/>
            <w:tcBorders>
              <w:tl2br w:val="nil"/>
              <w:tr2bl w:val="nil"/>
            </w:tcBorders>
            <w:noWrap w:val="0"/>
            <w:vAlign w:val="center"/>
          </w:tcPr>
          <w:p w14:paraId="791CA833">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175026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pct"/>
            <w:tcBorders>
              <w:tl2br w:val="nil"/>
              <w:tr2bl w:val="nil"/>
            </w:tcBorders>
            <w:noWrap w:val="0"/>
            <w:vAlign w:val="center"/>
          </w:tcPr>
          <w:p w14:paraId="085CCFD1">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3</w:t>
            </w:r>
          </w:p>
        </w:tc>
        <w:tc>
          <w:tcPr>
            <w:tcW w:w="1900" w:type="pct"/>
            <w:tcBorders>
              <w:tl2br w:val="nil"/>
              <w:tr2bl w:val="nil"/>
            </w:tcBorders>
            <w:noWrap w:val="0"/>
            <w:vAlign w:val="center"/>
          </w:tcPr>
          <w:p w14:paraId="313B4EF0">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清理合并一批。对于城镇污水收集管网覆盖范围内的生活污水散排口，原则上予以清理合并，污水依法规范接入污水收集管网。工业及其他各类园区或各类开发区内企业现有排污口应尽可能清理合并，污水通过截污纳管由园区或开发区污水集中处理设施统一处理。工业及其他各类园区或各类开发区外的工矿企业，原则上一个企业只保留一个工矿企业排污口，对于厂区较大或有多个厂区的，应尽可能清理合并排污口，清理合并后确有必要保留两个及以上工矿企业排污口的，应告知属地地市级生态环境部门。对于集中分布、连片聚集的中小型水产养殖散排口，鼓励各地统一收集处理养殖尾水，设置统一的排污口。</w:t>
            </w:r>
          </w:p>
        </w:tc>
        <w:tc>
          <w:tcPr>
            <w:tcW w:w="1963" w:type="pct"/>
            <w:tcBorders>
              <w:tl2br w:val="nil"/>
              <w:tr2bl w:val="nil"/>
            </w:tcBorders>
            <w:noWrap w:val="0"/>
            <w:vAlign w:val="center"/>
          </w:tcPr>
          <w:p w14:paraId="1B354E6E">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大通湖工业园区入园企业生产废水已全部纳入污水管道进入该污水处理厂，污水处理厂出水水质执行《城镇污水处理厂污染物排放标准》（GB18918-2002）</w:t>
            </w:r>
            <w:r>
              <w:rPr>
                <w:rFonts w:hint="eastAsia" w:cs="Times New Roman"/>
                <w:color w:val="000000" w:themeColor="text1"/>
                <w:kern w:val="2"/>
                <w:sz w:val="21"/>
                <w:szCs w:val="21"/>
                <w:u w:val="wave" w:color="auto"/>
                <w:lang w:val="en-US" w:eastAsia="zh-CN" w:bidi="ar-SA"/>
                <w14:textFill>
                  <w14:solidFill>
                    <w14:schemeClr w14:val="tx1"/>
                  </w14:solidFill>
                </w14:textFill>
              </w:rPr>
              <w:t>及修改单</w:t>
            </w: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中一级A标准。</w:t>
            </w:r>
          </w:p>
        </w:tc>
        <w:tc>
          <w:tcPr>
            <w:tcW w:w="677" w:type="pct"/>
            <w:vMerge w:val="continue"/>
            <w:tcBorders>
              <w:tl2br w:val="nil"/>
              <w:tr2bl w:val="nil"/>
            </w:tcBorders>
            <w:noWrap w:val="0"/>
            <w:vAlign w:val="center"/>
          </w:tcPr>
          <w:p w14:paraId="5929A69F">
            <w:pPr>
              <w:keepNext w:val="0"/>
              <w:keepLines w:val="0"/>
              <w:widowControl/>
              <w:suppressLineNumbers w:val="0"/>
              <w:autoSpaceDE/>
              <w:autoSpaceDN/>
              <w:adjustRightInd/>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bl>
    <w:p w14:paraId="137BD0C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zh-CN"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zh-CN" w:eastAsia="zh-CN" w:bidi="ar-SA"/>
          <w14:textFill>
            <w14:solidFill>
              <w14:schemeClr w14:val="tx1"/>
            </w14:solidFill>
          </w14:textFill>
        </w:rPr>
        <w:t>综上所述，本入河排污口设置符合入河排污口设置基本要求。</w:t>
      </w:r>
      <w:bookmarkStart w:id="382" w:name="_Toc32669"/>
    </w:p>
    <w:p w14:paraId="1312105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t>9.1.6与《益阳市最严格水资源管理制度实施方案》相符性分析</w:t>
      </w:r>
      <w:bookmarkEnd w:id="382"/>
    </w:p>
    <w:p w14:paraId="42842A33">
      <w:pPr>
        <w:autoSpaceDE/>
        <w:autoSpaceDN/>
        <w:adjustRightInd/>
        <w:spacing w:line="240" w:lineRule="auto"/>
        <w:ind w:firstLine="0" w:firstLineChars="0"/>
        <w:jc w:val="center"/>
        <w:rPr>
          <w:rFonts w:hint="default" w:ascii="Times New Roman" w:hAnsi="Times New Roman" w:eastAsia="宋体" w:cs="Times New Roman"/>
          <w:b/>
          <w:bCs/>
          <w:color w:val="000000" w:themeColor="text1"/>
          <w:kern w:val="0"/>
          <w:sz w:val="24"/>
          <w:u w:val="wave" w:color="auto"/>
          <w14:textFill>
            <w14:solidFill>
              <w14:schemeClr w14:val="tx1"/>
            </w14:solidFill>
          </w14:textFill>
        </w:rPr>
      </w:pPr>
      <w:r>
        <w:rPr>
          <w:rFonts w:hint="default" w:ascii="Times New Roman" w:hAnsi="Times New Roman" w:eastAsia="宋体" w:cs="Times New Roman"/>
          <w:b/>
          <w:bCs/>
          <w:color w:val="000000" w:themeColor="text1"/>
          <w:kern w:val="0"/>
          <w:sz w:val="24"/>
          <w:u w:val="wave" w:color="auto"/>
          <w14:textFill>
            <w14:solidFill>
              <w14:schemeClr w14:val="tx1"/>
            </w14:solidFill>
          </w14:textFill>
        </w:rPr>
        <w:t>表</w:t>
      </w:r>
      <w:r>
        <w:rPr>
          <w:rFonts w:hint="default" w:ascii="Times New Roman" w:hAnsi="Times New Roman" w:eastAsia="宋体" w:cs="Times New Roman"/>
          <w:b/>
          <w:bCs/>
          <w:color w:val="000000" w:themeColor="text1"/>
          <w:kern w:val="0"/>
          <w:sz w:val="24"/>
          <w:u w:val="wave" w:color="auto"/>
          <w:lang w:val="en-US" w:eastAsia="zh-CN"/>
          <w14:textFill>
            <w14:solidFill>
              <w14:schemeClr w14:val="tx1"/>
            </w14:solidFill>
          </w14:textFill>
        </w:rPr>
        <w:t>9.1</w:t>
      </w:r>
      <w:r>
        <w:rPr>
          <w:rFonts w:hint="default" w:ascii="Times New Roman" w:hAnsi="Times New Roman" w:eastAsia="宋体" w:cs="Times New Roman"/>
          <w:b/>
          <w:bCs/>
          <w:color w:val="000000" w:themeColor="text1"/>
          <w:kern w:val="0"/>
          <w:sz w:val="24"/>
          <w:u w:val="wave" w:color="auto"/>
          <w14:textFill>
            <w14:solidFill>
              <w14:schemeClr w14:val="tx1"/>
            </w14:solidFill>
          </w14:textFill>
        </w:rPr>
        <w:t>-</w:t>
      </w:r>
      <w:r>
        <w:rPr>
          <w:rFonts w:hint="default" w:ascii="Times New Roman" w:hAnsi="Times New Roman" w:eastAsia="宋体" w:cs="Times New Roman"/>
          <w:b/>
          <w:bCs/>
          <w:color w:val="000000" w:themeColor="text1"/>
          <w:kern w:val="0"/>
          <w:sz w:val="24"/>
          <w:u w:val="wave" w:color="auto"/>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u w:val="wave" w:color="auto"/>
          <w14:textFill>
            <w14:solidFill>
              <w14:schemeClr w14:val="tx1"/>
            </w14:solidFill>
          </w14:textFill>
        </w:rPr>
        <w:t xml:space="preserve">  与《益阳市最严格水资源管理制度实施方案》相符性分析</w:t>
      </w:r>
    </w:p>
    <w:tbl>
      <w:tblPr>
        <w:tblStyle w:val="76"/>
        <w:tblW w:w="5083"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72"/>
        <w:gridCol w:w="5636"/>
        <w:gridCol w:w="2173"/>
        <w:gridCol w:w="759"/>
      </w:tblGrid>
      <w:tr w14:paraId="58EF64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2" w:type="pct"/>
            <w:tcBorders>
              <w:tl2br w:val="nil"/>
              <w:tr2bl w:val="nil"/>
            </w:tcBorders>
            <w:noWrap w:val="0"/>
            <w:vAlign w:val="center"/>
          </w:tcPr>
          <w:p w14:paraId="7D7ECAF5">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序号</w:t>
            </w:r>
          </w:p>
        </w:tc>
        <w:tc>
          <w:tcPr>
            <w:tcW w:w="2985" w:type="pct"/>
            <w:tcBorders>
              <w:tl2br w:val="nil"/>
              <w:tr2bl w:val="nil"/>
            </w:tcBorders>
            <w:noWrap w:val="0"/>
            <w:vAlign w:val="center"/>
          </w:tcPr>
          <w:p w14:paraId="34ADF289">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情形</w:t>
            </w:r>
          </w:p>
        </w:tc>
        <w:tc>
          <w:tcPr>
            <w:tcW w:w="1151" w:type="pct"/>
            <w:tcBorders>
              <w:tl2br w:val="nil"/>
              <w:tr2bl w:val="nil"/>
            </w:tcBorders>
            <w:noWrap w:val="0"/>
            <w:vAlign w:val="center"/>
          </w:tcPr>
          <w:p w14:paraId="1E548782">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本项目情况分析</w:t>
            </w:r>
          </w:p>
        </w:tc>
        <w:tc>
          <w:tcPr>
            <w:tcW w:w="400" w:type="pct"/>
            <w:tcBorders>
              <w:tl2br w:val="nil"/>
              <w:tr2bl w:val="nil"/>
            </w:tcBorders>
            <w:noWrap w:val="0"/>
            <w:vAlign w:val="center"/>
          </w:tcPr>
          <w:p w14:paraId="0B50EC1E">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分析结论</w:t>
            </w:r>
          </w:p>
        </w:tc>
      </w:tr>
      <w:tr w14:paraId="1239C2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000" w:type="pct"/>
            <w:gridSpan w:val="4"/>
            <w:tcBorders>
              <w:tl2br w:val="nil"/>
              <w:tr2bl w:val="nil"/>
            </w:tcBorders>
            <w:noWrap w:val="0"/>
            <w:vAlign w:val="center"/>
          </w:tcPr>
          <w:p w14:paraId="44E0E3F7">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t>加强水功能区限制纳污红线管理，严格控制入河湖排污总量</w:t>
            </w:r>
          </w:p>
        </w:tc>
      </w:tr>
      <w:tr w14:paraId="723E22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2" w:type="pct"/>
            <w:tcBorders>
              <w:tl2br w:val="nil"/>
              <w:tr2bl w:val="nil"/>
            </w:tcBorders>
            <w:noWrap w:val="0"/>
            <w:vAlign w:val="center"/>
          </w:tcPr>
          <w:p w14:paraId="0112EE56">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1</w:t>
            </w:r>
          </w:p>
        </w:tc>
        <w:tc>
          <w:tcPr>
            <w:tcW w:w="2985" w:type="pct"/>
            <w:tcBorders>
              <w:tl2br w:val="nil"/>
              <w:tr2bl w:val="nil"/>
            </w:tcBorders>
            <w:noWrap w:val="0"/>
            <w:vAlign w:val="center"/>
          </w:tcPr>
          <w:p w14:paraId="15539291">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严格水功能区监督管理。完善水功能区监督管理制度，建立水功能区水质达标评价体系，加强水功能区动态监测和科学管理。公布水功能区划确界立碑。提高城市污水处理率，改善重要水功能区水环境质量，防治江河湖库富营养化。</w:t>
            </w:r>
          </w:p>
          <w:p w14:paraId="3C1D6767">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市、区县（市）水行政主管部门和环境保护主管部门应根据各自职责组织对本行政区域水功能区的水量、水质进行同步监测，定期发布水功能区水量、水质状况信息，开展水功能区水质达标评价。逐步建设水功能区水量水质和入河湖排污口实时监控系统</w:t>
            </w:r>
          </w:p>
        </w:tc>
        <w:tc>
          <w:tcPr>
            <w:tcW w:w="1151" w:type="pct"/>
            <w:tcBorders>
              <w:tl2br w:val="nil"/>
              <w:tr2bl w:val="nil"/>
            </w:tcBorders>
            <w:noWrap w:val="0"/>
            <w:vAlign w:val="center"/>
          </w:tcPr>
          <w:p w14:paraId="320C2ACD">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项目制定了地表水环境监测计划</w:t>
            </w:r>
          </w:p>
        </w:tc>
        <w:tc>
          <w:tcPr>
            <w:tcW w:w="400" w:type="pct"/>
            <w:vMerge w:val="restart"/>
            <w:tcBorders>
              <w:tl2br w:val="nil"/>
              <w:tr2bl w:val="nil"/>
            </w:tcBorders>
            <w:noWrap w:val="0"/>
            <w:vAlign w:val="center"/>
          </w:tcPr>
          <w:p w14:paraId="37436ADF">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t>符合</w:t>
            </w:r>
          </w:p>
        </w:tc>
      </w:tr>
      <w:tr w14:paraId="0EC370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2" w:type="pct"/>
            <w:tcBorders>
              <w:tl2br w:val="nil"/>
              <w:tr2bl w:val="nil"/>
            </w:tcBorders>
            <w:noWrap w:val="0"/>
            <w:vAlign w:val="center"/>
          </w:tcPr>
          <w:p w14:paraId="3D1DEE7E">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2</w:t>
            </w:r>
          </w:p>
        </w:tc>
        <w:tc>
          <w:tcPr>
            <w:tcW w:w="2985" w:type="pct"/>
            <w:tcBorders>
              <w:tl2br w:val="nil"/>
              <w:tr2bl w:val="nil"/>
            </w:tcBorders>
            <w:noWrap w:val="0"/>
            <w:vAlign w:val="center"/>
          </w:tcPr>
          <w:p w14:paraId="003116D5">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实行水功能区纳污总量控制。水行政主管部门要按照水功能区管理要求核定水功能区纳污能力，提出水功能区限制排污总量意见。环境保护行政主管部门按照水功能区限制排污总量意见和水功能区达标要求，制定水功能区限制排污总量年度目标任务，明确年度入河排污控制指标。各级人民政府要把限制排污总量和年度入河排污控制指标作为水污染防治和污染减排工作的重要依据，切实加强工业污染源控制，加大主要污染物减排力度，严格控制入河湖排污总量，确保水功能区达标。</w:t>
            </w:r>
          </w:p>
        </w:tc>
        <w:tc>
          <w:tcPr>
            <w:tcW w:w="1151" w:type="pct"/>
            <w:tcBorders>
              <w:tl2br w:val="nil"/>
              <w:tr2bl w:val="nil"/>
            </w:tcBorders>
            <w:noWrap w:val="0"/>
            <w:vAlign w:val="center"/>
          </w:tcPr>
          <w:p w14:paraId="6F1129C1">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本论证计算了机排二十渠的纳污能力，污水处理厂排放量小于机排二十渠的纳污能力。</w:t>
            </w:r>
          </w:p>
        </w:tc>
        <w:tc>
          <w:tcPr>
            <w:tcW w:w="400" w:type="pct"/>
            <w:vMerge w:val="continue"/>
            <w:tcBorders>
              <w:tl2br w:val="nil"/>
              <w:tr2bl w:val="nil"/>
            </w:tcBorders>
            <w:noWrap w:val="0"/>
            <w:vAlign w:val="center"/>
          </w:tcPr>
          <w:p w14:paraId="206B7728">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603937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2" w:type="pct"/>
            <w:tcBorders>
              <w:tl2br w:val="nil"/>
              <w:tr2bl w:val="nil"/>
            </w:tcBorders>
            <w:noWrap w:val="0"/>
            <w:vAlign w:val="center"/>
          </w:tcPr>
          <w:p w14:paraId="3AC2D22E">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3</w:t>
            </w:r>
          </w:p>
        </w:tc>
        <w:tc>
          <w:tcPr>
            <w:tcW w:w="2985" w:type="pct"/>
            <w:tcBorders>
              <w:tl2br w:val="nil"/>
              <w:tr2bl w:val="nil"/>
            </w:tcBorders>
            <w:noWrap w:val="0"/>
            <w:vAlign w:val="center"/>
          </w:tcPr>
          <w:p w14:paraId="7F28EC37">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严格入河湖排污口设置审批。新建、改建或扩大入河排污口要进行入河湖排污口设置论证，并经水行政主管部门审批同意，未经水行政主管部门同意，入河湖排污口不得擅自开工建设。入河湖排污口建设完成投入使用前，须经水行政主管部门组织验收。实行入河排污口登记制度。对排污量超出水功能区限排总量的地区，不得审批新增取水和入河湖排污口。</w:t>
            </w:r>
          </w:p>
        </w:tc>
        <w:tc>
          <w:tcPr>
            <w:tcW w:w="1151" w:type="pct"/>
            <w:tcBorders>
              <w:tl2br w:val="nil"/>
              <w:tr2bl w:val="nil"/>
            </w:tcBorders>
            <w:noWrap w:val="0"/>
            <w:vAlign w:val="center"/>
          </w:tcPr>
          <w:p w14:paraId="1BA215AD">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本次为大通湖工业园污水处理厂入河排污口设置论证，属于扩大入河排污口。</w:t>
            </w:r>
          </w:p>
        </w:tc>
        <w:tc>
          <w:tcPr>
            <w:tcW w:w="400" w:type="pct"/>
            <w:vMerge w:val="continue"/>
            <w:tcBorders>
              <w:tl2br w:val="nil"/>
              <w:tr2bl w:val="nil"/>
            </w:tcBorders>
            <w:noWrap w:val="0"/>
            <w:vAlign w:val="center"/>
          </w:tcPr>
          <w:p w14:paraId="4B7ACEF6">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7B109E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2" w:type="pct"/>
            <w:tcBorders>
              <w:tl2br w:val="nil"/>
              <w:tr2bl w:val="nil"/>
            </w:tcBorders>
            <w:noWrap w:val="0"/>
            <w:vAlign w:val="center"/>
          </w:tcPr>
          <w:p w14:paraId="28770F9A">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4</w:t>
            </w:r>
          </w:p>
        </w:tc>
        <w:tc>
          <w:tcPr>
            <w:tcW w:w="2985" w:type="pct"/>
            <w:tcBorders>
              <w:tl2br w:val="nil"/>
              <w:tr2bl w:val="nil"/>
            </w:tcBorders>
            <w:noWrap w:val="0"/>
            <w:vAlign w:val="center"/>
          </w:tcPr>
          <w:p w14:paraId="4D3A03BC">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加强饮用水水源保护。建立饮用水水源地核准和安全评估制度。加快实施全市城市饮用水水源地安全保障规划和农村饮水安全工程规划。区县（市）人民政府要依法划定饮用水水源保护区，开展重要饮用水水源地安全保障达标建设。加强水土流失治理，防治面源污染，禁止破坏水源涵养林。加快备用水源地建设，完善饮用水水源地突发事件应急预案。</w:t>
            </w:r>
          </w:p>
        </w:tc>
        <w:tc>
          <w:tcPr>
            <w:tcW w:w="1151" w:type="pct"/>
            <w:tcBorders>
              <w:tl2br w:val="nil"/>
              <w:tr2bl w:val="nil"/>
            </w:tcBorders>
            <w:noWrap w:val="0"/>
            <w:vAlign w:val="center"/>
          </w:tcPr>
          <w:p w14:paraId="304E83B1">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本入河排污口不涉及饮用水水源保护区。</w:t>
            </w:r>
          </w:p>
        </w:tc>
        <w:tc>
          <w:tcPr>
            <w:tcW w:w="400" w:type="pct"/>
            <w:vMerge w:val="continue"/>
            <w:tcBorders>
              <w:tl2br w:val="nil"/>
              <w:tr2bl w:val="nil"/>
            </w:tcBorders>
            <w:noWrap w:val="0"/>
            <w:vAlign w:val="center"/>
          </w:tcPr>
          <w:p w14:paraId="7E30B9BB">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r w14:paraId="7B7D72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2" w:type="pct"/>
            <w:tcBorders>
              <w:tl2br w:val="nil"/>
              <w:tr2bl w:val="nil"/>
            </w:tcBorders>
            <w:noWrap w:val="0"/>
            <w:vAlign w:val="center"/>
          </w:tcPr>
          <w:p w14:paraId="46FA9425">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5</w:t>
            </w:r>
          </w:p>
        </w:tc>
        <w:tc>
          <w:tcPr>
            <w:tcW w:w="2985" w:type="pct"/>
            <w:tcBorders>
              <w:tl2br w:val="nil"/>
              <w:tr2bl w:val="nil"/>
            </w:tcBorders>
            <w:noWrap w:val="0"/>
            <w:vAlign w:val="center"/>
          </w:tcPr>
          <w:p w14:paraId="5C4D2B46">
            <w:pPr>
              <w:keepNext w:val="0"/>
              <w:keepLines w:val="0"/>
              <w:widowControl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推进水生态系统保护与修复。加</w:t>
            </w:r>
            <w:r>
              <w:rPr>
                <w:rFonts w:hint="eastAsia" w:cs="Times New Roman"/>
                <w:color w:val="000000" w:themeColor="text1"/>
                <w:kern w:val="2"/>
                <w:sz w:val="21"/>
                <w:szCs w:val="21"/>
                <w:u w:val="wave" w:color="auto"/>
                <w:lang w:val="en-US" w:eastAsia="zh-CN" w:bidi="ar-SA"/>
                <w14:textFill>
                  <w14:solidFill>
                    <w14:schemeClr w14:val="tx1"/>
                  </w14:solidFill>
                </w14:textFill>
              </w:rPr>
              <w:t>强对</w:t>
            </w: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红岩水库源头保护区、</w:t>
            </w:r>
            <w:r>
              <w:rPr>
                <w:rFonts w:hint="eastAsia" w:cs="Times New Roman"/>
                <w:color w:val="000000" w:themeColor="text1"/>
                <w:kern w:val="2"/>
                <w:sz w:val="21"/>
                <w:szCs w:val="21"/>
                <w:u w:val="wave" w:color="auto"/>
                <w:lang w:val="en-US" w:eastAsia="zh-CN" w:bidi="ar-SA"/>
                <w14:textFill>
                  <w14:solidFill>
                    <w14:schemeClr w14:val="tx1"/>
                  </w14:solidFill>
                </w14:textFill>
              </w:rPr>
              <w:t>南洞庭湖</w:t>
            </w: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、东洞庭湖湿地等的保护，加快志溪河、兰溪河等河流治理，推进大通湖等湖泊水生态修复。建立水生态补偿机制。开展水生态保护和修复试点，编制并实施全市水生态系统保护与修复规划。</w:t>
            </w:r>
          </w:p>
        </w:tc>
        <w:tc>
          <w:tcPr>
            <w:tcW w:w="1151" w:type="pct"/>
            <w:tcBorders>
              <w:tl2br w:val="nil"/>
              <w:tr2bl w:val="nil"/>
            </w:tcBorders>
            <w:noWrap w:val="0"/>
            <w:vAlign w:val="center"/>
          </w:tcPr>
          <w:p w14:paraId="238F4EAD">
            <w:pPr>
              <w:keepNext w:val="0"/>
              <w:keepLines w:val="0"/>
              <w:widowControl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本项目不涉及红岩水库源头保护区、南洞庭</w:t>
            </w:r>
            <w:r>
              <w:rPr>
                <w:rFonts w:hint="eastAsia" w:cs="Times New Roman"/>
                <w:color w:val="000000" w:themeColor="text1"/>
                <w:kern w:val="2"/>
                <w:sz w:val="21"/>
                <w:szCs w:val="21"/>
                <w:u w:val="wave" w:color="auto"/>
                <w:lang w:val="en-US" w:eastAsia="zh-CN" w:bidi="ar-SA"/>
                <w14:textFill>
                  <w14:solidFill>
                    <w14:schemeClr w14:val="tx1"/>
                  </w14:solidFill>
                </w14:textFill>
              </w:rPr>
              <w:t>湖</w:t>
            </w:r>
            <w:r>
              <w:rPr>
                <w:rFonts w:hint="default" w:ascii="Times New Roman" w:hAnsi="Times New Roman" w:eastAsia="宋体" w:cs="Times New Roman"/>
                <w:color w:val="000000" w:themeColor="text1"/>
                <w:kern w:val="2"/>
                <w:sz w:val="21"/>
                <w:szCs w:val="21"/>
                <w:u w:val="wave" w:color="auto"/>
                <w:lang w:val="en-US" w:eastAsia="zh-CN" w:bidi="ar-SA"/>
                <w14:textFill>
                  <w14:solidFill>
                    <w14:schemeClr w14:val="tx1"/>
                  </w14:solidFill>
                </w14:textFill>
              </w:rPr>
              <w:t>、东洞庭湖湿地等，不属于志溪河、兰溪河等河流治理，推进大通湖等湖泊水生态修复的范围。</w:t>
            </w:r>
          </w:p>
        </w:tc>
        <w:tc>
          <w:tcPr>
            <w:tcW w:w="400" w:type="pct"/>
            <w:vMerge w:val="continue"/>
            <w:tcBorders>
              <w:tl2br w:val="nil"/>
              <w:tr2bl w:val="nil"/>
            </w:tcBorders>
            <w:noWrap w:val="0"/>
            <w:vAlign w:val="center"/>
          </w:tcPr>
          <w:p w14:paraId="5F98BB78">
            <w:pPr>
              <w:keepNext w:val="0"/>
              <w:keepLines w:val="0"/>
              <w:widowControl/>
              <w:suppressLineNumbers w:val="0"/>
              <w:autoSpaceDE/>
              <w:autoSpaceDN/>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u w:val="wave" w:color="auto"/>
                <w14:textFill>
                  <w14:solidFill>
                    <w14:schemeClr w14:val="tx1"/>
                  </w14:solidFill>
                </w14:textFill>
              </w:rPr>
            </w:pPr>
          </w:p>
        </w:tc>
      </w:tr>
    </w:tbl>
    <w:p w14:paraId="4ED1394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0"/>
          <w:u w:val="wave" w:color="auto"/>
          <w:lang w:val="zh-CN"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u w:val="wave" w:color="auto"/>
          <w:lang w:val="zh-CN" w:eastAsia="zh-CN" w:bidi="ar-SA"/>
          <w14:textFill>
            <w14:solidFill>
              <w14:schemeClr w14:val="tx1"/>
            </w14:solidFill>
          </w14:textFill>
        </w:rPr>
        <w:t>综上所述，本入河排污口设置与《益阳市最严格水资源管理制度实施方案》相符。</w:t>
      </w:r>
    </w:p>
    <w:p w14:paraId="00D9672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0" w:firstLineChars="0"/>
        <w:jc w:val="left"/>
        <w:textAlignment w:val="auto"/>
        <w:outlineLvl w:val="9"/>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pPr>
      <w:bookmarkStart w:id="383" w:name="_Toc14464"/>
      <w:r>
        <w:rPr>
          <w:rFonts w:hint="default" w:ascii="Times New Roman" w:hAnsi="Times New Roman" w:eastAsia="宋体" w:cs="Times New Roman"/>
          <w:b/>
          <w:bCs/>
          <w:color w:val="000000" w:themeColor="text1"/>
          <w:kern w:val="2"/>
          <w:sz w:val="24"/>
          <w:szCs w:val="24"/>
          <w:u w:val="wave" w:color="auto"/>
          <w:lang w:val="en-US" w:eastAsia="zh-CN"/>
          <w14:textFill>
            <w14:solidFill>
              <w14:schemeClr w14:val="tx1"/>
            </w14:solidFill>
          </w14:textFill>
        </w:rPr>
        <w:t>9.1.7与《中华人民共和国水法》《中华人民共和国渔业法》《中华人民共和国水污染防治法》符合性分析</w:t>
      </w:r>
      <w:bookmarkEnd w:id="383"/>
    </w:p>
    <w:p w14:paraId="40CF76B7">
      <w:pPr>
        <w:autoSpaceDE w:val="0"/>
        <w:autoSpaceDN w:val="0"/>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0"/>
          <w:u w:val="wave" w:color="auto"/>
          <w14:textFill>
            <w14:solidFill>
              <w14:schemeClr w14:val="tx1"/>
            </w14:solidFill>
          </w14:textFill>
        </w:rPr>
      </w:pPr>
      <w:r>
        <w:rPr>
          <w:rFonts w:hint="default" w:ascii="Times New Roman" w:hAnsi="Times New Roman" w:eastAsia="宋体" w:cs="Times New Roman"/>
          <w:color w:val="000000" w:themeColor="text1"/>
          <w:kern w:val="2"/>
          <w:sz w:val="24"/>
          <w:u w:val="wave" w:color="auto"/>
          <w14:textFill>
            <w14:solidFill>
              <w14:schemeClr w14:val="tx1"/>
            </w14:solidFill>
          </w14:textFill>
        </w:rPr>
        <w:t>本入河排污口</w:t>
      </w:r>
      <w:bookmarkStart w:id="384" w:name="_Toc9746"/>
      <w:r>
        <w:rPr>
          <w:rFonts w:hint="default" w:ascii="Times New Roman" w:hAnsi="Times New Roman" w:eastAsia="宋体" w:cs="Times New Roman"/>
          <w:color w:val="000000" w:themeColor="text1"/>
          <w:kern w:val="0"/>
          <w:sz w:val="24"/>
          <w:szCs w:val="20"/>
          <w:u w:val="wave" w:color="auto"/>
          <w14:textFill>
            <w14:solidFill>
              <w14:schemeClr w14:val="tx1"/>
            </w14:solidFill>
          </w14:textFill>
        </w:rPr>
        <w:t>与《中华人民共和国水法》《中华人民共和国渔业法》《中华人民共和国水污染防治法》等法律法规符合性分析见下表。</w:t>
      </w:r>
    </w:p>
    <w:p w14:paraId="151377C8">
      <w:pPr>
        <w:autoSpaceDE w:val="0"/>
        <w:autoSpaceDN w:val="0"/>
        <w:adjustRightInd w:val="0"/>
        <w:snapToGrid w:val="0"/>
        <w:spacing w:line="240" w:lineRule="auto"/>
        <w:ind w:firstLine="482" w:firstLineChars="200"/>
        <w:jc w:val="center"/>
        <w:rPr>
          <w:rFonts w:hint="default" w:ascii="Times New Roman" w:hAnsi="Times New Roman" w:eastAsia="宋体" w:cs="Times New Roman"/>
          <w:b/>
          <w:bCs/>
          <w:color w:val="000000" w:themeColor="text1"/>
          <w:kern w:val="0"/>
          <w:sz w:val="24"/>
          <w:u w:val="wave" w:color="auto"/>
          <w:lang w:val="zh-CN"/>
          <w14:textFill>
            <w14:solidFill>
              <w14:schemeClr w14:val="tx1"/>
            </w14:solidFill>
          </w14:textFill>
        </w:rPr>
      </w:pPr>
      <w:r>
        <w:rPr>
          <w:rFonts w:hint="default" w:ascii="Times New Roman" w:hAnsi="Times New Roman" w:eastAsia="宋体" w:cs="Times New Roman"/>
          <w:b/>
          <w:bCs/>
          <w:color w:val="000000" w:themeColor="text1"/>
          <w:kern w:val="0"/>
          <w:sz w:val="24"/>
          <w:u w:val="wave" w:color="auto"/>
          <w:lang w:val="zh-CN"/>
          <w14:textFill>
            <w14:solidFill>
              <w14:schemeClr w14:val="tx1"/>
            </w14:solidFill>
          </w14:textFill>
        </w:rPr>
        <w:t>表</w:t>
      </w:r>
      <w:r>
        <w:rPr>
          <w:rFonts w:hint="default" w:ascii="Times New Roman" w:hAnsi="Times New Roman" w:eastAsia="宋体" w:cs="Times New Roman"/>
          <w:b/>
          <w:bCs/>
          <w:color w:val="000000" w:themeColor="text1"/>
          <w:kern w:val="0"/>
          <w:sz w:val="24"/>
          <w:u w:val="wave" w:color="auto"/>
          <w:lang w:val="en-US" w:eastAsia="zh-CN"/>
          <w14:textFill>
            <w14:solidFill>
              <w14:schemeClr w14:val="tx1"/>
            </w14:solidFill>
          </w14:textFill>
        </w:rPr>
        <w:t>9.1</w:t>
      </w:r>
      <w:r>
        <w:rPr>
          <w:rFonts w:hint="default" w:ascii="Times New Roman" w:hAnsi="Times New Roman" w:eastAsia="宋体" w:cs="Times New Roman"/>
          <w:b/>
          <w:bCs/>
          <w:color w:val="000000" w:themeColor="text1"/>
          <w:kern w:val="0"/>
          <w:sz w:val="24"/>
          <w:u w:val="wave" w:color="auto"/>
          <w14:textFill>
            <w14:solidFill>
              <w14:schemeClr w14:val="tx1"/>
            </w14:solidFill>
          </w14:textFill>
        </w:rPr>
        <w:t>-</w:t>
      </w:r>
      <w:r>
        <w:rPr>
          <w:rFonts w:hint="default" w:ascii="Times New Roman" w:hAnsi="Times New Roman" w:eastAsia="宋体" w:cs="Times New Roman"/>
          <w:b/>
          <w:bCs/>
          <w:color w:val="000000" w:themeColor="text1"/>
          <w:kern w:val="0"/>
          <w:sz w:val="24"/>
          <w:u w:val="wave" w:color="auto"/>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u w:val="wave" w:color="auto"/>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u w:val="wave" w:color="auto"/>
          <w:lang w:val="zh-CN"/>
          <w14:textFill>
            <w14:solidFill>
              <w14:schemeClr w14:val="tx1"/>
            </w14:solidFill>
          </w14:textFill>
        </w:rPr>
        <w:t>与</w:t>
      </w:r>
      <w:r>
        <w:rPr>
          <w:rFonts w:hint="default" w:ascii="Times New Roman" w:hAnsi="Times New Roman" w:eastAsia="宋体" w:cs="Times New Roman"/>
          <w:b/>
          <w:bCs/>
          <w:color w:val="000000" w:themeColor="text1"/>
          <w:kern w:val="0"/>
          <w:sz w:val="24"/>
          <w:u w:val="wave" w:color="auto"/>
          <w14:textFill>
            <w14:solidFill>
              <w14:schemeClr w14:val="tx1"/>
            </w14:solidFill>
          </w14:textFill>
        </w:rPr>
        <w:t>相关法律法规</w:t>
      </w:r>
      <w:r>
        <w:rPr>
          <w:rFonts w:hint="default" w:ascii="Times New Roman" w:hAnsi="Times New Roman" w:eastAsia="宋体" w:cs="Times New Roman"/>
          <w:b/>
          <w:bCs/>
          <w:color w:val="000000" w:themeColor="text1"/>
          <w:kern w:val="0"/>
          <w:sz w:val="24"/>
          <w:u w:val="wave" w:color="auto"/>
          <w:lang w:val="zh-CN"/>
          <w14:textFill>
            <w14:solidFill>
              <w14:schemeClr w14:val="tx1"/>
            </w14:solidFill>
          </w14:textFill>
        </w:rPr>
        <w:t>相符性分析</w:t>
      </w:r>
    </w:p>
    <w:tbl>
      <w:tblPr>
        <w:tblStyle w:val="7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44"/>
        <w:gridCol w:w="4569"/>
        <w:gridCol w:w="2954"/>
        <w:gridCol w:w="619"/>
      </w:tblGrid>
      <w:tr w14:paraId="4BAFB9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6" w:type="pct"/>
            <w:tcBorders>
              <w:tl2br w:val="nil"/>
              <w:tr2bl w:val="nil"/>
            </w:tcBorders>
            <w:noWrap w:val="0"/>
            <w:vAlign w:val="center"/>
          </w:tcPr>
          <w:p w14:paraId="05AC1635">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法律名称</w:t>
            </w:r>
          </w:p>
        </w:tc>
        <w:tc>
          <w:tcPr>
            <w:tcW w:w="2459" w:type="pct"/>
            <w:tcBorders>
              <w:tl2br w:val="nil"/>
              <w:tr2bl w:val="nil"/>
            </w:tcBorders>
            <w:noWrap w:val="0"/>
            <w:vAlign w:val="center"/>
          </w:tcPr>
          <w:p w14:paraId="4CC3AF4A">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法律要求</w:t>
            </w:r>
          </w:p>
        </w:tc>
        <w:tc>
          <w:tcPr>
            <w:tcW w:w="1590" w:type="pct"/>
            <w:tcBorders>
              <w:tl2br w:val="nil"/>
              <w:tr2bl w:val="nil"/>
            </w:tcBorders>
            <w:noWrap w:val="0"/>
            <w:vAlign w:val="center"/>
          </w:tcPr>
          <w:p w14:paraId="6F29F141">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相符性分析</w:t>
            </w:r>
          </w:p>
        </w:tc>
        <w:tc>
          <w:tcPr>
            <w:tcW w:w="333" w:type="pct"/>
            <w:tcBorders>
              <w:tl2br w:val="nil"/>
              <w:tr2bl w:val="nil"/>
            </w:tcBorders>
            <w:noWrap w:val="0"/>
            <w:vAlign w:val="center"/>
          </w:tcPr>
          <w:p w14:paraId="7FFF20C9">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结论</w:t>
            </w:r>
          </w:p>
        </w:tc>
      </w:tr>
      <w:tr w14:paraId="1F3D9B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6" w:type="pct"/>
            <w:vMerge w:val="restart"/>
            <w:tcBorders>
              <w:tl2br w:val="nil"/>
              <w:tr2bl w:val="nil"/>
            </w:tcBorders>
            <w:noWrap w:val="0"/>
            <w:vAlign w:val="center"/>
          </w:tcPr>
          <w:p w14:paraId="71355ACD">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《中华人民共和国水法》</w:t>
            </w:r>
          </w:p>
        </w:tc>
        <w:tc>
          <w:tcPr>
            <w:tcW w:w="2459" w:type="pct"/>
            <w:tcBorders>
              <w:tl2br w:val="nil"/>
              <w:tr2bl w:val="nil"/>
            </w:tcBorders>
            <w:noWrap w:val="0"/>
            <w:vAlign w:val="center"/>
          </w:tcPr>
          <w:p w14:paraId="793F9B98">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jc w:val="left"/>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第三十四条：禁止在饮用水水源保护区内设置排污口。</w:t>
            </w:r>
          </w:p>
          <w:p w14:paraId="513459C9">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jc w:val="left"/>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在江河、湖泊新建、改建或者扩大排污口，应当经过有管辖权的水行政主管部门或者流域管理机构同意，由环境保护行政主管部门负责对该建设项目的环境影响报告书进行审批。</w:t>
            </w:r>
          </w:p>
        </w:tc>
        <w:tc>
          <w:tcPr>
            <w:tcW w:w="1590" w:type="pct"/>
            <w:tcBorders>
              <w:tl2br w:val="nil"/>
              <w:tr2bl w:val="nil"/>
            </w:tcBorders>
            <w:noWrap w:val="0"/>
            <w:vAlign w:val="center"/>
          </w:tcPr>
          <w:p w14:paraId="53DB4551">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项目废水影响范围内不涉及饮用水水源保护区。</w:t>
            </w:r>
          </w:p>
        </w:tc>
        <w:tc>
          <w:tcPr>
            <w:tcW w:w="333" w:type="pct"/>
            <w:vMerge w:val="restart"/>
            <w:tcBorders>
              <w:tl2br w:val="nil"/>
              <w:tr2bl w:val="nil"/>
            </w:tcBorders>
            <w:noWrap w:val="0"/>
            <w:vAlign w:val="center"/>
          </w:tcPr>
          <w:p w14:paraId="1DEEB849">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符合</w:t>
            </w:r>
          </w:p>
        </w:tc>
      </w:tr>
      <w:tr w14:paraId="42DD59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6" w:type="pct"/>
            <w:vMerge w:val="continue"/>
            <w:tcBorders>
              <w:tl2br w:val="nil"/>
              <w:tr2bl w:val="nil"/>
            </w:tcBorders>
            <w:noWrap w:val="0"/>
            <w:vAlign w:val="center"/>
          </w:tcPr>
          <w:p w14:paraId="5D91FA07">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p>
        </w:tc>
        <w:tc>
          <w:tcPr>
            <w:tcW w:w="2459" w:type="pct"/>
            <w:tcBorders>
              <w:tl2br w:val="nil"/>
              <w:tr2bl w:val="nil"/>
            </w:tcBorders>
            <w:noWrap w:val="0"/>
            <w:vAlign w:val="center"/>
          </w:tcPr>
          <w:p w14:paraId="59A0C66C">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jc w:val="left"/>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第三十七条：禁止在河道管理范围内建设妨碍行洪的建筑物、构筑物以及从事影响河势稳定、危害河岸堤防安全和其他妨碍河道行洪的活动。</w:t>
            </w:r>
          </w:p>
        </w:tc>
        <w:tc>
          <w:tcPr>
            <w:tcW w:w="1590" w:type="pct"/>
            <w:tcBorders>
              <w:tl2br w:val="nil"/>
              <w:tr2bl w:val="nil"/>
            </w:tcBorders>
            <w:noWrap w:val="0"/>
            <w:vAlign w:val="center"/>
          </w:tcPr>
          <w:p w14:paraId="4B8E2905">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本入河排污口为岸边排放，不会对河道防洪产生影响。</w:t>
            </w:r>
          </w:p>
        </w:tc>
        <w:tc>
          <w:tcPr>
            <w:tcW w:w="333" w:type="pct"/>
            <w:vMerge w:val="continue"/>
            <w:tcBorders>
              <w:tl2br w:val="nil"/>
              <w:tr2bl w:val="nil"/>
            </w:tcBorders>
            <w:noWrap w:val="0"/>
            <w:vAlign w:val="center"/>
          </w:tcPr>
          <w:p w14:paraId="00C56ECC">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p>
        </w:tc>
      </w:tr>
      <w:tr w14:paraId="71B0F0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6" w:type="pct"/>
            <w:tcBorders>
              <w:tl2br w:val="nil"/>
              <w:tr2bl w:val="nil"/>
            </w:tcBorders>
            <w:noWrap w:val="0"/>
            <w:vAlign w:val="center"/>
          </w:tcPr>
          <w:p w14:paraId="101D69E8">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《中华人民共和国渔业法》</w:t>
            </w:r>
          </w:p>
        </w:tc>
        <w:tc>
          <w:tcPr>
            <w:tcW w:w="2459" w:type="pct"/>
            <w:tcBorders>
              <w:tl2br w:val="nil"/>
              <w:tr2bl w:val="nil"/>
            </w:tcBorders>
            <w:noWrap w:val="0"/>
            <w:vAlign w:val="center"/>
          </w:tcPr>
          <w:p w14:paraId="04635452">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jc w:val="left"/>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第三十五条：进行水下爆破、勘探、施工作业，对渔业资源有严重影响的，作业单位应当事先同有关县级以上人民政府渔业行政主管部门协商，采取措施，防止或者减少对渔业资源的损害；造成渔业资源损失的，由有关县级以上人民政府责令赔偿</w:t>
            </w:r>
          </w:p>
        </w:tc>
        <w:tc>
          <w:tcPr>
            <w:tcW w:w="1590" w:type="pct"/>
            <w:tcBorders>
              <w:tl2br w:val="nil"/>
              <w:tr2bl w:val="nil"/>
            </w:tcBorders>
            <w:noWrap w:val="0"/>
            <w:vAlign w:val="center"/>
          </w:tcPr>
          <w:p w14:paraId="73FD046C">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本入河排污口设置于</w:t>
            </w:r>
            <w:r>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t>机排二十渠</w:t>
            </w: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右岸，为岸边排放，无水下施工活动</w:t>
            </w:r>
          </w:p>
        </w:tc>
        <w:tc>
          <w:tcPr>
            <w:tcW w:w="333" w:type="pct"/>
            <w:tcBorders>
              <w:tl2br w:val="nil"/>
              <w:tr2bl w:val="nil"/>
            </w:tcBorders>
            <w:noWrap w:val="0"/>
            <w:vAlign w:val="center"/>
          </w:tcPr>
          <w:p w14:paraId="17D7F653">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符合</w:t>
            </w:r>
          </w:p>
        </w:tc>
      </w:tr>
      <w:tr w14:paraId="21AFFC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6" w:type="pct"/>
            <w:vMerge w:val="restart"/>
            <w:tcBorders>
              <w:tl2br w:val="nil"/>
              <w:tr2bl w:val="nil"/>
            </w:tcBorders>
            <w:noWrap w:val="0"/>
            <w:vAlign w:val="center"/>
          </w:tcPr>
          <w:p w14:paraId="09AEB91D">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《中华人民共和国水污染防治法》</w:t>
            </w:r>
          </w:p>
        </w:tc>
        <w:tc>
          <w:tcPr>
            <w:tcW w:w="2459" w:type="pct"/>
            <w:tcBorders>
              <w:tl2br w:val="nil"/>
              <w:tr2bl w:val="nil"/>
            </w:tcBorders>
            <w:noWrap w:val="0"/>
            <w:vAlign w:val="center"/>
          </w:tcPr>
          <w:p w14:paraId="050B9B10">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jc w:val="left"/>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第十九条：新建、改建、扩建直接或者间接向水体排放污染物的建设项目和其他水上设施，应当依法进行环境影响评价。</w:t>
            </w:r>
          </w:p>
          <w:p w14:paraId="68AFC423">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建设单位在江河、湖泊新建、改建、扩建排污口的，应当取得水行政主管部门或者流域管理机构同意。</w:t>
            </w:r>
          </w:p>
        </w:tc>
        <w:tc>
          <w:tcPr>
            <w:tcW w:w="1590" w:type="pct"/>
            <w:tcBorders>
              <w:tl2br w:val="nil"/>
              <w:tr2bl w:val="nil"/>
            </w:tcBorders>
            <w:noWrap w:val="0"/>
            <w:vAlign w:val="center"/>
          </w:tcPr>
          <w:p w14:paraId="44067D29">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Style w:val="451"/>
                <w:rFonts w:hint="default" w:ascii="Times New Roman" w:hAnsi="Times New Roman" w:cs="Times New Roman"/>
                <w:color w:val="000000" w:themeColor="text1"/>
                <w:sz w:val="21"/>
                <w:szCs w:val="21"/>
                <w:u w:val="wave" w:color="auto"/>
                <w14:textFill>
                  <w14:solidFill>
                    <w14:schemeClr w14:val="tx1"/>
                  </w14:solidFill>
                </w14:textFill>
              </w:rPr>
              <w:t>项目正在办理环评手续；本</w:t>
            </w: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入河排污口已建成，</w:t>
            </w:r>
            <w:r>
              <w:rPr>
                <w:rStyle w:val="451"/>
                <w:rFonts w:hint="default" w:ascii="Times New Roman" w:hAnsi="Times New Roman" w:cs="Times New Roman"/>
                <w:color w:val="000000" w:themeColor="text1"/>
                <w:sz w:val="21"/>
                <w:szCs w:val="21"/>
                <w:u w:val="wave" w:color="auto"/>
                <w14:textFill>
                  <w14:solidFill>
                    <w14:schemeClr w14:val="tx1"/>
                  </w14:solidFill>
                </w14:textFill>
              </w:rPr>
              <w:t>本次为</w:t>
            </w:r>
            <w:r>
              <w:rPr>
                <w:rStyle w:val="451"/>
                <w:rFonts w:hint="default" w:ascii="Times New Roman" w:hAnsi="Times New Roman" w:cs="Times New Roman"/>
                <w:color w:val="000000" w:themeColor="text1"/>
                <w:sz w:val="21"/>
                <w:szCs w:val="21"/>
                <w:u w:val="wave" w:color="auto"/>
                <w:lang w:val="en-US"/>
                <w14:textFill>
                  <w14:solidFill>
                    <w14:schemeClr w14:val="tx1"/>
                  </w14:solidFill>
                </w14:textFill>
              </w:rPr>
              <w:t>扩建</w:t>
            </w: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入河排污口设置论证手续，申请入河排污口设置许可。</w:t>
            </w:r>
          </w:p>
        </w:tc>
        <w:tc>
          <w:tcPr>
            <w:tcW w:w="333" w:type="pct"/>
            <w:vMerge w:val="restart"/>
            <w:tcBorders>
              <w:tl2br w:val="nil"/>
              <w:tr2bl w:val="nil"/>
            </w:tcBorders>
            <w:noWrap w:val="0"/>
            <w:vAlign w:val="center"/>
          </w:tcPr>
          <w:p w14:paraId="1CEDD189">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符合</w:t>
            </w:r>
          </w:p>
        </w:tc>
      </w:tr>
      <w:tr w14:paraId="4B50EB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6" w:type="pct"/>
            <w:vMerge w:val="continue"/>
            <w:tcBorders>
              <w:tl2br w:val="nil"/>
              <w:tr2bl w:val="nil"/>
            </w:tcBorders>
            <w:noWrap w:val="0"/>
            <w:vAlign w:val="center"/>
          </w:tcPr>
          <w:p w14:paraId="6B940ED9">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p>
        </w:tc>
        <w:tc>
          <w:tcPr>
            <w:tcW w:w="2459" w:type="pct"/>
            <w:tcBorders>
              <w:tl2br w:val="nil"/>
              <w:tr2bl w:val="nil"/>
            </w:tcBorders>
            <w:noWrap w:val="0"/>
            <w:vAlign w:val="center"/>
          </w:tcPr>
          <w:p w14:paraId="1E6D764D">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jc w:val="left"/>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第二十三条：实行排污许可管理的企业事业单位和其他生产经营者应当按照国家有关规定和监测规范，对所排放的水污染物自行监测，并保存原始监测记录。重点排污单位还应当安装水污染物排放自动监测设备，与环境保护主管部门的监控设备联网，并保证监测设备正常运行。</w:t>
            </w:r>
          </w:p>
        </w:tc>
        <w:tc>
          <w:tcPr>
            <w:tcW w:w="1590" w:type="pct"/>
            <w:tcBorders>
              <w:tl2br w:val="nil"/>
              <w:tr2bl w:val="nil"/>
            </w:tcBorders>
            <w:noWrap w:val="0"/>
            <w:vAlign w:val="center"/>
          </w:tcPr>
          <w:p w14:paraId="5EFBD12E">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本项目排水口严格按照有关规定和监测规范，开展废水自行监测。</w:t>
            </w:r>
          </w:p>
        </w:tc>
        <w:tc>
          <w:tcPr>
            <w:tcW w:w="333" w:type="pct"/>
            <w:vMerge w:val="continue"/>
            <w:tcBorders>
              <w:tl2br w:val="nil"/>
              <w:tr2bl w:val="nil"/>
            </w:tcBorders>
            <w:noWrap w:val="0"/>
            <w:vAlign w:val="center"/>
          </w:tcPr>
          <w:p w14:paraId="35A94D3B">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p>
        </w:tc>
      </w:tr>
      <w:tr w14:paraId="21E42B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6" w:type="pct"/>
            <w:vMerge w:val="continue"/>
            <w:tcBorders>
              <w:tl2br w:val="nil"/>
              <w:tr2bl w:val="nil"/>
            </w:tcBorders>
            <w:noWrap w:val="0"/>
            <w:vAlign w:val="center"/>
          </w:tcPr>
          <w:p w14:paraId="2418E3E2">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p>
        </w:tc>
        <w:tc>
          <w:tcPr>
            <w:tcW w:w="2459" w:type="pct"/>
            <w:tcBorders>
              <w:tl2br w:val="nil"/>
              <w:tr2bl w:val="nil"/>
            </w:tcBorders>
            <w:noWrap w:val="0"/>
            <w:vAlign w:val="center"/>
          </w:tcPr>
          <w:p w14:paraId="5C6B0D3B">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第五十八条：农田灌溉用水应当符合相应的水质标准，防止污染土壤、地下水和农产品。</w:t>
            </w:r>
          </w:p>
          <w:p w14:paraId="7A5B0504">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禁止向农田灌溉渠道排放工业废水或者医疗污水。向农田灌溉渠道排放城镇污水以及未综合利用的畜禽养殖废水、农产品加工废水的，应当保证其下游最近的灌溉取水点的水质符合农田灌溉水质标准。</w:t>
            </w:r>
          </w:p>
        </w:tc>
        <w:tc>
          <w:tcPr>
            <w:tcW w:w="1590" w:type="pct"/>
            <w:tcBorders>
              <w:tl2br w:val="nil"/>
              <w:tr2bl w:val="nil"/>
            </w:tcBorders>
            <w:noWrap w:val="0"/>
            <w:vAlign w:val="center"/>
          </w:tcPr>
          <w:p w14:paraId="01391E0D">
            <w:pPr>
              <w:keepNext w:val="0"/>
              <w:keepLines w:val="0"/>
              <w:suppressLineNumbers w:val="0"/>
              <w:tabs>
                <w:tab w:val="left" w:pos="-2486"/>
              </w:tabs>
              <w:autoSpaceDE/>
              <w:autoSpaceDN/>
              <w:adjustRightInd/>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r>
              <w:rPr>
                <w:rFonts w:hint="eastAsia" w:cs="Times New Roman"/>
                <w:color w:val="000000" w:themeColor="text1"/>
                <w:kern w:val="2"/>
                <w:sz w:val="21"/>
                <w:szCs w:val="21"/>
                <w:u w:val="wave" w:color="auto"/>
                <w:lang w:val="en-US" w:eastAsia="zh-CN"/>
                <w14:textFill>
                  <w14:solidFill>
                    <w14:schemeClr w14:val="tx1"/>
                  </w14:solidFill>
                </w14:textFill>
              </w:rPr>
              <w:t>本项目受纳水体机排二十渠为排污明渠，水质能满足</w:t>
            </w: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《地表水环境质量标准》中的IV类水质。</w:t>
            </w:r>
            <w:r>
              <w:rPr>
                <w:rFonts w:hint="eastAsia" w:cs="Times New Roman"/>
                <w:color w:val="000000" w:themeColor="text1"/>
                <w:kern w:val="2"/>
                <w:sz w:val="21"/>
                <w:szCs w:val="21"/>
                <w:u w:val="wave" w:color="auto"/>
                <w:lang w:val="en-US" w:eastAsia="zh-CN"/>
                <w14:textFill>
                  <w14:solidFill>
                    <w14:schemeClr w14:val="tx1"/>
                  </w14:solidFill>
                </w14:textFill>
              </w:rPr>
              <w:t>根据益阳市大通湖区农业农村和水利局关于机排二十渠功能的情况说明可知：机排二十渠不直接参与农田灌溉，不具有农田灌溉功能。</w:t>
            </w:r>
          </w:p>
          <w:p w14:paraId="1A45A2E9">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lang w:val="en-US" w:eastAsia="zh-CN"/>
                <w14:textFill>
                  <w14:solidFill>
                    <w14:schemeClr w14:val="tx1"/>
                  </w14:solidFill>
                </w14:textFill>
              </w:rPr>
            </w:pPr>
          </w:p>
        </w:tc>
        <w:tc>
          <w:tcPr>
            <w:tcW w:w="333" w:type="pct"/>
            <w:vMerge w:val="continue"/>
            <w:tcBorders>
              <w:tl2br w:val="nil"/>
              <w:tr2bl w:val="nil"/>
            </w:tcBorders>
            <w:noWrap w:val="0"/>
            <w:vAlign w:val="center"/>
          </w:tcPr>
          <w:p w14:paraId="417FF41D">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p>
        </w:tc>
      </w:tr>
      <w:tr w14:paraId="33775A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9" w:hRule="atLeast"/>
          <w:jc w:val="center"/>
        </w:trPr>
        <w:tc>
          <w:tcPr>
            <w:tcW w:w="616" w:type="pct"/>
            <w:vMerge w:val="continue"/>
            <w:tcBorders>
              <w:tl2br w:val="nil"/>
              <w:tr2bl w:val="nil"/>
            </w:tcBorders>
            <w:noWrap w:val="0"/>
            <w:vAlign w:val="center"/>
          </w:tcPr>
          <w:p w14:paraId="04F524B9">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p>
        </w:tc>
        <w:tc>
          <w:tcPr>
            <w:tcW w:w="2459" w:type="pct"/>
            <w:tcBorders>
              <w:tl2br w:val="nil"/>
              <w:tr2bl w:val="nil"/>
            </w:tcBorders>
            <w:noWrap w:val="0"/>
            <w:vAlign w:val="center"/>
          </w:tcPr>
          <w:p w14:paraId="1A464B52">
            <w:pPr>
              <w:keepNext w:val="0"/>
              <w:keepLines w:val="0"/>
              <w:suppressLineNumbers w:val="0"/>
              <w:tabs>
                <w:tab w:val="left" w:pos="-2486"/>
              </w:tabs>
              <w:autoSpaceDE/>
              <w:autoSpaceDN/>
              <w:adjustRightInd/>
              <w:snapToGrid w:val="0"/>
              <w:spacing w:before="0" w:beforeAutospacing="0" w:after="0" w:afterAutospacing="0" w:line="240" w:lineRule="auto"/>
              <w:ind w:left="0" w:right="0" w:firstLine="420" w:firstLineChars="200"/>
              <w:jc w:val="left"/>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第六十四条：在饮用水水源保护区内，禁止设置排污口。</w:t>
            </w:r>
          </w:p>
        </w:tc>
        <w:tc>
          <w:tcPr>
            <w:tcW w:w="1590" w:type="pct"/>
            <w:tcBorders>
              <w:tl2br w:val="nil"/>
              <w:tr2bl w:val="nil"/>
            </w:tcBorders>
            <w:noWrap w:val="0"/>
            <w:vAlign w:val="center"/>
          </w:tcPr>
          <w:p w14:paraId="5B7349F3">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r>
              <w:rPr>
                <w:rFonts w:hint="default" w:ascii="Times New Roman" w:hAnsi="Times New Roman" w:eastAsia="宋体" w:cs="Times New Roman"/>
                <w:color w:val="000000" w:themeColor="text1"/>
                <w:kern w:val="2"/>
                <w:sz w:val="21"/>
                <w:szCs w:val="21"/>
                <w:u w:val="wave" w:color="auto"/>
                <w14:textFill>
                  <w14:solidFill>
                    <w14:schemeClr w14:val="tx1"/>
                  </w14:solidFill>
                </w14:textFill>
              </w:rPr>
              <w:t>项目废水影响范围内不涉及饮用水水源保护区。</w:t>
            </w:r>
          </w:p>
        </w:tc>
        <w:tc>
          <w:tcPr>
            <w:tcW w:w="333" w:type="pct"/>
            <w:vMerge w:val="continue"/>
            <w:tcBorders>
              <w:tl2br w:val="nil"/>
              <w:tr2bl w:val="nil"/>
            </w:tcBorders>
            <w:noWrap w:val="0"/>
            <w:vAlign w:val="center"/>
          </w:tcPr>
          <w:p w14:paraId="0C2680A2">
            <w:pPr>
              <w:keepNext w:val="0"/>
              <w:keepLines w:val="0"/>
              <w:suppressLineNumbers w:val="0"/>
              <w:tabs>
                <w:tab w:val="left" w:pos="-2486"/>
              </w:tabs>
              <w:autoSpaceDE/>
              <w:autoSpaceDN/>
              <w:adjustRightInd/>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u w:val="wave" w:color="auto"/>
                <w14:textFill>
                  <w14:solidFill>
                    <w14:schemeClr w14:val="tx1"/>
                  </w14:solidFill>
                </w14:textFill>
              </w:rPr>
            </w:pPr>
          </w:p>
        </w:tc>
        <w:bookmarkStart w:id="385" w:name="_Toc118107716"/>
        <w:bookmarkStart w:id="386" w:name="_Toc118107718"/>
        <w:bookmarkStart w:id="387" w:name="_Toc118107719"/>
        <w:bookmarkStart w:id="388" w:name="_Toc118107717"/>
      </w:tr>
      <w:bookmarkEnd w:id="384"/>
      <w:bookmarkEnd w:id="385"/>
      <w:bookmarkEnd w:id="386"/>
      <w:bookmarkEnd w:id="387"/>
      <w:bookmarkEnd w:id="388"/>
    </w:tbl>
    <w:p w14:paraId="642113C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kern w:val="2"/>
          <w:sz w:val="28"/>
          <w:szCs w:val="28"/>
        </w:rPr>
      </w:pPr>
      <w:bookmarkStart w:id="389" w:name="_Toc30902"/>
      <w:r>
        <w:rPr>
          <w:rFonts w:hint="default" w:ascii="Times New Roman" w:hAnsi="Times New Roman" w:eastAsia="宋体" w:cs="Times New Roman"/>
          <w:b/>
          <w:bCs/>
          <w:color w:val="000000"/>
          <w:kern w:val="0"/>
          <w:sz w:val="28"/>
          <w:szCs w:val="28"/>
          <w:lang w:val="en-US" w:eastAsia="zh-CN" w:bidi="ar"/>
        </w:rPr>
        <w:t>9.2 水生态环境保护目标的符合性</w:t>
      </w:r>
      <w:bookmarkEnd w:id="389"/>
      <w:r>
        <w:rPr>
          <w:rFonts w:hint="default" w:ascii="Times New Roman" w:hAnsi="Times New Roman" w:eastAsia="宋体" w:cs="Times New Roman"/>
          <w:b/>
          <w:bCs/>
          <w:color w:val="000000"/>
          <w:kern w:val="0"/>
          <w:sz w:val="28"/>
          <w:szCs w:val="28"/>
          <w:lang w:val="en-US" w:eastAsia="zh-CN" w:bidi="ar"/>
        </w:rPr>
        <w:t xml:space="preserve"> </w:t>
      </w:r>
    </w:p>
    <w:p w14:paraId="1B7C57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本项目不涉及重要的水生态环境保护目标，主要保护老三运河水质，满足渔业用水水质需求。大通湖工业园污水处理厂处理达标的尾水排放至机排二十渠，再入老三运河，老三运河水质目标为《地表水环境质量标准》中的Ⅲ类水质。根据预测，正常工况下，污染物经混合稀释后可以满足《地表水环境质量标准》(GB3838-2002)Ⅲ类标准限值要求，排污口下游机排二十渠断面污染物满足《地表水环境质量标准》中的</w:t>
      </w:r>
      <w:r>
        <w:rPr>
          <w:rFonts w:hint="eastAsia" w:cs="Times New Roman"/>
          <w:color w:val="000000"/>
          <w:kern w:val="0"/>
          <w:sz w:val="24"/>
          <w:szCs w:val="24"/>
          <w:lang w:val="en-US" w:eastAsia="zh-CN" w:bidi="ar"/>
        </w:rPr>
        <w:t>IV</w:t>
      </w:r>
      <w:r>
        <w:rPr>
          <w:rFonts w:hint="default" w:ascii="Times New Roman" w:hAnsi="Times New Roman" w:eastAsia="宋体" w:cs="Times New Roman"/>
          <w:color w:val="000000"/>
          <w:kern w:val="0"/>
          <w:sz w:val="24"/>
          <w:szCs w:val="24"/>
          <w:lang w:val="en-US" w:eastAsia="zh-CN" w:bidi="ar"/>
        </w:rPr>
        <w:t>类</w:t>
      </w:r>
      <w:r>
        <w:rPr>
          <w:rFonts w:hint="eastAsia" w:cs="Times New Roman"/>
          <w:color w:val="000000"/>
          <w:kern w:val="0"/>
          <w:sz w:val="24"/>
          <w:szCs w:val="24"/>
          <w:lang w:val="en-US" w:eastAsia="zh-CN" w:bidi="ar"/>
        </w:rPr>
        <w:t>水质</w:t>
      </w:r>
      <w:r>
        <w:rPr>
          <w:rFonts w:hint="default" w:ascii="Times New Roman" w:hAnsi="Times New Roman" w:eastAsia="宋体" w:cs="Times New Roman"/>
          <w:color w:val="000000"/>
          <w:kern w:val="0"/>
          <w:sz w:val="24"/>
          <w:szCs w:val="24"/>
          <w:lang w:val="en-US" w:eastAsia="zh-CN" w:bidi="ar"/>
        </w:rPr>
        <w:t xml:space="preserve">基本控制项目标准值要求，因此不会改变水质类别。 </w:t>
      </w:r>
    </w:p>
    <w:p w14:paraId="59412D8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b/>
          <w:bCs/>
          <w:color w:val="000000"/>
          <w:kern w:val="0"/>
          <w:sz w:val="28"/>
          <w:szCs w:val="28"/>
          <w:lang w:val="en-US" w:eastAsia="zh-CN" w:bidi="ar"/>
        </w:rPr>
      </w:pPr>
      <w:bookmarkStart w:id="390" w:name="_Toc28227"/>
      <w:r>
        <w:rPr>
          <w:rFonts w:hint="default" w:ascii="Times New Roman" w:hAnsi="Times New Roman" w:eastAsia="宋体" w:cs="Times New Roman"/>
          <w:b/>
          <w:bCs/>
          <w:color w:val="000000"/>
          <w:kern w:val="0"/>
          <w:sz w:val="28"/>
          <w:szCs w:val="28"/>
          <w:lang w:val="en-US" w:eastAsia="zh-CN" w:bidi="ar"/>
        </w:rPr>
        <w:t>9.3 第三者权益的相符性分析</w:t>
      </w:r>
      <w:bookmarkEnd w:id="390"/>
      <w:r>
        <w:rPr>
          <w:rFonts w:hint="default" w:ascii="Times New Roman" w:hAnsi="Times New Roman" w:eastAsia="宋体" w:cs="Times New Roman"/>
          <w:b/>
          <w:bCs/>
          <w:color w:val="000000"/>
          <w:kern w:val="0"/>
          <w:sz w:val="28"/>
          <w:szCs w:val="28"/>
          <w:lang w:val="en-US" w:eastAsia="zh-CN" w:bidi="ar"/>
        </w:rPr>
        <w:t xml:space="preserve"> </w:t>
      </w:r>
    </w:p>
    <w:p w14:paraId="47F0FA3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经调查，论证区域内没有以老三运河作为水源的集中式饮用水源和分散式的饮用水源，无经批准获得取水许可的工业企业取水口，无工业园取水口。大通湖水资源较丰富，论证河段不涉及利用老三运河天然水体进行养殖的渔业养殖户。项目废水排入老三运河均匀混合后浓度可达到《地表水环境质量标准》（GB3838-2002）Ⅲ类标准，因此，在建设单位对入河污水进行处理，严格控制污水水质达标排放情况下，本项目入河排污口的设置不会对第三者权益方面产生不良影响。 </w:t>
      </w:r>
    </w:p>
    <w:p w14:paraId="01E7D15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b/>
          <w:bCs/>
          <w:color w:val="000000"/>
          <w:kern w:val="0"/>
          <w:sz w:val="28"/>
          <w:szCs w:val="28"/>
          <w:lang w:val="en-US" w:eastAsia="zh-CN" w:bidi="ar"/>
        </w:rPr>
      </w:pPr>
      <w:bookmarkStart w:id="391" w:name="_Toc510"/>
      <w:r>
        <w:rPr>
          <w:rFonts w:hint="default" w:ascii="Times New Roman" w:hAnsi="Times New Roman" w:eastAsia="宋体" w:cs="Times New Roman"/>
          <w:b/>
          <w:bCs/>
          <w:color w:val="000000"/>
          <w:kern w:val="0"/>
          <w:sz w:val="28"/>
          <w:szCs w:val="28"/>
          <w:lang w:val="en-US" w:eastAsia="zh-CN" w:bidi="ar"/>
        </w:rPr>
        <w:t>9.4 入河排污口污染物排放总量合理性分析</w:t>
      </w:r>
      <w:bookmarkEnd w:id="391"/>
      <w:r>
        <w:rPr>
          <w:rFonts w:hint="default" w:ascii="Times New Roman" w:hAnsi="Times New Roman" w:eastAsia="宋体" w:cs="Times New Roman"/>
          <w:b/>
          <w:bCs/>
          <w:color w:val="000000"/>
          <w:kern w:val="0"/>
          <w:sz w:val="28"/>
          <w:szCs w:val="28"/>
          <w:lang w:val="en-US" w:eastAsia="zh-CN" w:bidi="ar"/>
        </w:rPr>
        <w:t xml:space="preserve"> </w:t>
      </w:r>
    </w:p>
    <w:p w14:paraId="677819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本入河排污口为工业及其他各类园区污水处理厂排污口，</w:t>
      </w:r>
      <w:r>
        <w:rPr>
          <w:rFonts w:hint="eastAsia" w:cs="Times New Roman"/>
          <w:color w:val="000000" w:themeColor="text1"/>
          <w:kern w:val="0"/>
          <w:sz w:val="24"/>
          <w:szCs w:val="24"/>
          <w:lang w:val="en-US" w:eastAsia="zh-CN" w:bidi="ar"/>
          <w14:textFill>
            <w14:solidFill>
              <w14:schemeClr w14:val="tx1"/>
            </w14:solidFill>
          </w14:textFill>
        </w:rPr>
        <w:t>第一</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受纳水体机排二十渠</w:t>
      </w:r>
      <w:r>
        <w:rPr>
          <w:rFonts w:hint="eastAsia" w:cs="Times New Roman"/>
          <w:color w:val="000000" w:themeColor="text1"/>
          <w:kern w:val="0"/>
          <w:sz w:val="24"/>
          <w:szCs w:val="24"/>
          <w:lang w:val="en-US" w:eastAsia="zh-CN" w:bidi="ar"/>
          <w14:textFill>
            <w14:solidFill>
              <w14:schemeClr w14:val="tx1"/>
            </w14:solidFill>
          </w14:textFill>
        </w:rPr>
        <w:t>为排污明渠，</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未划定水环境功能区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根据益阳市大通湖区农</w:t>
      </w:r>
      <w:r>
        <w:rPr>
          <w:rFonts w:hint="eastAsia" w:cs="Times New Roman"/>
          <w:color w:val="000000" w:themeColor="text1"/>
          <w:kern w:val="0"/>
          <w:sz w:val="24"/>
          <w:szCs w:val="24"/>
          <w:lang w:val="en-US" w:eastAsia="zh-CN" w:bidi="ar"/>
          <w14:textFill>
            <w14:solidFill>
              <w14:schemeClr w14:val="tx1"/>
            </w14:solidFill>
          </w14:textFill>
        </w:rPr>
        <w:t>业农村和水利局关于机排二十渠功能的情况说明可知：机排二十渠不直接参与农田灌溉，不具有农田灌溉功能，</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机排二十渠执行《地表水环境质量标准》（GB 3838-2002）Ⅳ类标准</w:t>
      </w:r>
      <w:r>
        <w:rPr>
          <w:rFonts w:hint="eastAsia" w:cs="Times New Roman"/>
          <w:color w:val="000000" w:themeColor="text1"/>
          <w:kern w:val="0"/>
          <w:sz w:val="24"/>
          <w:szCs w:val="24"/>
          <w:lang w:val="en-US" w:eastAsia="zh-CN" w:bidi="ar"/>
          <w14:textFill>
            <w14:solidFill>
              <w14:schemeClr w14:val="tx1"/>
            </w14:solidFill>
          </w14:textFill>
        </w:rPr>
        <w:t>；第二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受纳水体老三运河主要功能为渔业水域</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老三运河执行《地表水环境质量标准》（GB3838-2002）Ⅲ类的要求。根据《城镇污水处理厂污染物排放标准》，一级标准的A标准是城镇污水处理厂出水作为回用水的基本要求。当污水处理厂出水引入稀释能力较小的河湖作为城镇景观用水和一般回</w:t>
      </w:r>
      <w:r>
        <w:rPr>
          <w:rFonts w:hint="default" w:ascii="Times New Roman" w:hAnsi="Times New Roman" w:eastAsia="宋体" w:cs="Times New Roman"/>
          <w:color w:val="000000"/>
          <w:kern w:val="0"/>
          <w:sz w:val="24"/>
          <w:szCs w:val="24"/>
          <w:lang w:val="en-US" w:eastAsia="zh-CN" w:bidi="ar"/>
        </w:rPr>
        <w:t>用水等用途时，执行一级标准的A标准</w:t>
      </w:r>
      <w:r>
        <w:rPr>
          <w:rFonts w:hint="eastAsia" w:cs="Times New Roman"/>
          <w:color w:val="000000"/>
          <w:kern w:val="0"/>
          <w:sz w:val="24"/>
          <w:szCs w:val="24"/>
          <w:lang w:val="en-US" w:eastAsia="zh-CN" w:bidi="ar"/>
        </w:rPr>
        <w:t>；城镇污水处理厂出水排入GB3838地表水Ⅲ类功能水域(划定的饮用水水源保护区和游泳区除外)、GB3097海水二类功能水域和湖、库等封闭或半封闭水域时，执行一级标准的B标准；</w:t>
      </w:r>
      <w:r>
        <w:rPr>
          <w:rFonts w:hint="default" w:ascii="Times New Roman" w:hAnsi="Times New Roman" w:eastAsia="宋体" w:cs="Times New Roman"/>
          <w:color w:val="000000"/>
          <w:kern w:val="0"/>
          <w:sz w:val="24"/>
          <w:szCs w:val="24"/>
          <w:lang w:val="en-US" w:eastAsia="zh-CN" w:bidi="ar"/>
        </w:rPr>
        <w:t>城镇污水处理厂出水排入GB3838地表水Ⅳ、V类功能水域或GB3097海水三、四类功能海域，执行二级标准。本项目</w:t>
      </w:r>
      <w:r>
        <w:rPr>
          <w:rFonts w:hint="eastAsia" w:cs="Times New Roman"/>
          <w:color w:val="000000"/>
          <w:kern w:val="0"/>
          <w:sz w:val="24"/>
          <w:szCs w:val="24"/>
          <w:lang w:val="en-US" w:eastAsia="zh-CN" w:bidi="ar"/>
        </w:rPr>
        <w:t>污水处理厂</w:t>
      </w:r>
      <w:r>
        <w:rPr>
          <w:rFonts w:hint="default" w:ascii="Times New Roman" w:hAnsi="Times New Roman" w:eastAsia="宋体" w:cs="Times New Roman"/>
          <w:color w:val="000000"/>
          <w:kern w:val="0"/>
          <w:sz w:val="24"/>
          <w:szCs w:val="24"/>
          <w:lang w:val="en-US" w:eastAsia="zh-CN" w:bidi="ar"/>
        </w:rPr>
        <w:t>设置的出水标准满足《城镇污水处理厂污染物排放标准》一级A标准要求。同时根据前文分析，项目排放的 COD、NH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 xml:space="preserve">-N 和总磷的排放总量未超过机排二十渠、老三运河的纳污能力，现有纳污能力能满足论证排污口需求。根据预测结果废水正常排放时，对下游老三运河的水质及生态均无明显影响，排污口扩建后不会改变排入老三运河的水质类别，对下游水功能区水质目标不会造成明显的影响。 </w:t>
      </w:r>
    </w:p>
    <w:p w14:paraId="701319A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b/>
          <w:bCs/>
          <w:color w:val="000000"/>
          <w:kern w:val="0"/>
          <w:sz w:val="28"/>
          <w:szCs w:val="28"/>
          <w:lang w:val="en-US" w:eastAsia="zh-CN" w:bidi="ar"/>
        </w:rPr>
      </w:pPr>
      <w:bookmarkStart w:id="392" w:name="_Toc14362"/>
      <w:r>
        <w:rPr>
          <w:rFonts w:hint="default" w:ascii="Times New Roman" w:hAnsi="Times New Roman" w:eastAsia="宋体" w:cs="Times New Roman"/>
          <w:b/>
          <w:bCs/>
          <w:color w:val="000000"/>
          <w:kern w:val="0"/>
          <w:sz w:val="28"/>
          <w:szCs w:val="28"/>
          <w:lang w:val="en-US" w:eastAsia="zh-CN" w:bidi="ar"/>
        </w:rPr>
        <w:t>9.5 水生态环境保护措施</w:t>
      </w:r>
      <w:bookmarkEnd w:id="392"/>
      <w:r>
        <w:rPr>
          <w:rFonts w:hint="default" w:ascii="Times New Roman" w:hAnsi="Times New Roman" w:eastAsia="宋体" w:cs="Times New Roman"/>
          <w:b/>
          <w:bCs/>
          <w:color w:val="000000"/>
          <w:kern w:val="0"/>
          <w:sz w:val="28"/>
          <w:szCs w:val="28"/>
          <w:lang w:val="en-US" w:eastAsia="zh-CN" w:bidi="ar"/>
        </w:rPr>
        <w:t xml:space="preserve"> </w:t>
      </w:r>
    </w:p>
    <w:p w14:paraId="3F80AC2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9.5.1 加强工程运行管理 </w:t>
      </w:r>
    </w:p>
    <w:p w14:paraId="1CE238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主管单位对所辖处理设施正常运行、设备检修、水量水质报表、污泥排放质 </w:t>
      </w:r>
    </w:p>
    <w:p w14:paraId="0ABBA05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量标准等进行监督核查，检查方式包括定期检查和不定期抽查，同时明确污水处 </w:t>
      </w:r>
    </w:p>
    <w:p w14:paraId="2C93B0A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理厂运行责任追究制度，对于因污水处理厂自身运行管理不善造成的处理设施不 </w:t>
      </w:r>
    </w:p>
    <w:p w14:paraId="5DDA990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能正常稳定运行最终造成出水水质不达标或其他重大质量事故的，由相关监督部 </w:t>
      </w:r>
    </w:p>
    <w:p w14:paraId="03CA2B4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门责令其限期整改。 </w:t>
      </w:r>
    </w:p>
    <w:p w14:paraId="18AD79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切实加强污水处理厂运行管理，保证污水处理工程运行率达100%，避免非正常排放现象的发生。加强生产管理，防止“跑、冒、滴、漏”。严格安全生产管 </w:t>
      </w:r>
    </w:p>
    <w:p w14:paraId="6704887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理，经常性开展安全生产检查，发现问题并及时解决，消除事故隐患。强化生产 </w:t>
      </w:r>
    </w:p>
    <w:p w14:paraId="5EF1D04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操作人员的安全培训教育，增强全体职工的责任感，保证生产操作人员熟悉发生 </w:t>
      </w:r>
    </w:p>
    <w:p w14:paraId="656DDBC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8"/>
          <w:szCs w:val="28"/>
          <w:lang w:val="en-US" w:eastAsia="zh-CN"/>
        </w:rPr>
      </w:pPr>
      <w:r>
        <w:rPr>
          <w:rFonts w:hint="default" w:ascii="Times New Roman" w:hAnsi="Times New Roman" w:eastAsia="宋体" w:cs="Times New Roman"/>
          <w:color w:val="000000"/>
          <w:kern w:val="0"/>
          <w:sz w:val="24"/>
          <w:szCs w:val="24"/>
          <w:lang w:val="en-US" w:eastAsia="zh-CN" w:bidi="ar"/>
        </w:rPr>
        <w:t>非正常排放时的应急处理措施。</w:t>
      </w:r>
    </w:p>
    <w:bookmarkEnd w:id="363"/>
    <w:bookmarkEnd w:id="364"/>
    <w:p w14:paraId="71E33C50">
      <w:pPr>
        <w:pStyle w:val="444"/>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textAlignment w:val="auto"/>
        <w:outlineLvl w:val="9"/>
        <w:rPr>
          <w:rFonts w:hint="default" w:ascii="Times New Roman" w:hAnsi="Times New Roman" w:eastAsia="宋体" w:cs="Times New Roman"/>
          <w:color w:val="000000" w:themeColor="text1"/>
          <w:sz w:val="24"/>
          <w:szCs w:val="24"/>
          <w:u w:val="wave"/>
          <w14:textFill>
            <w14:solidFill>
              <w14:schemeClr w14:val="tx1"/>
            </w14:solidFill>
          </w14:textFill>
        </w:rPr>
      </w:pPr>
      <w:bookmarkStart w:id="393" w:name="_Toc8790"/>
      <w:r>
        <w:rPr>
          <w:rFonts w:hint="default" w:ascii="Times New Roman" w:hAnsi="Times New Roman" w:eastAsia="宋体" w:cs="Times New Roman"/>
          <w:b/>
          <w:bCs/>
          <w:color w:val="000000" w:themeColor="text1"/>
          <w:kern w:val="0"/>
          <w:sz w:val="24"/>
          <w:szCs w:val="24"/>
          <w:u w:val="wave"/>
          <w:lang w:val="en-US" w:eastAsia="zh-CN" w:bidi="ar"/>
          <w14:textFill>
            <w14:solidFill>
              <w14:schemeClr w14:val="tx1"/>
            </w14:solidFill>
          </w14:textFill>
        </w:rPr>
        <w:t>9.5.2</w:t>
      </w:r>
      <w:bookmarkStart w:id="394" w:name="_Toc2144"/>
      <w:r>
        <w:rPr>
          <w:rFonts w:hint="default" w:ascii="Times New Roman" w:hAnsi="Times New Roman" w:eastAsia="宋体" w:cs="Times New Roman"/>
          <w:color w:val="000000" w:themeColor="text1"/>
          <w:sz w:val="24"/>
          <w:szCs w:val="24"/>
          <w:u w:val="wave"/>
          <w14:textFill>
            <w14:solidFill>
              <w14:schemeClr w14:val="tx1"/>
            </w14:solidFill>
          </w14:textFill>
        </w:rPr>
        <w:t>入河排污口差距性分析</w:t>
      </w:r>
      <w:bookmarkEnd w:id="394"/>
    </w:p>
    <w:p w14:paraId="1884BD5A">
      <w:pPr>
        <w:pStyle w:val="345"/>
        <w:keepLines w:val="0"/>
        <w:pageBreakBefore w:val="0"/>
        <w:kinsoku/>
        <w:wordWrap/>
        <w:overflowPunct/>
        <w:topLinePunct w:val="0"/>
        <w:autoSpaceDE/>
        <w:autoSpaceDN/>
        <w:bidi w:val="0"/>
        <w:adjustRightInd/>
        <w:spacing w:line="360" w:lineRule="auto"/>
        <w:ind w:firstLine="480"/>
        <w:jc w:val="both"/>
        <w:textAlignment w:val="auto"/>
        <w:rPr>
          <w:color w:val="000000" w:themeColor="text1"/>
          <w:sz w:val="24"/>
          <w:u w:val="wave"/>
          <w14:textFill>
            <w14:solidFill>
              <w14:schemeClr w14:val="tx1"/>
            </w14:solidFill>
          </w14:textFill>
        </w:rPr>
      </w:pPr>
      <w:r>
        <w:rPr>
          <w:rFonts w:hint="eastAsia"/>
          <w:color w:val="000000" w:themeColor="text1"/>
          <w:sz w:val="24"/>
          <w:u w:val="wave"/>
          <w14:textFill>
            <w14:solidFill>
              <w14:schemeClr w14:val="tx1"/>
            </w14:solidFill>
          </w14:textFill>
        </w:rPr>
        <w:t>本入河排污口设置于</w:t>
      </w:r>
      <w:r>
        <w:rPr>
          <w:rFonts w:hint="eastAsia"/>
          <w:color w:val="000000" w:themeColor="text1"/>
          <w:sz w:val="24"/>
          <w:u w:val="wave"/>
          <w:lang w:val="en-US" w:eastAsia="zh-CN"/>
          <w14:textFill>
            <w14:solidFill>
              <w14:schemeClr w14:val="tx1"/>
            </w14:solidFill>
          </w14:textFill>
        </w:rPr>
        <w:t>大通湖区机排二十渠</w:t>
      </w:r>
      <w:r>
        <w:rPr>
          <w:rFonts w:hint="eastAsia"/>
          <w:color w:val="000000" w:themeColor="text1"/>
          <w:sz w:val="24"/>
          <w:u w:val="wave"/>
          <w14:textFill>
            <w14:solidFill>
              <w14:schemeClr w14:val="tx1"/>
            </w14:solidFill>
          </w14:textFill>
        </w:rPr>
        <w:t>右岸，经现场踏勘，</w:t>
      </w:r>
      <w:r>
        <w:rPr>
          <w:rFonts w:hint="eastAsia"/>
          <w:color w:val="000000" w:themeColor="text1"/>
          <w:sz w:val="24"/>
          <w:u w:val="wave"/>
          <w:lang w:val="en-US" w:eastAsia="zh-CN"/>
          <w14:textFill>
            <w14:solidFill>
              <w14:schemeClr w14:val="tx1"/>
            </w14:solidFill>
          </w14:textFill>
        </w:rPr>
        <w:t>对</w:t>
      </w:r>
      <w:r>
        <w:rPr>
          <w:rFonts w:hint="eastAsia"/>
          <w:color w:val="000000" w:themeColor="text1"/>
          <w:sz w:val="24"/>
          <w:u w:val="wave"/>
          <w14:textFill>
            <w14:solidFill>
              <w14:schemeClr w14:val="tx1"/>
            </w14:solidFill>
          </w14:textFill>
        </w:rPr>
        <w:t>照《入河入海排污口监督管理技术指南 入河排污口规范化建设》（HJ 1309-2023）中的相关要求</w:t>
      </w:r>
      <w:r>
        <w:rPr>
          <w:rFonts w:hint="eastAsia"/>
          <w:color w:val="000000" w:themeColor="text1"/>
          <w:sz w:val="24"/>
          <w:u w:val="wave"/>
          <w:lang w:eastAsia="zh-CN"/>
          <w14:textFill>
            <w14:solidFill>
              <w14:schemeClr w14:val="tx1"/>
            </w14:solidFill>
          </w14:textFill>
        </w:rPr>
        <w:t>，</w:t>
      </w:r>
      <w:r>
        <w:rPr>
          <w:rFonts w:hint="eastAsia"/>
          <w:color w:val="000000" w:themeColor="text1"/>
          <w:sz w:val="24"/>
          <w:u w:val="wave"/>
          <w14:textFill>
            <w14:solidFill>
              <w14:schemeClr w14:val="tx1"/>
            </w14:solidFill>
          </w14:textFill>
        </w:rPr>
        <w:t>入河排污口差距性分析详见下表。</w:t>
      </w:r>
    </w:p>
    <w:p w14:paraId="076E9EAE">
      <w:pPr>
        <w:pStyle w:val="345"/>
        <w:keepLines w:val="0"/>
        <w:pageBreakBefore w:val="0"/>
        <w:kinsoku/>
        <w:wordWrap/>
        <w:overflowPunct/>
        <w:topLinePunct w:val="0"/>
        <w:autoSpaceDE/>
        <w:autoSpaceDN/>
        <w:bidi w:val="0"/>
        <w:adjustRightInd/>
        <w:spacing w:line="360" w:lineRule="auto"/>
        <w:ind w:firstLine="482"/>
        <w:jc w:val="center"/>
        <w:textAlignment w:val="auto"/>
        <w:rPr>
          <w:color w:val="000000" w:themeColor="text1"/>
          <w:sz w:val="24"/>
          <w:u w:val="wave"/>
          <w14:textFill>
            <w14:solidFill>
              <w14:schemeClr w14:val="tx1"/>
            </w14:solidFill>
          </w14:textFill>
        </w:rPr>
      </w:pPr>
      <w:r>
        <w:rPr>
          <w:rFonts w:hint="eastAsia"/>
          <w:b/>
          <w:bCs/>
          <w:color w:val="000000" w:themeColor="text1"/>
          <w:sz w:val="24"/>
          <w:u w:val="wave"/>
          <w14:textFill>
            <w14:solidFill>
              <w14:schemeClr w14:val="tx1"/>
            </w14:solidFill>
          </w14:textFill>
        </w:rPr>
        <w:t>表</w:t>
      </w:r>
      <w:r>
        <w:rPr>
          <w:rFonts w:hint="eastAsia"/>
          <w:b/>
          <w:bCs/>
          <w:color w:val="000000" w:themeColor="text1"/>
          <w:sz w:val="24"/>
          <w:u w:val="wave"/>
          <w:lang w:val="en-US" w:eastAsia="zh-CN"/>
          <w14:textFill>
            <w14:solidFill>
              <w14:schemeClr w14:val="tx1"/>
            </w14:solidFill>
          </w14:textFill>
        </w:rPr>
        <w:t>9.5</w:t>
      </w:r>
      <w:r>
        <w:rPr>
          <w:rFonts w:hint="eastAsia"/>
          <w:b/>
          <w:bCs/>
          <w:color w:val="000000" w:themeColor="text1"/>
          <w:sz w:val="24"/>
          <w:u w:val="wave"/>
          <w14:textFill>
            <w14:solidFill>
              <w14:schemeClr w14:val="tx1"/>
            </w14:solidFill>
          </w14:textFill>
        </w:rPr>
        <w:t>-1  本入河排污口差距性分析一览表</w:t>
      </w:r>
    </w:p>
    <w:tbl>
      <w:tblPr>
        <w:tblStyle w:val="76"/>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42"/>
        <w:gridCol w:w="2386"/>
        <w:gridCol w:w="2614"/>
        <w:gridCol w:w="3537"/>
      </w:tblGrid>
      <w:tr w14:paraId="75A136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400" w:type="pct"/>
            <w:tcBorders>
              <w:tl2br w:val="nil"/>
              <w:tr2bl w:val="nil"/>
            </w:tcBorders>
            <w:noWrap w:val="0"/>
            <w:vAlign w:val="center"/>
          </w:tcPr>
          <w:p w14:paraId="41864B96">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bCs/>
                <w:color w:val="000000" w:themeColor="text1"/>
                <w:sz w:val="21"/>
                <w:szCs w:val="21"/>
                <w:u w:val="wave"/>
                <w:lang w:val="en-US" w:eastAsia="zh-CN"/>
                <w14:textFill>
                  <w14:solidFill>
                    <w14:schemeClr w14:val="tx1"/>
                  </w14:solidFill>
                </w14:textFill>
              </w:rPr>
            </w:pPr>
            <w:r>
              <w:rPr>
                <w:rFonts w:hint="eastAsia"/>
                <w:bCs/>
                <w:color w:val="000000" w:themeColor="text1"/>
                <w:sz w:val="21"/>
                <w:szCs w:val="21"/>
                <w:u w:val="wave"/>
                <w:lang w:val="en-US" w:eastAsia="zh-CN"/>
                <w14:textFill>
                  <w14:solidFill>
                    <w14:schemeClr w14:val="tx1"/>
                  </w14:solidFill>
                </w14:textFill>
              </w:rPr>
              <w:t>序号</w:t>
            </w:r>
          </w:p>
        </w:tc>
        <w:tc>
          <w:tcPr>
            <w:tcW w:w="1285" w:type="pct"/>
            <w:tcBorders>
              <w:tl2br w:val="nil"/>
              <w:tr2bl w:val="nil"/>
            </w:tcBorders>
            <w:noWrap w:val="0"/>
            <w:vAlign w:val="center"/>
          </w:tcPr>
          <w:p w14:paraId="252406FB">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bCs/>
                <w:color w:val="000000" w:themeColor="text1"/>
                <w:sz w:val="21"/>
                <w:szCs w:val="21"/>
                <w:u w:val="wave"/>
                <w14:textFill>
                  <w14:solidFill>
                    <w14:schemeClr w14:val="tx1"/>
                  </w14:solidFill>
                </w14:textFill>
              </w:rPr>
            </w:pPr>
            <w:r>
              <w:rPr>
                <w:rFonts w:hint="eastAsia"/>
                <w:bCs/>
                <w:color w:val="000000" w:themeColor="text1"/>
                <w:sz w:val="21"/>
                <w:szCs w:val="21"/>
                <w:u w:val="wave"/>
                <w14:textFill>
                  <w14:solidFill>
                    <w14:schemeClr w14:val="tx1"/>
                  </w14:solidFill>
                </w14:textFill>
              </w:rPr>
              <w:t>类别</w:t>
            </w:r>
          </w:p>
        </w:tc>
        <w:tc>
          <w:tcPr>
            <w:tcW w:w="1408" w:type="pct"/>
            <w:tcBorders>
              <w:tl2br w:val="nil"/>
              <w:tr2bl w:val="nil"/>
            </w:tcBorders>
            <w:noWrap w:val="0"/>
            <w:vAlign w:val="center"/>
          </w:tcPr>
          <w:p w14:paraId="24331337">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bCs/>
                <w:color w:val="000000" w:themeColor="text1"/>
                <w:sz w:val="21"/>
                <w:szCs w:val="21"/>
                <w:u w:val="wave"/>
                <w14:textFill>
                  <w14:solidFill>
                    <w14:schemeClr w14:val="tx1"/>
                  </w14:solidFill>
                </w14:textFill>
              </w:rPr>
            </w:pPr>
            <w:r>
              <w:rPr>
                <w:rFonts w:hint="eastAsia"/>
                <w:bCs/>
                <w:color w:val="000000" w:themeColor="text1"/>
                <w:sz w:val="21"/>
                <w:szCs w:val="21"/>
                <w:u w:val="wave"/>
                <w:lang w:val="en-US" w:eastAsia="zh-CN"/>
                <w14:textFill>
                  <w14:solidFill>
                    <w14:schemeClr w14:val="tx1"/>
                  </w14:solidFill>
                </w14:textFill>
              </w:rPr>
              <w:t>项目</w:t>
            </w:r>
            <w:r>
              <w:rPr>
                <w:rFonts w:hint="eastAsia"/>
                <w:bCs/>
                <w:color w:val="000000" w:themeColor="text1"/>
                <w:sz w:val="21"/>
                <w:szCs w:val="21"/>
                <w:u w:val="wave"/>
                <w14:textFill>
                  <w14:solidFill>
                    <w14:schemeClr w14:val="tx1"/>
                  </w14:solidFill>
                </w14:textFill>
              </w:rPr>
              <w:t>现状</w:t>
            </w:r>
          </w:p>
        </w:tc>
        <w:tc>
          <w:tcPr>
            <w:tcW w:w="1905" w:type="pct"/>
            <w:tcBorders>
              <w:tl2br w:val="nil"/>
              <w:tr2bl w:val="nil"/>
            </w:tcBorders>
            <w:noWrap w:val="0"/>
            <w:vAlign w:val="center"/>
          </w:tcPr>
          <w:p w14:paraId="1C569DBC">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bCs/>
                <w:color w:val="000000" w:themeColor="text1"/>
                <w:sz w:val="21"/>
                <w:szCs w:val="21"/>
                <w:u w:val="wave"/>
                <w14:textFill>
                  <w14:solidFill>
                    <w14:schemeClr w14:val="tx1"/>
                  </w14:solidFill>
                </w14:textFill>
              </w:rPr>
            </w:pPr>
            <w:r>
              <w:rPr>
                <w:rFonts w:hint="eastAsia"/>
                <w:bCs/>
                <w:color w:val="000000" w:themeColor="text1"/>
                <w:sz w:val="21"/>
                <w:szCs w:val="21"/>
                <w:u w:val="wave"/>
                <w:lang w:val="en-US" w:eastAsia="zh-CN"/>
                <w14:textFill>
                  <w14:solidFill>
                    <w14:schemeClr w14:val="tx1"/>
                  </w14:solidFill>
                </w14:textFill>
              </w:rPr>
              <w:t>按</w:t>
            </w:r>
            <w:r>
              <w:rPr>
                <w:rFonts w:hint="eastAsia"/>
                <w:bCs/>
                <w:color w:val="000000" w:themeColor="text1"/>
                <w:sz w:val="21"/>
                <w:szCs w:val="21"/>
                <w:u w:val="wave"/>
                <w14:textFill>
                  <w14:solidFill>
                    <w14:schemeClr w14:val="tx1"/>
                  </w14:solidFill>
                </w14:textFill>
              </w:rPr>
              <w:t>（HJ 1309-2023）标准</w:t>
            </w:r>
            <w:r>
              <w:rPr>
                <w:rFonts w:hint="eastAsia"/>
                <w:bCs/>
                <w:color w:val="000000" w:themeColor="text1"/>
                <w:sz w:val="21"/>
                <w:szCs w:val="21"/>
                <w:u w:val="wave"/>
                <w:lang w:val="en-US" w:eastAsia="zh-CN"/>
                <w14:textFill>
                  <w14:solidFill>
                    <w14:schemeClr w14:val="tx1"/>
                  </w14:solidFill>
                </w14:textFill>
              </w:rPr>
              <w:t>整改</w:t>
            </w:r>
            <w:r>
              <w:rPr>
                <w:rFonts w:hint="eastAsia"/>
                <w:bCs/>
                <w:color w:val="000000" w:themeColor="text1"/>
                <w:sz w:val="21"/>
                <w:szCs w:val="21"/>
                <w:u w:val="wave"/>
                <w14:textFill>
                  <w14:solidFill>
                    <w14:schemeClr w14:val="tx1"/>
                  </w14:solidFill>
                </w14:textFill>
              </w:rPr>
              <w:t>要求</w:t>
            </w:r>
          </w:p>
        </w:tc>
      </w:tr>
      <w:tr w14:paraId="163D84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400" w:type="pct"/>
            <w:tcBorders>
              <w:tl2br w:val="nil"/>
              <w:tr2bl w:val="nil"/>
            </w:tcBorders>
            <w:noWrap w:val="0"/>
            <w:vAlign w:val="center"/>
          </w:tcPr>
          <w:p w14:paraId="3BB08983">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000000" w:themeColor="text1"/>
                <w:sz w:val="21"/>
                <w:szCs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wave"/>
                <w:lang w:val="en-US" w:eastAsia="zh-CN"/>
                <w14:textFill>
                  <w14:solidFill>
                    <w14:schemeClr w14:val="tx1"/>
                  </w14:solidFill>
                </w14:textFill>
              </w:rPr>
              <w:t>1</w:t>
            </w:r>
          </w:p>
        </w:tc>
        <w:tc>
          <w:tcPr>
            <w:tcW w:w="1285" w:type="pct"/>
            <w:tcBorders>
              <w:tl2br w:val="nil"/>
              <w:tr2bl w:val="nil"/>
            </w:tcBorders>
            <w:noWrap w:val="0"/>
            <w:vAlign w:val="center"/>
          </w:tcPr>
          <w:p w14:paraId="7B85EE06">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000000" w:themeColor="text1"/>
                <w:szCs w:val="21"/>
                <w:u w:val="wave"/>
                <w14:textFill>
                  <w14:solidFill>
                    <w14:schemeClr w14:val="tx1"/>
                  </w14:solidFill>
                </w14:textFill>
              </w:rPr>
            </w:pPr>
            <w:r>
              <w:rPr>
                <w:rFonts w:hint="eastAsia" w:ascii="Times New Roman" w:hAnsi="Times New Roman" w:eastAsia="宋体" w:cs="Times New Roman"/>
                <w:color w:val="000000" w:themeColor="text1"/>
                <w:sz w:val="21"/>
                <w:szCs w:val="21"/>
                <w:u w:val="wave"/>
                <w14:textFill>
                  <w14:solidFill>
                    <w14:schemeClr w14:val="tx1"/>
                  </w14:solidFill>
                </w14:textFill>
              </w:rPr>
              <w:t>监测采样点设置</w:t>
            </w:r>
          </w:p>
        </w:tc>
        <w:tc>
          <w:tcPr>
            <w:tcW w:w="1408" w:type="pct"/>
            <w:tcBorders>
              <w:tl2br w:val="nil"/>
              <w:tr2bl w:val="nil"/>
            </w:tcBorders>
            <w:noWrap w:val="0"/>
            <w:vAlign w:val="center"/>
          </w:tcPr>
          <w:p w14:paraId="65AE02B2">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000000" w:themeColor="text1"/>
                <w:sz w:val="21"/>
                <w:szCs w:val="21"/>
                <w:u w:val="wave"/>
                <w14:textFill>
                  <w14:solidFill>
                    <w14:schemeClr w14:val="tx1"/>
                  </w14:solidFill>
                </w14:textFill>
              </w:rPr>
            </w:pPr>
            <w:r>
              <w:rPr>
                <w:rFonts w:hint="eastAsia" w:ascii="Times New Roman" w:hAnsi="Times New Roman" w:eastAsia="宋体" w:cs="Times New Roman"/>
                <w:color w:val="000000" w:themeColor="text1"/>
                <w:sz w:val="21"/>
                <w:szCs w:val="21"/>
                <w:u w:val="wave"/>
                <w14:textFill>
                  <w14:solidFill>
                    <w14:schemeClr w14:val="tx1"/>
                  </w14:solidFill>
                </w14:textFill>
              </w:rPr>
              <w:t>已设置监测采样点</w:t>
            </w:r>
          </w:p>
        </w:tc>
        <w:tc>
          <w:tcPr>
            <w:tcW w:w="1905" w:type="pct"/>
            <w:tcBorders>
              <w:tl2br w:val="nil"/>
              <w:tr2bl w:val="nil"/>
            </w:tcBorders>
            <w:noWrap w:val="0"/>
            <w:vAlign w:val="center"/>
          </w:tcPr>
          <w:p w14:paraId="561FA4A6">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olor w:val="000000" w:themeColor="text1"/>
                <w:sz w:val="21"/>
                <w:szCs w:val="21"/>
                <w:u w:val="wave"/>
                <w:lang w:eastAsia="zh-CN"/>
                <w14:textFill>
                  <w14:solidFill>
                    <w14:schemeClr w14:val="tx1"/>
                  </w14:solidFill>
                </w14:textFill>
              </w:rPr>
            </w:pPr>
            <w:r>
              <w:rPr>
                <w:rFonts w:hint="eastAsia"/>
                <w:color w:val="000000" w:themeColor="text1"/>
                <w:sz w:val="21"/>
                <w:szCs w:val="21"/>
                <w:u w:val="wave"/>
                <w:lang w:val="en-US" w:eastAsia="zh-CN"/>
                <w14:textFill>
                  <w14:solidFill>
                    <w14:schemeClr w14:val="tx1"/>
                  </w14:solidFill>
                </w14:textFill>
              </w:rPr>
              <w:t>/</w:t>
            </w:r>
          </w:p>
        </w:tc>
      </w:tr>
      <w:tr w14:paraId="06DBB5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0" w:hRule="atLeast"/>
          <w:jc w:val="center"/>
        </w:trPr>
        <w:tc>
          <w:tcPr>
            <w:tcW w:w="400" w:type="pct"/>
            <w:tcBorders>
              <w:tl2br w:val="nil"/>
              <w:tr2bl w:val="nil"/>
            </w:tcBorders>
            <w:noWrap w:val="0"/>
            <w:vAlign w:val="center"/>
          </w:tcPr>
          <w:p w14:paraId="7C4DE492">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olor w:val="000000" w:themeColor="text1"/>
                <w:sz w:val="21"/>
                <w:szCs w:val="21"/>
                <w:u w:val="wave"/>
                <w:lang w:val="en-US" w:eastAsia="zh-CN"/>
                <w14:textFill>
                  <w14:solidFill>
                    <w14:schemeClr w14:val="tx1"/>
                  </w14:solidFill>
                </w14:textFill>
              </w:rPr>
            </w:pPr>
            <w:r>
              <w:rPr>
                <w:rFonts w:hint="eastAsia"/>
                <w:color w:val="000000" w:themeColor="text1"/>
                <w:sz w:val="21"/>
                <w:szCs w:val="21"/>
                <w:u w:val="wave"/>
                <w:lang w:val="en-US" w:eastAsia="zh-CN"/>
                <w14:textFill>
                  <w14:solidFill>
                    <w14:schemeClr w14:val="tx1"/>
                  </w14:solidFill>
                </w14:textFill>
              </w:rPr>
              <w:t>2</w:t>
            </w:r>
          </w:p>
        </w:tc>
        <w:tc>
          <w:tcPr>
            <w:tcW w:w="1285" w:type="pct"/>
            <w:tcBorders>
              <w:tl2br w:val="nil"/>
              <w:tr2bl w:val="nil"/>
            </w:tcBorders>
            <w:noWrap w:val="0"/>
            <w:vAlign w:val="center"/>
          </w:tcPr>
          <w:p w14:paraId="4D2069E6">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color w:val="000000" w:themeColor="text1"/>
                <w:sz w:val="21"/>
                <w:szCs w:val="21"/>
                <w:u w:val="wave"/>
                <w14:textFill>
                  <w14:solidFill>
                    <w14:schemeClr w14:val="tx1"/>
                  </w14:solidFill>
                </w14:textFill>
              </w:rPr>
            </w:pPr>
            <w:r>
              <w:rPr>
                <w:rFonts w:hint="eastAsia"/>
                <w:color w:val="000000" w:themeColor="text1"/>
                <w:sz w:val="21"/>
                <w:szCs w:val="21"/>
                <w:u w:val="wave"/>
                <w14:textFill>
                  <w14:solidFill>
                    <w14:schemeClr w14:val="tx1"/>
                  </w14:solidFill>
                </w14:textFill>
              </w:rPr>
              <w:t>检查井设置</w:t>
            </w:r>
          </w:p>
        </w:tc>
        <w:tc>
          <w:tcPr>
            <w:tcW w:w="1408" w:type="pct"/>
            <w:tcBorders>
              <w:tl2br w:val="nil"/>
              <w:tr2bl w:val="nil"/>
            </w:tcBorders>
            <w:noWrap w:val="0"/>
            <w:vAlign w:val="center"/>
          </w:tcPr>
          <w:p w14:paraId="7D26DD03">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000000" w:themeColor="text1"/>
                <w:sz w:val="21"/>
                <w:szCs w:val="21"/>
                <w:u w:val="wave"/>
                <w14:textFill>
                  <w14:solidFill>
                    <w14:schemeClr w14:val="tx1"/>
                  </w14:solidFill>
                </w14:textFill>
              </w:rPr>
            </w:pPr>
            <w:r>
              <w:rPr>
                <w:rFonts w:hint="eastAsia"/>
                <w:color w:val="000000" w:themeColor="text1"/>
                <w:sz w:val="21"/>
                <w:szCs w:val="21"/>
                <w:u w:val="wave"/>
                <w14:textFill>
                  <w14:solidFill>
                    <w14:schemeClr w14:val="tx1"/>
                  </w14:solidFill>
                </w14:textFill>
              </w:rPr>
              <w:t>未设置检查井</w:t>
            </w:r>
          </w:p>
        </w:tc>
        <w:tc>
          <w:tcPr>
            <w:tcW w:w="1905" w:type="pct"/>
            <w:tcBorders>
              <w:tl2br w:val="nil"/>
              <w:tr2bl w:val="nil"/>
            </w:tcBorders>
            <w:noWrap w:val="0"/>
            <w:vAlign w:val="center"/>
          </w:tcPr>
          <w:p w14:paraId="70164A8B">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000000" w:themeColor="text1"/>
                <w:sz w:val="21"/>
                <w:szCs w:val="21"/>
                <w:u w:val="wave"/>
                <w14:textFill>
                  <w14:solidFill>
                    <w14:schemeClr w14:val="tx1"/>
                  </w14:solidFill>
                </w14:textFill>
              </w:rPr>
            </w:pPr>
            <w:r>
              <w:rPr>
                <w:rFonts w:hint="eastAsia" w:ascii="Times New Roman" w:hAnsi="Times New Roman" w:eastAsia="宋体" w:cs="Times New Roman"/>
                <w:color w:val="000000" w:themeColor="text1"/>
                <w:sz w:val="21"/>
                <w:szCs w:val="21"/>
                <w:u w:val="wave"/>
                <w14:textFill>
                  <w14:solidFill>
                    <w14:schemeClr w14:val="tx1"/>
                  </w14:solidFill>
                </w14:textFill>
              </w:rPr>
              <w:t>在</w:t>
            </w:r>
            <w:r>
              <w:rPr>
                <w:rFonts w:hint="eastAsia" w:ascii="Times New Roman" w:hAnsi="Times New Roman" w:eastAsia="宋体" w:cs="Times New Roman"/>
                <w:color w:val="000000" w:themeColor="text1"/>
                <w:sz w:val="21"/>
                <w:szCs w:val="21"/>
                <w:u w:val="wave"/>
                <w:lang w:val="en-US" w:eastAsia="zh-CN"/>
                <w14:textFill>
                  <w14:solidFill>
                    <w14:schemeClr w14:val="tx1"/>
                  </w14:solidFill>
                </w14:textFill>
              </w:rPr>
              <w:t>入河排污口</w:t>
            </w:r>
            <w:r>
              <w:rPr>
                <w:rFonts w:hint="eastAsia" w:ascii="Times New Roman" w:hAnsi="Times New Roman" w:eastAsia="宋体" w:cs="Times New Roman"/>
                <w:color w:val="000000" w:themeColor="text1"/>
                <w:sz w:val="21"/>
                <w:szCs w:val="21"/>
                <w:u w:val="wave"/>
                <w14:textFill>
                  <w14:solidFill>
                    <w14:schemeClr w14:val="tx1"/>
                  </w14:solidFill>
                </w14:textFill>
              </w:rPr>
              <w:t>附近设置检查井，检查井设置位置与污水入河处的最大间距根据疏通方法等情况确定，并满足排污口检修维护工作需求</w:t>
            </w:r>
          </w:p>
        </w:tc>
      </w:tr>
      <w:tr w14:paraId="7E9F7B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5" w:hRule="atLeast"/>
          <w:jc w:val="center"/>
        </w:trPr>
        <w:tc>
          <w:tcPr>
            <w:tcW w:w="400" w:type="pct"/>
            <w:tcBorders>
              <w:tl2br w:val="nil"/>
              <w:tr2bl w:val="nil"/>
            </w:tcBorders>
            <w:noWrap w:val="0"/>
            <w:vAlign w:val="center"/>
          </w:tcPr>
          <w:p w14:paraId="7A3FCBE5">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olor w:val="000000" w:themeColor="text1"/>
                <w:sz w:val="21"/>
                <w:szCs w:val="21"/>
                <w:u w:val="wave"/>
                <w:lang w:val="en-US" w:eastAsia="zh-CN"/>
                <w14:textFill>
                  <w14:solidFill>
                    <w14:schemeClr w14:val="tx1"/>
                  </w14:solidFill>
                </w14:textFill>
              </w:rPr>
            </w:pPr>
            <w:r>
              <w:rPr>
                <w:rFonts w:hint="eastAsia"/>
                <w:color w:val="000000" w:themeColor="text1"/>
                <w:sz w:val="21"/>
                <w:szCs w:val="21"/>
                <w:u w:val="wave"/>
                <w:lang w:val="en-US" w:eastAsia="zh-CN"/>
                <w14:textFill>
                  <w14:solidFill>
                    <w14:schemeClr w14:val="tx1"/>
                  </w14:solidFill>
                </w14:textFill>
              </w:rPr>
              <w:t>3</w:t>
            </w:r>
          </w:p>
        </w:tc>
        <w:tc>
          <w:tcPr>
            <w:tcW w:w="1285" w:type="pct"/>
            <w:tcBorders>
              <w:tl2br w:val="nil"/>
              <w:tr2bl w:val="nil"/>
            </w:tcBorders>
            <w:noWrap w:val="0"/>
            <w:vAlign w:val="center"/>
          </w:tcPr>
          <w:p w14:paraId="72A83806">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000000" w:themeColor="text1"/>
                <w:sz w:val="21"/>
                <w:szCs w:val="21"/>
                <w:u w:val="wave"/>
                <w14:textFill>
                  <w14:solidFill>
                    <w14:schemeClr w14:val="tx1"/>
                  </w14:solidFill>
                </w14:textFill>
              </w:rPr>
            </w:pPr>
            <w:r>
              <w:rPr>
                <w:rFonts w:hint="eastAsia"/>
                <w:color w:val="000000" w:themeColor="text1"/>
                <w:sz w:val="21"/>
                <w:szCs w:val="21"/>
                <w:u w:val="wave"/>
                <w14:textFill>
                  <w14:solidFill>
                    <w14:schemeClr w14:val="tx1"/>
                  </w14:solidFill>
                </w14:textFill>
              </w:rPr>
              <w:t>标识牌设置</w:t>
            </w:r>
          </w:p>
        </w:tc>
        <w:tc>
          <w:tcPr>
            <w:tcW w:w="1408" w:type="pct"/>
            <w:tcBorders>
              <w:tl2br w:val="nil"/>
              <w:tr2bl w:val="nil"/>
            </w:tcBorders>
            <w:noWrap w:val="0"/>
            <w:vAlign w:val="center"/>
          </w:tcPr>
          <w:p w14:paraId="196D132E">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000000" w:themeColor="text1"/>
                <w:sz w:val="21"/>
                <w:szCs w:val="21"/>
                <w:u w:val="wave"/>
                <w14:textFill>
                  <w14:solidFill>
                    <w14:schemeClr w14:val="tx1"/>
                  </w14:solidFill>
                </w14:textFill>
              </w:rPr>
            </w:pPr>
            <w:r>
              <w:rPr>
                <w:rFonts w:hint="eastAsia"/>
                <w:color w:val="000000" w:themeColor="text1"/>
                <w:sz w:val="21"/>
                <w:szCs w:val="21"/>
                <w:u w:val="wave"/>
                <w:lang w:val="en-US" w:eastAsia="zh-CN"/>
                <w14:textFill>
                  <w14:solidFill>
                    <w14:schemeClr w14:val="tx1"/>
                  </w14:solidFill>
                </w14:textFill>
              </w:rPr>
              <w:t>未</w:t>
            </w:r>
            <w:r>
              <w:rPr>
                <w:rFonts w:hint="eastAsia"/>
                <w:color w:val="000000" w:themeColor="text1"/>
                <w:sz w:val="21"/>
                <w:szCs w:val="21"/>
                <w:u w:val="wave"/>
                <w14:textFill>
                  <w14:solidFill>
                    <w14:schemeClr w14:val="tx1"/>
                  </w14:solidFill>
                </w14:textFill>
              </w:rPr>
              <w:t>设置标识牌</w:t>
            </w:r>
          </w:p>
        </w:tc>
        <w:tc>
          <w:tcPr>
            <w:tcW w:w="1905" w:type="pct"/>
            <w:tcBorders>
              <w:tl2br w:val="nil"/>
              <w:tr2bl w:val="nil"/>
            </w:tcBorders>
            <w:noWrap w:val="0"/>
            <w:vAlign w:val="center"/>
          </w:tcPr>
          <w:p w14:paraId="5BFA92AE">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000000" w:themeColor="text1"/>
                <w:sz w:val="21"/>
                <w:szCs w:val="21"/>
                <w:u w:val="wave"/>
                <w14:textFill>
                  <w14:solidFill>
                    <w14:schemeClr w14:val="tx1"/>
                  </w14:solidFill>
                </w14:textFill>
              </w:rPr>
            </w:pPr>
            <w:r>
              <w:rPr>
                <w:rFonts w:hint="eastAsia" w:ascii="Times New Roman" w:hAnsi="Times New Roman" w:eastAsia="宋体" w:cs="Times New Roman"/>
                <w:color w:val="000000" w:themeColor="text1"/>
                <w:sz w:val="21"/>
                <w:szCs w:val="21"/>
                <w:u w:val="wave"/>
                <w14:textFill>
                  <w14:solidFill>
                    <w14:schemeClr w14:val="tx1"/>
                  </w14:solidFill>
                </w14:textFill>
              </w:rPr>
              <w:t>在污水入河处或监测采样点等位置设置标识牌；公示信息包含但不限于排污口名称、编码、类型、管理单位、责任主体、监督电话等；应具有耐候、耐腐蚀等理化性能等</w:t>
            </w:r>
          </w:p>
        </w:tc>
      </w:tr>
      <w:tr w14:paraId="17F9FF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400" w:type="pct"/>
            <w:tcBorders>
              <w:tl2br w:val="nil"/>
              <w:tr2bl w:val="nil"/>
            </w:tcBorders>
            <w:noWrap w:val="0"/>
            <w:vAlign w:val="center"/>
          </w:tcPr>
          <w:p w14:paraId="57E6BB04">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color w:val="000000" w:themeColor="text1"/>
                <w:sz w:val="21"/>
                <w:szCs w:val="21"/>
                <w:u w:val="wave"/>
                <w14:textFill>
                  <w14:solidFill>
                    <w14:schemeClr w14:val="tx1"/>
                  </w14:solidFill>
                </w14:textFill>
              </w:rPr>
            </w:pPr>
          </w:p>
          <w:p w14:paraId="4CC7B0BB">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olor w:val="000000" w:themeColor="text1"/>
                <w:sz w:val="21"/>
                <w:szCs w:val="21"/>
                <w:u w:val="wave"/>
                <w:lang w:val="en-US" w:eastAsia="zh-CN"/>
                <w14:textFill>
                  <w14:solidFill>
                    <w14:schemeClr w14:val="tx1"/>
                  </w14:solidFill>
                </w14:textFill>
              </w:rPr>
            </w:pPr>
            <w:r>
              <w:rPr>
                <w:rFonts w:hint="eastAsia"/>
                <w:color w:val="000000" w:themeColor="text1"/>
                <w:sz w:val="21"/>
                <w:szCs w:val="21"/>
                <w:u w:val="wave"/>
                <w:lang w:val="en-US" w:eastAsia="zh-CN"/>
                <w14:textFill>
                  <w14:solidFill>
                    <w14:schemeClr w14:val="tx1"/>
                  </w14:solidFill>
                </w14:textFill>
              </w:rPr>
              <w:t>4</w:t>
            </w:r>
          </w:p>
        </w:tc>
        <w:tc>
          <w:tcPr>
            <w:tcW w:w="1285" w:type="pct"/>
            <w:tcBorders>
              <w:tl2br w:val="nil"/>
              <w:tr2bl w:val="nil"/>
            </w:tcBorders>
            <w:noWrap w:val="0"/>
            <w:vAlign w:val="center"/>
          </w:tcPr>
          <w:p w14:paraId="11B5B9AE">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color w:val="000000" w:themeColor="text1"/>
                <w:sz w:val="21"/>
                <w:szCs w:val="21"/>
                <w:u w:val="wave"/>
                <w14:textFill>
                  <w14:solidFill>
                    <w14:schemeClr w14:val="tx1"/>
                  </w14:solidFill>
                </w14:textFill>
              </w:rPr>
            </w:pPr>
            <w:r>
              <w:rPr>
                <w:rFonts w:hint="eastAsia"/>
                <w:color w:val="000000" w:themeColor="text1"/>
                <w:sz w:val="21"/>
                <w:szCs w:val="21"/>
                <w:u w:val="wave"/>
                <w14:textFill>
                  <w14:solidFill>
                    <w14:schemeClr w14:val="tx1"/>
                  </w14:solidFill>
                </w14:textFill>
              </w:rPr>
              <w:t>视频监控系统及水质流量在线监测系统设置</w:t>
            </w:r>
          </w:p>
        </w:tc>
        <w:tc>
          <w:tcPr>
            <w:tcW w:w="1408" w:type="pct"/>
            <w:tcBorders>
              <w:tl2br w:val="nil"/>
              <w:tr2bl w:val="nil"/>
            </w:tcBorders>
            <w:noWrap w:val="0"/>
            <w:vAlign w:val="center"/>
          </w:tcPr>
          <w:p w14:paraId="672ACFFE">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color w:val="000000" w:themeColor="text1"/>
                <w:sz w:val="21"/>
                <w:szCs w:val="21"/>
                <w:u w:val="wave"/>
                <w14:textFill>
                  <w14:solidFill>
                    <w14:schemeClr w14:val="tx1"/>
                  </w14:solidFill>
                </w14:textFill>
              </w:rPr>
            </w:pPr>
            <w:r>
              <w:rPr>
                <w:rFonts w:hint="eastAsia"/>
                <w:color w:val="000000" w:themeColor="text1"/>
                <w:sz w:val="21"/>
                <w:szCs w:val="21"/>
                <w:u w:val="wave"/>
                <w:lang w:val="en-US" w:eastAsia="zh-CN"/>
                <w14:textFill>
                  <w14:solidFill>
                    <w14:schemeClr w14:val="tx1"/>
                  </w14:solidFill>
                </w14:textFill>
              </w:rPr>
              <w:t>已设置</w:t>
            </w:r>
            <w:r>
              <w:rPr>
                <w:rFonts w:hint="eastAsia"/>
                <w:color w:val="000000" w:themeColor="text1"/>
                <w:sz w:val="21"/>
                <w:szCs w:val="21"/>
                <w:u w:val="wave"/>
                <w14:textFill>
                  <w14:solidFill>
                    <w14:schemeClr w14:val="tx1"/>
                  </w14:solidFill>
                </w14:textFill>
              </w:rPr>
              <w:t>视频监控系统及水质流量在线监测系统</w:t>
            </w:r>
          </w:p>
        </w:tc>
        <w:tc>
          <w:tcPr>
            <w:tcW w:w="1905" w:type="pct"/>
            <w:tcBorders>
              <w:tl2br w:val="nil"/>
              <w:tr2bl w:val="nil"/>
            </w:tcBorders>
            <w:noWrap w:val="0"/>
            <w:vAlign w:val="center"/>
          </w:tcPr>
          <w:p w14:paraId="1B0567CF">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000000" w:themeColor="text1"/>
                <w:sz w:val="21"/>
                <w:szCs w:val="21"/>
                <w:u w:val="wav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wave"/>
                <w:lang w:val="en-US" w:eastAsia="zh-CN"/>
                <w14:textFill>
                  <w14:solidFill>
                    <w14:schemeClr w14:val="tx1"/>
                  </w14:solidFill>
                </w14:textFill>
              </w:rPr>
              <w:t>/</w:t>
            </w:r>
          </w:p>
        </w:tc>
      </w:tr>
      <w:tr w14:paraId="61B43F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400" w:type="pct"/>
            <w:tcBorders>
              <w:tl2br w:val="nil"/>
              <w:tr2bl w:val="nil"/>
            </w:tcBorders>
            <w:noWrap w:val="0"/>
            <w:vAlign w:val="center"/>
          </w:tcPr>
          <w:p w14:paraId="35D913D4">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olor w:val="000000" w:themeColor="text1"/>
                <w:sz w:val="21"/>
                <w:szCs w:val="21"/>
                <w:u w:val="wave"/>
                <w:lang w:val="en-US" w:eastAsia="zh-CN"/>
                <w14:textFill>
                  <w14:solidFill>
                    <w14:schemeClr w14:val="tx1"/>
                  </w14:solidFill>
                </w14:textFill>
              </w:rPr>
            </w:pPr>
            <w:r>
              <w:rPr>
                <w:rFonts w:hint="eastAsia"/>
                <w:color w:val="000000" w:themeColor="text1"/>
                <w:sz w:val="21"/>
                <w:szCs w:val="21"/>
                <w:u w:val="wave"/>
                <w:lang w:val="en-US" w:eastAsia="zh-CN"/>
                <w14:textFill>
                  <w14:solidFill>
                    <w14:schemeClr w14:val="tx1"/>
                  </w14:solidFill>
                </w14:textFill>
              </w:rPr>
              <w:t>5</w:t>
            </w:r>
          </w:p>
        </w:tc>
        <w:tc>
          <w:tcPr>
            <w:tcW w:w="1285" w:type="pct"/>
            <w:tcBorders>
              <w:tl2br w:val="nil"/>
              <w:tr2bl w:val="nil"/>
            </w:tcBorders>
            <w:noWrap w:val="0"/>
            <w:vAlign w:val="center"/>
          </w:tcPr>
          <w:p w14:paraId="748AB401">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color w:val="000000" w:themeColor="text1"/>
                <w:sz w:val="21"/>
                <w:szCs w:val="21"/>
                <w:u w:val="wave"/>
                <w14:textFill>
                  <w14:solidFill>
                    <w14:schemeClr w14:val="tx1"/>
                  </w14:solidFill>
                </w14:textFill>
              </w:rPr>
            </w:pPr>
            <w:r>
              <w:rPr>
                <w:rFonts w:hint="eastAsia"/>
                <w:color w:val="000000" w:themeColor="text1"/>
                <w:sz w:val="21"/>
                <w:szCs w:val="21"/>
                <w:u w:val="wave"/>
                <w14:textFill>
                  <w14:solidFill>
                    <w14:schemeClr w14:val="tx1"/>
                  </w14:solidFill>
                </w14:textFill>
              </w:rPr>
              <w:t>档案建设</w:t>
            </w:r>
          </w:p>
        </w:tc>
        <w:tc>
          <w:tcPr>
            <w:tcW w:w="1408" w:type="pct"/>
            <w:tcBorders>
              <w:tl2br w:val="nil"/>
              <w:tr2bl w:val="nil"/>
            </w:tcBorders>
            <w:noWrap w:val="0"/>
            <w:vAlign w:val="center"/>
          </w:tcPr>
          <w:p w14:paraId="0BF300C6">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olor w:val="000000" w:themeColor="text1"/>
                <w:sz w:val="21"/>
                <w:szCs w:val="21"/>
                <w:u w:val="wave"/>
                <w14:textFill>
                  <w14:solidFill>
                    <w14:schemeClr w14:val="tx1"/>
                  </w14:solidFill>
                </w14:textFill>
              </w:rPr>
            </w:pPr>
            <w:r>
              <w:rPr>
                <w:rFonts w:hint="eastAsia"/>
                <w:color w:val="000000" w:themeColor="text1"/>
                <w:sz w:val="21"/>
                <w:szCs w:val="21"/>
                <w:u w:val="wave"/>
                <w:lang w:val="en-US" w:eastAsia="zh-CN"/>
                <w14:textFill>
                  <w14:solidFill>
                    <w14:schemeClr w14:val="tx1"/>
                  </w14:solidFill>
                </w14:textFill>
              </w:rPr>
              <w:t>已</w:t>
            </w:r>
            <w:r>
              <w:rPr>
                <w:rFonts w:hint="eastAsia"/>
                <w:color w:val="000000" w:themeColor="text1"/>
                <w:sz w:val="21"/>
                <w:szCs w:val="21"/>
                <w:u w:val="wave"/>
                <w14:textFill>
                  <w14:solidFill>
                    <w14:schemeClr w14:val="tx1"/>
                  </w14:solidFill>
                </w14:textFill>
              </w:rPr>
              <w:t>建设档案管理制度</w:t>
            </w:r>
          </w:p>
        </w:tc>
        <w:tc>
          <w:tcPr>
            <w:tcW w:w="1905" w:type="pct"/>
            <w:tcBorders>
              <w:tl2br w:val="nil"/>
              <w:tr2bl w:val="nil"/>
            </w:tcBorders>
            <w:noWrap w:val="0"/>
            <w:vAlign w:val="center"/>
          </w:tcPr>
          <w:p w14:paraId="4B4C8C30">
            <w:pPr>
              <w:pStyle w:val="3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000000" w:themeColor="text1"/>
                <w:sz w:val="21"/>
                <w:szCs w:val="21"/>
                <w:u w:val="wav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wave"/>
                <w:lang w:val="en-US" w:eastAsia="zh-CN"/>
                <w14:textFill>
                  <w14:solidFill>
                    <w14:schemeClr w14:val="tx1"/>
                  </w14:solidFill>
                </w14:textFill>
              </w:rPr>
              <w:t>/</w:t>
            </w:r>
          </w:p>
        </w:tc>
      </w:tr>
    </w:tbl>
    <w:p w14:paraId="74C0832C">
      <w:pPr>
        <w:pStyle w:val="439"/>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val="0"/>
          <w:color w:val="000000" w:themeColor="text1"/>
          <w:kern w:val="2"/>
          <w:u w:val="wave"/>
          <w:lang w:val="en-US"/>
          <w14:textFill>
            <w14:solidFill>
              <w14:schemeClr w14:val="tx1"/>
            </w14:solidFill>
          </w14:textFill>
        </w:rPr>
      </w:pPr>
      <w:r>
        <w:rPr>
          <w:rFonts w:hint="default" w:ascii="Times New Roman" w:hAnsi="Times New Roman" w:eastAsia="宋体" w:cs="Times New Roman"/>
          <w:b w:val="0"/>
          <w:color w:val="000000" w:themeColor="text1"/>
          <w:kern w:val="2"/>
          <w:u w:val="wave"/>
          <w:lang w:val="en-US"/>
          <w14:textFill>
            <w14:solidFill>
              <w14:schemeClr w14:val="tx1"/>
            </w14:solidFill>
          </w14:textFill>
        </w:rPr>
        <w:t>本项目入河排污口设置需按照“</w:t>
      </w:r>
      <w:r>
        <w:rPr>
          <w:rFonts w:hint="default" w:ascii="Times New Roman" w:hAnsi="Times New Roman" w:eastAsia="宋体" w:cs="Times New Roman"/>
          <w:b w:val="0"/>
          <w:color w:val="000000" w:themeColor="text1"/>
          <w:kern w:val="2"/>
          <w:u w:val="wave"/>
          <w:lang w:val="en-US" w:eastAsia="zh-CN"/>
          <w14:textFill>
            <w14:solidFill>
              <w14:schemeClr w14:val="tx1"/>
            </w14:solidFill>
          </w14:textFill>
        </w:rPr>
        <w:t>9.5.3</w:t>
      </w:r>
      <w:r>
        <w:rPr>
          <w:rFonts w:hint="default" w:ascii="Times New Roman" w:hAnsi="Times New Roman" w:eastAsia="宋体" w:cs="Times New Roman"/>
          <w:b w:val="0"/>
          <w:color w:val="000000" w:themeColor="text1"/>
          <w:kern w:val="2"/>
          <w:u w:val="wave"/>
          <w:lang w:val="en-US"/>
          <w14:textFill>
            <w14:solidFill>
              <w14:schemeClr w14:val="tx1"/>
            </w14:solidFill>
          </w14:textFill>
        </w:rPr>
        <w:t>章节”相关规范要求执行。</w:t>
      </w:r>
    </w:p>
    <w:p w14:paraId="2B73018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eastAsia" w:cs="Times New Roman"/>
          <w:b/>
          <w:bCs/>
          <w:color w:val="000000" w:themeColor="text1"/>
          <w:kern w:val="0"/>
          <w:sz w:val="24"/>
          <w:szCs w:val="24"/>
          <w:u w:val="wave"/>
          <w:lang w:val="en-US" w:eastAsia="zh-CN" w:bidi="ar"/>
          <w14:textFill>
            <w14:solidFill>
              <w14:schemeClr w14:val="tx1"/>
            </w14:solidFill>
          </w14:textFill>
        </w:rPr>
        <w:t>9.5.3</w:t>
      </w:r>
      <w:r>
        <w:rPr>
          <w:rFonts w:hint="default" w:ascii="Times New Roman" w:hAnsi="Times New Roman" w:eastAsia="宋体" w:cs="Times New Roman"/>
          <w:b/>
          <w:bCs/>
          <w:color w:val="000000" w:themeColor="text1"/>
          <w:kern w:val="0"/>
          <w:sz w:val="24"/>
          <w:szCs w:val="24"/>
          <w:u w:val="wave"/>
          <w:lang w:val="en-US" w:eastAsia="zh-CN" w:bidi="ar"/>
          <w14:textFill>
            <w14:solidFill>
              <w14:schemeClr w14:val="tx1"/>
            </w14:solidFill>
          </w14:textFill>
        </w:rPr>
        <w:t xml:space="preserve">入河排污口规范化建设 </w:t>
      </w:r>
    </w:p>
    <w:p w14:paraId="5E208A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入河排污口规范化建设是一项基础性工作，做好入河排污口规范化建设和管 </w:t>
      </w:r>
    </w:p>
    <w:p w14:paraId="204BE79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理，可以科学的掌握各类污染源实际排放情况。本工程建设单位应严格按照国家、 </w:t>
      </w:r>
    </w:p>
    <w:p w14:paraId="65550BD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省、市生态环境部门的规定和要求，切实满足监测和监管的需求，排污单位必须 </w:t>
      </w:r>
    </w:p>
    <w:p w14:paraId="3826979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按照相关要求设置和制作入河排污口标志牌。未经管理部门允许，任何单位和个 </w:t>
      </w:r>
    </w:p>
    <w:p w14:paraId="49B0818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4"/>
          <w:szCs w:val="24"/>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 xml:space="preserve">人不得擅自设置、移动、扩大入河排污口。排污单位要根据省市相关要求，建立 </w:t>
      </w:r>
    </w:p>
    <w:p w14:paraId="774F82B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2"/>
          <w:sz w:val="21"/>
          <w:u w:val="wave"/>
          <w14:textFill>
            <w14:solidFill>
              <w14:schemeClr w14:val="tx1"/>
            </w14:solidFill>
          </w14:textFill>
        </w:rPr>
      </w:pPr>
      <w:r>
        <w:rPr>
          <w:rFonts w:hint="default" w:ascii="Times New Roman" w:hAnsi="Times New Roman" w:eastAsia="宋体" w:cs="Times New Roman"/>
          <w:color w:val="000000" w:themeColor="text1"/>
          <w:kern w:val="0"/>
          <w:sz w:val="24"/>
          <w:szCs w:val="24"/>
          <w:u w:val="wave"/>
          <w:lang w:val="en-US" w:eastAsia="zh-CN" w:bidi="ar"/>
          <w14:textFill>
            <w14:solidFill>
              <w14:schemeClr w14:val="tx1"/>
            </w14:solidFill>
          </w14:textFill>
        </w:rPr>
        <w:t>入河排污口基础资料档案和监督检查档案。</w:t>
      </w:r>
    </w:p>
    <w:p w14:paraId="138ABB8A">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9"/>
        <w:rPr>
          <w:rFonts w:hint="default" w:ascii="Times New Roman" w:hAnsi="Times New Roman" w:eastAsia="宋体" w:cs="Times New Roman"/>
          <w:b/>
          <w:bCs w:val="0"/>
          <w:color w:val="000000" w:themeColor="text1"/>
          <w:kern w:val="2"/>
          <w:sz w:val="24"/>
          <w:szCs w:val="24"/>
          <w:u w:val="wav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4"/>
          <w:u w:val="wave"/>
          <w:lang w:val="en-US" w:eastAsia="zh-CN" w:bidi="ar-SA"/>
          <w14:textFill>
            <w14:solidFill>
              <w14:schemeClr w14:val="tx1"/>
            </w14:solidFill>
          </w14:textFill>
        </w:rPr>
        <w:t>入河排污口标识设置</w:t>
      </w:r>
      <w:bookmarkEnd w:id="393"/>
    </w:p>
    <w:p w14:paraId="7ACDD9F6">
      <w:pPr>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480" w:firstLineChars="200"/>
        <w:jc w:val="both"/>
        <w:textAlignment w:val="auto"/>
        <w:outlineLvl w:val="9"/>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t>1、设置原则</w:t>
      </w:r>
    </w:p>
    <w:p w14:paraId="78B8571E">
      <w:pPr>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480" w:firstLineChars="200"/>
        <w:jc w:val="both"/>
        <w:textAlignment w:val="auto"/>
        <w:outlineLvl w:val="9"/>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t>城镇生活污水处理厂排污口应设置标志牌。标志牌应设在入海（河）排污口附近，一个标志牌对应一个排污口，并尽可能做到安全牢固、醒目便利。设置中，还应注意考虑流域环境整体性，统筹排污口在上下游、左右岸、干支流等分布情况，尽可能保持美观协调。标志牌信息应真实准确、简单易懂，便于日常监管和公众监督。</w:t>
      </w:r>
    </w:p>
    <w:p w14:paraId="3EF5E345">
      <w:pPr>
        <w:widowControl w:val="0"/>
        <w:numPr>
          <w:ilvl w:val="2"/>
          <w:numId w:val="0"/>
        </w:numPr>
        <w:adjustRightInd w:val="0"/>
        <w:snapToGrid w:val="0"/>
        <w:spacing w:line="360" w:lineRule="auto"/>
        <w:ind w:left="0" w:firstLine="480" w:firstLineChars="200"/>
        <w:jc w:val="both"/>
        <w:outlineLvl w:val="9"/>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t>2、公示信息包含但不限于排污口名称、编码、类型、管理单位、责任主体、监督电话等，可根据实际需求采用文字或二维码等形式展示。标识牌可选用立柱式、平面式等。</w:t>
      </w:r>
    </w:p>
    <w:p w14:paraId="08097D70">
      <w:pPr>
        <w:widowControl w:val="0"/>
        <w:numPr>
          <w:ilvl w:val="2"/>
          <w:numId w:val="0"/>
        </w:numPr>
        <w:adjustRightInd w:val="0"/>
        <w:snapToGrid w:val="0"/>
        <w:spacing w:line="360" w:lineRule="auto"/>
        <w:ind w:left="0" w:firstLine="480" w:firstLineChars="200"/>
        <w:jc w:val="both"/>
        <w:outlineLvl w:val="9"/>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t>3、标识牌应具有耐候、耐腐蚀等理化性能，保证一定的使用寿命。</w:t>
      </w:r>
    </w:p>
    <w:p w14:paraId="0CA79F2F">
      <w:pPr>
        <w:widowControl w:val="0"/>
        <w:numPr>
          <w:ilvl w:val="2"/>
          <w:numId w:val="0"/>
        </w:numPr>
        <w:adjustRightInd w:val="0"/>
        <w:snapToGrid w:val="0"/>
        <w:spacing w:line="360" w:lineRule="auto"/>
        <w:ind w:left="0" w:firstLine="480" w:firstLineChars="200"/>
        <w:jc w:val="both"/>
        <w:outlineLvl w:val="9"/>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t>4、标识牌公示信息发生变化的，责任主体应及时更新或更换标识牌。</w:t>
      </w:r>
    </w:p>
    <w:p w14:paraId="165F14AF">
      <w:pPr>
        <w:widowControl w:val="0"/>
        <w:numPr>
          <w:ilvl w:val="2"/>
          <w:numId w:val="0"/>
        </w:numPr>
        <w:adjustRightInd w:val="0"/>
        <w:snapToGrid w:val="0"/>
        <w:spacing w:line="360" w:lineRule="auto"/>
        <w:ind w:left="0" w:firstLine="480" w:firstLineChars="200"/>
        <w:jc w:val="both"/>
        <w:outlineLvl w:val="9"/>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4"/>
          <w:u w:val="wave"/>
          <w:lang w:val="en-US" w:eastAsia="zh-CN" w:bidi="ar-SA"/>
          <w14:textFill>
            <w14:solidFill>
              <w14:schemeClr w14:val="tx1"/>
            </w14:solidFill>
          </w14:textFill>
        </w:rPr>
        <w:t>污水处理厂应当按照《入河入海排污口监督管理技术指南 入河排污口规范化建设》（HJ1309-2023）、《入河入海排污口监督管理技术指南 入河排污口设置》（HJ 1386—2024）、《关于印发〈长江、黄河和渤海入海（河）排污口排查整治分类规则（试行）〉〈长江、黄河和渤海入海（河）排污口命名与编码规则（试行）〉〈长江、黄河和渤海入海（河）排污口标志牌设置规则（试行）〉的通知》（环办执法函〔2020〕718号）和《湖南省入河排污口标识牌设置的范围和要求》等文件的相关要求，入河排污口应“开口子、立牌子、竖杆子”，详细要求见下表。</w:t>
      </w:r>
    </w:p>
    <w:p w14:paraId="5A18ADF2">
      <w:pPr>
        <w:jc w:val="center"/>
        <w:rPr>
          <w:rFonts w:hint="default" w:ascii="Times New Roman" w:hAnsi="Times New Roman" w:eastAsia="宋体" w:cs="Times New Roman"/>
          <w:b/>
          <w:color w:val="FF0000"/>
          <w:kern w:val="2"/>
          <w:sz w:val="24"/>
          <w:szCs w:val="24"/>
          <w:u w:val="wave"/>
          <w:lang w:val="en-US" w:eastAsia="zh-CN" w:bidi="ar-SA"/>
        </w:rPr>
      </w:pPr>
      <w:r>
        <w:rPr>
          <w:rFonts w:hint="default" w:ascii="Times New Roman" w:hAnsi="Times New Roman" w:eastAsia="宋体" w:cs="Times New Roman"/>
          <w:b/>
          <w:color w:val="FF0000"/>
          <w:kern w:val="2"/>
          <w:sz w:val="24"/>
          <w:szCs w:val="24"/>
          <w:u w:val="wave"/>
          <w:lang w:val="en-US" w:eastAsia="zh-CN" w:bidi="ar-SA"/>
        </w:rPr>
        <w:t>表9.5</w:t>
      </w:r>
      <w:r>
        <w:rPr>
          <w:rFonts w:hint="default" w:ascii="Times New Roman" w:hAnsi="Times New Roman" w:eastAsia="宋体" w:cs="Times New Roman"/>
          <w:b/>
          <w:color w:val="FF0000"/>
          <w:kern w:val="2"/>
          <w:sz w:val="24"/>
          <w:szCs w:val="24"/>
          <w:u w:val="wave"/>
          <w:lang w:val="en-US" w:eastAsia="zh-CN" w:bidi="ar-SA"/>
        </w:rPr>
        <w:noBreakHyphen/>
      </w:r>
      <w:r>
        <w:rPr>
          <w:rFonts w:hint="eastAsia" w:cs="Times New Roman"/>
          <w:b/>
          <w:color w:val="FF0000"/>
          <w:kern w:val="2"/>
          <w:sz w:val="24"/>
          <w:szCs w:val="24"/>
          <w:u w:val="wave"/>
          <w:lang w:val="en-US" w:eastAsia="zh-CN" w:bidi="ar-SA"/>
        </w:rPr>
        <w:t>2</w:t>
      </w:r>
      <w:r>
        <w:rPr>
          <w:rFonts w:hint="default" w:ascii="Times New Roman" w:hAnsi="Times New Roman" w:eastAsia="宋体" w:cs="Times New Roman"/>
          <w:b/>
          <w:color w:val="FF0000"/>
          <w:kern w:val="2"/>
          <w:sz w:val="24"/>
          <w:szCs w:val="24"/>
          <w:u w:val="wave"/>
          <w:lang w:val="en-US" w:eastAsia="zh-CN" w:bidi="ar-SA"/>
        </w:rPr>
        <w:t>污水排放口标志要求一览表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6984"/>
      </w:tblGrid>
      <w:tr w14:paraId="51D78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7" w:hRule="atLeast"/>
          <w:tblHeader/>
        </w:trPr>
        <w:tc>
          <w:tcPr>
            <w:tcW w:w="1538" w:type="dxa"/>
            <w:tcBorders>
              <w:tl2br w:val="nil"/>
              <w:tr2bl w:val="nil"/>
            </w:tcBorders>
            <w:noWrap w:val="0"/>
            <w:vAlign w:val="center"/>
          </w:tcPr>
          <w:p w14:paraId="5F947BC4">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要求</w:t>
            </w:r>
          </w:p>
        </w:tc>
        <w:tc>
          <w:tcPr>
            <w:tcW w:w="6984" w:type="dxa"/>
            <w:tcBorders>
              <w:tl2br w:val="nil"/>
              <w:tr2bl w:val="nil"/>
            </w:tcBorders>
            <w:noWrap w:val="0"/>
            <w:vAlign w:val="center"/>
          </w:tcPr>
          <w:p w14:paraId="6BA95C32">
            <w:pPr>
              <w:keepNext w:val="0"/>
              <w:keepLines w:val="0"/>
              <w:widowControl w:val="0"/>
              <w:suppressLineNumbers w:val="0"/>
              <w:spacing w:before="0" w:beforeAutospacing="0" w:after="0" w:afterAutospacing="0" w:line="240" w:lineRule="auto"/>
              <w:ind w:left="84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入河排污口标志内容要求</w:t>
            </w:r>
          </w:p>
        </w:tc>
      </w:tr>
      <w:tr w14:paraId="5035F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8" w:type="dxa"/>
            <w:tcBorders>
              <w:tl2br w:val="nil"/>
              <w:tr2bl w:val="nil"/>
            </w:tcBorders>
            <w:noWrap w:val="0"/>
            <w:vAlign w:val="center"/>
          </w:tcPr>
          <w:p w14:paraId="15E99C3E">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提示符号</w:t>
            </w:r>
          </w:p>
        </w:tc>
        <w:tc>
          <w:tcPr>
            <w:tcW w:w="6984" w:type="dxa"/>
            <w:tcBorders>
              <w:tl2br w:val="nil"/>
              <w:tr2bl w:val="nil"/>
            </w:tcBorders>
            <w:noWrap w:val="0"/>
            <w:vAlign w:val="center"/>
          </w:tcPr>
          <w:p w14:paraId="0279919C">
            <w:pPr>
              <w:keepNext w:val="0"/>
              <w:keepLines w:val="0"/>
              <w:widowControl w:val="0"/>
              <w:suppressLineNumbers w:val="0"/>
              <w:spacing w:before="0" w:beforeAutospacing="0" w:after="0" w:afterAutospacing="0" w:line="240" w:lineRule="auto"/>
              <w:ind w:left="200" w:right="0" w:hanging="480" w:hangingChars="200"/>
              <w:jc w:val="center"/>
              <w:rPr>
                <w:color w:val="FF0000"/>
              </w:rPr>
            </w:pPr>
          </w:p>
          <w:p w14:paraId="341BFA4B">
            <w:pPr>
              <w:keepNext w:val="0"/>
              <w:keepLines w:val="0"/>
              <w:widowControl w:val="0"/>
              <w:suppressLineNumbers w:val="0"/>
              <w:spacing w:before="0" w:beforeAutospacing="0" w:after="0" w:afterAutospacing="0" w:line="240" w:lineRule="auto"/>
              <w:ind w:left="200" w:right="0" w:hanging="480" w:hangingChars="200"/>
              <w:jc w:val="center"/>
              <w:rPr>
                <w:rFonts w:hint="default"/>
                <w:color w:val="FF0000"/>
                <w:lang w:val="en-US" w:eastAsia="zh-CN"/>
              </w:rPr>
            </w:pPr>
            <w:r>
              <w:rPr>
                <w:color w:val="FF0000"/>
              </w:rPr>
              <w:drawing>
                <wp:inline distT="0" distB="0" distL="114300" distR="114300">
                  <wp:extent cx="4293870" cy="2689860"/>
                  <wp:effectExtent l="0" t="0" r="11430" b="152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8"/>
                          <a:stretch>
                            <a:fillRect/>
                          </a:stretch>
                        </pic:blipFill>
                        <pic:spPr>
                          <a:xfrm>
                            <a:off x="0" y="0"/>
                            <a:ext cx="4293870" cy="2689860"/>
                          </a:xfrm>
                          <a:prstGeom prst="rect">
                            <a:avLst/>
                          </a:prstGeom>
                          <a:noFill/>
                          <a:ln>
                            <a:noFill/>
                          </a:ln>
                        </pic:spPr>
                      </pic:pic>
                    </a:graphicData>
                  </a:graphic>
                </wp:inline>
              </w:drawing>
            </w:r>
          </w:p>
        </w:tc>
      </w:tr>
      <w:tr w14:paraId="5A1B7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38" w:type="dxa"/>
            <w:tcBorders>
              <w:tl2br w:val="nil"/>
              <w:tr2bl w:val="nil"/>
            </w:tcBorders>
            <w:noWrap w:val="0"/>
            <w:vAlign w:val="center"/>
          </w:tcPr>
          <w:p w14:paraId="5440EEC5">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功能</w:t>
            </w:r>
          </w:p>
        </w:tc>
        <w:tc>
          <w:tcPr>
            <w:tcW w:w="6984" w:type="dxa"/>
            <w:tcBorders>
              <w:tl2br w:val="nil"/>
              <w:tr2bl w:val="nil"/>
            </w:tcBorders>
            <w:noWrap w:val="0"/>
            <w:vAlign w:val="center"/>
          </w:tcPr>
          <w:p w14:paraId="762AC880">
            <w:pPr>
              <w:keepNext w:val="0"/>
              <w:keepLines w:val="0"/>
              <w:widowControl w:val="0"/>
              <w:suppressLineNumbers w:val="0"/>
              <w:spacing w:before="0" w:beforeAutospacing="0" w:after="0" w:afterAutospacing="0" w:line="240" w:lineRule="auto"/>
              <w:ind w:left="84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表示污水向水体排放</w:t>
            </w:r>
          </w:p>
        </w:tc>
      </w:tr>
      <w:tr w14:paraId="3B85A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38" w:type="dxa"/>
            <w:tcBorders>
              <w:tl2br w:val="nil"/>
              <w:tr2bl w:val="nil"/>
            </w:tcBorders>
            <w:noWrap w:val="0"/>
            <w:vAlign w:val="center"/>
          </w:tcPr>
          <w:p w14:paraId="1870E455">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背景颜色</w:t>
            </w:r>
          </w:p>
        </w:tc>
        <w:tc>
          <w:tcPr>
            <w:tcW w:w="6984" w:type="dxa"/>
            <w:tcBorders>
              <w:tl2br w:val="nil"/>
              <w:tr2bl w:val="nil"/>
            </w:tcBorders>
            <w:noWrap w:val="0"/>
            <w:vAlign w:val="center"/>
          </w:tcPr>
          <w:p w14:paraId="6B8169CB">
            <w:pPr>
              <w:keepNext w:val="0"/>
              <w:keepLines w:val="0"/>
              <w:widowControl w:val="0"/>
              <w:suppressLineNumbers w:val="0"/>
              <w:spacing w:before="0" w:beforeAutospacing="0" w:after="0" w:afterAutospacing="0" w:line="240" w:lineRule="auto"/>
              <w:ind w:left="84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底和立柱为绿色</w:t>
            </w:r>
          </w:p>
        </w:tc>
      </w:tr>
      <w:tr w14:paraId="71B63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538" w:type="dxa"/>
            <w:tcBorders>
              <w:tl2br w:val="nil"/>
              <w:tr2bl w:val="nil"/>
            </w:tcBorders>
            <w:noWrap w:val="0"/>
            <w:vAlign w:val="center"/>
          </w:tcPr>
          <w:p w14:paraId="208270FF">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图形颜色</w:t>
            </w:r>
          </w:p>
        </w:tc>
        <w:tc>
          <w:tcPr>
            <w:tcW w:w="6984" w:type="dxa"/>
            <w:tcBorders>
              <w:tl2br w:val="nil"/>
              <w:tr2bl w:val="nil"/>
            </w:tcBorders>
            <w:noWrap w:val="0"/>
            <w:vAlign w:val="center"/>
          </w:tcPr>
          <w:p w14:paraId="26A92FA7">
            <w:pPr>
              <w:keepNext w:val="0"/>
              <w:keepLines w:val="0"/>
              <w:widowControl w:val="0"/>
              <w:suppressLineNumbers w:val="0"/>
              <w:spacing w:before="0" w:beforeAutospacing="0" w:after="0" w:afterAutospacing="0" w:line="240" w:lineRule="auto"/>
              <w:ind w:left="84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图案、边框、支架和文字为白色</w:t>
            </w:r>
          </w:p>
        </w:tc>
      </w:tr>
      <w:tr w14:paraId="5F108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8" w:type="dxa"/>
            <w:tcBorders>
              <w:tl2br w:val="nil"/>
              <w:tr2bl w:val="nil"/>
            </w:tcBorders>
            <w:noWrap w:val="0"/>
            <w:vAlign w:val="center"/>
          </w:tcPr>
          <w:p w14:paraId="78C2C415">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辅助标志内容</w:t>
            </w:r>
          </w:p>
        </w:tc>
        <w:tc>
          <w:tcPr>
            <w:tcW w:w="6984" w:type="dxa"/>
            <w:tcBorders>
              <w:tl2br w:val="nil"/>
              <w:tr2bl w:val="nil"/>
            </w:tcBorders>
            <w:noWrap w:val="0"/>
            <w:vAlign w:val="center"/>
          </w:tcPr>
          <w:p w14:paraId="19E80558">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(1)入河排污口编</w:t>
            </w:r>
            <w:r>
              <w:rPr>
                <w:rFonts w:hint="eastAsia" w:cs="Times New Roman"/>
                <w:color w:val="FF0000"/>
                <w:kern w:val="0"/>
                <w:sz w:val="21"/>
                <w:szCs w:val="20"/>
                <w:u w:val="wave"/>
                <w:lang w:val="en-US" w:eastAsia="zh-CN" w:bidi="ar-SA"/>
              </w:rPr>
              <w:t>码</w:t>
            </w:r>
            <w:r>
              <w:rPr>
                <w:rFonts w:hint="default" w:ascii="Times New Roman" w:hAnsi="Times New Roman" w:eastAsia="宋体" w:cs="Times New Roman"/>
                <w:color w:val="FF0000"/>
                <w:kern w:val="0"/>
                <w:sz w:val="21"/>
                <w:szCs w:val="20"/>
                <w:u w:val="wave"/>
                <w:lang w:val="en-US" w:eastAsia="zh-CN" w:bidi="ar-SA"/>
              </w:rPr>
              <w:t>：</w:t>
            </w:r>
            <w:r>
              <w:rPr>
                <w:rFonts w:hint="default" w:ascii="Times New Roman" w:hAnsi="Times New Roman" w:eastAsia="宋体" w:cs="Times New Roman"/>
                <w:color w:val="FF0000"/>
                <w:kern w:val="2"/>
                <w:sz w:val="21"/>
                <w:szCs w:val="20"/>
                <w:u w:val="wave"/>
                <w:lang w:val="en-US" w:eastAsia="zh-CN"/>
              </w:rPr>
              <w:t>FF4309710021GY00</w:t>
            </w:r>
            <w:r>
              <w:rPr>
                <w:rFonts w:hint="default" w:ascii="Times New Roman" w:hAnsi="Times New Roman" w:eastAsia="宋体" w:cs="Times New Roman"/>
                <w:color w:val="FF0000"/>
                <w:kern w:val="0"/>
                <w:sz w:val="21"/>
                <w:szCs w:val="20"/>
                <w:u w:val="wave"/>
                <w:lang w:val="en-US" w:eastAsia="zh-CN" w:bidi="ar-SA"/>
              </w:rPr>
              <w:t>；</w:t>
            </w:r>
          </w:p>
          <w:p w14:paraId="74CC82A9">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(2)入河排污口名称：大通湖工业园污水处理厂入河排污口；</w:t>
            </w:r>
          </w:p>
          <w:p w14:paraId="316CC48D">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(3)入河排污口设置单位：大通湖产业发展中心；</w:t>
            </w:r>
          </w:p>
          <w:p w14:paraId="2ADFF962">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(4)入河排污口地理位置及经纬度坐标：益阳市大通湖区</w:t>
            </w:r>
            <w:r>
              <w:rPr>
                <w:rFonts w:hint="eastAsia" w:cs="Times New Roman"/>
                <w:color w:val="FF0000"/>
                <w:kern w:val="0"/>
                <w:sz w:val="21"/>
                <w:szCs w:val="20"/>
                <w:u w:val="wave"/>
                <w:lang w:val="en-US" w:eastAsia="zh-CN" w:bidi="ar-SA"/>
              </w:rPr>
              <w:t>河坝镇大通湖工业园</w:t>
            </w:r>
            <w:r>
              <w:rPr>
                <w:rFonts w:hint="default" w:ascii="Times New Roman" w:hAnsi="Times New Roman" w:eastAsia="宋体" w:cs="Times New Roman"/>
                <w:color w:val="FF0000"/>
                <w:kern w:val="0"/>
                <w:sz w:val="21"/>
                <w:szCs w:val="20"/>
                <w:u w:val="wave"/>
                <w:lang w:val="en-US" w:eastAsia="zh-CN" w:bidi="ar-SA"/>
              </w:rPr>
              <w:t>机排二十渠右岸</w:t>
            </w:r>
            <w:r>
              <w:rPr>
                <w:rFonts w:hint="default" w:ascii="Times New Roman" w:hAnsi="Times New Roman" w:eastAsia="宋体" w:cs="Times New Roman"/>
                <w:color w:val="FF0000"/>
                <w:kern w:val="0"/>
                <w:sz w:val="21"/>
                <w:szCs w:val="20"/>
                <w:u w:val="wave"/>
                <w:lang w:val="en-US" w:eastAsia="zh-CN" w:bidi="ar-SA"/>
              </w:rPr>
              <w:t>（E112°36′49.72347″、N29°11′3.06811″）</w:t>
            </w:r>
            <w:r>
              <w:rPr>
                <w:rFonts w:hint="default" w:ascii="Times New Roman" w:hAnsi="Times New Roman" w:eastAsia="宋体" w:cs="Times New Roman"/>
                <w:color w:val="FF0000"/>
                <w:kern w:val="0"/>
                <w:sz w:val="21"/>
                <w:szCs w:val="20"/>
                <w:u w:val="wave"/>
                <w:lang w:val="en-US" w:eastAsia="zh-CN" w:bidi="ar-SA"/>
              </w:rPr>
              <w:t>；</w:t>
            </w:r>
          </w:p>
          <w:p w14:paraId="77B77882">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(5)排入的水功能区名称及水质保护目标：机排二十渠，《地表水环境质量</w:t>
            </w:r>
            <w:r>
              <w:rPr>
                <w:rFonts w:hint="default" w:ascii="Times New Roman" w:hAnsi="Times New Roman" w:eastAsia="宋体" w:cs="Times New Roman"/>
                <w:color w:val="FF0000"/>
                <w:kern w:val="0"/>
                <w:sz w:val="21"/>
                <w:szCs w:val="20"/>
                <w:u w:val="wave"/>
                <w:lang w:val="en-US" w:eastAsia="zh-CN" w:bidi="ar-SA"/>
              </w:rPr>
              <w:t>标准》（GB 3838-2002）Ⅳ类标准；</w:t>
            </w:r>
          </w:p>
          <w:p w14:paraId="3420ECD6">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(6)入河排污口设置审批单位及监督电话：益阳市生态环境局</w:t>
            </w:r>
            <w:r>
              <w:rPr>
                <w:rFonts w:hint="eastAsia" w:ascii="Times New Roman" w:hAnsi="Times New Roman" w:eastAsia="宋体" w:cs="Times New Roman"/>
                <w:color w:val="FF0000"/>
                <w:kern w:val="0"/>
                <w:sz w:val="21"/>
                <w:szCs w:val="20"/>
                <w:u w:val="wave"/>
                <w:lang w:val="en-US" w:eastAsia="zh-CN" w:bidi="ar-SA"/>
              </w:rPr>
              <w:t>大通湖分局，</w:t>
            </w:r>
            <w:r>
              <w:rPr>
                <w:rFonts w:hint="default" w:ascii="Times New Roman" w:hAnsi="Times New Roman" w:eastAsia="宋体" w:cs="Times New Roman"/>
                <w:color w:val="FF0000"/>
                <w:kern w:val="0"/>
                <w:sz w:val="21"/>
                <w:szCs w:val="20"/>
                <w:u w:val="wave"/>
                <w:lang w:val="en-US" w:eastAsia="zh-CN" w:bidi="ar-SA"/>
              </w:rPr>
              <w:t>0737-5661678。</w:t>
            </w:r>
          </w:p>
        </w:tc>
      </w:tr>
      <w:tr w14:paraId="51448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8" w:type="dxa"/>
            <w:tcBorders>
              <w:tl2br w:val="nil"/>
              <w:tr2bl w:val="nil"/>
            </w:tcBorders>
            <w:noWrap w:val="0"/>
            <w:vAlign w:val="center"/>
          </w:tcPr>
          <w:p w14:paraId="1D9C9D6A">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辅助标志字形</w:t>
            </w:r>
          </w:p>
        </w:tc>
        <w:tc>
          <w:tcPr>
            <w:tcW w:w="6984" w:type="dxa"/>
            <w:tcBorders>
              <w:tl2br w:val="nil"/>
              <w:tr2bl w:val="nil"/>
            </w:tcBorders>
            <w:noWrap w:val="0"/>
            <w:vAlign w:val="center"/>
          </w:tcPr>
          <w:p w14:paraId="0510A7E5">
            <w:pPr>
              <w:keepNext w:val="0"/>
              <w:keepLines w:val="0"/>
              <w:widowControl w:val="0"/>
              <w:suppressLineNumbers w:val="0"/>
              <w:spacing w:before="0" w:beforeAutospacing="0" w:after="0" w:afterAutospacing="0" w:line="240" w:lineRule="auto"/>
              <w:ind w:left="84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黑体字</w:t>
            </w:r>
          </w:p>
        </w:tc>
      </w:tr>
      <w:tr w14:paraId="75E91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8" w:type="dxa"/>
            <w:tcBorders>
              <w:tl2br w:val="nil"/>
              <w:tr2bl w:val="nil"/>
            </w:tcBorders>
            <w:noWrap w:val="0"/>
            <w:vAlign w:val="center"/>
          </w:tcPr>
          <w:p w14:paraId="025D18E4">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标志牌尺寸</w:t>
            </w:r>
          </w:p>
        </w:tc>
        <w:tc>
          <w:tcPr>
            <w:tcW w:w="6984" w:type="dxa"/>
            <w:tcBorders>
              <w:tl2br w:val="nil"/>
              <w:tr2bl w:val="nil"/>
            </w:tcBorders>
            <w:noWrap w:val="0"/>
            <w:vAlign w:val="center"/>
          </w:tcPr>
          <w:p w14:paraId="31E551E9">
            <w:pPr>
              <w:keepNext w:val="0"/>
              <w:keepLines w:val="0"/>
              <w:widowControl w:val="0"/>
              <w:suppressLineNumbers w:val="0"/>
              <w:spacing w:before="0" w:beforeAutospacing="0" w:after="0" w:afterAutospacing="0" w:line="240" w:lineRule="auto"/>
              <w:ind w:left="84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立柱式和平面固定式标志牌面尺寸不小于 640mm×400mm</w:t>
            </w:r>
          </w:p>
        </w:tc>
      </w:tr>
      <w:tr w14:paraId="367FE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8" w:type="dxa"/>
            <w:tcBorders>
              <w:tl2br w:val="nil"/>
              <w:tr2bl w:val="nil"/>
            </w:tcBorders>
            <w:noWrap w:val="0"/>
            <w:vAlign w:val="center"/>
          </w:tcPr>
          <w:p w14:paraId="7CA6B4A3">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高度要求</w:t>
            </w:r>
          </w:p>
        </w:tc>
        <w:tc>
          <w:tcPr>
            <w:tcW w:w="6984" w:type="dxa"/>
            <w:tcBorders>
              <w:tl2br w:val="nil"/>
              <w:tr2bl w:val="nil"/>
            </w:tcBorders>
            <w:noWrap w:val="0"/>
            <w:vAlign w:val="center"/>
          </w:tcPr>
          <w:p w14:paraId="6D4CBC07">
            <w:pPr>
              <w:keepNext w:val="0"/>
              <w:keepLines w:val="0"/>
              <w:widowControl w:val="0"/>
              <w:suppressLineNumbers w:val="0"/>
              <w:spacing w:before="0" w:beforeAutospacing="0" w:after="0" w:afterAutospacing="0" w:line="240" w:lineRule="auto"/>
              <w:ind w:left="84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标志牌最上端距地面2m，地下0.3m</w:t>
            </w:r>
          </w:p>
        </w:tc>
      </w:tr>
      <w:tr w14:paraId="7F8F5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8" w:type="dxa"/>
            <w:tcBorders>
              <w:tl2br w:val="nil"/>
              <w:tr2bl w:val="nil"/>
            </w:tcBorders>
            <w:noWrap w:val="0"/>
            <w:vAlign w:val="center"/>
          </w:tcPr>
          <w:p w14:paraId="3FB8FEEA">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标志牌材料</w:t>
            </w:r>
          </w:p>
        </w:tc>
        <w:tc>
          <w:tcPr>
            <w:tcW w:w="6984" w:type="dxa"/>
            <w:tcBorders>
              <w:tl2br w:val="nil"/>
              <w:tr2bl w:val="nil"/>
            </w:tcBorders>
            <w:noWrap w:val="0"/>
            <w:vAlign w:val="center"/>
          </w:tcPr>
          <w:p w14:paraId="6DD6D9F2">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立柱式和平面固定式标志牌面可选用铝塑板、薄钢板等，表面选用反光贴膜、搪瓷等；立柱选用镀锌圆管等；</w:t>
            </w:r>
          </w:p>
        </w:tc>
      </w:tr>
      <w:tr w14:paraId="5FEA0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8" w:type="dxa"/>
            <w:tcBorders>
              <w:tl2br w:val="nil"/>
              <w:tr2bl w:val="nil"/>
            </w:tcBorders>
            <w:noWrap w:val="0"/>
            <w:vAlign w:val="center"/>
          </w:tcPr>
          <w:p w14:paraId="3CFC6B16">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标志牌的表面</w:t>
            </w:r>
          </w:p>
          <w:p w14:paraId="491440D2">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处理</w:t>
            </w:r>
          </w:p>
        </w:tc>
        <w:tc>
          <w:tcPr>
            <w:tcW w:w="6984" w:type="dxa"/>
            <w:tcBorders>
              <w:tl2br w:val="nil"/>
              <w:tr2bl w:val="nil"/>
            </w:tcBorders>
            <w:noWrap w:val="0"/>
            <w:vAlign w:val="center"/>
          </w:tcPr>
          <w:p w14:paraId="565250A9">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1、搪瓷处理或贴膜处理；</w:t>
            </w:r>
          </w:p>
          <w:p w14:paraId="5EFDCAE6">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2、标志牌的端面及立柱要经过防腐处理。</w:t>
            </w:r>
          </w:p>
        </w:tc>
      </w:tr>
      <w:tr w14:paraId="16DB0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8" w:type="dxa"/>
            <w:tcBorders>
              <w:tl2br w:val="nil"/>
              <w:tr2bl w:val="nil"/>
            </w:tcBorders>
            <w:noWrap w:val="0"/>
            <w:vAlign w:val="center"/>
          </w:tcPr>
          <w:p w14:paraId="02CE82EA">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标志牌的外观</w:t>
            </w:r>
          </w:p>
          <w:p w14:paraId="1F64BB8B">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质量要求</w:t>
            </w:r>
          </w:p>
        </w:tc>
        <w:tc>
          <w:tcPr>
            <w:tcW w:w="6984" w:type="dxa"/>
            <w:tcBorders>
              <w:tl2br w:val="nil"/>
              <w:tr2bl w:val="nil"/>
            </w:tcBorders>
            <w:noWrap w:val="0"/>
            <w:vAlign w:val="center"/>
          </w:tcPr>
          <w:p w14:paraId="75632A47">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1、标志牌、立柱无明显变形；</w:t>
            </w:r>
          </w:p>
          <w:p w14:paraId="5440F7CF">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2、标志牌表面无气泡，膜或搪瓷无脱落；</w:t>
            </w:r>
          </w:p>
          <w:p w14:paraId="7A19AAAE">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3、图案清晰，色泽一致，不得有明显缺损；</w:t>
            </w:r>
          </w:p>
          <w:p w14:paraId="0CAE2AB9">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4、标志牌的表面不应有开裂、脱落及其它破损。</w:t>
            </w:r>
          </w:p>
        </w:tc>
      </w:tr>
      <w:tr w14:paraId="3A077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8" w:type="dxa"/>
            <w:tcBorders>
              <w:tl2br w:val="nil"/>
              <w:tr2bl w:val="nil"/>
            </w:tcBorders>
            <w:noWrap w:val="0"/>
            <w:vAlign w:val="center"/>
          </w:tcPr>
          <w:p w14:paraId="3EB04FEF">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安装要求</w:t>
            </w:r>
          </w:p>
        </w:tc>
        <w:tc>
          <w:tcPr>
            <w:tcW w:w="6984" w:type="dxa"/>
            <w:tcBorders>
              <w:tl2br w:val="nil"/>
              <w:tr2bl w:val="nil"/>
            </w:tcBorders>
            <w:noWrap w:val="0"/>
            <w:vAlign w:val="center"/>
          </w:tcPr>
          <w:p w14:paraId="05438EEB">
            <w:pPr>
              <w:keepNext w:val="0"/>
              <w:keepLines w:val="0"/>
              <w:widowControl/>
              <w:suppressLineNumbers w:val="0"/>
              <w:adjustRightInd w:val="0"/>
              <w:snapToGrid w:val="0"/>
              <w:spacing w:before="0" w:beforeAutospacing="0" w:after="0" w:afterAutospacing="0" w:line="240" w:lineRule="auto"/>
              <w:ind w:left="0" w:leftChars="0" w:right="0" w:firstLine="0" w:firstLineChars="0"/>
              <w:jc w:val="left"/>
              <w:rPr>
                <w:rFonts w:hint="default" w:ascii="Times New Roman" w:hAnsi="Times New Roman" w:eastAsia="宋体" w:cs="Times New Roman"/>
                <w:color w:val="FF0000"/>
                <w:kern w:val="0"/>
                <w:sz w:val="21"/>
                <w:szCs w:val="20"/>
                <w:u w:val="wave"/>
                <w:lang w:val="en-US" w:eastAsia="zh-CN" w:bidi="en-US"/>
              </w:rPr>
            </w:pPr>
            <w:r>
              <w:rPr>
                <w:rFonts w:hint="default" w:ascii="Times New Roman" w:hAnsi="Times New Roman" w:eastAsia="宋体" w:cs="Times New Roman"/>
                <w:color w:val="FF0000"/>
                <w:kern w:val="0"/>
                <w:sz w:val="21"/>
                <w:szCs w:val="20"/>
                <w:u w:val="wave"/>
                <w:lang w:val="en-US" w:eastAsia="zh-CN" w:bidi="en-US"/>
              </w:rPr>
              <w:t>1、安装效果。安装位置及样式要与周边环境协调、位置醒目。</w:t>
            </w:r>
          </w:p>
          <w:p w14:paraId="71769ABA">
            <w:pPr>
              <w:keepNext w:val="0"/>
              <w:keepLines w:val="0"/>
              <w:widowControl w:val="0"/>
              <w:suppressLineNumbers w:val="0"/>
              <w:spacing w:before="0" w:beforeAutospacing="0" w:after="0" w:afterAutospacing="0" w:line="240" w:lineRule="auto"/>
              <w:ind w:left="84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2、标志牌选择。建议在偏僻山区、荒野区等不利于监管及公园等景观要求</w:t>
            </w:r>
          </w:p>
          <w:p w14:paraId="7DEB582F">
            <w:pPr>
              <w:keepNext w:val="0"/>
              <w:keepLines w:val="0"/>
              <w:widowControl w:val="0"/>
              <w:suppressLineNumbers w:val="0"/>
              <w:spacing w:before="0" w:beforeAutospacing="0" w:after="0" w:afterAutospacing="0" w:line="240" w:lineRule="auto"/>
              <w:ind w:left="200" w:right="0" w:hanging="420" w:hangingChars="200"/>
              <w:jc w:val="both"/>
              <w:rPr>
                <w:rFonts w:hint="default" w:ascii="Times New Roman" w:hAnsi="Times New Roman" w:eastAsia="宋体" w:cs="Times New Roman"/>
                <w:color w:val="FF0000"/>
                <w:kern w:val="0"/>
                <w:sz w:val="21"/>
                <w:szCs w:val="20"/>
                <w:u w:val="wave"/>
                <w:lang w:val="en-US" w:eastAsia="zh-CN" w:bidi="ar-SA"/>
              </w:rPr>
            </w:pPr>
            <w:r>
              <w:rPr>
                <w:rFonts w:hint="default" w:ascii="Times New Roman" w:hAnsi="Times New Roman" w:eastAsia="宋体" w:cs="Times New Roman"/>
                <w:color w:val="FF0000"/>
                <w:kern w:val="0"/>
                <w:sz w:val="21"/>
                <w:szCs w:val="20"/>
                <w:u w:val="wave"/>
                <w:lang w:val="en-US" w:eastAsia="zh-CN" w:bidi="ar-SA"/>
              </w:rPr>
              <w:t>度高的区域选用墩式标识牌，其他区域选用立柱式标识牌。</w:t>
            </w:r>
          </w:p>
        </w:tc>
      </w:tr>
    </w:tbl>
    <w:p w14:paraId="6A569E26">
      <w:pPr>
        <w:widowControl w:val="0"/>
        <w:numPr>
          <w:ilvl w:val="0"/>
          <w:numId w:val="0"/>
        </w:numPr>
        <w:adjustRightInd w:val="0"/>
        <w:snapToGrid w:val="0"/>
        <w:spacing w:line="240" w:lineRule="auto"/>
        <w:ind w:left="0"/>
        <w:jc w:val="center"/>
        <w:outlineLvl w:val="9"/>
        <w:rPr>
          <w:rFonts w:hint="default" w:ascii="Times New Roman" w:hAnsi="Times New Roman" w:eastAsia="宋体" w:cs="Times New Roman"/>
          <w:b/>
          <w:color w:val="000000" w:themeColor="text1"/>
          <w:kern w:val="0"/>
          <w:sz w:val="24"/>
          <w:szCs w:val="24"/>
          <w:u w:val="none"/>
          <w:lang w:val="en-US" w:eastAsia="zh-CN" w:bidi="ar-SA"/>
          <w14:textFill>
            <w14:solidFill>
              <w14:schemeClr w14:val="tx1"/>
            </w14:solidFill>
          </w14:textFill>
        </w:rPr>
      </w:pPr>
    </w:p>
    <w:p w14:paraId="3D12710B">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9"/>
        <w:rPr>
          <w:rFonts w:hint="default" w:ascii="Times New Roman" w:hAnsi="Times New Roman" w:eastAsia="宋体" w:cs="Times New Roman"/>
          <w:b/>
          <w:kern w:val="2"/>
          <w:sz w:val="24"/>
          <w:szCs w:val="24"/>
          <w:lang w:val="en-US" w:eastAsia="zh-CN" w:bidi="ar-SA"/>
        </w:rPr>
      </w:pPr>
      <w:bookmarkStart w:id="395" w:name="_Toc18901"/>
      <w:bookmarkStart w:id="396" w:name="_Toc19554"/>
      <w:r>
        <w:rPr>
          <w:rFonts w:hint="default" w:ascii="Times New Roman" w:hAnsi="Times New Roman" w:eastAsia="宋体" w:cs="Times New Roman"/>
          <w:b/>
          <w:kern w:val="2"/>
          <w:sz w:val="24"/>
          <w:szCs w:val="24"/>
          <w:lang w:val="en-US" w:eastAsia="zh-CN" w:bidi="ar-SA"/>
        </w:rPr>
        <w:t>9.5.</w:t>
      </w:r>
      <w:bookmarkEnd w:id="395"/>
      <w:bookmarkEnd w:id="396"/>
      <w:r>
        <w:rPr>
          <w:rFonts w:hint="eastAsia" w:cs="Times New Roman"/>
          <w:b/>
          <w:kern w:val="2"/>
          <w:sz w:val="24"/>
          <w:szCs w:val="24"/>
          <w:lang w:val="en-US" w:eastAsia="zh-CN" w:bidi="ar-SA"/>
        </w:rPr>
        <w:t>4</w:t>
      </w:r>
      <w:r>
        <w:rPr>
          <w:rFonts w:hint="default" w:ascii="Times New Roman" w:hAnsi="Times New Roman" w:eastAsia="宋体" w:cs="Times New Roman"/>
          <w:b/>
          <w:kern w:val="2"/>
          <w:sz w:val="24"/>
          <w:szCs w:val="24"/>
          <w:lang w:val="en-US" w:eastAsia="zh-CN" w:bidi="ar-SA"/>
        </w:rPr>
        <w:t>监测计划</w:t>
      </w:r>
    </w:p>
    <w:p w14:paraId="7B61EE1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监控计划的主要目的是保证环境管理方案的落实、达到环境目标和指标、确 保环境方针的贯彻与实施。根据《入河入海排污口监督管理技术指南监测》 (HJ1387-2024)，入河排污口确定水质监测计划如表9.5-</w:t>
      </w:r>
      <w:r>
        <w:rPr>
          <w:rFonts w:hint="eastAsia"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w:t>
      </w:r>
    </w:p>
    <w:p w14:paraId="2ECD5678">
      <w:pPr>
        <w:widowControl w:val="0"/>
        <w:spacing w:before="0" w:after="0" w:line="240" w:lineRule="auto"/>
        <w:jc w:val="center"/>
        <w:rPr>
          <w:rFonts w:hint="default" w:ascii="Times New Roman" w:hAnsi="Times New Roman" w:eastAsia="宋体" w:cs="Times New Roman"/>
          <w:b/>
          <w:bCs/>
          <w:kern w:val="2"/>
          <w:sz w:val="24"/>
          <w:szCs w:val="24"/>
          <w:u w:val="none"/>
          <w:lang w:val="en-US" w:eastAsia="zh-CN" w:bidi="ar-SA"/>
        </w:rPr>
      </w:pPr>
      <w:r>
        <w:rPr>
          <w:rFonts w:hint="default" w:ascii="Times New Roman" w:hAnsi="Times New Roman" w:eastAsia="宋体" w:cs="Times New Roman"/>
          <w:b/>
          <w:bCs/>
          <w:kern w:val="2"/>
          <w:sz w:val="24"/>
          <w:szCs w:val="24"/>
          <w:u w:val="none"/>
          <w:lang w:val="en-US" w:eastAsia="zh-CN" w:bidi="ar-SA"/>
        </w:rPr>
        <w:t>表9.5-</w:t>
      </w:r>
      <w:r>
        <w:rPr>
          <w:rFonts w:hint="eastAsia" w:cs="Times New Roman"/>
          <w:b/>
          <w:bCs/>
          <w:kern w:val="2"/>
          <w:sz w:val="24"/>
          <w:szCs w:val="24"/>
          <w:u w:val="none"/>
          <w:lang w:val="en-US" w:eastAsia="zh-CN" w:bidi="ar-SA"/>
        </w:rPr>
        <w:t>3</w:t>
      </w:r>
      <w:r>
        <w:rPr>
          <w:rFonts w:hint="default" w:ascii="Times New Roman" w:hAnsi="Times New Roman" w:eastAsia="宋体" w:cs="Times New Roman"/>
          <w:b/>
          <w:bCs/>
          <w:kern w:val="2"/>
          <w:sz w:val="24"/>
          <w:szCs w:val="24"/>
          <w:u w:val="none"/>
          <w:lang w:val="en-US" w:eastAsia="zh-CN" w:bidi="ar-SA"/>
        </w:rPr>
        <w:t xml:space="preserve">  废水监测计划</w:t>
      </w:r>
    </w:p>
    <w:tbl>
      <w:tblPr>
        <w:tblStyle w:val="7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751"/>
        <w:gridCol w:w="6274"/>
        <w:gridCol w:w="1257"/>
      </w:tblGrid>
      <w:tr w14:paraId="3E69C4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943" w:type="pct"/>
            <w:noWrap w:val="0"/>
            <w:vAlign w:val="center"/>
          </w:tcPr>
          <w:p w14:paraId="713CAC58">
            <w:pPr>
              <w:pStyle w:val="453"/>
              <w:keepNext/>
              <w:keepLines w:val="0"/>
              <w:widowControl/>
              <w:suppressLineNumbers w:val="0"/>
              <w:spacing w:before="0" w:beforeAutospacing="0" w:after="0" w:afterAutospacing="0"/>
              <w:ind w:left="0" w:right="0"/>
              <w:rPr>
                <w:rFonts w:hint="default" w:ascii="Times New Roman" w:hAnsi="Times New Roman" w:cs="Times New Roman"/>
                <w:u w:val="none"/>
              </w:rPr>
            </w:pPr>
            <w:r>
              <w:rPr>
                <w:rFonts w:hint="default" w:ascii="Times New Roman" w:hAnsi="Times New Roman" w:cs="Times New Roman"/>
                <w:u w:val="none"/>
              </w:rPr>
              <w:t>监测点位</w:t>
            </w:r>
          </w:p>
        </w:tc>
        <w:tc>
          <w:tcPr>
            <w:tcW w:w="3378" w:type="pct"/>
            <w:noWrap w:val="0"/>
            <w:vAlign w:val="center"/>
          </w:tcPr>
          <w:p w14:paraId="41C1F6ED">
            <w:pPr>
              <w:pStyle w:val="453"/>
              <w:keepNext/>
              <w:keepLines w:val="0"/>
              <w:widowControl/>
              <w:suppressLineNumbers w:val="0"/>
              <w:spacing w:before="0" w:beforeAutospacing="0" w:after="0" w:afterAutospacing="0"/>
              <w:ind w:left="0" w:right="0"/>
              <w:rPr>
                <w:rFonts w:hint="default" w:ascii="Times New Roman" w:hAnsi="Times New Roman" w:cs="Times New Roman"/>
                <w:u w:val="none"/>
              </w:rPr>
            </w:pPr>
            <w:r>
              <w:rPr>
                <w:rFonts w:hint="default" w:ascii="Times New Roman" w:hAnsi="Times New Roman" w:cs="Times New Roman"/>
                <w:u w:val="none"/>
              </w:rPr>
              <w:t>监测指标</w:t>
            </w:r>
          </w:p>
        </w:tc>
        <w:tc>
          <w:tcPr>
            <w:tcW w:w="677" w:type="pct"/>
            <w:noWrap w:val="0"/>
            <w:vAlign w:val="center"/>
          </w:tcPr>
          <w:p w14:paraId="547608CE">
            <w:pPr>
              <w:pStyle w:val="453"/>
              <w:keepNext/>
              <w:keepLines w:val="0"/>
              <w:widowControl/>
              <w:suppressLineNumbers w:val="0"/>
              <w:spacing w:before="0" w:beforeAutospacing="0" w:after="0" w:afterAutospacing="0"/>
              <w:ind w:left="0" w:right="0"/>
              <w:rPr>
                <w:rFonts w:hint="default" w:ascii="Times New Roman" w:hAnsi="Times New Roman" w:cs="Times New Roman"/>
                <w:u w:val="none"/>
              </w:rPr>
            </w:pPr>
            <w:r>
              <w:rPr>
                <w:rFonts w:hint="default" w:ascii="Times New Roman" w:hAnsi="Times New Roman" w:cs="Times New Roman"/>
                <w:u w:val="none"/>
              </w:rPr>
              <w:t>监测频次</w:t>
            </w:r>
          </w:p>
        </w:tc>
      </w:tr>
      <w:tr w14:paraId="3B1CF1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4" w:hRule="atLeast"/>
          <w:jc w:val="center"/>
        </w:trPr>
        <w:tc>
          <w:tcPr>
            <w:tcW w:w="943" w:type="pct"/>
            <w:noWrap w:val="0"/>
            <w:vAlign w:val="center"/>
          </w:tcPr>
          <w:p w14:paraId="02043569">
            <w:pPr>
              <w:pStyle w:val="453"/>
              <w:keepNext/>
              <w:keepLines w:val="0"/>
              <w:widowControl/>
              <w:suppressLineNumbers w:val="0"/>
              <w:spacing w:before="0" w:beforeAutospacing="0" w:after="0" w:afterAutospacing="0"/>
              <w:ind w:left="0" w:right="0"/>
              <w:rPr>
                <w:rFonts w:hint="default" w:ascii="Times New Roman" w:hAnsi="Times New Roman" w:eastAsia="宋体" w:cs="Times New Roman"/>
                <w:u w:val="none"/>
                <w:lang w:val="en-US" w:eastAsia="zh-CN"/>
              </w:rPr>
            </w:pPr>
            <w:r>
              <w:rPr>
                <w:rFonts w:hint="default" w:ascii="Times New Roman" w:hAnsi="Times New Roman" w:cs="Times New Roman"/>
                <w:u w:val="none"/>
                <w:lang w:val="en-US" w:eastAsia="zh-CN"/>
              </w:rPr>
              <w:t>入河排污口监测采样点</w:t>
            </w:r>
          </w:p>
        </w:tc>
        <w:tc>
          <w:tcPr>
            <w:tcW w:w="3378" w:type="pct"/>
            <w:noWrap w:val="0"/>
            <w:vAlign w:val="center"/>
          </w:tcPr>
          <w:p w14:paraId="7D3D85BB">
            <w:pPr>
              <w:pStyle w:val="453"/>
              <w:keepNext/>
              <w:keepLines w:val="0"/>
              <w:widowControl/>
              <w:suppressLineNumbers w:val="0"/>
              <w:spacing w:before="0" w:beforeAutospacing="0" w:after="0" w:afterAutospacing="0"/>
              <w:ind w:left="0" w:right="0"/>
              <w:rPr>
                <w:rFonts w:hint="default" w:ascii="Times New Roman" w:hAnsi="Times New Roman" w:cs="Times New Roman"/>
                <w:u w:val="none"/>
              </w:rPr>
            </w:pPr>
            <w:r>
              <w:rPr>
                <w:rFonts w:hint="default" w:ascii="Times New Roman" w:hAnsi="Times New Roman" w:cs="Times New Roman"/>
                <w:u w:val="none"/>
              </w:rPr>
              <w:t>流量、pH值</w:t>
            </w:r>
            <w:r>
              <w:rPr>
                <w:rFonts w:hint="default" w:ascii="Times New Roman" w:hAnsi="Times New Roman" w:cs="Times New Roman"/>
                <w:u w:val="none"/>
                <w:lang w:eastAsia="zh-CN"/>
              </w:rPr>
              <w:t>、</w:t>
            </w:r>
            <w:r>
              <w:rPr>
                <w:rFonts w:hint="default" w:ascii="Times New Roman" w:hAnsi="Times New Roman" w:cs="Times New Roman"/>
                <w:u w:val="none"/>
              </w:rPr>
              <w:t>化学需氧量</w:t>
            </w:r>
            <w:r>
              <w:rPr>
                <w:rFonts w:hint="default" w:ascii="Times New Roman" w:hAnsi="Times New Roman" w:cs="Times New Roman"/>
                <w:u w:val="none"/>
                <w:lang w:eastAsia="zh-CN"/>
              </w:rPr>
              <w:t>、</w:t>
            </w:r>
            <w:r>
              <w:rPr>
                <w:rFonts w:hint="default" w:ascii="Times New Roman" w:hAnsi="Times New Roman" w:cs="Times New Roman"/>
                <w:u w:val="none"/>
              </w:rPr>
              <w:t>氨氮</w:t>
            </w:r>
          </w:p>
          <w:p w14:paraId="27C3244F">
            <w:pPr>
              <w:pStyle w:val="453"/>
              <w:keepNext/>
              <w:keepLines w:val="0"/>
              <w:widowControl/>
              <w:suppressLineNumbers w:val="0"/>
              <w:spacing w:before="0" w:beforeAutospacing="0" w:after="0" w:afterAutospacing="0"/>
              <w:ind w:left="0" w:right="0"/>
              <w:rPr>
                <w:rFonts w:hint="default" w:ascii="Times New Roman" w:hAnsi="Times New Roman" w:eastAsia="宋体" w:cs="Times New Roman"/>
                <w:u w:val="none"/>
                <w:lang w:val="en-US" w:eastAsia="zh-CN"/>
              </w:rPr>
            </w:pPr>
            <w:r>
              <w:rPr>
                <w:rFonts w:hint="default" w:ascii="Times New Roman" w:hAnsi="Times New Roman" w:cs="Times New Roman"/>
                <w:u w:val="none"/>
              </w:rPr>
              <w:t>总磷、总氮</w:t>
            </w:r>
          </w:p>
        </w:tc>
        <w:tc>
          <w:tcPr>
            <w:tcW w:w="677" w:type="pct"/>
            <w:noWrap w:val="0"/>
            <w:vAlign w:val="center"/>
          </w:tcPr>
          <w:p w14:paraId="51F93E85">
            <w:pPr>
              <w:pStyle w:val="453"/>
              <w:keepNext/>
              <w:keepLines w:val="0"/>
              <w:widowControl/>
              <w:suppressLineNumbers w:val="0"/>
              <w:spacing w:before="0" w:beforeAutospacing="0" w:after="0" w:afterAutospacing="0"/>
              <w:ind w:left="0" w:right="0"/>
              <w:rPr>
                <w:rFonts w:hint="default" w:ascii="Times New Roman" w:hAnsi="Times New Roman" w:eastAsia="宋体" w:cs="Times New Roman"/>
                <w:u w:val="none"/>
                <w:lang w:eastAsia="zh-CN"/>
              </w:rPr>
            </w:pPr>
            <w:r>
              <w:rPr>
                <w:rFonts w:hint="default" w:ascii="Times New Roman" w:hAnsi="Times New Roman" w:cs="Times New Roman"/>
                <w:u w:val="none"/>
                <w:lang w:val="en-US" w:eastAsia="zh-CN"/>
              </w:rPr>
              <w:t>季度</w:t>
            </w:r>
          </w:p>
        </w:tc>
      </w:tr>
      <w:tr w14:paraId="75DE47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43" w:type="pct"/>
            <w:noWrap w:val="0"/>
            <w:vAlign w:val="center"/>
          </w:tcPr>
          <w:p w14:paraId="528C6B8B">
            <w:pPr>
              <w:pStyle w:val="453"/>
              <w:keepNext w:val="0"/>
              <w:keepLines w:val="0"/>
              <w:widowControl/>
              <w:suppressLineNumbers w:val="0"/>
              <w:spacing w:before="0" w:beforeAutospacing="0" w:after="0" w:afterAutospacing="0"/>
              <w:ind w:left="0" w:right="0"/>
              <w:rPr>
                <w:rFonts w:hint="default" w:ascii="Times New Roman" w:hAnsi="Times New Roman" w:cs="Times New Roman"/>
                <w:u w:val="none"/>
              </w:rPr>
            </w:pPr>
            <w:r>
              <w:rPr>
                <w:rFonts w:hint="default" w:ascii="Times New Roman" w:hAnsi="Times New Roman" w:cs="Times New Roman"/>
                <w:u w:val="none"/>
              </w:rPr>
              <w:t>雨水排放口</w:t>
            </w:r>
          </w:p>
        </w:tc>
        <w:tc>
          <w:tcPr>
            <w:tcW w:w="3378" w:type="pct"/>
            <w:noWrap w:val="0"/>
            <w:vAlign w:val="center"/>
          </w:tcPr>
          <w:p w14:paraId="4E6E4672">
            <w:pPr>
              <w:pStyle w:val="453"/>
              <w:keepNext w:val="0"/>
              <w:keepLines w:val="0"/>
              <w:widowControl/>
              <w:suppressLineNumbers w:val="0"/>
              <w:spacing w:before="0" w:beforeAutospacing="0" w:after="0" w:afterAutospacing="0"/>
              <w:ind w:left="0" w:right="0"/>
              <w:rPr>
                <w:rFonts w:hint="default" w:ascii="Times New Roman" w:hAnsi="Times New Roman" w:eastAsia="宋体" w:cs="Times New Roman"/>
                <w:u w:val="none"/>
                <w:lang w:eastAsia="zh-CN"/>
              </w:rPr>
            </w:pPr>
            <w:r>
              <w:rPr>
                <w:rFonts w:hint="default" w:ascii="Times New Roman" w:hAnsi="Times New Roman" w:cs="Times New Roman"/>
                <w:u w:val="none"/>
                <w:lang w:val="en-US" w:eastAsia="zh-CN"/>
              </w:rPr>
              <w:t>流量、</w:t>
            </w:r>
            <w:r>
              <w:rPr>
                <w:rFonts w:hint="default" w:ascii="Times New Roman" w:hAnsi="Times New Roman" w:cs="Times New Roman"/>
                <w:u w:val="none"/>
              </w:rPr>
              <w:t>pH值、化学需氧量、</w:t>
            </w:r>
            <w:r>
              <w:rPr>
                <w:rFonts w:hint="default" w:ascii="Times New Roman" w:hAnsi="Times New Roman" w:cs="Times New Roman"/>
                <w:u w:val="none"/>
                <w:lang w:val="en-US" w:eastAsia="zh-CN"/>
              </w:rPr>
              <w:t>电导率</w:t>
            </w:r>
          </w:p>
        </w:tc>
        <w:tc>
          <w:tcPr>
            <w:tcW w:w="677" w:type="pct"/>
            <w:noWrap w:val="0"/>
            <w:vAlign w:val="center"/>
          </w:tcPr>
          <w:p w14:paraId="20957964">
            <w:pPr>
              <w:pStyle w:val="453"/>
              <w:keepNext w:val="0"/>
              <w:keepLines w:val="0"/>
              <w:widowControl/>
              <w:suppressLineNumbers w:val="0"/>
              <w:spacing w:before="0" w:beforeAutospacing="0" w:after="0" w:afterAutospacing="0"/>
              <w:ind w:left="0" w:right="0"/>
              <w:rPr>
                <w:rFonts w:hint="default" w:ascii="Times New Roman" w:hAnsi="Times New Roman" w:eastAsia="宋体" w:cs="Times New Roman"/>
                <w:u w:val="none"/>
                <w:lang w:eastAsia="zh-CN"/>
              </w:rPr>
            </w:pPr>
            <w:r>
              <w:rPr>
                <w:rFonts w:hint="default" w:ascii="Times New Roman" w:hAnsi="Times New Roman" w:cs="Times New Roman"/>
                <w:u w:val="none"/>
                <w:lang w:val="en-US" w:eastAsia="zh-CN"/>
              </w:rPr>
              <w:t>半年</w:t>
            </w:r>
          </w:p>
        </w:tc>
      </w:tr>
    </w:tbl>
    <w:p w14:paraId="45DABD36">
      <w:pPr>
        <w:keepNext/>
        <w:keepLines w:val="0"/>
        <w:pageBreakBefore w:val="0"/>
        <w:widowControl w:val="0"/>
        <w:numPr>
          <w:ilvl w:val="0"/>
          <w:numId w:val="0"/>
        </w:numPr>
        <w:kinsoku/>
        <w:wordWrap/>
        <w:overflowPunct/>
        <w:topLinePunct w:val="0"/>
        <w:autoSpaceDE/>
        <w:autoSpaceDN/>
        <w:bidi w:val="0"/>
        <w:adjustRightInd/>
        <w:snapToGrid w:val="0"/>
        <w:spacing w:beforeLines="0" w:line="360" w:lineRule="auto"/>
        <w:jc w:val="both"/>
        <w:textAlignment w:val="auto"/>
        <w:outlineLvl w:val="9"/>
        <w:rPr>
          <w:rFonts w:hint="default" w:ascii="Times New Roman" w:hAnsi="Times New Roman" w:eastAsia="宋体" w:cs="Times New Roman"/>
          <w:b/>
          <w:kern w:val="2"/>
          <w:sz w:val="24"/>
          <w:szCs w:val="24"/>
          <w:lang w:val="en-US" w:eastAsia="zh-CN" w:bidi="ar-SA"/>
        </w:rPr>
      </w:pPr>
      <w:bookmarkStart w:id="397" w:name="_Toc30411"/>
      <w:r>
        <w:rPr>
          <w:rFonts w:hint="default" w:ascii="Times New Roman" w:hAnsi="Times New Roman" w:eastAsia="宋体" w:cs="Times New Roman"/>
          <w:b/>
          <w:kern w:val="2"/>
          <w:sz w:val="24"/>
          <w:szCs w:val="24"/>
          <w:lang w:val="en-US" w:eastAsia="zh-CN" w:bidi="ar-SA"/>
        </w:rPr>
        <w:t>9.5.4地下水及土壤污染防治措施</w:t>
      </w:r>
    </w:p>
    <w:p w14:paraId="213B51D2">
      <w:pPr>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本项目地下水及土壤环境保护措施坚持“预防为主、严控增量”的原则。</w:t>
      </w:r>
    </w:p>
    <w:p w14:paraId="627E2974">
      <w:pPr>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①源头控制措施</w:t>
      </w:r>
    </w:p>
    <w:p w14:paraId="3A371CA8">
      <w:pPr>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加强污水处理厂污水处理和设备运行管理，从大通湖区污水管网收集、输送、厂区进水、处理、出水及配套污染处理设施等全过程控制各种有害物质泄露，采取行之有效的防渗措施，定期巡检，及时消除污染隐患，杜绝跑、冒、滴、漏现象；发现有污染物泄漏或渗漏，采取清理污染物和修补等补救措施。</w:t>
      </w:r>
    </w:p>
    <w:p w14:paraId="06B56D90">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②分区防控措施</w:t>
      </w:r>
    </w:p>
    <w:p w14:paraId="2A16B9A3">
      <w:pPr>
        <w:widowControl w:val="0"/>
        <w:spacing w:line="360" w:lineRule="auto"/>
        <w:ind w:firstLine="480" w:firstLineChars="200"/>
        <w:jc w:val="both"/>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针对不同生产环节的污染防治要求，应有针对性的采取不同的防腐、防渗工程措施，详见</w:t>
      </w:r>
      <w:r>
        <w:rPr>
          <w:rFonts w:hint="default" w:ascii="Times New Roman" w:hAnsi="Times New Roman" w:eastAsia="宋体" w:cs="Times New Roman"/>
          <w:color w:val="auto"/>
          <w:kern w:val="2"/>
          <w:sz w:val="24"/>
          <w:szCs w:val="20"/>
          <w:lang w:val="en-US" w:eastAsia="zh-CN" w:bidi="ar-SA"/>
        </w:rPr>
        <w:fldChar w:fldCharType="begin"/>
      </w:r>
      <w:r>
        <w:rPr>
          <w:rFonts w:hint="default" w:ascii="Times New Roman" w:hAnsi="Times New Roman" w:eastAsia="宋体" w:cs="Times New Roman"/>
          <w:color w:val="auto"/>
          <w:kern w:val="2"/>
          <w:sz w:val="24"/>
          <w:szCs w:val="20"/>
          <w:lang w:val="en-US" w:eastAsia="zh-CN" w:bidi="ar-SA"/>
        </w:rPr>
        <w:instrText xml:space="preserve"> REF _Ref101114825 \h  \* MERGEFORMAT </w:instrText>
      </w:r>
      <w:r>
        <w:rPr>
          <w:rFonts w:hint="default" w:ascii="Times New Roman" w:hAnsi="Times New Roman" w:eastAsia="宋体" w:cs="Times New Roman"/>
          <w:color w:val="auto"/>
          <w:kern w:val="2"/>
          <w:sz w:val="24"/>
          <w:szCs w:val="20"/>
          <w:lang w:val="en-US" w:eastAsia="zh-CN" w:bidi="ar-SA"/>
        </w:rPr>
        <w:fldChar w:fldCharType="separate"/>
      </w:r>
      <w:r>
        <w:rPr>
          <w:rFonts w:hint="default" w:ascii="Times New Roman" w:hAnsi="Times New Roman" w:eastAsia="宋体" w:cs="Times New Roman"/>
          <w:color w:val="auto"/>
          <w:kern w:val="2"/>
          <w:sz w:val="24"/>
          <w:szCs w:val="20"/>
          <w:lang w:val="en-US" w:eastAsia="zh-CN" w:bidi="ar-SA"/>
        </w:rPr>
        <w:t>表 9.5</w:t>
      </w:r>
      <w:r>
        <w:rPr>
          <w:rFonts w:hint="default" w:ascii="Times New Roman" w:hAnsi="Times New Roman" w:eastAsia="宋体" w:cs="Times New Roman"/>
          <w:color w:val="auto"/>
          <w:kern w:val="2"/>
          <w:sz w:val="24"/>
          <w:szCs w:val="20"/>
          <w:lang w:val="en-US" w:eastAsia="zh-CN" w:bidi="ar-SA"/>
        </w:rPr>
        <w:noBreakHyphen/>
      </w:r>
      <w:r>
        <w:rPr>
          <w:rFonts w:hint="eastAsia" w:cs="Times New Roman"/>
          <w:color w:val="auto"/>
          <w:kern w:val="2"/>
          <w:sz w:val="24"/>
          <w:szCs w:val="20"/>
          <w:lang w:val="en-US" w:eastAsia="zh-CN" w:bidi="ar-SA"/>
        </w:rPr>
        <w:t>4</w:t>
      </w:r>
      <w:r>
        <w:rPr>
          <w:rFonts w:hint="default" w:ascii="Times New Roman" w:hAnsi="Times New Roman" w:eastAsia="宋体" w:cs="Times New Roman"/>
          <w:color w:val="auto"/>
          <w:kern w:val="2"/>
          <w:sz w:val="24"/>
          <w:szCs w:val="20"/>
          <w:lang w:val="en-US" w:eastAsia="zh-CN" w:bidi="ar-SA"/>
        </w:rPr>
        <w:fldChar w:fldCharType="end"/>
      </w:r>
      <w:r>
        <w:rPr>
          <w:rFonts w:hint="default" w:ascii="Times New Roman" w:hAnsi="Times New Roman" w:eastAsia="宋体" w:cs="Times New Roman"/>
          <w:color w:val="auto"/>
          <w:kern w:val="2"/>
          <w:sz w:val="24"/>
          <w:szCs w:val="20"/>
          <w:lang w:val="en-US" w:eastAsia="zh-CN" w:bidi="ar-SA"/>
        </w:rPr>
        <w:t>。</w:t>
      </w:r>
    </w:p>
    <w:p w14:paraId="6BC71F59">
      <w:pPr>
        <w:keepNext/>
        <w:widowControl w:val="0"/>
        <w:spacing w:line="240" w:lineRule="auto"/>
        <w:jc w:val="center"/>
        <w:rPr>
          <w:rFonts w:hint="default" w:ascii="Times New Roman" w:hAnsi="Times New Roman" w:eastAsia="宋体" w:cs="Times New Roman"/>
          <w:b/>
          <w:color w:val="auto"/>
          <w:kern w:val="2"/>
          <w:sz w:val="24"/>
          <w:szCs w:val="24"/>
          <w:lang w:val="en-US" w:eastAsia="zh-CN" w:bidi="ar-SA"/>
        </w:rPr>
      </w:pPr>
      <w:bookmarkStart w:id="398" w:name="_Ref101114825"/>
      <w:r>
        <w:rPr>
          <w:rFonts w:hint="default" w:ascii="Times New Roman" w:hAnsi="Times New Roman" w:eastAsia="宋体" w:cs="Times New Roman"/>
          <w:b/>
          <w:color w:val="auto"/>
          <w:kern w:val="2"/>
          <w:sz w:val="24"/>
          <w:szCs w:val="24"/>
          <w:lang w:val="en-US" w:eastAsia="zh-CN" w:bidi="ar-SA"/>
        </w:rPr>
        <w:t xml:space="preserve">表 </w:t>
      </w:r>
      <w:r>
        <w:rPr>
          <w:rFonts w:hint="default" w:ascii="Times New Roman" w:hAnsi="Times New Roman" w:eastAsia="宋体" w:cs="Times New Roman"/>
          <w:b/>
          <w:color w:val="auto"/>
          <w:kern w:val="2"/>
          <w:sz w:val="24"/>
          <w:szCs w:val="24"/>
          <w:lang w:val="en-US" w:eastAsia="zh-CN" w:bidi="ar-SA"/>
        </w:rPr>
        <w:fldChar w:fldCharType="begin"/>
      </w:r>
      <w:r>
        <w:rPr>
          <w:rFonts w:hint="default" w:ascii="Times New Roman" w:hAnsi="Times New Roman" w:eastAsia="宋体" w:cs="Times New Roman"/>
          <w:b/>
          <w:color w:val="auto"/>
          <w:kern w:val="2"/>
          <w:sz w:val="24"/>
          <w:szCs w:val="24"/>
          <w:lang w:val="en-US" w:eastAsia="zh-CN" w:bidi="ar-SA"/>
        </w:rPr>
        <w:instrText xml:space="preserve"> STYLEREF 2 \s </w:instrText>
      </w:r>
      <w:r>
        <w:rPr>
          <w:rFonts w:hint="default" w:ascii="Times New Roman" w:hAnsi="Times New Roman" w:eastAsia="宋体" w:cs="Times New Roman"/>
          <w:b/>
          <w:color w:val="auto"/>
          <w:kern w:val="2"/>
          <w:sz w:val="24"/>
          <w:szCs w:val="24"/>
          <w:lang w:val="en-US" w:eastAsia="zh-CN" w:bidi="ar-SA"/>
        </w:rPr>
        <w:fldChar w:fldCharType="separate"/>
      </w:r>
      <w:r>
        <w:rPr>
          <w:rFonts w:hint="default" w:ascii="Times New Roman" w:hAnsi="Times New Roman" w:eastAsia="宋体" w:cs="Times New Roman"/>
          <w:b/>
          <w:color w:val="auto"/>
          <w:kern w:val="2"/>
          <w:sz w:val="24"/>
          <w:szCs w:val="24"/>
          <w:lang w:val="en-US" w:eastAsia="zh-CN" w:bidi="ar-SA"/>
        </w:rPr>
        <w:t>9</w:t>
      </w:r>
      <w:r>
        <w:rPr>
          <w:rFonts w:hint="default" w:ascii="Times New Roman" w:hAnsi="Times New Roman" w:eastAsia="宋体" w:cs="Times New Roman"/>
          <w:b/>
          <w:color w:val="auto"/>
          <w:kern w:val="2"/>
          <w:sz w:val="24"/>
          <w:szCs w:val="24"/>
          <w:lang w:val="en-US" w:eastAsia="zh-CN" w:bidi="ar-SA"/>
        </w:rPr>
        <w:fldChar w:fldCharType="end"/>
      </w:r>
      <w:r>
        <w:rPr>
          <w:rFonts w:hint="default" w:ascii="Times New Roman" w:hAnsi="Times New Roman" w:eastAsia="宋体" w:cs="Times New Roman"/>
          <w:b/>
          <w:color w:val="auto"/>
          <w:kern w:val="2"/>
          <w:sz w:val="24"/>
          <w:szCs w:val="24"/>
          <w:lang w:val="en-US" w:eastAsia="zh-CN" w:bidi="ar-SA"/>
        </w:rPr>
        <w:t>.5</w:t>
      </w:r>
      <w:r>
        <w:rPr>
          <w:rFonts w:hint="default" w:ascii="Times New Roman" w:hAnsi="Times New Roman" w:eastAsia="宋体" w:cs="Times New Roman"/>
          <w:b/>
          <w:color w:val="auto"/>
          <w:kern w:val="2"/>
          <w:sz w:val="24"/>
          <w:szCs w:val="24"/>
          <w:lang w:val="en-US" w:eastAsia="zh-CN" w:bidi="ar-SA"/>
        </w:rPr>
        <w:noBreakHyphen/>
      </w:r>
      <w:bookmarkEnd w:id="398"/>
      <w:r>
        <w:rPr>
          <w:rFonts w:hint="eastAsia" w:cs="Times New Roman"/>
          <w:b/>
          <w:color w:val="auto"/>
          <w:kern w:val="2"/>
          <w:sz w:val="24"/>
          <w:szCs w:val="24"/>
          <w:lang w:val="en-US" w:eastAsia="zh-CN" w:bidi="ar-SA"/>
        </w:rPr>
        <w:t>4</w:t>
      </w:r>
      <w:r>
        <w:rPr>
          <w:rFonts w:hint="default" w:ascii="Times New Roman" w:hAnsi="Times New Roman" w:eastAsia="宋体" w:cs="Times New Roman"/>
          <w:b/>
          <w:color w:val="auto"/>
          <w:kern w:val="2"/>
          <w:sz w:val="24"/>
          <w:szCs w:val="24"/>
          <w:lang w:val="en-US" w:eastAsia="zh-CN" w:bidi="ar-SA"/>
        </w:rPr>
        <w:t>分区防渗一览表</w:t>
      </w:r>
    </w:p>
    <w:tbl>
      <w:tblPr>
        <w:tblStyle w:val="76"/>
        <w:tblW w:w="5035"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77"/>
        <w:gridCol w:w="1188"/>
        <w:gridCol w:w="2208"/>
        <w:gridCol w:w="4991"/>
      </w:tblGrid>
      <w:tr w14:paraId="7A51A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424" w:type="pct"/>
            <w:tcBorders>
              <w:tl2br w:val="nil"/>
              <w:tr2bl w:val="nil"/>
            </w:tcBorders>
            <w:noWrap w:val="0"/>
            <w:vAlign w:val="center"/>
          </w:tcPr>
          <w:p w14:paraId="14CFBA4C">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序号</w:t>
            </w:r>
          </w:p>
        </w:tc>
        <w:tc>
          <w:tcPr>
            <w:tcW w:w="648" w:type="pct"/>
            <w:tcBorders>
              <w:tl2br w:val="nil"/>
              <w:tr2bl w:val="nil"/>
            </w:tcBorders>
            <w:noWrap w:val="0"/>
            <w:vAlign w:val="center"/>
          </w:tcPr>
          <w:p w14:paraId="6A98A0D0">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分区类别</w:t>
            </w:r>
          </w:p>
        </w:tc>
        <w:tc>
          <w:tcPr>
            <w:tcW w:w="1204" w:type="pct"/>
            <w:tcBorders>
              <w:tl2br w:val="nil"/>
              <w:tr2bl w:val="nil"/>
            </w:tcBorders>
            <w:noWrap w:val="0"/>
            <w:vAlign w:val="center"/>
          </w:tcPr>
          <w:p w14:paraId="4146E62F">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名称</w:t>
            </w:r>
          </w:p>
        </w:tc>
        <w:tc>
          <w:tcPr>
            <w:tcW w:w="2722" w:type="pct"/>
            <w:tcBorders>
              <w:tl2br w:val="nil"/>
              <w:tr2bl w:val="nil"/>
            </w:tcBorders>
            <w:noWrap w:val="0"/>
            <w:vAlign w:val="center"/>
          </w:tcPr>
          <w:p w14:paraId="53DC30AE">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拟采取的防渗措施</w:t>
            </w:r>
          </w:p>
        </w:tc>
      </w:tr>
      <w:tr w14:paraId="25DFE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424" w:type="pct"/>
            <w:tcBorders>
              <w:tl2br w:val="nil"/>
              <w:tr2bl w:val="nil"/>
            </w:tcBorders>
            <w:noWrap w:val="0"/>
            <w:vAlign w:val="center"/>
          </w:tcPr>
          <w:p w14:paraId="25AB1676">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1</w:t>
            </w:r>
          </w:p>
        </w:tc>
        <w:tc>
          <w:tcPr>
            <w:tcW w:w="648" w:type="pct"/>
            <w:tcBorders>
              <w:tl2br w:val="nil"/>
              <w:tr2bl w:val="nil"/>
            </w:tcBorders>
            <w:noWrap w:val="0"/>
            <w:vAlign w:val="center"/>
          </w:tcPr>
          <w:p w14:paraId="65F09112">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简单防渗区</w:t>
            </w:r>
          </w:p>
        </w:tc>
        <w:tc>
          <w:tcPr>
            <w:tcW w:w="1204" w:type="pct"/>
            <w:tcBorders>
              <w:tl2br w:val="nil"/>
              <w:tr2bl w:val="nil"/>
            </w:tcBorders>
            <w:noWrap w:val="0"/>
            <w:vAlign w:val="center"/>
          </w:tcPr>
          <w:p w14:paraId="0A82B760">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变配电间及鼓风机房、其他区域</w:t>
            </w:r>
          </w:p>
        </w:tc>
        <w:tc>
          <w:tcPr>
            <w:tcW w:w="2722" w:type="pct"/>
            <w:tcBorders>
              <w:tl2br w:val="nil"/>
              <w:tr2bl w:val="nil"/>
            </w:tcBorders>
            <w:noWrap w:val="0"/>
            <w:vAlign w:val="center"/>
          </w:tcPr>
          <w:p w14:paraId="18EAADDC">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采取混凝土硬化或粘土铺底措施防渗</w:t>
            </w:r>
          </w:p>
        </w:tc>
      </w:tr>
      <w:tr w14:paraId="5092B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424" w:type="pct"/>
            <w:tcBorders>
              <w:tl2br w:val="nil"/>
              <w:tr2bl w:val="nil"/>
            </w:tcBorders>
            <w:noWrap w:val="0"/>
            <w:vAlign w:val="center"/>
          </w:tcPr>
          <w:p w14:paraId="74AF9A6A">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w:t>
            </w:r>
          </w:p>
        </w:tc>
        <w:tc>
          <w:tcPr>
            <w:tcW w:w="648" w:type="pct"/>
            <w:tcBorders>
              <w:tl2br w:val="nil"/>
              <w:tr2bl w:val="nil"/>
            </w:tcBorders>
            <w:noWrap w:val="0"/>
            <w:vAlign w:val="center"/>
          </w:tcPr>
          <w:p w14:paraId="69DBEF5A">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一般防渗区</w:t>
            </w:r>
          </w:p>
        </w:tc>
        <w:tc>
          <w:tcPr>
            <w:tcW w:w="1204" w:type="pct"/>
            <w:tcBorders>
              <w:tl2br w:val="nil"/>
              <w:tr2bl w:val="nil"/>
            </w:tcBorders>
            <w:noWrap w:val="0"/>
            <w:vAlign w:val="center"/>
          </w:tcPr>
          <w:p w14:paraId="205460F4">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 xml:space="preserve">在线监测房、计量渠 </w:t>
            </w:r>
          </w:p>
        </w:tc>
        <w:tc>
          <w:tcPr>
            <w:tcW w:w="2722" w:type="pct"/>
            <w:tcBorders>
              <w:tl2br w:val="nil"/>
              <w:tr2bl w:val="nil"/>
            </w:tcBorders>
            <w:noWrap w:val="0"/>
            <w:vAlign w:val="center"/>
          </w:tcPr>
          <w:p w14:paraId="7BD6B357">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采取等效黏土防渗层Mb≥1.5m，K≤1×10</w:t>
            </w:r>
            <w:r>
              <w:rPr>
                <w:rFonts w:hint="default" w:ascii="Times New Roman" w:hAnsi="Times New Roman" w:eastAsia="宋体" w:cs="Times New Roman"/>
                <w:color w:val="auto"/>
                <w:kern w:val="0"/>
                <w:sz w:val="21"/>
                <w:szCs w:val="20"/>
                <w:vertAlign w:val="superscript"/>
                <w:lang w:val="en-US" w:eastAsia="zh-CN" w:bidi="ar-SA"/>
              </w:rPr>
              <w:t>-7</w:t>
            </w:r>
            <w:r>
              <w:rPr>
                <w:rFonts w:hint="default" w:ascii="Times New Roman" w:hAnsi="Times New Roman" w:eastAsia="宋体" w:cs="Times New Roman"/>
                <w:color w:val="auto"/>
                <w:kern w:val="0"/>
                <w:sz w:val="21"/>
                <w:szCs w:val="20"/>
                <w:lang w:val="en-US" w:eastAsia="zh-CN" w:bidi="ar-SA"/>
              </w:rPr>
              <w:t>cm/s；或参照GB16889执行。</w:t>
            </w:r>
          </w:p>
        </w:tc>
      </w:tr>
      <w:tr w14:paraId="057FA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3" w:hRule="atLeast"/>
        </w:trPr>
        <w:tc>
          <w:tcPr>
            <w:tcW w:w="424" w:type="pct"/>
            <w:tcBorders>
              <w:tl2br w:val="nil"/>
              <w:tr2bl w:val="nil"/>
            </w:tcBorders>
            <w:noWrap w:val="0"/>
            <w:vAlign w:val="center"/>
          </w:tcPr>
          <w:p w14:paraId="2EC1714B">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3</w:t>
            </w:r>
          </w:p>
        </w:tc>
        <w:tc>
          <w:tcPr>
            <w:tcW w:w="648" w:type="pct"/>
            <w:tcBorders>
              <w:tl2br w:val="nil"/>
              <w:tr2bl w:val="nil"/>
            </w:tcBorders>
            <w:noWrap w:val="0"/>
            <w:vAlign w:val="center"/>
          </w:tcPr>
          <w:p w14:paraId="19F21B3B">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重点防渗区</w:t>
            </w:r>
          </w:p>
        </w:tc>
        <w:tc>
          <w:tcPr>
            <w:tcW w:w="1204" w:type="pct"/>
            <w:tcBorders>
              <w:tl2br w:val="nil"/>
              <w:tr2bl w:val="nil"/>
            </w:tcBorders>
            <w:noWrap w:val="0"/>
            <w:vAlign w:val="center"/>
          </w:tcPr>
          <w:p w14:paraId="09AE01DD">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危废暂存间、格栅、调节池、水解酸化及AAO组合池、生化池、絮凝沉淀池、精密滤池、污泥脱水及加氯间、加药间、贮泥池、事故应急池</w:t>
            </w:r>
          </w:p>
        </w:tc>
        <w:tc>
          <w:tcPr>
            <w:tcW w:w="2722" w:type="pct"/>
            <w:tcBorders>
              <w:tl2br w:val="nil"/>
              <w:tr2bl w:val="nil"/>
            </w:tcBorders>
            <w:noWrap w:val="0"/>
            <w:vAlign w:val="center"/>
          </w:tcPr>
          <w:p w14:paraId="7469DC87">
            <w:pPr>
              <w:keepNext w:val="0"/>
              <w:keepLines w:val="0"/>
              <w:widowControl w:val="0"/>
              <w:suppressLineNumbers w:val="0"/>
              <w:spacing w:before="0" w:beforeAutospacing="0" w:after="0" w:afterAutospacing="0" w:line="240" w:lineRule="auto"/>
              <w:ind w:left="200" w:right="0" w:hanging="420" w:hangingChars="20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采取等效黏土防渗层Mb≥6.0m，K≤1×10</w:t>
            </w:r>
            <w:r>
              <w:rPr>
                <w:rFonts w:hint="default" w:ascii="Times New Roman" w:hAnsi="Times New Roman" w:eastAsia="宋体" w:cs="Times New Roman"/>
                <w:color w:val="auto"/>
                <w:kern w:val="0"/>
                <w:sz w:val="21"/>
                <w:szCs w:val="20"/>
                <w:vertAlign w:val="superscript"/>
                <w:lang w:val="en-US" w:eastAsia="zh-CN" w:bidi="ar-SA"/>
              </w:rPr>
              <w:t>-7</w:t>
            </w:r>
            <w:r>
              <w:rPr>
                <w:rFonts w:hint="default" w:ascii="Times New Roman" w:hAnsi="Times New Roman" w:eastAsia="宋体" w:cs="Times New Roman"/>
                <w:color w:val="auto"/>
                <w:kern w:val="0"/>
                <w:sz w:val="21"/>
                <w:szCs w:val="20"/>
                <w:lang w:val="en-US" w:eastAsia="zh-CN" w:bidi="ar-SA"/>
              </w:rPr>
              <w:t>cm/s；或参照GB18598执行。</w:t>
            </w:r>
          </w:p>
        </w:tc>
      </w:tr>
    </w:tbl>
    <w:p w14:paraId="68A5930A">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经落实以上措施，在生产过程中加强管理，制定严格的岗位责任制，定期巡检，确保各种处理设备、管道、阀门等完好。在正常工况，只要管理到位，可避免项目对地下水及土壤产生影响。</w:t>
      </w:r>
      <w:bookmarkEnd w:id="365"/>
      <w:bookmarkEnd w:id="366"/>
      <w:bookmarkEnd w:id="367"/>
      <w:bookmarkEnd w:id="397"/>
    </w:p>
    <w:p w14:paraId="61F9791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b/>
          <w:bCs/>
          <w:color w:val="000000"/>
          <w:kern w:val="0"/>
          <w:sz w:val="24"/>
          <w:szCs w:val="24"/>
          <w:lang w:val="en-US" w:eastAsia="zh-CN" w:bidi="ar"/>
        </w:rPr>
        <w:t xml:space="preserve">9.5.5 管理措施 </w:t>
      </w:r>
    </w:p>
    <w:p w14:paraId="311680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（1）在废水处置装置设施出现故障时，应立即停产检修，严格禁止未经处理废水排放。关键设备应配备必要的备用设备，当设备出现运转故障时及时更换，以减少事故的隐患。 </w:t>
      </w:r>
    </w:p>
    <w:p w14:paraId="56A574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（2）建立水质保护管理措施，并不断充实和完善各项管理制度。健全水质保护管理机构，实行统一领导，分区负责，保障各项水质保护规章制度有效实施。 </w:t>
      </w:r>
    </w:p>
    <w:p w14:paraId="3E22777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（3）对排污口按照“一口一册”要求建立统一档案，实现相关部门对入河排污口数据信息共享。 </w:t>
      </w:r>
    </w:p>
    <w:p w14:paraId="0E7EE4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（4）及时向生态环境行政主管部门提出入河排污口设置验收申请；申请时应有计量认证资质的水质监测单位监测的三次以上的排污口水质监测报告。 </w:t>
      </w:r>
    </w:p>
    <w:p w14:paraId="46D264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5）排污口营运期，业主单位应接受并配合生态环境行政主管部门监测机构定期或不定期的监督性水质监测，配合和服从生态环境行政主管部门对设置排污口所在水域功能区的管理，建立出水水质监测分析台帐，定期向生态环境保护主管部门报送信息。 </w:t>
      </w:r>
    </w:p>
    <w:p w14:paraId="72C742D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kern w:val="2"/>
          <w:sz w:val="28"/>
          <w:szCs w:val="28"/>
        </w:rPr>
      </w:pPr>
      <w:bookmarkStart w:id="399" w:name="_Toc5774"/>
      <w:r>
        <w:rPr>
          <w:rFonts w:hint="default" w:ascii="Times New Roman" w:hAnsi="Times New Roman" w:eastAsia="宋体" w:cs="Times New Roman"/>
          <w:b/>
          <w:bCs/>
          <w:color w:val="000000"/>
          <w:kern w:val="0"/>
          <w:sz w:val="28"/>
          <w:szCs w:val="28"/>
          <w:lang w:val="en-US" w:eastAsia="zh-CN" w:bidi="ar"/>
        </w:rPr>
        <w:t>9.6 水生态保护措施实施效果分析</w:t>
      </w:r>
      <w:bookmarkEnd w:id="399"/>
      <w:r>
        <w:rPr>
          <w:rFonts w:hint="default" w:ascii="Times New Roman" w:hAnsi="Times New Roman" w:eastAsia="宋体" w:cs="Times New Roman"/>
          <w:b/>
          <w:bCs/>
          <w:color w:val="000000"/>
          <w:kern w:val="0"/>
          <w:sz w:val="28"/>
          <w:szCs w:val="28"/>
          <w:lang w:val="en-US" w:eastAsia="zh-CN" w:bidi="ar"/>
        </w:rPr>
        <w:t xml:space="preserve"> </w:t>
      </w:r>
    </w:p>
    <w:p w14:paraId="5FD439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1）加强水环境监测，排污控制。通过建立健全水量水质监测系统，实现对污水处理厂进出水水质的自行监测、实时监测和监督；实施污染物排放总量控制，加强入河排污口的管理，保护水源生态环境不受破坏。 </w:t>
      </w:r>
    </w:p>
    <w:p w14:paraId="244C32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 xml:space="preserve">（2）加强运维管理和培训。通过管理人员环保素质的培训，提高员工操作、 管理能力，建立环保运维台账；通过对污水处理系统的运维管理，保障出水水质达标，保障地表水的水功能目标；降低因设备故障、停电等原因造成的废水事故排放情况，减轻对外部地表水环境的影响。通过对排污口规范化建设，可以科学的掌握各类污染源实际排放情况，便于日常监督和管理。 </w:t>
      </w:r>
    </w:p>
    <w:p w14:paraId="234B75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000000"/>
          <w:kern w:val="0"/>
          <w:sz w:val="24"/>
          <w:szCs w:val="24"/>
          <w:lang w:val="en-US" w:eastAsia="zh-CN" w:bidi="ar"/>
        </w:rPr>
        <w:t>（3）地下水分区防渗。根据污水处理厂生产单元的情况，实施分区防渗，划分为重点防渗区、一般防渗区、简单防渗区，防止本项目对地下水和土壤环境的影响。</w:t>
      </w:r>
    </w:p>
    <w:p w14:paraId="637E3D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2"/>
          <w:sz w:val="24"/>
          <w:szCs w:val="24"/>
          <w:lang w:val="zh-CN" w:eastAsia="zh-CN" w:bidi="ar-SA"/>
        </w:rPr>
      </w:pPr>
    </w:p>
    <w:p w14:paraId="5D58E016">
      <w:pPr>
        <w:autoSpaceDE/>
        <w:autoSpaceDN/>
        <w:adjustRightInd/>
        <w:spacing w:line="240" w:lineRule="auto"/>
        <w:ind w:firstLine="0" w:firstLineChars="0"/>
        <w:rPr>
          <w:rFonts w:hint="default" w:ascii="Times New Roman" w:hAnsi="Times New Roman" w:eastAsia="宋体" w:cs="Times New Roman"/>
          <w:kern w:val="2"/>
          <w:sz w:val="21"/>
        </w:rPr>
      </w:pPr>
    </w:p>
    <w:p w14:paraId="2AF82A84">
      <w:pPr>
        <w:keepNext/>
        <w:keepLines/>
        <w:pageBreakBefore w:val="0"/>
        <w:widowControl w:val="0"/>
        <w:numPr>
          <w:ilvl w:val="0"/>
          <w:numId w:val="0"/>
        </w:numPr>
        <w:kinsoku/>
        <w:wordWrap/>
        <w:overflowPunct/>
        <w:topLinePunct w:val="0"/>
        <w:autoSpaceDE/>
        <w:autoSpaceDN/>
        <w:bidi w:val="0"/>
        <w:adjustRightInd/>
        <w:snapToGrid/>
        <w:spacing w:after="120" w:line="360" w:lineRule="auto"/>
        <w:ind w:leftChars="0"/>
        <w:jc w:val="center"/>
        <w:textAlignment w:val="auto"/>
        <w:outlineLvl w:val="0"/>
        <w:rPr>
          <w:rFonts w:hint="default" w:ascii="Times New Roman" w:hAnsi="Times New Roman" w:eastAsia="宋体" w:cs="Times New Roman"/>
          <w:b/>
          <w:bCs/>
          <w:kern w:val="44"/>
          <w:sz w:val="36"/>
          <w:szCs w:val="36"/>
          <w:lang w:val="en-US" w:eastAsia="zh-CN" w:bidi="ar-SA"/>
        </w:rPr>
      </w:pPr>
      <w:bookmarkStart w:id="400" w:name="_Toc15049"/>
      <w:r>
        <w:rPr>
          <w:rFonts w:hint="default" w:ascii="Times New Roman" w:hAnsi="Times New Roman" w:eastAsia="宋体" w:cs="Times New Roman"/>
          <w:b/>
          <w:bCs/>
          <w:kern w:val="44"/>
          <w:sz w:val="36"/>
          <w:szCs w:val="36"/>
          <w:lang w:val="en-US" w:eastAsia="zh-CN" w:bidi="ar-SA"/>
        </w:rPr>
        <w:t>10论证结论与建议</w:t>
      </w:r>
      <w:bookmarkEnd w:id="400"/>
    </w:p>
    <w:p w14:paraId="1C477344">
      <w:pPr>
        <w:keepNext/>
        <w:keepLines/>
        <w:pageBreakBefore w:val="0"/>
        <w:widowControl w:val="0"/>
        <w:numPr>
          <w:ilvl w:val="0"/>
          <w:numId w:val="0"/>
        </w:numPr>
        <w:kinsoku/>
        <w:wordWrap/>
        <w:overflowPunct/>
        <w:topLinePunct w:val="0"/>
        <w:autoSpaceDE/>
        <w:autoSpaceDN/>
        <w:bidi w:val="0"/>
        <w:adjustRightInd/>
        <w:snapToGrid/>
        <w:spacing w:line="360" w:lineRule="auto"/>
        <w:ind w:left="0" w:leftChars="0" w:firstLine="0"/>
        <w:jc w:val="both"/>
        <w:textAlignment w:val="auto"/>
        <w:outlineLvl w:val="1"/>
        <w:rPr>
          <w:rFonts w:hint="default" w:ascii="Times New Roman" w:hAnsi="Times New Roman" w:eastAsia="宋体" w:cs="Times New Roman"/>
          <w:b/>
          <w:bCs/>
          <w:kern w:val="2"/>
          <w:sz w:val="28"/>
          <w:szCs w:val="32"/>
          <w:lang w:val="en-US" w:eastAsia="zh-CN" w:bidi="ar-SA"/>
        </w:rPr>
      </w:pPr>
      <w:bookmarkStart w:id="401" w:name="_Toc2430"/>
      <w:r>
        <w:rPr>
          <w:rFonts w:hint="default" w:ascii="Times New Roman" w:hAnsi="Times New Roman" w:eastAsia="宋体" w:cs="Times New Roman"/>
          <w:b/>
          <w:bCs/>
          <w:kern w:val="2"/>
          <w:sz w:val="28"/>
          <w:szCs w:val="32"/>
          <w:lang w:val="en-US" w:eastAsia="zh-CN" w:bidi="ar-SA"/>
        </w:rPr>
        <w:t>10.1论证结论</w:t>
      </w:r>
      <w:bookmarkEnd w:id="401"/>
    </w:p>
    <w:p w14:paraId="32C2CFD7">
      <w:pPr>
        <w:keepNext/>
        <w:keepLines/>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9"/>
        <w:rPr>
          <w:rFonts w:hint="default" w:ascii="Times New Roman" w:hAnsi="Times New Roman" w:eastAsia="宋体" w:cs="Times New Roman"/>
          <w:b/>
          <w:bCs/>
          <w:kern w:val="2"/>
          <w:sz w:val="24"/>
          <w:szCs w:val="24"/>
          <w:lang w:val="en-US" w:eastAsia="zh-CN"/>
        </w:rPr>
      </w:pPr>
      <w:r>
        <w:rPr>
          <w:rFonts w:hint="default" w:ascii="Times New Roman" w:hAnsi="Times New Roman" w:eastAsia="宋体" w:cs="Times New Roman"/>
          <w:b/>
          <w:bCs/>
          <w:kern w:val="2"/>
          <w:sz w:val="24"/>
          <w:szCs w:val="24"/>
          <w:lang w:val="en-US" w:eastAsia="zh-CN"/>
        </w:rPr>
        <w:t>10.1.1</w:t>
      </w:r>
      <w:r>
        <w:rPr>
          <w:rFonts w:hint="default" w:ascii="Times New Roman" w:hAnsi="Times New Roman" w:eastAsia="宋体" w:cs="Times New Roman"/>
          <w:b/>
          <w:bCs/>
          <w:kern w:val="2"/>
          <w:sz w:val="24"/>
          <w:szCs w:val="24"/>
        </w:rPr>
        <w:t>入河排污口</w:t>
      </w:r>
      <w:r>
        <w:rPr>
          <w:rFonts w:hint="default" w:ascii="Times New Roman" w:hAnsi="Times New Roman" w:eastAsia="宋体" w:cs="Times New Roman"/>
          <w:b/>
          <w:bCs/>
          <w:kern w:val="2"/>
          <w:sz w:val="24"/>
          <w:szCs w:val="24"/>
          <w:lang w:val="en-US" w:eastAsia="zh-CN"/>
        </w:rPr>
        <w:t>基本情况</w:t>
      </w:r>
    </w:p>
    <w:p w14:paraId="0C55704E">
      <w:pPr>
        <w:keepNext w:val="0"/>
        <w:keepLines w:val="0"/>
        <w:pageBreakBefore w:val="0"/>
        <w:widowControl w:val="0"/>
        <w:tabs>
          <w:tab w:val="left" w:pos="2021"/>
        </w:tabs>
        <w:kinsoku/>
        <w:wordWrap/>
        <w:overflowPunct/>
        <w:topLinePunct w:val="0"/>
        <w:autoSpaceDE/>
        <w:autoSpaceDN/>
        <w:bidi w:val="0"/>
        <w:adjustRightInd/>
        <w:snapToGrid w:val="0"/>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zh-CN"/>
        </w:rPr>
      </w:pPr>
      <w:r>
        <w:rPr>
          <w:rFonts w:hint="default" w:ascii="Times New Roman" w:hAnsi="Times New Roman" w:eastAsia="宋体" w:cs="Times New Roman"/>
          <w:kern w:val="2"/>
          <w:sz w:val="24"/>
          <w:szCs w:val="24"/>
          <w:lang w:val="en-US" w:eastAsia="zh-CN" w:bidi="zh-CN"/>
        </w:rPr>
        <w:t>入河排污口名称：大通湖工业园污水处理厂提质改造建设项目</w:t>
      </w:r>
      <w:r>
        <w:rPr>
          <w:rFonts w:hint="eastAsia" w:cs="Times New Roman"/>
          <w:kern w:val="2"/>
          <w:sz w:val="24"/>
          <w:szCs w:val="24"/>
          <w:lang w:val="en-US" w:eastAsia="zh-CN" w:bidi="zh-CN"/>
        </w:rPr>
        <w:t>（一期）</w:t>
      </w:r>
      <w:r>
        <w:rPr>
          <w:rFonts w:hint="default" w:ascii="Times New Roman" w:hAnsi="Times New Roman" w:eastAsia="宋体" w:cs="Times New Roman"/>
          <w:kern w:val="2"/>
          <w:sz w:val="24"/>
          <w:szCs w:val="24"/>
          <w:lang w:val="en-US" w:eastAsia="zh-CN" w:bidi="zh-CN"/>
        </w:rPr>
        <w:t>入河排污口</w:t>
      </w:r>
    </w:p>
    <w:p w14:paraId="2A61EAA9">
      <w:pPr>
        <w:pageBreakBefore w:val="0"/>
        <w:widowControl w:val="0"/>
        <w:tabs>
          <w:tab w:val="left" w:pos="2021"/>
        </w:tabs>
        <w:kinsoku/>
        <w:wordWrap/>
        <w:overflowPunct/>
        <w:topLinePunct w:val="0"/>
        <w:autoSpaceDE/>
        <w:autoSpaceDN/>
        <w:bidi w:val="0"/>
        <w:adjustRightInd/>
        <w:snapToGrid w:val="0"/>
        <w:spacing w:line="360" w:lineRule="auto"/>
        <w:ind w:left="0" w:firstLine="480" w:firstLineChars="200"/>
        <w:jc w:val="both"/>
        <w:textAlignment w:val="auto"/>
        <w:rPr>
          <w:rFonts w:hint="default" w:ascii="Times New Roman" w:hAnsi="Times New Roman" w:eastAsia="宋体" w:cs="Times New Roman"/>
          <w:color w:val="auto"/>
          <w:kern w:val="2"/>
          <w:sz w:val="21"/>
          <w:szCs w:val="24"/>
          <w:u w:val="none" w:color="auto"/>
          <w:lang w:val="zh-CN" w:eastAsia="zh-CN" w:bidi="zh-CN"/>
        </w:rPr>
      </w:pPr>
      <w:r>
        <w:rPr>
          <w:rFonts w:hint="default" w:ascii="Times New Roman" w:hAnsi="Times New Roman" w:eastAsia="宋体" w:cs="Times New Roman"/>
          <w:kern w:val="2"/>
          <w:sz w:val="24"/>
          <w:szCs w:val="24"/>
          <w:lang w:val="en-US" w:eastAsia="zh-CN" w:bidi="zh-CN"/>
        </w:rPr>
        <w:t>建设单位：大通湖产业发展中心</w:t>
      </w:r>
    </w:p>
    <w:p w14:paraId="4AC77B55">
      <w:pPr>
        <w:pageBreakBefore w:val="0"/>
        <w:widowControl w:val="0"/>
        <w:tabs>
          <w:tab w:val="left" w:pos="2021"/>
        </w:tabs>
        <w:kinsoku/>
        <w:wordWrap/>
        <w:overflowPunct/>
        <w:topLinePunct w:val="0"/>
        <w:autoSpaceDE/>
        <w:autoSpaceDN/>
        <w:bidi w:val="0"/>
        <w:adjustRightInd/>
        <w:snapToGrid w:val="0"/>
        <w:spacing w:line="360" w:lineRule="auto"/>
        <w:ind w:left="0" w:firstLine="480" w:firstLineChars="200"/>
        <w:jc w:val="both"/>
        <w:textAlignment w:val="auto"/>
        <w:rPr>
          <w:rFonts w:hint="default" w:ascii="Times New Roman" w:hAnsi="Times New Roman" w:eastAsia="宋体" w:cs="Times New Roman"/>
          <w:kern w:val="2"/>
          <w:sz w:val="24"/>
          <w:szCs w:val="24"/>
          <w:lang w:val="en-US" w:eastAsia="zh-CN" w:bidi="zh-CN"/>
        </w:rPr>
      </w:pPr>
      <w:r>
        <w:rPr>
          <w:rFonts w:hint="default" w:ascii="Times New Roman" w:hAnsi="Times New Roman" w:eastAsia="宋体" w:cs="Times New Roman"/>
          <w:kern w:val="2"/>
          <w:sz w:val="24"/>
          <w:szCs w:val="24"/>
          <w:lang w:val="zh-CN" w:eastAsia="zh-CN" w:bidi="zh-CN"/>
        </w:rPr>
        <w:t>入河排污口位置：</w:t>
      </w:r>
      <w:r>
        <w:rPr>
          <w:rFonts w:hint="default" w:ascii="Times New Roman" w:hAnsi="Times New Roman" w:eastAsia="宋体" w:cs="Times New Roman"/>
          <w:kern w:val="2"/>
          <w:sz w:val="24"/>
          <w:szCs w:val="24"/>
          <w:lang w:val="en-US" w:eastAsia="zh-CN" w:bidi="zh-CN"/>
        </w:rPr>
        <w:t>益阳市大通湖区机排二十渠右岸</w:t>
      </w:r>
    </w:p>
    <w:p w14:paraId="59BD8163">
      <w:pPr>
        <w:pageBreakBefore w:val="0"/>
        <w:widowControl w:val="0"/>
        <w:tabs>
          <w:tab w:val="left" w:pos="2021"/>
        </w:tabs>
        <w:kinsoku/>
        <w:wordWrap/>
        <w:overflowPunct/>
        <w:topLinePunct w:val="0"/>
        <w:autoSpaceDE/>
        <w:autoSpaceDN/>
        <w:bidi w:val="0"/>
        <w:adjustRightInd/>
        <w:snapToGrid w:val="0"/>
        <w:spacing w:line="360" w:lineRule="auto"/>
        <w:ind w:left="0" w:firstLine="480" w:firstLineChars="200"/>
        <w:jc w:val="both"/>
        <w:textAlignment w:val="auto"/>
        <w:rPr>
          <w:rFonts w:hint="default" w:ascii="Times New Roman" w:hAnsi="Times New Roman" w:eastAsia="宋体" w:cs="Times New Roman"/>
          <w:kern w:val="2"/>
          <w:sz w:val="24"/>
          <w:szCs w:val="24"/>
          <w:lang w:val="en-US" w:eastAsia="zh-CN" w:bidi="zh-CN"/>
        </w:rPr>
      </w:pPr>
      <w:r>
        <w:rPr>
          <w:rFonts w:hint="default" w:ascii="Times New Roman" w:hAnsi="Times New Roman" w:eastAsia="宋体" w:cs="Times New Roman"/>
          <w:kern w:val="2"/>
          <w:sz w:val="24"/>
          <w:szCs w:val="24"/>
          <w:lang w:val="en-US" w:eastAsia="zh-CN" w:bidi="zh-CN"/>
        </w:rPr>
        <w:t>排污口坐标为：东经 112.613444560，北纬 29.184943717</w:t>
      </w:r>
    </w:p>
    <w:p w14:paraId="07CC939F">
      <w:pPr>
        <w:pageBreakBefore w:val="0"/>
        <w:widowControl w:val="0"/>
        <w:tabs>
          <w:tab w:val="left" w:pos="2021"/>
        </w:tabs>
        <w:kinsoku/>
        <w:wordWrap/>
        <w:overflowPunct/>
        <w:topLinePunct w:val="0"/>
        <w:autoSpaceDE/>
        <w:autoSpaceDN/>
        <w:bidi w:val="0"/>
        <w:adjustRightInd/>
        <w:snapToGrid w:val="0"/>
        <w:spacing w:line="360" w:lineRule="auto"/>
        <w:ind w:left="0" w:firstLine="480" w:firstLineChars="200"/>
        <w:jc w:val="both"/>
        <w:textAlignment w:val="auto"/>
        <w:rPr>
          <w:rFonts w:hint="default" w:ascii="Times New Roman" w:hAnsi="Times New Roman" w:eastAsia="宋体" w:cs="Times New Roman"/>
          <w:kern w:val="2"/>
          <w:sz w:val="24"/>
          <w:szCs w:val="24"/>
          <w:lang w:val="en-US" w:eastAsia="zh-CN" w:bidi="zh-CN"/>
        </w:rPr>
      </w:pPr>
      <w:r>
        <w:rPr>
          <w:rFonts w:hint="default" w:ascii="Times New Roman" w:hAnsi="Times New Roman" w:eastAsia="宋体" w:cs="Times New Roman"/>
          <w:kern w:val="2"/>
          <w:sz w:val="24"/>
          <w:szCs w:val="24"/>
          <w:lang w:val="zh-CN" w:eastAsia="zh-CN" w:bidi="zh-CN"/>
        </w:rPr>
        <w:t>入河排污口性质：</w:t>
      </w:r>
      <w:r>
        <w:rPr>
          <w:rFonts w:hint="default" w:ascii="Times New Roman" w:hAnsi="Times New Roman" w:eastAsia="宋体" w:cs="Times New Roman"/>
          <w:kern w:val="2"/>
          <w:sz w:val="24"/>
          <w:szCs w:val="24"/>
          <w:lang w:val="en-US" w:eastAsia="zh-CN" w:bidi="zh-CN"/>
        </w:rPr>
        <w:t>扩建</w:t>
      </w:r>
    </w:p>
    <w:p w14:paraId="5171087C">
      <w:pPr>
        <w:pageBreakBefore w:val="0"/>
        <w:widowControl w:val="0"/>
        <w:tabs>
          <w:tab w:val="left" w:pos="2021"/>
        </w:tabs>
        <w:kinsoku/>
        <w:wordWrap/>
        <w:overflowPunct/>
        <w:topLinePunct w:val="0"/>
        <w:autoSpaceDE/>
        <w:autoSpaceDN/>
        <w:bidi w:val="0"/>
        <w:adjustRightInd/>
        <w:snapToGrid w:val="0"/>
        <w:spacing w:line="360" w:lineRule="auto"/>
        <w:ind w:left="0" w:firstLine="480" w:firstLineChars="200"/>
        <w:jc w:val="both"/>
        <w:textAlignment w:val="auto"/>
        <w:rPr>
          <w:rFonts w:hint="default" w:ascii="Times New Roman" w:hAnsi="Times New Roman" w:eastAsia="宋体" w:cs="Times New Roman"/>
          <w:kern w:val="2"/>
          <w:sz w:val="24"/>
          <w:szCs w:val="24"/>
          <w:lang w:val="en-US" w:eastAsia="zh-CN" w:bidi="zh-CN"/>
        </w:rPr>
      </w:pPr>
      <w:r>
        <w:rPr>
          <w:rFonts w:hint="default" w:ascii="Times New Roman" w:hAnsi="Times New Roman" w:eastAsia="宋体" w:cs="Times New Roman"/>
          <w:kern w:val="2"/>
          <w:sz w:val="24"/>
          <w:szCs w:val="24"/>
          <w:lang w:val="zh-CN" w:eastAsia="zh-CN" w:bidi="zh-CN"/>
        </w:rPr>
        <w:t>入河排污口类型：</w:t>
      </w:r>
      <w:r>
        <w:rPr>
          <w:rFonts w:hint="default" w:ascii="Times New Roman" w:hAnsi="Times New Roman" w:eastAsia="宋体" w:cs="Times New Roman"/>
          <w:kern w:val="2"/>
          <w:sz w:val="24"/>
          <w:szCs w:val="24"/>
          <w:lang w:val="en-US" w:eastAsia="zh-CN" w:bidi="zh-CN"/>
        </w:rPr>
        <w:t>工业及其他各类园区污水处理厂入河排污口</w:t>
      </w:r>
    </w:p>
    <w:p w14:paraId="7DE31499">
      <w:pPr>
        <w:pageBreakBefore w:val="0"/>
        <w:widowControl w:val="0"/>
        <w:tabs>
          <w:tab w:val="left" w:pos="2021"/>
        </w:tabs>
        <w:kinsoku/>
        <w:wordWrap/>
        <w:overflowPunct/>
        <w:topLinePunct w:val="0"/>
        <w:autoSpaceDE/>
        <w:autoSpaceDN/>
        <w:bidi w:val="0"/>
        <w:adjustRightInd/>
        <w:snapToGrid w:val="0"/>
        <w:spacing w:line="360" w:lineRule="auto"/>
        <w:ind w:left="0" w:firstLine="480" w:firstLineChars="200"/>
        <w:jc w:val="both"/>
        <w:textAlignment w:val="auto"/>
        <w:rPr>
          <w:rFonts w:hint="default" w:ascii="Times New Roman" w:hAnsi="Times New Roman" w:eastAsia="宋体" w:cs="Times New Roman"/>
          <w:kern w:val="2"/>
          <w:sz w:val="24"/>
          <w:szCs w:val="24"/>
          <w:lang w:val="en-US" w:eastAsia="zh-CN" w:bidi="zh-CN"/>
        </w:rPr>
      </w:pPr>
      <w:r>
        <w:rPr>
          <w:rFonts w:hint="default" w:ascii="Times New Roman" w:hAnsi="Times New Roman" w:eastAsia="宋体" w:cs="Times New Roman"/>
          <w:kern w:val="2"/>
          <w:sz w:val="24"/>
          <w:szCs w:val="24"/>
          <w:lang w:val="zh-CN" w:eastAsia="zh-CN" w:bidi="zh-CN"/>
        </w:rPr>
        <w:t>排放</w:t>
      </w:r>
      <w:r>
        <w:rPr>
          <w:rFonts w:hint="default" w:ascii="Times New Roman" w:hAnsi="Times New Roman" w:eastAsia="宋体" w:cs="Times New Roman"/>
          <w:kern w:val="2"/>
          <w:sz w:val="24"/>
          <w:szCs w:val="24"/>
          <w:lang w:val="en-US" w:eastAsia="zh-CN" w:bidi="zh-CN"/>
        </w:rPr>
        <w:t>规律</w:t>
      </w:r>
      <w:r>
        <w:rPr>
          <w:rFonts w:hint="default" w:ascii="Times New Roman" w:hAnsi="Times New Roman" w:eastAsia="宋体" w:cs="Times New Roman"/>
          <w:kern w:val="2"/>
          <w:sz w:val="24"/>
          <w:szCs w:val="24"/>
          <w:lang w:val="zh-CN" w:eastAsia="zh-CN" w:bidi="zh-CN"/>
        </w:rPr>
        <w:t>：</w:t>
      </w:r>
      <w:r>
        <w:rPr>
          <w:rFonts w:hint="eastAsia" w:cs="Times New Roman"/>
          <w:kern w:val="2"/>
          <w:sz w:val="24"/>
          <w:szCs w:val="24"/>
          <w:lang w:val="en-US" w:eastAsia="zh-CN" w:bidi="zh-CN"/>
        </w:rPr>
        <w:t>连续</w:t>
      </w:r>
      <w:r>
        <w:rPr>
          <w:rFonts w:hint="default" w:ascii="Times New Roman" w:hAnsi="Times New Roman" w:eastAsia="宋体" w:cs="Times New Roman"/>
          <w:kern w:val="2"/>
          <w:sz w:val="24"/>
          <w:szCs w:val="24"/>
          <w:lang w:val="zh-CN" w:eastAsia="zh-CN" w:bidi="zh-CN"/>
        </w:rPr>
        <w:t>排放</w:t>
      </w:r>
    </w:p>
    <w:p w14:paraId="1C9EC1C5">
      <w:pPr>
        <w:pageBreakBefore w:val="0"/>
        <w:widowControl w:val="0"/>
        <w:tabs>
          <w:tab w:val="left" w:pos="2021"/>
        </w:tabs>
        <w:kinsoku/>
        <w:wordWrap/>
        <w:overflowPunct/>
        <w:topLinePunct w:val="0"/>
        <w:autoSpaceDE/>
        <w:autoSpaceDN/>
        <w:bidi w:val="0"/>
        <w:adjustRightInd/>
        <w:snapToGrid w:val="0"/>
        <w:spacing w:line="360" w:lineRule="auto"/>
        <w:ind w:left="0" w:firstLine="480" w:firstLineChars="200"/>
        <w:jc w:val="both"/>
        <w:textAlignment w:val="auto"/>
        <w:rPr>
          <w:rFonts w:hint="default" w:ascii="Times New Roman" w:hAnsi="Times New Roman" w:eastAsia="宋体" w:cs="Times New Roman"/>
          <w:kern w:val="2"/>
          <w:sz w:val="24"/>
          <w:szCs w:val="24"/>
          <w:lang w:val="en-US" w:eastAsia="zh-CN" w:bidi="zh-CN"/>
        </w:rPr>
      </w:pPr>
      <w:r>
        <w:rPr>
          <w:rFonts w:hint="default" w:ascii="Times New Roman" w:hAnsi="Times New Roman" w:eastAsia="宋体" w:cs="Times New Roman"/>
          <w:kern w:val="2"/>
          <w:sz w:val="24"/>
          <w:szCs w:val="24"/>
          <w:lang w:val="zh-CN" w:eastAsia="zh-CN" w:bidi="zh-CN"/>
        </w:rPr>
        <w:t>入河方式：</w:t>
      </w:r>
      <w:r>
        <w:rPr>
          <w:rFonts w:hint="default" w:ascii="Times New Roman" w:hAnsi="Times New Roman" w:eastAsia="宋体" w:cs="Times New Roman"/>
          <w:kern w:val="2"/>
          <w:sz w:val="24"/>
          <w:szCs w:val="24"/>
          <w:lang w:val="en-US" w:eastAsia="zh-CN" w:bidi="zh-CN"/>
        </w:rPr>
        <w:t>管道排放</w:t>
      </w:r>
    </w:p>
    <w:p w14:paraId="1D257830">
      <w:pPr>
        <w:pageBreakBefore w:val="0"/>
        <w:widowControl w:val="0"/>
        <w:tabs>
          <w:tab w:val="left" w:pos="2021"/>
        </w:tabs>
        <w:kinsoku/>
        <w:wordWrap/>
        <w:overflowPunct/>
        <w:topLinePunct w:val="0"/>
        <w:autoSpaceDE/>
        <w:autoSpaceDN/>
        <w:bidi w:val="0"/>
        <w:adjustRightInd/>
        <w:snapToGrid w:val="0"/>
        <w:spacing w:line="360" w:lineRule="auto"/>
        <w:ind w:left="0" w:firstLine="480" w:firstLineChars="200"/>
        <w:jc w:val="both"/>
        <w:textAlignment w:val="auto"/>
        <w:rPr>
          <w:rFonts w:hint="default" w:ascii="Times New Roman" w:hAnsi="Times New Roman" w:eastAsia="宋体" w:cs="Times New Roman"/>
          <w:kern w:val="2"/>
          <w:sz w:val="24"/>
          <w:szCs w:val="24"/>
          <w:lang w:val="en-US" w:eastAsia="zh-CN" w:bidi="zh-CN"/>
        </w:rPr>
      </w:pPr>
      <w:r>
        <w:rPr>
          <w:rFonts w:hint="default" w:ascii="Times New Roman" w:hAnsi="Times New Roman" w:eastAsia="宋体" w:cs="Times New Roman"/>
          <w:kern w:val="2"/>
          <w:sz w:val="24"/>
          <w:szCs w:val="24"/>
          <w:lang w:val="zh-CN" w:eastAsia="zh-CN" w:bidi="zh-CN"/>
        </w:rPr>
        <w:t>纳污水体：</w:t>
      </w:r>
      <w:r>
        <w:rPr>
          <w:rFonts w:hint="default" w:ascii="Times New Roman" w:hAnsi="Times New Roman" w:eastAsia="宋体" w:cs="Times New Roman"/>
          <w:kern w:val="2"/>
          <w:sz w:val="24"/>
          <w:szCs w:val="24"/>
          <w:lang w:val="en-US" w:eastAsia="zh-CN" w:bidi="zh-CN"/>
        </w:rPr>
        <w:t>机排二十渠</w:t>
      </w:r>
    </w:p>
    <w:p w14:paraId="2FEAC75A">
      <w:pPr>
        <w:pageBreakBefore w:val="0"/>
        <w:widowControl w:val="0"/>
        <w:tabs>
          <w:tab w:val="left" w:pos="2021"/>
        </w:tabs>
        <w:kinsoku/>
        <w:wordWrap/>
        <w:overflowPunct/>
        <w:topLinePunct w:val="0"/>
        <w:autoSpaceDE/>
        <w:autoSpaceDN/>
        <w:bidi w:val="0"/>
        <w:adjustRightInd/>
        <w:snapToGrid w:val="0"/>
        <w:spacing w:line="360" w:lineRule="auto"/>
        <w:ind w:left="0" w:firstLine="480" w:firstLineChars="200"/>
        <w:jc w:val="both"/>
        <w:textAlignment w:val="auto"/>
        <w:rPr>
          <w:rFonts w:hint="default" w:ascii="Times New Roman" w:hAnsi="Times New Roman" w:eastAsia="宋体" w:cs="Times New Roman"/>
          <w:kern w:val="2"/>
          <w:sz w:val="24"/>
          <w:szCs w:val="24"/>
          <w:lang w:val="en-US" w:eastAsia="zh-CN" w:bidi="zh-CN"/>
        </w:rPr>
      </w:pPr>
      <w:r>
        <w:rPr>
          <w:rFonts w:hint="default" w:ascii="Times New Roman" w:hAnsi="Times New Roman" w:eastAsia="宋体" w:cs="Times New Roman"/>
          <w:kern w:val="2"/>
          <w:sz w:val="24"/>
          <w:szCs w:val="24"/>
          <w:lang w:val="en-US" w:eastAsia="zh-CN" w:bidi="zh-CN"/>
        </w:rPr>
        <w:t>排放</w:t>
      </w:r>
      <w:r>
        <w:rPr>
          <w:rFonts w:hint="default" w:ascii="Times New Roman" w:hAnsi="Times New Roman" w:eastAsia="宋体" w:cs="Times New Roman"/>
          <w:kern w:val="2"/>
          <w:sz w:val="24"/>
          <w:szCs w:val="24"/>
          <w:lang w:val="zh-CN" w:eastAsia="zh-CN" w:bidi="zh-CN"/>
        </w:rPr>
        <w:t>规模：</w:t>
      </w:r>
      <w:r>
        <w:rPr>
          <w:rFonts w:hint="default" w:ascii="Times New Roman" w:hAnsi="Times New Roman" w:eastAsia="宋体" w:cs="Times New Roman"/>
          <w:kern w:val="2"/>
          <w:sz w:val="24"/>
          <w:szCs w:val="24"/>
          <w:lang w:val="en-US" w:eastAsia="zh-CN" w:bidi="zh-CN"/>
        </w:rPr>
        <w:t>废水排放规模为3000</w:t>
      </w:r>
      <w:r>
        <w:rPr>
          <w:rFonts w:hint="default" w:ascii="Times New Roman" w:hAnsi="Times New Roman" w:eastAsia="宋体" w:cs="Times New Roman"/>
          <w:kern w:val="2"/>
          <w:sz w:val="24"/>
          <w:szCs w:val="24"/>
          <w:lang w:val="zh-CN" w:eastAsia="zh-CN" w:bidi="zh-CN"/>
        </w:rPr>
        <w:t>m</w:t>
      </w:r>
      <w:r>
        <w:rPr>
          <w:rFonts w:hint="default" w:ascii="Times New Roman" w:hAnsi="Times New Roman" w:eastAsia="宋体" w:cs="Times New Roman"/>
          <w:kern w:val="2"/>
          <w:sz w:val="24"/>
          <w:szCs w:val="24"/>
          <w:vertAlign w:val="superscript"/>
          <w:lang w:val="zh-CN" w:eastAsia="zh-CN" w:bidi="zh-CN"/>
        </w:rPr>
        <w:t>3</w:t>
      </w:r>
      <w:r>
        <w:rPr>
          <w:rFonts w:hint="default" w:ascii="Times New Roman" w:hAnsi="Times New Roman" w:eastAsia="宋体" w:cs="Times New Roman"/>
          <w:kern w:val="2"/>
          <w:sz w:val="24"/>
          <w:szCs w:val="24"/>
          <w:lang w:val="zh-CN" w:eastAsia="zh-CN" w:bidi="zh-CN"/>
        </w:rPr>
        <w:t>/d</w:t>
      </w:r>
    </w:p>
    <w:p w14:paraId="6F746C90">
      <w:pPr>
        <w:widowControl w:val="0"/>
        <w:spacing w:before="0" w:after="0" w:line="360" w:lineRule="auto"/>
        <w:ind w:right="0" w:firstLine="48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排放标准：《城镇污水处理厂污染物排放标准》（GB18918-2002）及修改单的一级A标准。</w:t>
      </w:r>
    </w:p>
    <w:p w14:paraId="69EB16F6">
      <w:pPr>
        <w:keepNext/>
        <w:keepLines/>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9"/>
        <w:rPr>
          <w:rFonts w:hint="default" w:ascii="Times New Roman" w:hAnsi="Times New Roman" w:eastAsia="宋体" w:cs="Times New Roman"/>
          <w:b/>
          <w:bCs/>
          <w:kern w:val="2"/>
          <w:sz w:val="24"/>
          <w:szCs w:val="24"/>
          <w:lang w:val="en-US" w:eastAsia="zh-CN"/>
        </w:rPr>
      </w:pPr>
      <w:r>
        <w:rPr>
          <w:rFonts w:hint="default" w:ascii="Times New Roman" w:hAnsi="Times New Roman" w:eastAsia="宋体" w:cs="Times New Roman"/>
          <w:b/>
          <w:bCs/>
          <w:kern w:val="2"/>
          <w:sz w:val="24"/>
          <w:szCs w:val="24"/>
          <w:lang w:val="en-US" w:eastAsia="zh-CN"/>
        </w:rPr>
        <w:t>10.1.2对水功能区（水域）水质和生态的影响；</w:t>
      </w:r>
    </w:p>
    <w:p w14:paraId="4873886F">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经预测，本排污口的设置不改变排污口所处水功能区及下游水功能的使用功能，也基本不会影响相邻水功能区的使用。</w:t>
      </w:r>
    </w:p>
    <w:p w14:paraId="020ABC98">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污水处理厂出现事故排污时，CODcr、NH</w:t>
      </w:r>
      <w:r>
        <w:rPr>
          <w:rFonts w:hint="default" w:ascii="Times New Roman" w:hAnsi="Times New Roman" w:eastAsia="宋体" w:cs="Times New Roman"/>
          <w:kern w:val="2"/>
          <w:sz w:val="24"/>
          <w:szCs w:val="20"/>
          <w:vertAlign w:val="subscript"/>
          <w:lang w:val="en-US" w:eastAsia="zh-CN" w:bidi="ar-SA"/>
        </w:rPr>
        <w:t>3</w:t>
      </w:r>
      <w:r>
        <w:rPr>
          <w:rFonts w:hint="default" w:ascii="Times New Roman" w:hAnsi="Times New Roman" w:eastAsia="宋体" w:cs="Times New Roman"/>
          <w:kern w:val="2"/>
          <w:sz w:val="24"/>
          <w:szCs w:val="20"/>
          <w:lang w:val="en-US" w:eastAsia="zh-CN" w:bidi="ar-SA"/>
        </w:rPr>
        <w:t>-N、TP对老三运河水质有一定影响，出现超标。污水处理厂需设置在线监测系统和应急措施，一旦发现事故排放，立即启动应急措施，防止事故废水对外排放，确保不对机排二十渠及老三运河产生影响。</w:t>
      </w:r>
    </w:p>
    <w:p w14:paraId="42721E91">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本</w:t>
      </w:r>
      <w:r>
        <w:rPr>
          <w:rFonts w:hint="eastAsia" w:cs="Times New Roman"/>
          <w:kern w:val="2"/>
          <w:sz w:val="24"/>
          <w:szCs w:val="20"/>
          <w:lang w:val="en-US" w:eastAsia="zh-CN" w:bidi="ar-SA"/>
        </w:rPr>
        <w:t>项目</w:t>
      </w:r>
      <w:r>
        <w:rPr>
          <w:rFonts w:hint="default" w:ascii="Times New Roman" w:hAnsi="Times New Roman" w:eastAsia="宋体" w:cs="Times New Roman"/>
          <w:kern w:val="2"/>
          <w:sz w:val="24"/>
          <w:szCs w:val="20"/>
          <w:lang w:val="en-US" w:eastAsia="zh-CN" w:bidi="ar-SA"/>
        </w:rPr>
        <w:t>入河排污口位于机排二十渠，入河排污口未设置在自然保护区、风景名胜区、重要湿地以及鱼类“三场”和洄游通道，设置入河排污口不存在生态制约因素，符合水生态保护要求。此外本工程的建设消减大通湖区镇区污水排入机排二十渠的污染量，对改善水功能区的水质，实现水功能区的水质目标有利，可保护流域的水生态环境。</w:t>
      </w:r>
    </w:p>
    <w:p w14:paraId="7CDCD376">
      <w:pPr>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kern w:val="2"/>
          <w:sz w:val="24"/>
          <w:szCs w:val="24"/>
          <w:lang w:val="en-US" w:eastAsia="zh-CN"/>
        </w:rPr>
      </w:pPr>
      <w:r>
        <w:rPr>
          <w:rFonts w:hint="default" w:ascii="Times New Roman" w:hAnsi="Times New Roman" w:eastAsia="宋体" w:cs="Times New Roman"/>
          <w:b/>
          <w:bCs/>
          <w:kern w:val="2"/>
          <w:sz w:val="24"/>
          <w:szCs w:val="24"/>
          <w:lang w:val="en-US" w:eastAsia="zh-CN"/>
        </w:rPr>
        <w:t>10.1.3对第三者权益的影响</w:t>
      </w:r>
    </w:p>
    <w:p w14:paraId="3EB565B2">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根据调查，论证范围内无取水口。距离项目约1.5km益阳大通湖区自来水有限公司水源以地下水为主要水源，供水井位于水厂里面。因此，本排污口对益阳大通湖区自来水有限公司饮用水水源保护区取水口影响较小。</w:t>
      </w:r>
    </w:p>
    <w:p w14:paraId="5C3E5016">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本污水处理厂对大通湖区工业园区企业废水进行收集、处理后达《城镇污水处理厂污染物排放标准》（GB18918-2002）及修改单</w:t>
      </w:r>
      <w:r>
        <w:rPr>
          <w:rFonts w:hint="eastAsia" w:cs="Times New Roman"/>
          <w:kern w:val="2"/>
          <w:sz w:val="24"/>
          <w:szCs w:val="20"/>
          <w:lang w:val="en-US" w:eastAsia="zh-CN" w:bidi="ar-SA"/>
        </w:rPr>
        <w:t>的</w:t>
      </w:r>
      <w:r>
        <w:rPr>
          <w:rFonts w:hint="default" w:ascii="Times New Roman" w:hAnsi="Times New Roman" w:eastAsia="宋体" w:cs="Times New Roman"/>
          <w:kern w:val="2"/>
          <w:sz w:val="24"/>
          <w:szCs w:val="20"/>
          <w:lang w:val="en-US" w:eastAsia="zh-CN" w:bidi="ar-SA"/>
        </w:rPr>
        <w:t>一级A标准后排放，对改善下游水质具有积极的意义。</w:t>
      </w:r>
    </w:p>
    <w:p w14:paraId="4E8EC2A9">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机排二十渠水质能够满足《地表水环境质量标准》（GB 3838-2002）表 1 中Ⅳ类标准，不会对周边农业用水产生不利影响。</w:t>
      </w:r>
    </w:p>
    <w:p w14:paraId="6356BE0E">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本项目为</w:t>
      </w:r>
      <w:r>
        <w:rPr>
          <w:rFonts w:hint="eastAsia" w:cs="Times New Roman"/>
          <w:kern w:val="2"/>
          <w:sz w:val="24"/>
          <w:szCs w:val="20"/>
          <w:lang w:val="en-US" w:eastAsia="zh-CN" w:bidi="ar-SA"/>
        </w:rPr>
        <w:t>大通湖工业园</w:t>
      </w:r>
      <w:r>
        <w:rPr>
          <w:rFonts w:hint="default" w:ascii="Times New Roman" w:hAnsi="Times New Roman" w:eastAsia="宋体" w:cs="Times New Roman"/>
          <w:kern w:val="2"/>
          <w:sz w:val="24"/>
          <w:szCs w:val="20"/>
          <w:lang w:val="en-US" w:eastAsia="zh-CN" w:bidi="ar-SA"/>
        </w:rPr>
        <w:t>污水处理厂，项目排放的水污染因子主要为常规污染物，且本项目属于</w:t>
      </w:r>
      <w:r>
        <w:rPr>
          <w:rFonts w:hint="eastAsia" w:cs="Times New Roman"/>
          <w:kern w:val="2"/>
          <w:sz w:val="24"/>
          <w:szCs w:val="20"/>
          <w:lang w:val="en-US" w:eastAsia="zh-CN" w:bidi="ar-SA"/>
        </w:rPr>
        <w:t>污水处理</w:t>
      </w:r>
      <w:r>
        <w:rPr>
          <w:rFonts w:hint="default" w:ascii="Times New Roman" w:hAnsi="Times New Roman" w:eastAsia="宋体" w:cs="Times New Roman"/>
          <w:kern w:val="2"/>
          <w:sz w:val="24"/>
          <w:szCs w:val="20"/>
          <w:lang w:val="en-US" w:eastAsia="zh-CN" w:bidi="ar-SA"/>
        </w:rPr>
        <w:t>工程，污水处理厂正常运行情况下将污水处理达到《城镇污水处理厂污染物排放标准》（GB18918-2002）</w:t>
      </w:r>
      <w:r>
        <w:rPr>
          <w:rFonts w:hint="eastAsia" w:cs="Times New Roman"/>
          <w:kern w:val="2"/>
          <w:sz w:val="24"/>
          <w:szCs w:val="20"/>
          <w:lang w:val="en-US" w:eastAsia="zh-CN" w:bidi="ar-SA"/>
        </w:rPr>
        <w:t>及修改单的</w:t>
      </w:r>
      <w:r>
        <w:rPr>
          <w:rFonts w:hint="default" w:ascii="Times New Roman" w:hAnsi="Times New Roman" w:eastAsia="宋体" w:cs="Times New Roman"/>
          <w:kern w:val="2"/>
          <w:sz w:val="24"/>
          <w:szCs w:val="20"/>
          <w:lang w:val="en-US" w:eastAsia="zh-CN" w:bidi="ar-SA"/>
        </w:rPr>
        <w:t>一级A标准后排放至机排二十渠，距离大通湖国家湿地公园约5.1km，对湿地公园的影响较小</w:t>
      </w:r>
    </w:p>
    <w:p w14:paraId="1BADE66B">
      <w:pPr>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kern w:val="2"/>
          <w:sz w:val="24"/>
          <w:szCs w:val="24"/>
          <w:lang w:val="en-US" w:eastAsia="zh-CN"/>
        </w:rPr>
      </w:pPr>
      <w:r>
        <w:rPr>
          <w:rFonts w:hint="default" w:ascii="Times New Roman" w:hAnsi="Times New Roman" w:eastAsia="宋体" w:cs="Times New Roman"/>
          <w:b/>
          <w:bCs/>
          <w:kern w:val="2"/>
          <w:sz w:val="24"/>
          <w:szCs w:val="24"/>
          <w:lang w:val="en-US" w:eastAsia="zh-CN"/>
        </w:rPr>
        <w:t>10.1.4排放位置、排放方式的建议及其合理性</w:t>
      </w:r>
    </w:p>
    <w:p w14:paraId="15DF3B90">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大通湖工业园污水处理厂提质改造建设项目</w:t>
      </w:r>
      <w:r>
        <w:rPr>
          <w:rFonts w:hint="eastAsia" w:cs="Times New Roman"/>
          <w:kern w:val="2"/>
          <w:sz w:val="24"/>
          <w:szCs w:val="20"/>
          <w:lang w:val="en-US" w:eastAsia="zh-CN" w:bidi="ar-SA"/>
        </w:rPr>
        <w:t>（一期）</w:t>
      </w:r>
      <w:r>
        <w:rPr>
          <w:rFonts w:hint="default" w:ascii="Times New Roman" w:hAnsi="Times New Roman" w:eastAsia="宋体" w:cs="Times New Roman"/>
          <w:kern w:val="2"/>
          <w:sz w:val="24"/>
          <w:szCs w:val="20"/>
          <w:lang w:val="en-US" w:eastAsia="zh-CN" w:bidi="ar-SA"/>
        </w:rPr>
        <w:t>其建设符合国家相关产业政策，排污口位置能满足水功能区水质管理相关要求，不影响第三方权益，不会对水生生物造成明显不利影响。项目排污口排放位置、排放方式合理。</w:t>
      </w:r>
    </w:p>
    <w:p w14:paraId="0A7E0890">
      <w:pPr>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kern w:val="2"/>
          <w:sz w:val="24"/>
          <w:szCs w:val="24"/>
          <w:lang w:val="en-US" w:eastAsia="zh-CN"/>
        </w:rPr>
      </w:pPr>
      <w:r>
        <w:rPr>
          <w:rFonts w:hint="default" w:ascii="Times New Roman" w:hAnsi="Times New Roman" w:eastAsia="宋体" w:cs="Times New Roman"/>
          <w:b/>
          <w:bCs/>
          <w:kern w:val="2"/>
          <w:sz w:val="24"/>
          <w:szCs w:val="24"/>
          <w:lang w:val="en-US" w:eastAsia="zh-CN"/>
        </w:rPr>
        <w:t>10.1.5入河排污口排污前污水处理措施及其效果</w:t>
      </w:r>
    </w:p>
    <w:p w14:paraId="343E49A9">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大通湖工业园污水处理厂提质改造建设项目</w:t>
      </w:r>
      <w:r>
        <w:rPr>
          <w:rFonts w:hint="eastAsia" w:cs="Times New Roman"/>
          <w:kern w:val="2"/>
          <w:sz w:val="24"/>
          <w:szCs w:val="20"/>
          <w:lang w:val="en-US" w:eastAsia="zh-CN" w:bidi="ar-SA"/>
        </w:rPr>
        <w:t>（一期）</w:t>
      </w:r>
      <w:r>
        <w:rPr>
          <w:rFonts w:hint="default" w:ascii="Times New Roman" w:hAnsi="Times New Roman" w:eastAsia="宋体" w:cs="Times New Roman"/>
          <w:kern w:val="2"/>
          <w:sz w:val="24"/>
          <w:szCs w:val="20"/>
          <w:lang w:val="en-US" w:eastAsia="zh-CN" w:bidi="ar-SA"/>
        </w:rPr>
        <w:t>处理措施为“</w:t>
      </w:r>
      <w:r>
        <w:rPr>
          <w:rFonts w:hint="default" w:ascii="Times New Roman" w:hAnsi="Times New Roman" w:eastAsia="宋体" w:cs="Times New Roman"/>
          <w:color w:val="000000"/>
          <w:kern w:val="2"/>
          <w:sz w:val="24"/>
          <w:szCs w:val="32"/>
          <w:u w:val="none" w:color="auto"/>
          <w:lang w:val="en-US" w:eastAsia="zh-CN" w:bidi="ar-SA"/>
        </w:rPr>
        <w:t>一体化泵站+调节均质+水解酸化+AAO生化+混凝沉淀+精密过滤+接触消毒</w:t>
      </w:r>
      <w:r>
        <w:rPr>
          <w:rFonts w:hint="default" w:ascii="Times New Roman" w:hAnsi="Times New Roman" w:eastAsia="宋体" w:cs="Times New Roman"/>
          <w:color w:val="auto"/>
          <w:kern w:val="2"/>
          <w:sz w:val="24"/>
          <w:szCs w:val="32"/>
          <w:u w:val="none" w:color="auto"/>
          <w:lang w:val="en-US" w:eastAsia="zh-CN" w:bidi="ar-SA"/>
        </w:rPr>
        <w:t>”</w:t>
      </w:r>
      <w:r>
        <w:rPr>
          <w:rFonts w:hint="default" w:ascii="Times New Roman" w:hAnsi="Times New Roman" w:eastAsia="宋体" w:cs="Times New Roman"/>
          <w:color w:val="000000"/>
          <w:kern w:val="2"/>
          <w:sz w:val="24"/>
          <w:szCs w:val="20"/>
          <w:lang w:val="en-US" w:eastAsia="zh-CN" w:bidi="ar-SA"/>
        </w:rPr>
        <w:t>污水处理工艺。</w:t>
      </w:r>
      <w:r>
        <w:rPr>
          <w:rFonts w:hint="default" w:ascii="Times New Roman" w:hAnsi="Times New Roman" w:eastAsia="宋体" w:cs="Times New Roman"/>
          <w:kern w:val="2"/>
          <w:sz w:val="24"/>
          <w:szCs w:val="20"/>
          <w:lang w:val="en-US" w:eastAsia="zh-CN" w:bidi="ar-SA"/>
        </w:rPr>
        <w:t>是目前较为成熟的污水处理工艺，能有效地确保污水合格达标排放，废水经处理后，废污水总排口出水水质可达《城镇污水处理厂污染物排放标准》（GB18918-2002）</w:t>
      </w:r>
      <w:r>
        <w:rPr>
          <w:rFonts w:hint="eastAsia" w:cs="Times New Roman"/>
          <w:kern w:val="2"/>
          <w:sz w:val="24"/>
          <w:szCs w:val="20"/>
          <w:lang w:val="en-US" w:eastAsia="zh-CN" w:bidi="ar-SA"/>
        </w:rPr>
        <w:t>及修改单的</w:t>
      </w:r>
      <w:r>
        <w:rPr>
          <w:rFonts w:hint="default" w:ascii="Times New Roman" w:hAnsi="Times New Roman" w:eastAsia="宋体" w:cs="Times New Roman"/>
          <w:kern w:val="2"/>
          <w:sz w:val="24"/>
          <w:szCs w:val="20"/>
          <w:lang w:val="en-US" w:eastAsia="zh-CN" w:bidi="ar-SA"/>
        </w:rPr>
        <w:t>一级 A 标准。</w:t>
      </w:r>
    </w:p>
    <w:p w14:paraId="47DBCC8F">
      <w:pPr>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kern w:val="2"/>
          <w:sz w:val="24"/>
          <w:szCs w:val="24"/>
          <w:lang w:val="en-US" w:eastAsia="zh-CN"/>
        </w:rPr>
      </w:pPr>
      <w:r>
        <w:rPr>
          <w:rFonts w:hint="default" w:ascii="Times New Roman" w:hAnsi="Times New Roman" w:eastAsia="宋体" w:cs="Times New Roman"/>
          <w:b/>
          <w:bCs/>
          <w:kern w:val="2"/>
          <w:sz w:val="24"/>
          <w:szCs w:val="24"/>
          <w:lang w:val="en-US" w:eastAsia="zh-CN"/>
        </w:rPr>
        <w:t>10.1.6入河排污口设置最终结论</w:t>
      </w:r>
    </w:p>
    <w:p w14:paraId="1F3221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2"/>
          <w:sz w:val="24"/>
          <w:szCs w:val="32"/>
          <w:u w:val="none" w:color="auto"/>
          <w:lang w:val="en-US" w:eastAsia="zh-CN"/>
        </w:rPr>
      </w:pPr>
      <w:r>
        <w:rPr>
          <w:rFonts w:hint="default" w:ascii="Times New Roman" w:hAnsi="Times New Roman" w:eastAsia="宋体" w:cs="Times New Roman"/>
          <w:kern w:val="2"/>
          <w:sz w:val="24"/>
          <w:szCs w:val="20"/>
          <w:lang w:val="en-US" w:eastAsia="zh-CN" w:bidi="ar-SA"/>
        </w:rPr>
        <w:t>综上所述，</w:t>
      </w:r>
      <w:r>
        <w:rPr>
          <w:rFonts w:hint="default" w:ascii="Times New Roman" w:hAnsi="Times New Roman" w:eastAsia="宋体" w:cs="Times New Roman"/>
          <w:kern w:val="2"/>
          <w:sz w:val="24"/>
          <w:lang w:val="en-US" w:eastAsia="zh-CN"/>
        </w:rPr>
        <w:t>大通湖工业园污水处理厂提质改造建设项目</w:t>
      </w:r>
      <w:r>
        <w:rPr>
          <w:rFonts w:hint="eastAsia" w:cs="Times New Roman"/>
          <w:kern w:val="2"/>
          <w:sz w:val="24"/>
          <w:lang w:val="en-US" w:eastAsia="zh-CN"/>
        </w:rPr>
        <w:t>（一期）</w:t>
      </w:r>
      <w:r>
        <w:rPr>
          <w:rFonts w:hint="default" w:ascii="Times New Roman" w:hAnsi="Times New Roman" w:eastAsia="宋体" w:cs="Times New Roman"/>
          <w:kern w:val="2"/>
          <w:sz w:val="24"/>
          <w:szCs w:val="20"/>
          <w:lang w:val="en-US" w:eastAsia="zh-CN" w:bidi="ar-SA"/>
        </w:rPr>
        <w:t>采用</w:t>
      </w:r>
      <w:r>
        <w:rPr>
          <w:rFonts w:hint="default" w:ascii="Times New Roman" w:hAnsi="Times New Roman" w:eastAsia="宋体" w:cs="Times New Roman"/>
          <w:color w:val="auto"/>
          <w:kern w:val="2"/>
          <w:sz w:val="24"/>
          <w:szCs w:val="32"/>
          <w:u w:val="none" w:color="auto"/>
          <w:lang w:val="en-US" w:eastAsia="zh-CN"/>
        </w:rPr>
        <w:t>“</w:t>
      </w:r>
      <w:r>
        <w:rPr>
          <w:rFonts w:hint="default" w:ascii="Times New Roman" w:hAnsi="Times New Roman" w:eastAsia="宋体" w:cs="Times New Roman"/>
          <w:color w:val="000000"/>
          <w:kern w:val="2"/>
          <w:sz w:val="24"/>
          <w:szCs w:val="32"/>
          <w:u w:val="none" w:color="auto"/>
          <w:lang w:val="en-US" w:eastAsia="zh-CN"/>
        </w:rPr>
        <w:t>一体化泵站+调节均质+水解酸化+AAO生化+混凝沉淀+精密过滤+接触消毒”污水处理工艺，废水经处理后，废污水总排口出水水质可达《城镇污水处理厂污染物排放标准》（GB18918-2002）</w:t>
      </w:r>
      <w:r>
        <w:rPr>
          <w:rFonts w:hint="eastAsia" w:ascii="Times New Roman" w:hAnsi="Times New Roman" w:eastAsia="宋体" w:cs="Times New Roman"/>
          <w:color w:val="000000"/>
          <w:kern w:val="2"/>
          <w:sz w:val="24"/>
          <w:szCs w:val="32"/>
          <w:u w:val="none" w:color="auto"/>
          <w:lang w:val="en-US" w:eastAsia="zh-CN"/>
        </w:rPr>
        <w:t>及修改单的</w:t>
      </w:r>
      <w:r>
        <w:rPr>
          <w:rFonts w:hint="default" w:ascii="Times New Roman" w:hAnsi="Times New Roman" w:eastAsia="宋体" w:cs="Times New Roman"/>
          <w:color w:val="000000"/>
          <w:kern w:val="2"/>
          <w:sz w:val="24"/>
          <w:szCs w:val="32"/>
          <w:u w:val="none" w:color="auto"/>
          <w:lang w:val="en-US" w:eastAsia="zh-CN"/>
        </w:rPr>
        <w:t xml:space="preserve">一级 A 标准要求；项目污水正常排放时，对受纳水体的水质及生态无明显影响；对第三者权益无明显影响；排污口扩建后不会改变排入水体的水质类别，对下游水功能区水质目标不会造成明显的影响。 </w:t>
      </w:r>
    </w:p>
    <w:p w14:paraId="0C8BD0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2"/>
          <w:sz w:val="24"/>
          <w:szCs w:val="32"/>
          <w:u w:val="none" w:color="auto"/>
          <w:lang w:val="en-US" w:eastAsia="zh-CN"/>
        </w:rPr>
      </w:pPr>
      <w:r>
        <w:rPr>
          <w:rFonts w:hint="default" w:ascii="Times New Roman" w:hAnsi="Times New Roman" w:eastAsia="宋体" w:cs="Times New Roman"/>
          <w:color w:val="000000"/>
          <w:kern w:val="2"/>
          <w:sz w:val="24"/>
          <w:szCs w:val="32"/>
          <w:u w:val="none" w:color="auto"/>
          <w:lang w:val="en-US" w:eastAsia="zh-CN"/>
        </w:rPr>
        <w:t>因此，大通湖工业园污水处理厂提质改造建设项目</w:t>
      </w:r>
      <w:r>
        <w:rPr>
          <w:rFonts w:hint="eastAsia" w:cs="Times New Roman"/>
          <w:color w:val="000000"/>
          <w:kern w:val="2"/>
          <w:sz w:val="24"/>
          <w:szCs w:val="32"/>
          <w:u w:val="none" w:color="auto"/>
          <w:lang w:val="en-US" w:eastAsia="zh-CN"/>
        </w:rPr>
        <w:t>（一期）扩建</w:t>
      </w:r>
      <w:r>
        <w:rPr>
          <w:rFonts w:hint="default" w:ascii="Times New Roman" w:hAnsi="Times New Roman" w:eastAsia="宋体" w:cs="Times New Roman"/>
          <w:color w:val="000000"/>
          <w:kern w:val="2"/>
          <w:sz w:val="24"/>
          <w:szCs w:val="32"/>
          <w:u w:val="none" w:color="auto"/>
          <w:lang w:val="en-US" w:eastAsia="zh-CN"/>
        </w:rPr>
        <w:t>入河排污口设置合理。</w:t>
      </w:r>
    </w:p>
    <w:p w14:paraId="75189329">
      <w:pPr>
        <w:keepNext/>
        <w:keepLines/>
        <w:pageBreakBefore w:val="0"/>
        <w:widowControl w:val="0"/>
        <w:numPr>
          <w:ilvl w:val="0"/>
          <w:numId w:val="0"/>
        </w:numPr>
        <w:kinsoku/>
        <w:wordWrap/>
        <w:overflowPunct/>
        <w:topLinePunct w:val="0"/>
        <w:autoSpaceDE/>
        <w:autoSpaceDN/>
        <w:bidi w:val="0"/>
        <w:adjustRightInd/>
        <w:snapToGrid/>
        <w:spacing w:line="360" w:lineRule="auto"/>
        <w:ind w:left="0" w:leftChars="0" w:firstLine="0"/>
        <w:jc w:val="both"/>
        <w:textAlignment w:val="auto"/>
        <w:outlineLvl w:val="1"/>
        <w:rPr>
          <w:rFonts w:hint="default" w:ascii="Times New Roman" w:hAnsi="Times New Roman" w:eastAsia="宋体" w:cs="Times New Roman"/>
          <w:b/>
          <w:bCs/>
          <w:kern w:val="2"/>
          <w:sz w:val="28"/>
          <w:szCs w:val="32"/>
          <w:lang w:val="en-US" w:eastAsia="zh-CN" w:bidi="ar-SA"/>
        </w:rPr>
      </w:pPr>
      <w:bookmarkStart w:id="402" w:name="_Toc15519"/>
      <w:r>
        <w:rPr>
          <w:rFonts w:hint="default" w:ascii="Times New Roman" w:hAnsi="Times New Roman" w:eastAsia="宋体" w:cs="Times New Roman"/>
          <w:b/>
          <w:bCs/>
          <w:kern w:val="2"/>
          <w:sz w:val="28"/>
          <w:szCs w:val="32"/>
          <w:lang w:val="en-US" w:eastAsia="zh-CN" w:bidi="ar-SA"/>
        </w:rPr>
        <w:t>10.2建议</w:t>
      </w:r>
      <w:bookmarkEnd w:id="402"/>
    </w:p>
    <w:p w14:paraId="603C8EB5">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1）排污口设置规范化，符合河道管理部门的要求。入河排污口规范化建设应包括统一规范入河排污口设置、实行排污口的立标管理、标明水污染物限制排放总量及浓度情况、明确责任主体及监督单位等内容，并装置排放计量仪，控制排污总量。</w:t>
      </w:r>
    </w:p>
    <w:p w14:paraId="7A10E338">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（2）重视废水自行监测工作，动态掌握排放废水水质，以便针对超标污染物及时采取处理措施。</w:t>
      </w:r>
    </w:p>
    <w:p w14:paraId="265BE5BB">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（3）设置单位对入河排污口处及下游实行定期与不定期水质监测措施，送具有相应资质部门分析检测，并将检测结果及时报送水行政或水环境主管部门。</w:t>
      </w:r>
    </w:p>
    <w:p w14:paraId="31C1D659">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4）落实风险管理措施，制定切实可行的事故应急预案。一旦发生非正常污水排放事故，立即启动应急方案，严防污水外排，同时及时向有关部门反映，采取有效处理措施，最大限度降低对周围环境和人民生命及财产造成的危害。</w:t>
      </w:r>
    </w:p>
    <w:p w14:paraId="7FB08341">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r>
        <w:rPr>
          <w:rFonts w:hint="default" w:ascii="Times New Roman" w:hAnsi="Times New Roman" w:eastAsia="宋体" w:cs="Times New Roman"/>
          <w:kern w:val="2"/>
          <w:sz w:val="24"/>
          <w:szCs w:val="20"/>
          <w:lang w:val="en-US" w:eastAsia="zh-CN" w:bidi="ar-SA"/>
        </w:rPr>
        <w:t>（5）加强污水管道和处理设备的维护和保养，避免发生事故性环境危害。</w:t>
      </w:r>
    </w:p>
    <w:p w14:paraId="6BF0E2D2">
      <w:pPr>
        <w:widowControl w:val="0"/>
        <w:spacing w:line="360" w:lineRule="auto"/>
        <w:ind w:firstLine="480" w:firstLineChars="200"/>
        <w:jc w:val="both"/>
        <w:rPr>
          <w:rFonts w:hint="default" w:ascii="Times New Roman" w:hAnsi="Times New Roman" w:eastAsia="宋体" w:cs="Times New Roman"/>
          <w:kern w:val="2"/>
          <w:sz w:val="24"/>
          <w:szCs w:val="20"/>
          <w:lang w:val="en-US" w:eastAsia="zh-CN" w:bidi="ar-SA"/>
        </w:rPr>
      </w:pPr>
    </w:p>
    <w:p w14:paraId="777D46BD">
      <w:pPr>
        <w:autoSpaceDE/>
        <w:autoSpaceDN/>
        <w:adjustRightInd/>
        <w:spacing w:line="240" w:lineRule="auto"/>
        <w:ind w:firstLine="0" w:firstLineChars="0"/>
        <w:rPr>
          <w:rFonts w:hint="default" w:ascii="Times New Roman" w:hAnsi="Times New Roman" w:eastAsia="宋体" w:cs="Times New Roman"/>
          <w:kern w:val="2"/>
          <w:sz w:val="21"/>
        </w:rPr>
      </w:pPr>
    </w:p>
    <w:p w14:paraId="7545BC04">
      <w:pPr>
        <w:autoSpaceDE/>
        <w:autoSpaceDN/>
        <w:adjustRightInd/>
        <w:spacing w:line="240" w:lineRule="auto"/>
        <w:ind w:left="0" w:leftChars="0" w:firstLine="0" w:firstLineChars="0"/>
        <w:outlineLvl w:val="9"/>
        <w:rPr>
          <w:rFonts w:hint="default" w:ascii="Times New Roman" w:hAnsi="Times New Roman" w:eastAsia="宋体" w:cs="Times New Roman"/>
          <w:kern w:val="2"/>
          <w:sz w:val="21"/>
          <w:lang w:val="en-US" w:eastAsia="zh-CN"/>
        </w:rPr>
      </w:pPr>
    </w:p>
    <w:p w14:paraId="1C60308D">
      <w:pPr>
        <w:pStyle w:val="189"/>
        <w:rPr>
          <w:rFonts w:hint="default" w:ascii="Times New Roman" w:hAnsi="Times New Roman" w:cs="Times New Roman"/>
          <w:color w:val="auto"/>
          <w:highlight w:val="none"/>
          <w:u w:val="none" w:color="auto"/>
        </w:rPr>
      </w:pPr>
    </w:p>
    <w:sectPr>
      <w:footerReference r:id="rId22"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font-weight : 400">
    <w:altName w:val="Times New Roman"/>
    <w:panose1 w:val="00000000000000000000"/>
    <w:charset w:val="00"/>
    <w:family w:val="roman"/>
    <w:pitch w:val="default"/>
    <w:sig w:usb0="00000000" w:usb1="00000000" w:usb2="00000000" w:usb3="00000000" w:csb0="00000001" w:csb1="00000000"/>
  </w:font>
  <w:font w:name="文鼎粗行楷简">
    <w:altName w:val="宋体"/>
    <w:panose1 w:val="00000000000000000000"/>
    <w:charset w:val="86"/>
    <w:family w:val="roman"/>
    <w:pitch w:val="default"/>
    <w:sig w:usb0="00000000" w:usb1="00000000" w:usb2="00000010" w:usb3="00000000" w:csb0="00040000" w:csb1="00000000"/>
  </w:font>
  <w:font w:name="仿宋体">
    <w:altName w:val="宋体"/>
    <w:panose1 w:val="00000000000000000000"/>
    <w:charset w:val="86"/>
    <w:family w:val="swiss"/>
    <w:pitch w:val="default"/>
    <w:sig w:usb0="00000000" w:usb1="00000000" w:usb2="00000010" w:usb3="00000000" w:csb0="00040000" w:csb1="00000000"/>
  </w:font>
  <w:font w:name="TimesNewRoman">
    <w:altName w:val="宋体"/>
    <w:panose1 w:val="00000000000000000000"/>
    <w:charset w:val="86"/>
    <w:family w:val="auto"/>
    <w:pitch w:val="default"/>
    <w:sig w:usb0="00000000" w:usb1="00000000" w:usb2="00000000" w:usb3="00000000" w:csb0="00040001" w:csb1="00000000"/>
  </w:font>
  <w:font w:name="华文新魏">
    <w:panose1 w:val="02010800040101010101"/>
    <w:charset w:val="86"/>
    <w:family w:val="auto"/>
    <w:pitch w:val="default"/>
    <w:sig w:usb0="00000001" w:usb1="080F0000" w:usb2="00000000" w:usb3="00000000" w:csb0="00040000" w:csb1="00000000"/>
  </w:font>
  <w:font w:name="瀹嬩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roman"/>
    <w:pitch w:val="default"/>
    <w:sig w:usb0="00000000" w:usb1="00000000" w:usb2="00000010" w:usb3="00000000" w:csb0="0006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Wingdings 2">
    <w:panose1 w:val="05020102010507070707"/>
    <w:charset w:val="02"/>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DD714">
    <w:pPr>
      <w:pStyle w:val="49"/>
      <w:ind w:firstLine="360"/>
      <w:jc w:val="both"/>
      <w:rPr>
        <w:rFonts w:hint="eastAsia" w:eastAsia="宋体"/>
        <w:color w:val="auto"/>
        <w:lang w:eastAsia="zh-CN"/>
      </w:rPr>
    </w:pPr>
    <w:r>
      <w:rPr>
        <w:color w:val="auto"/>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21509">
                          <w:pPr>
                            <w:pStyle w:val="49"/>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E67A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8TrsCwCAABXBAAADgAAAAAAAAABACAAAAAfAQAAZHJzL2Uyb0RvYy54bWxQSwUGAAAAAAYA&#10;BgBZAQAAvQUAAAAA&#10;">
              <v:fill on="f" focussize="0,0"/>
              <v:stroke on="f" weight="0.5pt"/>
              <v:imagedata o:title=""/>
              <o:lock v:ext="edit" aspectratio="f"/>
              <v:textbox inset="0mm,0mm,0mm,0mm" style="mso-fit-shape-to-text:t;">
                <w:txbxContent>
                  <w:p w14:paraId="71221509">
                    <w:pPr>
                      <w:pStyle w:val="49"/>
                      <w:ind w:firstLine="360"/>
                    </w:pPr>
                  </w:p>
                </w:txbxContent>
              </v:textbox>
            </v:shape>
          </w:pict>
        </mc:Fallback>
      </mc:AlternateContent>
    </w:r>
    <w:r>
      <w:rPr>
        <w:rFonts w:hint="eastAsia"/>
        <w:color w:val="auto"/>
        <w:lang w:eastAsia="zh-CN"/>
      </w:rPr>
      <w:t>湖南沐程生态环境工程有限公司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8E750">
    <w:pPr>
      <w:pStyle w:val="49"/>
      <w:ind w:firstLine="360"/>
      <w:rPr>
        <w:rFonts w:eastAsia="Times New Roman"/>
        <w:color w:val="000000" w:themeColor="text1"/>
        <w:sz w:val="20"/>
        <w14:textFill>
          <w14:solidFill>
            <w14:schemeClr w14:val="tx1"/>
          </w14:solidFill>
        </w14:textFill>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D7127">
                          <w:pPr>
                            <w:pStyle w:val="49"/>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0E7D7127">
                    <w:pPr>
                      <w:pStyle w:val="49"/>
                    </w:pPr>
                    <w:r>
                      <w:fldChar w:fldCharType="begin"/>
                    </w:r>
                    <w:r>
                      <w:instrText xml:space="preserve"> PAGE  \* MERGEFORMAT </w:instrText>
                    </w:r>
                    <w:r>
                      <w:fldChar w:fldCharType="separate"/>
                    </w:r>
                    <w:r>
                      <w:t>162</w:t>
                    </w:r>
                    <w:r>
                      <w:fldChar w:fldCharType="end"/>
                    </w:r>
                  </w:p>
                </w:txbxContent>
              </v:textbox>
            </v:shape>
          </w:pict>
        </mc:Fallback>
      </mc:AlternateContent>
    </w:r>
    <w:r>
      <w:rPr>
        <w:rFonts w:hint="eastAsia"/>
        <w:color w:val="000000" w:themeColor="text1"/>
        <w:lang w:eastAsia="zh-CN"/>
        <w14:textFill>
          <w14:solidFill>
            <w14:schemeClr w14:val="tx1"/>
          </w14:solidFill>
        </w14:textFill>
      </w:rPr>
      <w:t>湖南沐程生态环境工程有限公司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D3CEA">
    <w:pPr>
      <w:widowControl w:val="0"/>
      <w:tabs>
        <w:tab w:val="center" w:pos="4153"/>
      </w:tabs>
      <w:snapToGrid w:val="0"/>
      <w:jc w:val="left"/>
      <w:rPr>
        <w:rFonts w:hint="default"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8DF5CD">
                          <w:pPr>
                            <w:pStyle w:val="4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5A8DF5CD">
                    <w:pPr>
                      <w:pStyle w:val="4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kern w:val="2"/>
        <w:sz w:val="18"/>
        <w:szCs w:val="18"/>
        <w:lang w:val="en-US" w:eastAsia="zh-CN" w:bidi="ar-SA"/>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3AD83">
    <w:pPr>
      <w:widowControl w:val="0"/>
      <w:spacing w:after="120" w:line="14" w:lineRule="auto"/>
      <w:ind w:left="0"/>
      <w:jc w:val="both"/>
      <w:rPr>
        <w:rFonts w:ascii="Times New Roman" w:hAnsi="Times New Roman" w:eastAsia="宋体" w:cs="Times New Roman"/>
        <w:kern w:val="2"/>
        <w:sz w:val="20"/>
        <w:szCs w:val="24"/>
        <w:lang w:val="en-US" w:eastAsia="zh-CN" w:bidi="ar-SA"/>
      </w:rPr>
    </w:pP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B95D1">
                          <w:pPr>
                            <w:pStyle w:val="49"/>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301B95D1">
                    <w:pPr>
                      <w:pStyle w:val="49"/>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8BDC7">
    <w:pPr>
      <w:pStyle w:val="49"/>
      <w:ind w:firstLine="360"/>
      <w:rPr>
        <w:rFonts w:eastAsia="Times New Roman"/>
        <w:color w:val="000000" w:themeColor="text1"/>
        <w:sz w:val="20"/>
        <w14:textFill>
          <w14:solidFill>
            <w14:schemeClr w14:val="tx1"/>
          </w14:solidFill>
        </w14:textFill>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8E692">
                          <w:pPr>
                            <w:pStyle w:val="49"/>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0308E692">
                    <w:pPr>
                      <w:pStyle w:val="49"/>
                    </w:pPr>
                    <w:r>
                      <w:fldChar w:fldCharType="begin"/>
                    </w:r>
                    <w:r>
                      <w:instrText xml:space="preserve"> PAGE  \* MERGEFORMAT </w:instrText>
                    </w:r>
                    <w:r>
                      <w:fldChar w:fldCharType="separate"/>
                    </w:r>
                    <w:r>
                      <w:t>227</w:t>
                    </w:r>
                    <w:r>
                      <w:fldChar w:fldCharType="end"/>
                    </w:r>
                  </w:p>
                </w:txbxContent>
              </v:textbox>
            </v:shape>
          </w:pict>
        </mc:Fallback>
      </mc:AlternateContent>
    </w:r>
    <w:r>
      <w:rPr>
        <w:rFonts w:hint="eastAsia"/>
        <w:color w:val="000000" w:themeColor="text1"/>
        <w:lang w:eastAsia="zh-CN"/>
        <w14:textFill>
          <w14:solidFill>
            <w14:schemeClr w14:val="tx1"/>
          </w14:solidFill>
        </w14:textFill>
      </w:rPr>
      <w:t>湖南沐程生态环境工程有限公司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9CCE5">
    <w:pPr>
      <w:pStyle w:val="4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40CE9">
    <w:pPr>
      <w:pStyle w:val="4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B5AE6">
    <w:pPr>
      <w:pStyle w:val="49"/>
      <w:ind w:firstLine="360"/>
      <w:rPr>
        <w:color w:val="auto"/>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D8513">
                          <w:pPr>
                            <w:pStyle w:val="4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2D0D8513">
                    <w:pPr>
                      <w:pStyle w:val="4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color w:val="auto"/>
        <w:lang w:eastAsia="zh-CN"/>
      </w:rPr>
      <w:t>湖南沐程生态环境工程有限公司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703DE">
    <w:pPr>
      <w:pStyle w:val="49"/>
      <w:ind w:firstLine="360"/>
      <w:rPr>
        <w:rFonts w:eastAsiaTheme="minorEastAsia"/>
        <w:color w:val="000000" w:themeColor="text1"/>
        <w:sz w:val="20"/>
        <w14:textFill>
          <w14:solidFill>
            <w14:schemeClr w14:val="tx1"/>
          </w14:solidFill>
        </w14:textFill>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067DD">
                          <w:pPr>
                            <w:pStyle w:val="4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474067DD">
                    <w:pPr>
                      <w:pStyle w:val="49"/>
                    </w:pPr>
                    <w:r>
                      <w:fldChar w:fldCharType="begin"/>
                    </w:r>
                    <w:r>
                      <w:instrText xml:space="preserve"> PAGE  \* MERGEFORMAT </w:instrText>
                    </w:r>
                    <w:r>
                      <w:fldChar w:fldCharType="separate"/>
                    </w:r>
                    <w:r>
                      <w:t>15</w:t>
                    </w:r>
                    <w:r>
                      <w:fldChar w:fldCharType="end"/>
                    </w:r>
                  </w:p>
                </w:txbxContent>
              </v:textbox>
            </v:shape>
          </w:pict>
        </mc:Fallback>
      </mc:AlternateContent>
    </w:r>
    <w:r>
      <w:rPr>
        <w:rFonts w:hint="eastAsia" w:eastAsiaTheme="minorEastAsia"/>
        <w:color w:val="000000" w:themeColor="text1"/>
        <w:lang w:eastAsia="zh-CN"/>
        <w14:textFill>
          <w14:solidFill>
            <w14:schemeClr w14:val="tx1"/>
          </w14:solidFill>
        </w14:textFill>
      </w:rPr>
      <w:t>湖南沐程生态环境工程有限公司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8F8B2">
    <w:pPr>
      <w:pStyle w:val="49"/>
      <w:ind w:firstLine="360"/>
      <w:rPr>
        <w:rFonts w:eastAsia="Times New Roman"/>
        <w:color w:val="auto"/>
        <w:sz w:val="20"/>
        <w:szCs w:val="20"/>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3EC75">
                          <w:pPr>
                            <w:pStyle w:val="49"/>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873EC75">
                    <w:pPr>
                      <w:pStyle w:val="49"/>
                    </w:pPr>
                    <w:r>
                      <w:fldChar w:fldCharType="begin"/>
                    </w:r>
                    <w:r>
                      <w:instrText xml:space="preserve"> PAGE  \* MERGEFORMAT </w:instrText>
                    </w:r>
                    <w:r>
                      <w:fldChar w:fldCharType="separate"/>
                    </w:r>
                    <w:r>
                      <w:t>76</w:t>
                    </w:r>
                    <w:r>
                      <w:fldChar w:fldCharType="end"/>
                    </w:r>
                  </w:p>
                </w:txbxContent>
              </v:textbox>
            </v:shape>
          </w:pict>
        </mc:Fallback>
      </mc:AlternateContent>
    </w:r>
    <w:r>
      <w:rPr>
        <w:rFonts w:hint="eastAsia"/>
        <w:color w:val="auto"/>
        <w:lang w:eastAsia="zh-CN"/>
      </w:rPr>
      <w:t>湖南沐程生态环境工程有限公司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EAC00">
    <w:pPr>
      <w:pStyle w:val="49"/>
      <w:ind w:firstLine="360"/>
      <w:rPr>
        <w:rFonts w:eastAsia="Times New Roman"/>
        <w:color w:val="auto"/>
        <w:sz w:val="20"/>
        <w:szCs w:val="20"/>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E8C12">
                          <w:pPr>
                            <w:pStyle w:val="49"/>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1ABE8C12">
                    <w:pPr>
                      <w:pStyle w:val="49"/>
                    </w:pPr>
                    <w:r>
                      <w:fldChar w:fldCharType="begin"/>
                    </w:r>
                    <w:r>
                      <w:instrText xml:space="preserve"> PAGE  \* MERGEFORMAT </w:instrText>
                    </w:r>
                    <w:r>
                      <w:fldChar w:fldCharType="separate"/>
                    </w:r>
                    <w:r>
                      <w:t>76</w:t>
                    </w:r>
                    <w:r>
                      <w:fldChar w:fldCharType="end"/>
                    </w:r>
                  </w:p>
                </w:txbxContent>
              </v:textbox>
            </v:shape>
          </w:pict>
        </mc:Fallback>
      </mc:AlternateContent>
    </w:r>
    <w:r>
      <w:rPr>
        <w:rFonts w:hint="eastAsia"/>
        <w:color w:val="auto"/>
        <w:lang w:eastAsia="zh-CN"/>
      </w:rPr>
      <w:t>湖南沐程生态环境工程有限公司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DAB20">
    <w:pPr>
      <w:pStyle w:val="49"/>
      <w:ind w:firstLine="360"/>
      <w:rPr>
        <w:rFonts w:hint="eastAsia" w:eastAsia="宋体"/>
        <w:color w:val="auto"/>
        <w:sz w:val="20"/>
        <w:lang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49D9B">
                          <w:pPr>
                            <w:pStyle w:val="49"/>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68349D9B">
                    <w:pPr>
                      <w:pStyle w:val="49"/>
                    </w:pPr>
                    <w:r>
                      <w:fldChar w:fldCharType="begin"/>
                    </w:r>
                    <w:r>
                      <w:instrText xml:space="preserve"> PAGE  \* MERGEFORMAT </w:instrText>
                    </w:r>
                    <w:r>
                      <w:fldChar w:fldCharType="separate"/>
                    </w:r>
                    <w:r>
                      <w:t>125</w:t>
                    </w:r>
                    <w:r>
                      <w:fldChar w:fldCharType="end"/>
                    </w:r>
                  </w:p>
                </w:txbxContent>
              </v:textbox>
            </v:shape>
          </w:pict>
        </mc:Fallback>
      </mc:AlternateContent>
    </w:r>
    <w:r>
      <w:rPr>
        <w:rFonts w:hint="eastAsia"/>
        <w:color w:val="auto"/>
        <w:lang w:eastAsia="zh-CN"/>
      </w:rPr>
      <w:t>湖南沐程生态环境工程有限公司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03211">
    <w:pPr>
      <w:pStyle w:val="49"/>
      <w:ind w:firstLine="360"/>
      <w:rPr>
        <w:rFonts w:eastAsia="Times New Roman"/>
        <w:color w:val="000000" w:themeColor="text1"/>
        <w:sz w:val="20"/>
        <w14:textFill>
          <w14:solidFill>
            <w14:schemeClr w14:val="tx1"/>
          </w14:solidFill>
        </w14:textFill>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7A703">
                          <w:pPr>
                            <w:pStyle w:val="49"/>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02F7A703">
                    <w:pPr>
                      <w:pStyle w:val="49"/>
                    </w:pPr>
                    <w:r>
                      <w:fldChar w:fldCharType="begin"/>
                    </w:r>
                    <w:r>
                      <w:instrText xml:space="preserve"> PAGE  \* MERGEFORMAT </w:instrText>
                    </w:r>
                    <w:r>
                      <w:fldChar w:fldCharType="separate"/>
                    </w:r>
                    <w:r>
                      <w:t>148</w:t>
                    </w:r>
                    <w:r>
                      <w:fldChar w:fldCharType="end"/>
                    </w:r>
                  </w:p>
                </w:txbxContent>
              </v:textbox>
            </v:shape>
          </w:pict>
        </mc:Fallback>
      </mc:AlternateContent>
    </w:r>
    <w:r>
      <w:rPr>
        <w:rFonts w:hint="eastAsia"/>
        <w:color w:val="000000" w:themeColor="text1"/>
        <w:lang w:eastAsia="zh-CN"/>
        <w14:textFill>
          <w14:solidFill>
            <w14:schemeClr w14:val="tx1"/>
          </w14:solidFill>
        </w14:textFill>
      </w:rPr>
      <w:t>湖南沐程生态环境工程有限公司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F75F4">
    <w:pPr>
      <w:ind w:firstLine="379" w:firstLineChars="211"/>
      <w:jc w:val="center"/>
      <w:rPr>
        <w:rFonts w:asciiTheme="minorEastAsia" w:hAnsiTheme="minorEastAsia" w:eastAsiaTheme="minorEastAsia"/>
        <w:bCs/>
        <w:color w:val="auto"/>
        <w:sz w:val="18"/>
        <w:szCs w:val="18"/>
      </w:rPr>
    </w:pPr>
    <w:r>
      <w:rPr>
        <w:rFonts w:hint="eastAsia" w:asciiTheme="minorEastAsia" w:hAnsiTheme="minorEastAsia" w:eastAsiaTheme="minorEastAsia"/>
        <w:bCs/>
        <w:color w:val="auto"/>
        <w:sz w:val="18"/>
        <w:szCs w:val="18"/>
        <w:lang w:eastAsia="zh-CN"/>
      </w:rPr>
      <w:t>大通湖工业园污水处理厂提质改造建设项目</w:t>
    </w:r>
    <w:r>
      <w:rPr>
        <w:rFonts w:hint="eastAsia" w:asciiTheme="minorEastAsia" w:hAnsiTheme="minorEastAsia" w:eastAsiaTheme="minorEastAsia"/>
        <w:bCs/>
        <w:color w:val="auto"/>
        <w:sz w:val="18"/>
        <w:szCs w:val="18"/>
      </w:rPr>
      <w:t>建设项目</w:t>
    </w:r>
    <w:r>
      <w:rPr>
        <w:rFonts w:hint="eastAsia" w:asciiTheme="minorEastAsia" w:hAnsiTheme="minorEastAsia" w:eastAsiaTheme="minorEastAsia"/>
        <w:bCs/>
        <w:color w:val="auto"/>
        <w:sz w:val="18"/>
        <w:szCs w:val="18"/>
      </w:rPr>
      <mc:AlternateContent>
        <mc:Choice Requires="wps">
          <w:drawing>
            <wp:anchor distT="0" distB="0" distL="114300" distR="114300" simplePos="0" relativeHeight="251662336" behindDoc="0" locked="0" layoutInCell="1" allowOverlap="1">
              <wp:simplePos x="0" y="0"/>
              <wp:positionH relativeFrom="column">
                <wp:posOffset>46990</wp:posOffset>
              </wp:positionH>
              <wp:positionV relativeFrom="paragraph">
                <wp:posOffset>146685</wp:posOffset>
              </wp:positionV>
              <wp:extent cx="5748655" cy="0"/>
              <wp:effectExtent l="0" t="0" r="23495" b="19050"/>
              <wp:wrapNone/>
              <wp:docPr id="226" name="直接连接符 226"/>
              <wp:cNvGraphicFramePr/>
              <a:graphic xmlns:a="http://schemas.openxmlformats.org/drawingml/2006/main">
                <a:graphicData uri="http://schemas.microsoft.com/office/word/2010/wordprocessingShape">
                  <wps:wsp>
                    <wps:cNvCnPr/>
                    <wps:spPr>
                      <a:xfrm flipV="1">
                        <a:off x="0" y="0"/>
                        <a:ext cx="5748867"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7pt;margin-top:11.55pt;height:0pt;width:452.65pt;z-index:251662336;mso-width-relative:page;mso-height-relative:page;" filled="f" stroked="t" coordsize="21600,21600" o:gfxdata="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c2ad1AAAAAcBAAAPAAAAAAAAAAEAIAAAACIAAABkcnMvZG93bnJldi54bWxQ&#10;SwECFAAUAAAACACHTuJAJvxqM/sBAADhAwAADgAAAAAAAAABACAAAAAjAQAAZHJzL2Uyb0RvYy54&#10;bWxQSwUGAAAAAAYABgBZAQAAkAUAAAAA&#10;">
              <v:fill on="f" focussize="0,0"/>
              <v:stroke color="#000000 [3200]" joinstyle="round"/>
              <v:imagedata o:title=""/>
              <o:lock v:ext="edit" aspectratio="f"/>
            </v:line>
          </w:pict>
        </mc:Fallback>
      </mc:AlternateContent>
    </w:r>
    <w:r>
      <w:rPr>
        <w:rFonts w:asciiTheme="minorEastAsia" w:hAnsiTheme="minorEastAsia" w:eastAsiaTheme="minorEastAsia"/>
        <w:bCs/>
        <w:color w:val="auto"/>
        <w:sz w:val="18"/>
        <w:szCs w:val="18"/>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29EEF">
    <w:pPr>
      <w:pStyle w:val="5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C9EA2">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AF316">
    <w:pPr>
      <w:ind w:firstLine="379" w:firstLineChars="211"/>
      <w:jc w:val="center"/>
      <w:rPr>
        <w:rFonts w:asciiTheme="minorEastAsia" w:hAnsiTheme="minorEastAsia" w:eastAsiaTheme="minorEastAsia"/>
        <w:bCs/>
        <w:color w:val="000000" w:themeColor="text1"/>
        <w:sz w:val="18"/>
        <w:szCs w:val="18"/>
        <w14:textFill>
          <w14:solidFill>
            <w14:schemeClr w14:val="tx1"/>
          </w14:solidFill>
        </w14:textFill>
      </w:rPr>
    </w:pPr>
    <w:r>
      <w:rPr>
        <w:rFonts w:hint="eastAsia" w:asciiTheme="minorEastAsia" w:hAnsiTheme="minorEastAsia" w:eastAsiaTheme="minorEastAsia"/>
        <w:bCs/>
        <w:color w:val="000000" w:themeColor="text1"/>
        <w:sz w:val="18"/>
        <w:szCs w:val="1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72390</wp:posOffset>
              </wp:positionH>
              <wp:positionV relativeFrom="paragraph">
                <wp:posOffset>170815</wp:posOffset>
              </wp:positionV>
              <wp:extent cx="5658485" cy="19050"/>
              <wp:effectExtent l="0" t="4445" r="8890" b="5080"/>
              <wp:wrapNone/>
              <wp:docPr id="984" name="直接连接符 984"/>
              <wp:cNvGraphicFramePr/>
              <a:graphic xmlns:a="http://schemas.openxmlformats.org/drawingml/2006/main">
                <a:graphicData uri="http://schemas.microsoft.com/office/word/2010/wordprocessingShape">
                  <wps:wsp>
                    <wps:cNvCnPr/>
                    <wps:spPr>
                      <a:xfrm flipV="1">
                        <a:off x="0" y="0"/>
                        <a:ext cx="5658485" cy="190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5.7pt;margin-top:13.45pt;height:1.5pt;width:445.55pt;z-index:251665408;mso-width-relative:page;mso-height-relative:page;" filled="f" stroked="t" coordsize="21600,21600" o:gfxdata="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AbFc9UAAAAIAQAADwAAAAAAAAABACAAAAAiAAAAZHJzL2Rvd25yZXYu&#10;eG1sUEsBAhQAFAAAAAgAh07iQIGwsvz+AQAA5QMAAA4AAAAAAAAAAQAgAAAAJAEAAGRycy9lMm9E&#10;b2MueG1sUEsFBgAAAAAGAAYAWQEAAJQFAAAAAA==&#10;">
              <v:fill on="f" focussize="0,0"/>
              <v:stroke color="#000000 [3200]" joinstyle="round"/>
              <v:imagedata o:title=""/>
              <o:lock v:ext="edit" aspectratio="f"/>
            </v:line>
          </w:pict>
        </mc:Fallback>
      </mc:AlternateContent>
    </w:r>
    <w:r>
      <w:rPr>
        <w:rFonts w:hint="eastAsia" w:asciiTheme="minorEastAsia" w:hAnsiTheme="minorEastAsia" w:eastAsiaTheme="minorEastAsia"/>
        <w:bCs/>
        <w:color w:val="000000" w:themeColor="text1"/>
        <w:sz w:val="18"/>
        <w:szCs w:val="18"/>
        <w:lang w:eastAsia="zh-CN"/>
        <w14:textFill>
          <w14:solidFill>
            <w14:schemeClr w14:val="tx1"/>
          </w14:solidFill>
        </w14:textFill>
      </w:rPr>
      <w:t>大通湖工业园污水处理厂提质改造建设项目</w:t>
    </w:r>
    <w:r>
      <w:rPr>
        <w:rFonts w:asciiTheme="minorEastAsia" w:hAnsiTheme="minorEastAsia" w:eastAsiaTheme="minorEastAsia"/>
        <w:bCs/>
        <w:color w:val="000000" w:themeColor="text1"/>
        <w:sz w:val="18"/>
        <w:szCs w:val="18"/>
        <w14:textFill>
          <w14:solidFill>
            <w14:schemeClr w14:val="tx1"/>
          </w14:solidFill>
        </w14:textFill>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E23CE">
    <w:pPr>
      <w:ind w:firstLine="379" w:firstLineChars="211"/>
      <w:jc w:val="center"/>
      <w:rPr>
        <w:rFonts w:asciiTheme="minorEastAsia" w:hAnsiTheme="minorEastAsia" w:eastAsiaTheme="minorEastAsia"/>
        <w:bCs/>
        <w:color w:val="auto"/>
        <w:sz w:val="18"/>
        <w:szCs w:val="18"/>
      </w:rPr>
    </w:pPr>
    <w:r>
      <w:rPr>
        <w:rFonts w:hint="eastAsia" w:asciiTheme="minorEastAsia" w:hAnsiTheme="minorEastAsia" w:eastAsiaTheme="minorEastAsia"/>
        <w:bCs/>
        <w:color w:val="auto"/>
        <w:sz w:val="18"/>
        <w:szCs w:val="18"/>
      </w:rPr>
      <mc:AlternateContent>
        <mc:Choice Requires="wps">
          <w:drawing>
            <wp:anchor distT="0" distB="0" distL="114300" distR="114300" simplePos="0" relativeHeight="251664384" behindDoc="0" locked="0" layoutInCell="1" allowOverlap="1">
              <wp:simplePos x="0" y="0"/>
              <wp:positionH relativeFrom="column">
                <wp:posOffset>255270</wp:posOffset>
              </wp:positionH>
              <wp:positionV relativeFrom="paragraph">
                <wp:posOffset>165735</wp:posOffset>
              </wp:positionV>
              <wp:extent cx="4986020" cy="0"/>
              <wp:effectExtent l="0" t="4445" r="0" b="5080"/>
              <wp:wrapNone/>
              <wp:docPr id="521" name="直接连接符 521"/>
              <wp:cNvGraphicFramePr/>
              <a:graphic xmlns:a="http://schemas.openxmlformats.org/drawingml/2006/main">
                <a:graphicData uri="http://schemas.microsoft.com/office/word/2010/wordprocessingShape">
                  <wps:wsp>
                    <wps:cNvCnPr/>
                    <wps:spPr>
                      <a:xfrm>
                        <a:off x="0" y="0"/>
                        <a:ext cx="498602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1pt;margin-top:13.05pt;height:0pt;width:392.6pt;z-index:251664384;mso-width-relative:page;mso-height-relative:page;" filled="f" stroked="t" coordsize="21600,21600" o:gfxdata="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Bc8PLWAAAACAEAAA8AAAAAAAAAAQAgAAAAIgAAAGRycy9kb3ducmV2LnhtbFBLAQIUABQA&#10;AAAIAIdO4kCvVEZS8gEAANcDAAAOAAAAAAAAAAEAIAAAACUBAABkcnMvZTJvRG9jLnhtbFBLBQYA&#10;AAAABgAGAFkBAACJBQAAAAA=&#10;">
              <v:fill on="f" focussize="0,0"/>
              <v:stroke color="#000000 [3200]" joinstyle="round"/>
              <v:imagedata o:title=""/>
              <o:lock v:ext="edit" aspectratio="f"/>
            </v:line>
          </w:pict>
        </mc:Fallback>
      </mc:AlternateContent>
    </w:r>
    <w:r>
      <w:rPr>
        <w:rFonts w:hint="eastAsia" w:asciiTheme="minorEastAsia" w:hAnsiTheme="minorEastAsia" w:eastAsiaTheme="minorEastAsia"/>
        <w:bCs/>
        <w:color w:val="auto"/>
        <w:sz w:val="18"/>
        <w:szCs w:val="18"/>
        <w:lang w:eastAsia="zh-CN"/>
      </w:rPr>
      <w:t>大通湖工业园污水处理厂提质改造建设项目（</w:t>
    </w:r>
    <w:r>
      <w:rPr>
        <w:rFonts w:hint="eastAsia" w:asciiTheme="minorEastAsia" w:hAnsiTheme="minorEastAsia" w:eastAsiaTheme="minorEastAsia"/>
        <w:bCs/>
        <w:color w:val="auto"/>
        <w:sz w:val="18"/>
        <w:szCs w:val="18"/>
        <w:lang w:val="en-US" w:eastAsia="zh-CN"/>
      </w:rPr>
      <w:t>一期）</w:t>
    </w:r>
    <w:r>
      <w:rPr>
        <w:rFonts w:asciiTheme="minorEastAsia" w:hAnsiTheme="minorEastAsia" w:eastAsiaTheme="minorEastAsia"/>
        <w:bCs/>
        <w:color w:val="auto"/>
        <w:sz w:val="18"/>
        <w:szCs w:val="18"/>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63E450"/>
    <w:multiLevelType w:val="singleLevel"/>
    <w:tmpl w:val="9E63E450"/>
    <w:lvl w:ilvl="0" w:tentative="0">
      <w:start w:val="1"/>
      <w:numFmt w:val="decimal"/>
      <w:suff w:val="nothing"/>
      <w:lvlText w:val="（%1）"/>
      <w:lvlJc w:val="left"/>
    </w:lvl>
  </w:abstractNum>
  <w:abstractNum w:abstractNumId="1">
    <w:nsid w:val="B2A13B23"/>
    <w:multiLevelType w:val="singleLevel"/>
    <w:tmpl w:val="B2A13B23"/>
    <w:lvl w:ilvl="0" w:tentative="0">
      <w:start w:val="1"/>
      <w:numFmt w:val="decimal"/>
      <w:suff w:val="nothing"/>
      <w:lvlText w:val="（%1）"/>
      <w:lvlJc w:val="left"/>
    </w:lvl>
  </w:abstractNum>
  <w:abstractNum w:abstractNumId="2">
    <w:nsid w:val="D3D7A0DE"/>
    <w:multiLevelType w:val="singleLevel"/>
    <w:tmpl w:val="D3D7A0DE"/>
    <w:lvl w:ilvl="0" w:tentative="0">
      <w:start w:val="1"/>
      <w:numFmt w:val="decimal"/>
      <w:suff w:val="nothing"/>
      <w:lvlText w:val="%1）"/>
      <w:lvlJc w:val="left"/>
    </w:lvl>
  </w:abstractNum>
  <w:abstractNum w:abstractNumId="3">
    <w:nsid w:val="F6625E1A"/>
    <w:multiLevelType w:val="multilevel"/>
    <w:tmpl w:val="F6625E1A"/>
    <w:lvl w:ilvl="0" w:tentative="0">
      <w:start w:val="1"/>
      <w:numFmt w:val="decimal"/>
      <w:pStyle w:val="30"/>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F701B904"/>
    <w:multiLevelType w:val="multilevel"/>
    <w:tmpl w:val="F701B904"/>
    <w:lvl w:ilvl="0" w:tentative="0">
      <w:start w:val="1"/>
      <w:numFmt w:val="decimal"/>
      <w:pStyle w:val="22"/>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FBFB142A"/>
    <w:multiLevelType w:val="singleLevel"/>
    <w:tmpl w:val="FBFB142A"/>
    <w:lvl w:ilvl="0" w:tentative="0">
      <w:start w:val="1"/>
      <w:numFmt w:val="lowerLetter"/>
      <w:lvlText w:val="%1."/>
      <w:lvlJc w:val="left"/>
      <w:pPr>
        <w:tabs>
          <w:tab w:val="left" w:pos="312"/>
        </w:tabs>
      </w:pPr>
    </w:lvl>
  </w:abstractNum>
  <w:abstractNum w:abstractNumId="6">
    <w:nsid w:val="FC2EECDD"/>
    <w:multiLevelType w:val="multilevel"/>
    <w:tmpl w:val="FC2EECDD"/>
    <w:lvl w:ilvl="0" w:tentative="0">
      <w:start w:val="1"/>
      <w:numFmt w:val="decimal"/>
      <w:pStyle w:val="2"/>
      <w:suff w:val="space"/>
      <w:lvlText w:val="%1"/>
      <w:lvlJc w:val="left"/>
      <w:pPr>
        <w:tabs>
          <w:tab w:val="left" w:pos="0"/>
        </w:tabs>
        <w:ind w:left="0" w:firstLine="0"/>
      </w:pPr>
      <w:rPr>
        <w:rFonts w:hint="default"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tentative="0">
      <w:start w:val="1"/>
      <w:numFmt w:val="decimal"/>
      <w:pStyle w:val="3"/>
      <w:suff w:val="space"/>
      <w:lvlText w:val="%1.%2"/>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pStyle w:val="4"/>
      <w:suff w:val="space"/>
      <w:lvlText w:val="%1.%2.%3"/>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5"/>
      <w:suff w:val="space"/>
      <w:lvlText w:val="%1.%2.%3.%4"/>
      <w:lvlJc w:val="left"/>
      <w:pPr>
        <w:ind w:left="48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ind w:left="0" w:firstLine="0"/>
      </w:pPr>
      <w:rPr>
        <w:rFonts w:hint="eastAsia"/>
      </w:rPr>
    </w:lvl>
    <w:lvl w:ilvl="5" w:tentative="0">
      <w:start w:val="1"/>
      <w:numFmt w:val="decimal"/>
      <w:pStyle w:val="7"/>
      <w:lvlText w:val="%1.%2.%3.%4.%5.%6"/>
      <w:lvlJc w:val="left"/>
      <w:pPr>
        <w:ind w:left="0" w:firstLine="0"/>
      </w:pPr>
      <w:rPr>
        <w:rFonts w:hint="eastAsia"/>
      </w:rPr>
    </w:lvl>
    <w:lvl w:ilvl="6" w:tentative="0">
      <w:start w:val="1"/>
      <w:numFmt w:val="decimal"/>
      <w:pStyle w:val="8"/>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pStyle w:val="10"/>
      <w:lvlText w:val="%1.%2.%3.%4.%5.%6.%7.%8.%9"/>
      <w:lvlJc w:val="left"/>
      <w:pPr>
        <w:ind w:left="0" w:firstLine="0"/>
      </w:pPr>
      <w:rPr>
        <w:rFonts w:hint="eastAsia"/>
      </w:rPr>
    </w:lvl>
  </w:abstractNum>
  <w:abstractNum w:abstractNumId="7">
    <w:nsid w:val="FFFFFF88"/>
    <w:multiLevelType w:val="singleLevel"/>
    <w:tmpl w:val="FFFFFF88"/>
    <w:lvl w:ilvl="0" w:tentative="0">
      <w:start w:val="1"/>
      <w:numFmt w:val="decimal"/>
      <w:pStyle w:val="383"/>
      <w:lvlText w:val="%1)."/>
      <w:lvlJc w:val="left"/>
      <w:pPr>
        <w:tabs>
          <w:tab w:val="left" w:pos="964"/>
        </w:tabs>
        <w:ind w:left="964" w:hanging="397"/>
      </w:pPr>
      <w:rPr>
        <w:rFonts w:hint="eastAsia"/>
        <w:sz w:val="24"/>
        <w:szCs w:val="24"/>
      </w:rPr>
    </w:lvl>
  </w:abstractNum>
  <w:abstractNum w:abstractNumId="8">
    <w:nsid w:val="00000002"/>
    <w:multiLevelType w:val="multilevel"/>
    <w:tmpl w:val="00000002"/>
    <w:lvl w:ilvl="0" w:tentative="0">
      <w:start w:val="1"/>
      <w:numFmt w:val="chineseCountingThousand"/>
      <w:lvlText w:val="第%1章"/>
      <w:lvlJc w:val="center"/>
      <w:pPr>
        <w:tabs>
          <w:tab w:val="left" w:pos="0"/>
        </w:tabs>
        <w:ind w:left="1838" w:hanging="420"/>
      </w:pPr>
      <w:rPr>
        <w:rFonts w:hint="eastAsia" w:ascii="黑体" w:hAnsi="黑体" w:eastAsia="黑体" w:cs="Times New Roman"/>
        <w:b/>
        <w:i w:val="0"/>
        <w:iCs w:val="0"/>
        <w:caps w:val="0"/>
        <w:smallCaps w:val="0"/>
        <w:strike w:val="0"/>
        <w:dstrike w:val="0"/>
        <w:vanish w:val="0"/>
        <w:spacing w:val="0"/>
        <w:position w:val="0"/>
        <w:sz w:val="32"/>
        <w:szCs w:val="30"/>
        <w:u w:val="none"/>
        <w:vertAlign w:val="baseline"/>
      </w:rPr>
    </w:lvl>
    <w:lvl w:ilvl="1" w:tentative="0">
      <w:start w:val="1"/>
      <w:numFmt w:val="decimal"/>
      <w:isLgl/>
      <w:lvlText w:val="%1.%2"/>
      <w:lvlJc w:val="left"/>
      <w:pPr>
        <w:tabs>
          <w:tab w:val="left" w:pos="2800"/>
        </w:tabs>
        <w:ind w:left="2800" w:hanging="390"/>
      </w:pPr>
      <w:rPr>
        <w:rFonts w:hint="default" w:ascii="Times New Roman" w:hAnsi="Times New Roman" w:cs="Times New Roman"/>
        <w:b/>
        <w:color w:val="auto"/>
      </w:rPr>
    </w:lvl>
    <w:lvl w:ilvl="2" w:tentative="0">
      <w:start w:val="1"/>
      <w:numFmt w:val="decimal"/>
      <w:pStyle w:val="430"/>
      <w:isLgl/>
      <w:lvlText w:val="%1.%2.%3"/>
      <w:lvlJc w:val="left"/>
      <w:pPr>
        <w:tabs>
          <w:tab w:val="left" w:pos="3913"/>
        </w:tabs>
        <w:ind w:left="3828" w:hanging="567"/>
      </w:pPr>
      <w:rPr>
        <w:rFonts w:hint="eastAsia"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9">
    <w:nsid w:val="05A524F8"/>
    <w:multiLevelType w:val="singleLevel"/>
    <w:tmpl w:val="05A524F8"/>
    <w:lvl w:ilvl="0" w:tentative="0">
      <w:start w:val="1"/>
      <w:numFmt w:val="decimal"/>
      <w:suff w:val="nothing"/>
      <w:lvlText w:val="%1）"/>
      <w:lvlJc w:val="left"/>
    </w:lvl>
  </w:abstractNum>
  <w:abstractNum w:abstractNumId="10">
    <w:nsid w:val="08556154"/>
    <w:multiLevelType w:val="multilevel"/>
    <w:tmpl w:val="0855615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365"/>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FB71FC1"/>
    <w:multiLevelType w:val="multilevel"/>
    <w:tmpl w:val="0FB71FC1"/>
    <w:lvl w:ilvl="0" w:tentative="0">
      <w:start w:val="1"/>
      <w:numFmt w:val="decimal"/>
      <w:pStyle w:val="373"/>
      <w:lvlText w:val="%1."/>
      <w:lvlJc w:val="left"/>
      <w:pPr>
        <w:tabs>
          <w:tab w:val="left" w:pos="884"/>
        </w:tabs>
        <w:ind w:left="884" w:hanging="420"/>
      </w:pPr>
    </w:lvl>
    <w:lvl w:ilvl="1" w:tentative="0">
      <w:start w:val="1"/>
      <w:numFmt w:val="lowerLetter"/>
      <w:lvlText w:val="%2)"/>
      <w:lvlJc w:val="left"/>
      <w:pPr>
        <w:tabs>
          <w:tab w:val="left" w:pos="1407"/>
        </w:tabs>
        <w:ind w:left="1407" w:hanging="420"/>
      </w:pPr>
    </w:lvl>
    <w:lvl w:ilvl="2" w:tentative="0">
      <w:start w:val="1"/>
      <w:numFmt w:val="lowerRoman"/>
      <w:lvlText w:val="%3."/>
      <w:lvlJc w:val="right"/>
      <w:pPr>
        <w:tabs>
          <w:tab w:val="left" w:pos="1827"/>
        </w:tabs>
        <w:ind w:left="1827" w:hanging="420"/>
      </w:pPr>
    </w:lvl>
    <w:lvl w:ilvl="3" w:tentative="0">
      <w:start w:val="1"/>
      <w:numFmt w:val="decimal"/>
      <w:lvlText w:val="%4."/>
      <w:lvlJc w:val="left"/>
      <w:pPr>
        <w:tabs>
          <w:tab w:val="left" w:pos="2247"/>
        </w:tabs>
        <w:ind w:left="2247" w:hanging="420"/>
      </w:pPr>
    </w:lvl>
    <w:lvl w:ilvl="4" w:tentative="0">
      <w:start w:val="1"/>
      <w:numFmt w:val="lowerLetter"/>
      <w:lvlText w:val="%5)"/>
      <w:lvlJc w:val="left"/>
      <w:pPr>
        <w:tabs>
          <w:tab w:val="left" w:pos="2667"/>
        </w:tabs>
        <w:ind w:left="2667" w:hanging="420"/>
      </w:pPr>
    </w:lvl>
    <w:lvl w:ilvl="5" w:tentative="0">
      <w:start w:val="1"/>
      <w:numFmt w:val="lowerRoman"/>
      <w:lvlText w:val="%6."/>
      <w:lvlJc w:val="right"/>
      <w:pPr>
        <w:tabs>
          <w:tab w:val="left" w:pos="3087"/>
        </w:tabs>
        <w:ind w:left="3087" w:hanging="420"/>
      </w:pPr>
    </w:lvl>
    <w:lvl w:ilvl="6" w:tentative="0">
      <w:start w:val="1"/>
      <w:numFmt w:val="decimal"/>
      <w:lvlText w:val="%7."/>
      <w:lvlJc w:val="left"/>
      <w:pPr>
        <w:tabs>
          <w:tab w:val="left" w:pos="3507"/>
        </w:tabs>
        <w:ind w:left="3507" w:hanging="420"/>
      </w:pPr>
    </w:lvl>
    <w:lvl w:ilvl="7" w:tentative="0">
      <w:start w:val="1"/>
      <w:numFmt w:val="lowerLetter"/>
      <w:lvlText w:val="%8)"/>
      <w:lvlJc w:val="left"/>
      <w:pPr>
        <w:tabs>
          <w:tab w:val="left" w:pos="3927"/>
        </w:tabs>
        <w:ind w:left="3927" w:hanging="420"/>
      </w:pPr>
    </w:lvl>
    <w:lvl w:ilvl="8" w:tentative="0">
      <w:start w:val="1"/>
      <w:numFmt w:val="lowerRoman"/>
      <w:lvlText w:val="%9."/>
      <w:lvlJc w:val="right"/>
      <w:pPr>
        <w:tabs>
          <w:tab w:val="left" w:pos="4347"/>
        </w:tabs>
        <w:ind w:left="4347" w:hanging="420"/>
      </w:pPr>
    </w:lvl>
  </w:abstractNum>
  <w:abstractNum w:abstractNumId="12">
    <w:nsid w:val="2AD91BBE"/>
    <w:multiLevelType w:val="singleLevel"/>
    <w:tmpl w:val="2AD91BBE"/>
    <w:lvl w:ilvl="0" w:tentative="0">
      <w:start w:val="2"/>
      <w:numFmt w:val="decimal"/>
      <w:suff w:val="nothing"/>
      <w:lvlText w:val="（%1）"/>
      <w:lvlJc w:val="left"/>
    </w:lvl>
  </w:abstractNum>
  <w:abstractNum w:abstractNumId="13">
    <w:nsid w:val="368EAFBD"/>
    <w:multiLevelType w:val="singleLevel"/>
    <w:tmpl w:val="368EAFBD"/>
    <w:lvl w:ilvl="0" w:tentative="0">
      <w:start w:val="1"/>
      <w:numFmt w:val="decimal"/>
      <w:suff w:val="nothing"/>
      <w:lvlText w:val="（%1）"/>
      <w:lvlJc w:val="left"/>
    </w:lvl>
  </w:abstractNum>
  <w:abstractNum w:abstractNumId="14">
    <w:nsid w:val="3C0D9FA2"/>
    <w:multiLevelType w:val="singleLevel"/>
    <w:tmpl w:val="3C0D9FA2"/>
    <w:lvl w:ilvl="0" w:tentative="0">
      <w:start w:val="1"/>
      <w:numFmt w:val="decimal"/>
      <w:suff w:val="nothing"/>
      <w:lvlText w:val="%1）"/>
      <w:lvlJc w:val="left"/>
    </w:lvl>
  </w:abstractNum>
  <w:abstractNum w:abstractNumId="15">
    <w:nsid w:val="529F5135"/>
    <w:multiLevelType w:val="singleLevel"/>
    <w:tmpl w:val="529F5135"/>
    <w:lvl w:ilvl="0" w:tentative="0">
      <w:start w:val="4"/>
      <w:numFmt w:val="decimal"/>
      <w:suff w:val="nothing"/>
      <w:lvlText w:val="（%1）"/>
      <w:lvlJc w:val="left"/>
    </w:lvl>
  </w:abstractNum>
  <w:abstractNum w:abstractNumId="16">
    <w:nsid w:val="548A7284"/>
    <w:multiLevelType w:val="multilevel"/>
    <w:tmpl w:val="548A7284"/>
    <w:lvl w:ilvl="0" w:tentative="0">
      <w:start w:val="1"/>
      <w:numFmt w:val="decimal"/>
      <w:isLgl/>
      <w:suff w:val="space"/>
      <w:lvlText w:val="第%1章 "/>
      <w:lvlJc w:val="left"/>
      <w:pPr>
        <w:ind w:left="0" w:firstLine="0"/>
      </w:pPr>
      <w:rPr>
        <w:rFonts w:hint="eastAsia"/>
      </w:rPr>
    </w:lvl>
    <w:lvl w:ilvl="1" w:tentative="0">
      <w:start w:val="1"/>
      <w:numFmt w:val="decimal"/>
      <w:isLgl/>
      <w:suff w:val="space"/>
      <w:lvlText w:val="%1.%2 "/>
      <w:lvlJc w:val="left"/>
      <w:pPr>
        <w:ind w:left="7371" w:firstLine="0"/>
      </w:pPr>
      <w:rPr>
        <w:rFonts w:hint="eastAsia"/>
      </w:rPr>
    </w:lvl>
    <w:lvl w:ilvl="2" w:tentative="0">
      <w:start w:val="1"/>
      <w:numFmt w:val="decimal"/>
      <w:pStyle w:val="439"/>
      <w:isLgl/>
      <w:suff w:val="space"/>
      <w:lvlText w:val="%1.%2.%3 "/>
      <w:lvlJc w:val="left"/>
      <w:pPr>
        <w:ind w:left="1134" w:firstLine="0"/>
      </w:pPr>
      <w:rPr>
        <w:rFonts w:hint="eastAsia"/>
      </w:rPr>
    </w:lvl>
    <w:lvl w:ilvl="3" w:tentative="0">
      <w:start w:val="1"/>
      <w:numFmt w:val="decimal"/>
      <w:isLgl/>
      <w:suff w:val="space"/>
      <w:lvlText w:val="%1.%2.%3.%4 "/>
      <w:lvlJc w:val="left"/>
      <w:pPr>
        <w:ind w:left="283" w:firstLine="0"/>
      </w:pPr>
      <w:rPr>
        <w:rFonts w:hint="eastAsia"/>
      </w:rPr>
    </w:lvl>
    <w:lvl w:ilvl="4" w:tentative="0">
      <w:start w:val="1"/>
      <w:numFmt w:val="decimal"/>
      <w:lvlRestart w:val="2"/>
      <w:pStyle w:val="438"/>
      <w:isLgl/>
      <w:suff w:val="space"/>
      <w:lvlText w:val="表%1.%2-%5 "/>
      <w:lvlJc w:val="left"/>
      <w:pPr>
        <w:ind w:left="9204" w:firstLine="0"/>
      </w:pPr>
      <w:rPr>
        <w:rFonts w:hint="eastAsia"/>
        <w:color w:val="000000" w:themeColor="text1"/>
        <w14:textFill>
          <w14:solidFill>
            <w14:schemeClr w14:val="tx1"/>
          </w14:solidFill>
        </w14:textFill>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7">
    <w:nsid w:val="5EBF02EA"/>
    <w:multiLevelType w:val="multilevel"/>
    <w:tmpl w:val="5EBF02EA"/>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5EFD47A1"/>
    <w:multiLevelType w:val="multilevel"/>
    <w:tmpl w:val="5EFD47A1"/>
    <w:lvl w:ilvl="0" w:tentative="0">
      <w:start w:val="1"/>
      <w:numFmt w:val="decimal"/>
      <w:lvlText w:val="%1."/>
      <w:lvlJc w:val="left"/>
      <w:pPr>
        <w:ind w:left="425" w:hanging="425"/>
      </w:pPr>
    </w:lvl>
    <w:lvl w:ilvl="1" w:tentative="0">
      <w:start w:val="1"/>
      <w:numFmt w:val="decimal"/>
      <w:lvlText w:val="%1.%2."/>
      <w:lvlJc w:val="left"/>
      <w:pPr>
        <w:ind w:left="567" w:hanging="567"/>
      </w:pPr>
      <w:rPr>
        <w:rFonts w:hint="default" w:ascii="Times New Roman" w:hAnsi="Times New Roman" w:eastAsia="宋体"/>
        <w:b/>
        <w:i w:val="0"/>
        <w:sz w:val="32"/>
      </w:rPr>
    </w:lvl>
    <w:lvl w:ilvl="2" w:tentative="0">
      <w:start w:val="1"/>
      <w:numFmt w:val="decimal"/>
      <w:pStyle w:val="418"/>
      <w:lvlText w:val="%1.%2.%3."/>
      <w:lvlJc w:val="left"/>
      <w:pPr>
        <w:ind w:left="709" w:hanging="709"/>
      </w:pPr>
      <w:rPr>
        <w:rFonts w:hint="default" w:ascii="Times New Roman" w:hAnsi="Times New Roman" w:eastAsia="宋体"/>
        <w:b/>
        <w:i w:val="0"/>
        <w:sz w:val="28"/>
      </w:rPr>
    </w:lvl>
    <w:lvl w:ilvl="3" w:tentative="0">
      <w:start w:val="1"/>
      <w:numFmt w:val="decimal"/>
      <w:lvlText w:val="%1.%2.%3.%4."/>
      <w:lvlJc w:val="left"/>
      <w:pPr>
        <w:ind w:left="851" w:hanging="851"/>
      </w:pPr>
      <w:rPr>
        <w:rFonts w:hint="default" w:ascii="Times New Roman" w:hAnsi="Times New Roman" w:eastAsia="宋体"/>
        <w:b/>
        <w:i w:val="0"/>
        <w:sz w:val="24"/>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9">
    <w:nsid w:val="64304732"/>
    <w:multiLevelType w:val="multilevel"/>
    <w:tmpl w:val="64304732"/>
    <w:lvl w:ilvl="0" w:tentative="0">
      <w:start w:val="1"/>
      <w:numFmt w:val="decimal"/>
      <w:pStyle w:val="450"/>
      <w:suff w:val="space"/>
      <w:lvlText w:val="%1"/>
      <w:lvlJc w:val="left"/>
      <w:pPr>
        <w:ind w:left="2552" w:firstLine="0"/>
      </w:pPr>
      <w:rPr>
        <w:rFonts w:hint="eastAsia"/>
        <w:sz w:val="32"/>
        <w:szCs w:val="32"/>
      </w:rPr>
    </w:lvl>
    <w:lvl w:ilvl="1" w:tentative="0">
      <w:start w:val="1"/>
      <w:numFmt w:val="decimal"/>
      <w:pStyle w:val="444"/>
      <w:suff w:val="space"/>
      <w:lvlText w:val="%1.%2"/>
      <w:lvlJc w:val="left"/>
      <w:pPr>
        <w:ind w:left="0" w:firstLine="425"/>
      </w:pPr>
      <w:rPr>
        <w:rFonts w:hint="eastAsia"/>
      </w:rPr>
    </w:lvl>
    <w:lvl w:ilvl="2" w:tentative="0">
      <w:start w:val="1"/>
      <w:numFmt w:val="decimal"/>
      <w:suff w:val="space"/>
      <w:lvlText w:val="%1.%2.%3"/>
      <w:lvlJc w:val="left"/>
      <w:pPr>
        <w:ind w:left="0" w:firstLine="851"/>
      </w:pPr>
      <w:rPr>
        <w:rFonts w:hint="eastAsia"/>
      </w:rPr>
    </w:lvl>
    <w:lvl w:ilvl="3" w:tentative="0">
      <w:start w:val="1"/>
      <w:numFmt w:val="decimal"/>
      <w:suff w:val="space"/>
      <w:lvlText w:val="%1.%2.%3.%4"/>
      <w:lvlJc w:val="left"/>
      <w:pPr>
        <w:ind w:left="568" w:firstLine="1276"/>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6DA06150"/>
    <w:multiLevelType w:val="multilevel"/>
    <w:tmpl w:val="6DA06150"/>
    <w:lvl w:ilvl="0" w:tentative="0">
      <w:start w:val="1"/>
      <w:numFmt w:val="lowerLetter"/>
      <w:pStyle w:val="139"/>
      <w:lvlText w:val="（%1）"/>
      <w:lvlJc w:val="left"/>
      <w:pPr>
        <w:tabs>
          <w:tab w:val="left" w:pos="1251"/>
        </w:tabs>
        <w:ind w:left="1024" w:firstLine="56"/>
      </w:pPr>
      <w:rPr>
        <w:rFonts w:hint="eastAsia" w:ascii="宋体" w:hAnsi="Times New Roman" w:eastAsia="宋体"/>
        <w:b w:val="0"/>
        <w:i w:val="0"/>
        <w:color w:val="auto"/>
        <w:spacing w:val="20"/>
        <w:w w:val="100"/>
        <w:position w:val="0"/>
        <w:sz w:val="28"/>
        <w:szCs w:val="28"/>
        <w:lang w:val="en-US"/>
      </w:rPr>
    </w:lvl>
    <w:lvl w:ilvl="1" w:tentative="0">
      <w:start w:val="1"/>
      <w:numFmt w:val="lowerLetter"/>
      <w:lvlText w:val="%2)"/>
      <w:lvlJc w:val="left"/>
      <w:pPr>
        <w:tabs>
          <w:tab w:val="left" w:pos="1267"/>
        </w:tabs>
        <w:ind w:left="1267" w:hanging="420"/>
      </w:pPr>
    </w:lvl>
    <w:lvl w:ilvl="2" w:tentative="0">
      <w:start w:val="1"/>
      <w:numFmt w:val="lowerRoman"/>
      <w:lvlText w:val="%3."/>
      <w:lvlJc w:val="right"/>
      <w:pPr>
        <w:tabs>
          <w:tab w:val="left" w:pos="1687"/>
        </w:tabs>
        <w:ind w:left="1687" w:hanging="420"/>
      </w:pPr>
    </w:lvl>
    <w:lvl w:ilvl="3" w:tentative="0">
      <w:start w:val="1"/>
      <w:numFmt w:val="decimal"/>
      <w:lvlText w:val="%4."/>
      <w:lvlJc w:val="left"/>
      <w:pPr>
        <w:tabs>
          <w:tab w:val="left" w:pos="2107"/>
        </w:tabs>
        <w:ind w:left="2107" w:hanging="420"/>
      </w:pPr>
    </w:lvl>
    <w:lvl w:ilvl="4" w:tentative="0">
      <w:start w:val="1"/>
      <w:numFmt w:val="lowerLetter"/>
      <w:lvlText w:val="%5)"/>
      <w:lvlJc w:val="left"/>
      <w:pPr>
        <w:tabs>
          <w:tab w:val="left" w:pos="2527"/>
        </w:tabs>
        <w:ind w:left="2527" w:hanging="420"/>
      </w:pPr>
    </w:lvl>
    <w:lvl w:ilvl="5" w:tentative="0">
      <w:start w:val="1"/>
      <w:numFmt w:val="lowerRoman"/>
      <w:lvlText w:val="%6."/>
      <w:lvlJc w:val="right"/>
      <w:pPr>
        <w:tabs>
          <w:tab w:val="left" w:pos="2947"/>
        </w:tabs>
        <w:ind w:left="2947" w:hanging="420"/>
      </w:pPr>
    </w:lvl>
    <w:lvl w:ilvl="6" w:tentative="0">
      <w:start w:val="1"/>
      <w:numFmt w:val="decimal"/>
      <w:lvlText w:val="%7."/>
      <w:lvlJc w:val="left"/>
      <w:pPr>
        <w:tabs>
          <w:tab w:val="left" w:pos="3367"/>
        </w:tabs>
        <w:ind w:left="3367" w:hanging="420"/>
      </w:pPr>
    </w:lvl>
    <w:lvl w:ilvl="7" w:tentative="0">
      <w:start w:val="1"/>
      <w:numFmt w:val="lowerLetter"/>
      <w:lvlText w:val="%8)"/>
      <w:lvlJc w:val="left"/>
      <w:pPr>
        <w:tabs>
          <w:tab w:val="left" w:pos="3787"/>
        </w:tabs>
        <w:ind w:left="3787" w:hanging="420"/>
      </w:pPr>
    </w:lvl>
    <w:lvl w:ilvl="8" w:tentative="0">
      <w:start w:val="1"/>
      <w:numFmt w:val="lowerRoman"/>
      <w:lvlText w:val="%9."/>
      <w:lvlJc w:val="right"/>
      <w:pPr>
        <w:tabs>
          <w:tab w:val="left" w:pos="4207"/>
        </w:tabs>
        <w:ind w:left="4207" w:hanging="420"/>
      </w:pPr>
    </w:lvl>
  </w:abstractNum>
  <w:abstractNum w:abstractNumId="21">
    <w:nsid w:val="73727F42"/>
    <w:multiLevelType w:val="singleLevel"/>
    <w:tmpl w:val="73727F42"/>
    <w:lvl w:ilvl="0" w:tentative="0">
      <w:start w:val="4"/>
      <w:numFmt w:val="decimal"/>
      <w:suff w:val="nothing"/>
      <w:lvlText w:val="%1、"/>
      <w:lvlJc w:val="left"/>
    </w:lvl>
  </w:abstractNum>
  <w:num w:numId="1">
    <w:abstractNumId w:val="6"/>
  </w:num>
  <w:num w:numId="2">
    <w:abstractNumId w:val="4"/>
  </w:num>
  <w:num w:numId="3">
    <w:abstractNumId w:val="3"/>
  </w:num>
  <w:num w:numId="4">
    <w:abstractNumId w:val="20"/>
  </w:num>
  <w:num w:numId="5">
    <w:abstractNumId w:val="10"/>
  </w:num>
  <w:num w:numId="6">
    <w:abstractNumId w:val="11"/>
  </w:num>
  <w:num w:numId="7">
    <w:abstractNumId w:val="7"/>
  </w:num>
  <w:num w:numId="8">
    <w:abstractNumId w:val="18"/>
  </w:num>
  <w:num w:numId="9">
    <w:abstractNumId w:val="8"/>
  </w:num>
  <w:num w:numId="10">
    <w:abstractNumId w:val="16"/>
  </w:num>
  <w:num w:numId="11">
    <w:abstractNumId w:val="19"/>
  </w:num>
  <w:num w:numId="12">
    <w:abstractNumId w:val="15"/>
  </w:num>
  <w:num w:numId="13">
    <w:abstractNumId w:val="0"/>
  </w:num>
  <w:num w:numId="14">
    <w:abstractNumId w:val="14"/>
  </w:num>
  <w:num w:numId="15">
    <w:abstractNumId w:val="13"/>
  </w:num>
  <w:num w:numId="16">
    <w:abstractNumId w:val="12"/>
  </w:num>
  <w:num w:numId="17">
    <w:abstractNumId w:val="2"/>
  </w:num>
  <w:num w:numId="18">
    <w:abstractNumId w:val="9"/>
  </w:num>
  <w:num w:numId="19">
    <w:abstractNumId w:val="5"/>
  </w:num>
  <w:num w:numId="20">
    <w:abstractNumId w:val="21"/>
  </w:num>
  <w:num w:numId="21">
    <w:abstractNumId w:val="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3NzNjODJiY2VjYjQzZWJkNzVhZWMwYzA3OGQ3M2EifQ=="/>
  </w:docVars>
  <w:rsids>
    <w:rsidRoot w:val="00172A27"/>
    <w:rsid w:val="00000511"/>
    <w:rsid w:val="00000558"/>
    <w:rsid w:val="00000671"/>
    <w:rsid w:val="00000CBB"/>
    <w:rsid w:val="00001769"/>
    <w:rsid w:val="000019B2"/>
    <w:rsid w:val="00002D9A"/>
    <w:rsid w:val="00003881"/>
    <w:rsid w:val="00003CD5"/>
    <w:rsid w:val="00004285"/>
    <w:rsid w:val="0000486F"/>
    <w:rsid w:val="00004DBA"/>
    <w:rsid w:val="00004DF4"/>
    <w:rsid w:val="000054EF"/>
    <w:rsid w:val="00006430"/>
    <w:rsid w:val="00006B17"/>
    <w:rsid w:val="000073D6"/>
    <w:rsid w:val="000078FB"/>
    <w:rsid w:val="00007C83"/>
    <w:rsid w:val="000102E1"/>
    <w:rsid w:val="00010B81"/>
    <w:rsid w:val="00011021"/>
    <w:rsid w:val="00011630"/>
    <w:rsid w:val="00012360"/>
    <w:rsid w:val="000123F8"/>
    <w:rsid w:val="000133C7"/>
    <w:rsid w:val="000140D5"/>
    <w:rsid w:val="000150DA"/>
    <w:rsid w:val="000161CB"/>
    <w:rsid w:val="00016339"/>
    <w:rsid w:val="0001650A"/>
    <w:rsid w:val="00016881"/>
    <w:rsid w:val="00016B23"/>
    <w:rsid w:val="0001737B"/>
    <w:rsid w:val="00017B21"/>
    <w:rsid w:val="00021370"/>
    <w:rsid w:val="00021532"/>
    <w:rsid w:val="00021928"/>
    <w:rsid w:val="00021A91"/>
    <w:rsid w:val="00021BE0"/>
    <w:rsid w:val="00022DE3"/>
    <w:rsid w:val="00024020"/>
    <w:rsid w:val="00024432"/>
    <w:rsid w:val="00024746"/>
    <w:rsid w:val="000250C6"/>
    <w:rsid w:val="00025775"/>
    <w:rsid w:val="00026321"/>
    <w:rsid w:val="00026E3A"/>
    <w:rsid w:val="00027077"/>
    <w:rsid w:val="000279FD"/>
    <w:rsid w:val="0003028B"/>
    <w:rsid w:val="0003067A"/>
    <w:rsid w:val="00030FCE"/>
    <w:rsid w:val="00031435"/>
    <w:rsid w:val="000318D6"/>
    <w:rsid w:val="000319D9"/>
    <w:rsid w:val="00031C7B"/>
    <w:rsid w:val="00032505"/>
    <w:rsid w:val="00032C89"/>
    <w:rsid w:val="000335E2"/>
    <w:rsid w:val="00033A63"/>
    <w:rsid w:val="00033ECF"/>
    <w:rsid w:val="00034CB9"/>
    <w:rsid w:val="00035187"/>
    <w:rsid w:val="00035516"/>
    <w:rsid w:val="00035C92"/>
    <w:rsid w:val="0003617D"/>
    <w:rsid w:val="000370B9"/>
    <w:rsid w:val="00040D85"/>
    <w:rsid w:val="0004121D"/>
    <w:rsid w:val="00041529"/>
    <w:rsid w:val="00041FA6"/>
    <w:rsid w:val="00042477"/>
    <w:rsid w:val="000425AD"/>
    <w:rsid w:val="00043019"/>
    <w:rsid w:val="000438DE"/>
    <w:rsid w:val="00044264"/>
    <w:rsid w:val="000442C6"/>
    <w:rsid w:val="00045785"/>
    <w:rsid w:val="00045D7A"/>
    <w:rsid w:val="000464A7"/>
    <w:rsid w:val="00046E60"/>
    <w:rsid w:val="0004717F"/>
    <w:rsid w:val="00047261"/>
    <w:rsid w:val="00047580"/>
    <w:rsid w:val="00047EEC"/>
    <w:rsid w:val="000502CF"/>
    <w:rsid w:val="0005053E"/>
    <w:rsid w:val="000508D9"/>
    <w:rsid w:val="000509D8"/>
    <w:rsid w:val="00051765"/>
    <w:rsid w:val="000519C0"/>
    <w:rsid w:val="00051CEB"/>
    <w:rsid w:val="00051FF3"/>
    <w:rsid w:val="00052B16"/>
    <w:rsid w:val="00052DBF"/>
    <w:rsid w:val="00052EAF"/>
    <w:rsid w:val="0005333F"/>
    <w:rsid w:val="0005371F"/>
    <w:rsid w:val="00054D76"/>
    <w:rsid w:val="000561C3"/>
    <w:rsid w:val="000564B3"/>
    <w:rsid w:val="000567A3"/>
    <w:rsid w:val="00056C8F"/>
    <w:rsid w:val="000572E5"/>
    <w:rsid w:val="00057938"/>
    <w:rsid w:val="00057A51"/>
    <w:rsid w:val="00057CB0"/>
    <w:rsid w:val="0006129B"/>
    <w:rsid w:val="000612EF"/>
    <w:rsid w:val="00061397"/>
    <w:rsid w:val="00061B06"/>
    <w:rsid w:val="00061B15"/>
    <w:rsid w:val="0006234F"/>
    <w:rsid w:val="00063612"/>
    <w:rsid w:val="00064551"/>
    <w:rsid w:val="00064BD9"/>
    <w:rsid w:val="000657E2"/>
    <w:rsid w:val="00065FEF"/>
    <w:rsid w:val="00066696"/>
    <w:rsid w:val="00066C3E"/>
    <w:rsid w:val="00067012"/>
    <w:rsid w:val="00067262"/>
    <w:rsid w:val="00070C30"/>
    <w:rsid w:val="0007164C"/>
    <w:rsid w:val="00071D09"/>
    <w:rsid w:val="00072361"/>
    <w:rsid w:val="000723B2"/>
    <w:rsid w:val="000725D5"/>
    <w:rsid w:val="00073E6C"/>
    <w:rsid w:val="0007416C"/>
    <w:rsid w:val="000741DE"/>
    <w:rsid w:val="0007470C"/>
    <w:rsid w:val="00074ABE"/>
    <w:rsid w:val="0007587F"/>
    <w:rsid w:val="00075E17"/>
    <w:rsid w:val="00076044"/>
    <w:rsid w:val="00076301"/>
    <w:rsid w:val="000768FF"/>
    <w:rsid w:val="00076942"/>
    <w:rsid w:val="00077451"/>
    <w:rsid w:val="000808E5"/>
    <w:rsid w:val="00080AE8"/>
    <w:rsid w:val="00080F04"/>
    <w:rsid w:val="000817E8"/>
    <w:rsid w:val="00081836"/>
    <w:rsid w:val="00081A64"/>
    <w:rsid w:val="000824D8"/>
    <w:rsid w:val="00082A0D"/>
    <w:rsid w:val="00083534"/>
    <w:rsid w:val="000842BB"/>
    <w:rsid w:val="000843B9"/>
    <w:rsid w:val="00084623"/>
    <w:rsid w:val="00084EBB"/>
    <w:rsid w:val="00085161"/>
    <w:rsid w:val="00085C6D"/>
    <w:rsid w:val="00086874"/>
    <w:rsid w:val="000874C6"/>
    <w:rsid w:val="0009111C"/>
    <w:rsid w:val="00091D10"/>
    <w:rsid w:val="000921E3"/>
    <w:rsid w:val="00092583"/>
    <w:rsid w:val="0009397D"/>
    <w:rsid w:val="00093C03"/>
    <w:rsid w:val="00093C0D"/>
    <w:rsid w:val="00094DEB"/>
    <w:rsid w:val="0009770C"/>
    <w:rsid w:val="00097C47"/>
    <w:rsid w:val="00097E7E"/>
    <w:rsid w:val="000A0107"/>
    <w:rsid w:val="000A01BB"/>
    <w:rsid w:val="000A077D"/>
    <w:rsid w:val="000A0985"/>
    <w:rsid w:val="000A156D"/>
    <w:rsid w:val="000A1905"/>
    <w:rsid w:val="000A2025"/>
    <w:rsid w:val="000A334F"/>
    <w:rsid w:val="000A3C8E"/>
    <w:rsid w:val="000A4211"/>
    <w:rsid w:val="000A42FF"/>
    <w:rsid w:val="000A4523"/>
    <w:rsid w:val="000A4B9B"/>
    <w:rsid w:val="000A5653"/>
    <w:rsid w:val="000A5AE0"/>
    <w:rsid w:val="000A5B3B"/>
    <w:rsid w:val="000A5DF5"/>
    <w:rsid w:val="000A78BD"/>
    <w:rsid w:val="000A7954"/>
    <w:rsid w:val="000B0163"/>
    <w:rsid w:val="000B10AF"/>
    <w:rsid w:val="000B1284"/>
    <w:rsid w:val="000B2C54"/>
    <w:rsid w:val="000B2CF0"/>
    <w:rsid w:val="000B44A9"/>
    <w:rsid w:val="000B44CB"/>
    <w:rsid w:val="000B52E3"/>
    <w:rsid w:val="000B5939"/>
    <w:rsid w:val="000B5A46"/>
    <w:rsid w:val="000B5A53"/>
    <w:rsid w:val="000B5A79"/>
    <w:rsid w:val="000B5AED"/>
    <w:rsid w:val="000B5E93"/>
    <w:rsid w:val="000B629A"/>
    <w:rsid w:val="000B689B"/>
    <w:rsid w:val="000B7DF5"/>
    <w:rsid w:val="000B7E32"/>
    <w:rsid w:val="000C051F"/>
    <w:rsid w:val="000C121A"/>
    <w:rsid w:val="000C1430"/>
    <w:rsid w:val="000C24EF"/>
    <w:rsid w:val="000C2919"/>
    <w:rsid w:val="000C2CE6"/>
    <w:rsid w:val="000C3623"/>
    <w:rsid w:val="000C3EB1"/>
    <w:rsid w:val="000C462D"/>
    <w:rsid w:val="000C4C5E"/>
    <w:rsid w:val="000C4CB3"/>
    <w:rsid w:val="000C55AF"/>
    <w:rsid w:val="000C6065"/>
    <w:rsid w:val="000C6887"/>
    <w:rsid w:val="000D033B"/>
    <w:rsid w:val="000D08B0"/>
    <w:rsid w:val="000D10C1"/>
    <w:rsid w:val="000D28BE"/>
    <w:rsid w:val="000D2F75"/>
    <w:rsid w:val="000D30DD"/>
    <w:rsid w:val="000D3186"/>
    <w:rsid w:val="000D327E"/>
    <w:rsid w:val="000D32BB"/>
    <w:rsid w:val="000D3FA5"/>
    <w:rsid w:val="000D41FF"/>
    <w:rsid w:val="000D4209"/>
    <w:rsid w:val="000D47B4"/>
    <w:rsid w:val="000D492A"/>
    <w:rsid w:val="000D4CD3"/>
    <w:rsid w:val="000D55FF"/>
    <w:rsid w:val="000D5E11"/>
    <w:rsid w:val="000D6D7E"/>
    <w:rsid w:val="000D7252"/>
    <w:rsid w:val="000D73EB"/>
    <w:rsid w:val="000E015A"/>
    <w:rsid w:val="000E01E6"/>
    <w:rsid w:val="000E0899"/>
    <w:rsid w:val="000E0B4E"/>
    <w:rsid w:val="000E11CA"/>
    <w:rsid w:val="000E23E4"/>
    <w:rsid w:val="000E2D30"/>
    <w:rsid w:val="000E30B9"/>
    <w:rsid w:val="000E33AF"/>
    <w:rsid w:val="000E3EC1"/>
    <w:rsid w:val="000E44FA"/>
    <w:rsid w:val="000E596D"/>
    <w:rsid w:val="000E5D37"/>
    <w:rsid w:val="000E5E14"/>
    <w:rsid w:val="000E678D"/>
    <w:rsid w:val="000E6B5F"/>
    <w:rsid w:val="000E7354"/>
    <w:rsid w:val="000E7367"/>
    <w:rsid w:val="000E77BD"/>
    <w:rsid w:val="000E7BC1"/>
    <w:rsid w:val="000E7BEC"/>
    <w:rsid w:val="000F0D00"/>
    <w:rsid w:val="000F24E8"/>
    <w:rsid w:val="000F2C84"/>
    <w:rsid w:val="000F2D4F"/>
    <w:rsid w:val="000F2DBB"/>
    <w:rsid w:val="000F39BD"/>
    <w:rsid w:val="000F3E18"/>
    <w:rsid w:val="000F488D"/>
    <w:rsid w:val="000F4D6E"/>
    <w:rsid w:val="000F4DEF"/>
    <w:rsid w:val="000F601D"/>
    <w:rsid w:val="000F6427"/>
    <w:rsid w:val="000F70C0"/>
    <w:rsid w:val="000F74A7"/>
    <w:rsid w:val="000F7D90"/>
    <w:rsid w:val="00100CBB"/>
    <w:rsid w:val="00101FF2"/>
    <w:rsid w:val="0010243C"/>
    <w:rsid w:val="001034D4"/>
    <w:rsid w:val="0010357A"/>
    <w:rsid w:val="00103D4A"/>
    <w:rsid w:val="00104013"/>
    <w:rsid w:val="00105036"/>
    <w:rsid w:val="0010567C"/>
    <w:rsid w:val="0010608F"/>
    <w:rsid w:val="0010613B"/>
    <w:rsid w:val="00106FA8"/>
    <w:rsid w:val="001077FB"/>
    <w:rsid w:val="00110578"/>
    <w:rsid w:val="0011121F"/>
    <w:rsid w:val="00111795"/>
    <w:rsid w:val="00111F7D"/>
    <w:rsid w:val="001120ED"/>
    <w:rsid w:val="00112573"/>
    <w:rsid w:val="00112B40"/>
    <w:rsid w:val="00112B42"/>
    <w:rsid w:val="00112EF6"/>
    <w:rsid w:val="00113767"/>
    <w:rsid w:val="00115FD6"/>
    <w:rsid w:val="00116D75"/>
    <w:rsid w:val="00116E2C"/>
    <w:rsid w:val="00117376"/>
    <w:rsid w:val="00117C50"/>
    <w:rsid w:val="00117C73"/>
    <w:rsid w:val="001203B5"/>
    <w:rsid w:val="00120C9D"/>
    <w:rsid w:val="00120FD5"/>
    <w:rsid w:val="00121117"/>
    <w:rsid w:val="00121B91"/>
    <w:rsid w:val="00121BA2"/>
    <w:rsid w:val="001232A4"/>
    <w:rsid w:val="00123913"/>
    <w:rsid w:val="001244F2"/>
    <w:rsid w:val="00125545"/>
    <w:rsid w:val="00125A79"/>
    <w:rsid w:val="00126820"/>
    <w:rsid w:val="0012691A"/>
    <w:rsid w:val="00126ACF"/>
    <w:rsid w:val="00126CE2"/>
    <w:rsid w:val="00126EC5"/>
    <w:rsid w:val="00127331"/>
    <w:rsid w:val="00130AD5"/>
    <w:rsid w:val="00131DE7"/>
    <w:rsid w:val="0013204E"/>
    <w:rsid w:val="0013282F"/>
    <w:rsid w:val="00132F72"/>
    <w:rsid w:val="00133D05"/>
    <w:rsid w:val="001344F8"/>
    <w:rsid w:val="00134546"/>
    <w:rsid w:val="00134F34"/>
    <w:rsid w:val="00135676"/>
    <w:rsid w:val="00135A94"/>
    <w:rsid w:val="00135B40"/>
    <w:rsid w:val="00135F53"/>
    <w:rsid w:val="0013604E"/>
    <w:rsid w:val="001361FF"/>
    <w:rsid w:val="00136459"/>
    <w:rsid w:val="0013674C"/>
    <w:rsid w:val="001368C3"/>
    <w:rsid w:val="00137361"/>
    <w:rsid w:val="00137844"/>
    <w:rsid w:val="00137B05"/>
    <w:rsid w:val="00140BE3"/>
    <w:rsid w:val="00140C14"/>
    <w:rsid w:val="00140DC2"/>
    <w:rsid w:val="0014212B"/>
    <w:rsid w:val="00144159"/>
    <w:rsid w:val="0014415A"/>
    <w:rsid w:val="001442DF"/>
    <w:rsid w:val="00144324"/>
    <w:rsid w:val="00144B47"/>
    <w:rsid w:val="001462C0"/>
    <w:rsid w:val="0014639E"/>
    <w:rsid w:val="00146535"/>
    <w:rsid w:val="00146650"/>
    <w:rsid w:val="00146791"/>
    <w:rsid w:val="00147B63"/>
    <w:rsid w:val="00147FAA"/>
    <w:rsid w:val="00150CD7"/>
    <w:rsid w:val="00150EF6"/>
    <w:rsid w:val="0015136E"/>
    <w:rsid w:val="00152777"/>
    <w:rsid w:val="00153120"/>
    <w:rsid w:val="00153503"/>
    <w:rsid w:val="00153B33"/>
    <w:rsid w:val="00153E59"/>
    <w:rsid w:val="001550D0"/>
    <w:rsid w:val="0015536E"/>
    <w:rsid w:val="0015542C"/>
    <w:rsid w:val="0015569E"/>
    <w:rsid w:val="00156F77"/>
    <w:rsid w:val="00157125"/>
    <w:rsid w:val="00157888"/>
    <w:rsid w:val="00160073"/>
    <w:rsid w:val="00162C22"/>
    <w:rsid w:val="0016362F"/>
    <w:rsid w:val="00163B93"/>
    <w:rsid w:val="0016470C"/>
    <w:rsid w:val="001649EC"/>
    <w:rsid w:val="00164AC5"/>
    <w:rsid w:val="00164CE0"/>
    <w:rsid w:val="00164F9D"/>
    <w:rsid w:val="0016567F"/>
    <w:rsid w:val="0016598D"/>
    <w:rsid w:val="00165ACF"/>
    <w:rsid w:val="00165B21"/>
    <w:rsid w:val="00166784"/>
    <w:rsid w:val="0016713B"/>
    <w:rsid w:val="001677C4"/>
    <w:rsid w:val="00167BB6"/>
    <w:rsid w:val="00167D00"/>
    <w:rsid w:val="00167E25"/>
    <w:rsid w:val="00170F87"/>
    <w:rsid w:val="001712EC"/>
    <w:rsid w:val="00171558"/>
    <w:rsid w:val="00171D93"/>
    <w:rsid w:val="00172A27"/>
    <w:rsid w:val="00173DFC"/>
    <w:rsid w:val="00175D76"/>
    <w:rsid w:val="00175EFC"/>
    <w:rsid w:val="00175FBF"/>
    <w:rsid w:val="00176C32"/>
    <w:rsid w:val="00176E65"/>
    <w:rsid w:val="00180428"/>
    <w:rsid w:val="00181350"/>
    <w:rsid w:val="00181A5D"/>
    <w:rsid w:val="00181DFC"/>
    <w:rsid w:val="0018291A"/>
    <w:rsid w:val="00182973"/>
    <w:rsid w:val="00182AFD"/>
    <w:rsid w:val="00182E9E"/>
    <w:rsid w:val="0018353A"/>
    <w:rsid w:val="001847AC"/>
    <w:rsid w:val="00185036"/>
    <w:rsid w:val="001852B3"/>
    <w:rsid w:val="001855E9"/>
    <w:rsid w:val="00185AF2"/>
    <w:rsid w:val="00185C63"/>
    <w:rsid w:val="00185F2B"/>
    <w:rsid w:val="00186539"/>
    <w:rsid w:val="00186BDB"/>
    <w:rsid w:val="00187698"/>
    <w:rsid w:val="00187C48"/>
    <w:rsid w:val="00187DC3"/>
    <w:rsid w:val="0019013C"/>
    <w:rsid w:val="001905D1"/>
    <w:rsid w:val="00190D7C"/>
    <w:rsid w:val="00190E48"/>
    <w:rsid w:val="00191ADA"/>
    <w:rsid w:val="001923B9"/>
    <w:rsid w:val="00192FDE"/>
    <w:rsid w:val="00193180"/>
    <w:rsid w:val="00193DC4"/>
    <w:rsid w:val="00193E3D"/>
    <w:rsid w:val="00194270"/>
    <w:rsid w:val="00194A7E"/>
    <w:rsid w:val="00195185"/>
    <w:rsid w:val="00195761"/>
    <w:rsid w:val="00195A78"/>
    <w:rsid w:val="00196903"/>
    <w:rsid w:val="00196D29"/>
    <w:rsid w:val="00197824"/>
    <w:rsid w:val="00197B6E"/>
    <w:rsid w:val="001A020C"/>
    <w:rsid w:val="001A04AD"/>
    <w:rsid w:val="001A0F83"/>
    <w:rsid w:val="001A1847"/>
    <w:rsid w:val="001A1997"/>
    <w:rsid w:val="001A1D34"/>
    <w:rsid w:val="001A1F1D"/>
    <w:rsid w:val="001A2714"/>
    <w:rsid w:val="001A2AE0"/>
    <w:rsid w:val="001A3293"/>
    <w:rsid w:val="001A3E0B"/>
    <w:rsid w:val="001A3E17"/>
    <w:rsid w:val="001A4437"/>
    <w:rsid w:val="001A533D"/>
    <w:rsid w:val="001A5E33"/>
    <w:rsid w:val="001A651F"/>
    <w:rsid w:val="001A70DF"/>
    <w:rsid w:val="001B009A"/>
    <w:rsid w:val="001B02C5"/>
    <w:rsid w:val="001B0588"/>
    <w:rsid w:val="001B0ACD"/>
    <w:rsid w:val="001B1990"/>
    <w:rsid w:val="001B1B96"/>
    <w:rsid w:val="001B1E2C"/>
    <w:rsid w:val="001B1FD8"/>
    <w:rsid w:val="001B2382"/>
    <w:rsid w:val="001B2759"/>
    <w:rsid w:val="001B356D"/>
    <w:rsid w:val="001B45EF"/>
    <w:rsid w:val="001B516F"/>
    <w:rsid w:val="001B66C7"/>
    <w:rsid w:val="001B6DA3"/>
    <w:rsid w:val="001B7625"/>
    <w:rsid w:val="001C0290"/>
    <w:rsid w:val="001C2035"/>
    <w:rsid w:val="001C30AE"/>
    <w:rsid w:val="001C3729"/>
    <w:rsid w:val="001C43C6"/>
    <w:rsid w:val="001C441E"/>
    <w:rsid w:val="001C627B"/>
    <w:rsid w:val="001C6A30"/>
    <w:rsid w:val="001D09AA"/>
    <w:rsid w:val="001D0BED"/>
    <w:rsid w:val="001D0C94"/>
    <w:rsid w:val="001D0D3B"/>
    <w:rsid w:val="001D13CA"/>
    <w:rsid w:val="001D1D02"/>
    <w:rsid w:val="001D215B"/>
    <w:rsid w:val="001D216E"/>
    <w:rsid w:val="001D273C"/>
    <w:rsid w:val="001D2EBE"/>
    <w:rsid w:val="001D33CF"/>
    <w:rsid w:val="001D3949"/>
    <w:rsid w:val="001D3B27"/>
    <w:rsid w:val="001D3B6A"/>
    <w:rsid w:val="001D3F15"/>
    <w:rsid w:val="001D4CEE"/>
    <w:rsid w:val="001D56E7"/>
    <w:rsid w:val="001D5CC6"/>
    <w:rsid w:val="001D5DA6"/>
    <w:rsid w:val="001D656C"/>
    <w:rsid w:val="001D6E66"/>
    <w:rsid w:val="001E05D2"/>
    <w:rsid w:val="001E145A"/>
    <w:rsid w:val="001E1A6B"/>
    <w:rsid w:val="001E1D8D"/>
    <w:rsid w:val="001E2089"/>
    <w:rsid w:val="001E228F"/>
    <w:rsid w:val="001E25F0"/>
    <w:rsid w:val="001E3497"/>
    <w:rsid w:val="001E365E"/>
    <w:rsid w:val="001E3A3A"/>
    <w:rsid w:val="001E3B0B"/>
    <w:rsid w:val="001E3C85"/>
    <w:rsid w:val="001E3FD8"/>
    <w:rsid w:val="001E432F"/>
    <w:rsid w:val="001E5B83"/>
    <w:rsid w:val="001E5D40"/>
    <w:rsid w:val="001E5F77"/>
    <w:rsid w:val="001E7296"/>
    <w:rsid w:val="001E79B2"/>
    <w:rsid w:val="001E7B82"/>
    <w:rsid w:val="001F0683"/>
    <w:rsid w:val="001F0C65"/>
    <w:rsid w:val="001F0C8E"/>
    <w:rsid w:val="001F0CAC"/>
    <w:rsid w:val="001F0D88"/>
    <w:rsid w:val="001F1287"/>
    <w:rsid w:val="001F1F36"/>
    <w:rsid w:val="001F1F4F"/>
    <w:rsid w:val="001F32E9"/>
    <w:rsid w:val="001F355F"/>
    <w:rsid w:val="001F361A"/>
    <w:rsid w:val="001F361B"/>
    <w:rsid w:val="001F3881"/>
    <w:rsid w:val="001F430E"/>
    <w:rsid w:val="001F4663"/>
    <w:rsid w:val="001F5302"/>
    <w:rsid w:val="001F5733"/>
    <w:rsid w:val="001F5FCB"/>
    <w:rsid w:val="001F6409"/>
    <w:rsid w:val="001F6C7E"/>
    <w:rsid w:val="002001F2"/>
    <w:rsid w:val="00201AD9"/>
    <w:rsid w:val="00201B7D"/>
    <w:rsid w:val="0020248E"/>
    <w:rsid w:val="002024CE"/>
    <w:rsid w:val="002028B2"/>
    <w:rsid w:val="00202929"/>
    <w:rsid w:val="0020354D"/>
    <w:rsid w:val="00203C85"/>
    <w:rsid w:val="00204103"/>
    <w:rsid w:val="00204BAB"/>
    <w:rsid w:val="0020527F"/>
    <w:rsid w:val="00205E51"/>
    <w:rsid w:val="002066FC"/>
    <w:rsid w:val="00206CFB"/>
    <w:rsid w:val="00206DE0"/>
    <w:rsid w:val="00206EB3"/>
    <w:rsid w:val="00206EF7"/>
    <w:rsid w:val="00207BA7"/>
    <w:rsid w:val="00207DB6"/>
    <w:rsid w:val="00210B05"/>
    <w:rsid w:val="00211AF3"/>
    <w:rsid w:val="002122DC"/>
    <w:rsid w:val="0021295D"/>
    <w:rsid w:val="002147F2"/>
    <w:rsid w:val="00214C41"/>
    <w:rsid w:val="00215402"/>
    <w:rsid w:val="00215B2B"/>
    <w:rsid w:val="00216F3E"/>
    <w:rsid w:val="00217C29"/>
    <w:rsid w:val="00217C62"/>
    <w:rsid w:val="00217DB2"/>
    <w:rsid w:val="00217E40"/>
    <w:rsid w:val="0022009F"/>
    <w:rsid w:val="00220B50"/>
    <w:rsid w:val="00220E87"/>
    <w:rsid w:val="00221453"/>
    <w:rsid w:val="00221DA9"/>
    <w:rsid w:val="00221FC9"/>
    <w:rsid w:val="00222308"/>
    <w:rsid w:val="00222328"/>
    <w:rsid w:val="0022425C"/>
    <w:rsid w:val="0022478B"/>
    <w:rsid w:val="0022722C"/>
    <w:rsid w:val="0022725D"/>
    <w:rsid w:val="00227E3C"/>
    <w:rsid w:val="00227F68"/>
    <w:rsid w:val="00230165"/>
    <w:rsid w:val="00231627"/>
    <w:rsid w:val="0023166C"/>
    <w:rsid w:val="002319DA"/>
    <w:rsid w:val="00231DCB"/>
    <w:rsid w:val="00232465"/>
    <w:rsid w:val="00232948"/>
    <w:rsid w:val="00233118"/>
    <w:rsid w:val="002331CA"/>
    <w:rsid w:val="002333D7"/>
    <w:rsid w:val="00233BD7"/>
    <w:rsid w:val="00233D26"/>
    <w:rsid w:val="0023432F"/>
    <w:rsid w:val="0023460A"/>
    <w:rsid w:val="00234C9A"/>
    <w:rsid w:val="00235708"/>
    <w:rsid w:val="00235750"/>
    <w:rsid w:val="00237106"/>
    <w:rsid w:val="00237BE1"/>
    <w:rsid w:val="00237FD4"/>
    <w:rsid w:val="002409A9"/>
    <w:rsid w:val="0024114C"/>
    <w:rsid w:val="00241327"/>
    <w:rsid w:val="00242965"/>
    <w:rsid w:val="00242B9E"/>
    <w:rsid w:val="002439A3"/>
    <w:rsid w:val="00244B7F"/>
    <w:rsid w:val="00244CB3"/>
    <w:rsid w:val="00244D32"/>
    <w:rsid w:val="00245A28"/>
    <w:rsid w:val="00245E4E"/>
    <w:rsid w:val="00247827"/>
    <w:rsid w:val="00247F0D"/>
    <w:rsid w:val="002504C3"/>
    <w:rsid w:val="002505B7"/>
    <w:rsid w:val="00250627"/>
    <w:rsid w:val="00250BDA"/>
    <w:rsid w:val="00250CEF"/>
    <w:rsid w:val="0025100B"/>
    <w:rsid w:val="002515C1"/>
    <w:rsid w:val="0025176A"/>
    <w:rsid w:val="002517BF"/>
    <w:rsid w:val="002522AA"/>
    <w:rsid w:val="00252610"/>
    <w:rsid w:val="002527D8"/>
    <w:rsid w:val="00253586"/>
    <w:rsid w:val="002540BD"/>
    <w:rsid w:val="00254866"/>
    <w:rsid w:val="00254957"/>
    <w:rsid w:val="002551CE"/>
    <w:rsid w:val="002555AD"/>
    <w:rsid w:val="00257FFE"/>
    <w:rsid w:val="00260519"/>
    <w:rsid w:val="00260EFB"/>
    <w:rsid w:val="00261732"/>
    <w:rsid w:val="002619CC"/>
    <w:rsid w:val="00262047"/>
    <w:rsid w:val="0026242B"/>
    <w:rsid w:val="002627DF"/>
    <w:rsid w:val="00262F19"/>
    <w:rsid w:val="0026304D"/>
    <w:rsid w:val="00263162"/>
    <w:rsid w:val="00263A88"/>
    <w:rsid w:val="00263F56"/>
    <w:rsid w:val="00264024"/>
    <w:rsid w:val="002642E8"/>
    <w:rsid w:val="002646EA"/>
    <w:rsid w:val="00264AB4"/>
    <w:rsid w:val="00265857"/>
    <w:rsid w:val="00265C18"/>
    <w:rsid w:val="00266009"/>
    <w:rsid w:val="0026696D"/>
    <w:rsid w:val="00266ABC"/>
    <w:rsid w:val="002673CC"/>
    <w:rsid w:val="002676A8"/>
    <w:rsid w:val="00267B24"/>
    <w:rsid w:val="002700A7"/>
    <w:rsid w:val="0027022B"/>
    <w:rsid w:val="0027098C"/>
    <w:rsid w:val="00270B04"/>
    <w:rsid w:val="00270B5E"/>
    <w:rsid w:val="00270F56"/>
    <w:rsid w:val="002711E8"/>
    <w:rsid w:val="00271B35"/>
    <w:rsid w:val="002726CF"/>
    <w:rsid w:val="00272F70"/>
    <w:rsid w:val="00273C28"/>
    <w:rsid w:val="002740AD"/>
    <w:rsid w:val="00274C73"/>
    <w:rsid w:val="00274CC5"/>
    <w:rsid w:val="00275279"/>
    <w:rsid w:val="0027545A"/>
    <w:rsid w:val="0027559E"/>
    <w:rsid w:val="00276652"/>
    <w:rsid w:val="002766D0"/>
    <w:rsid w:val="002767B5"/>
    <w:rsid w:val="00276C3C"/>
    <w:rsid w:val="00276E33"/>
    <w:rsid w:val="002775DB"/>
    <w:rsid w:val="002776B5"/>
    <w:rsid w:val="002779DF"/>
    <w:rsid w:val="00281185"/>
    <w:rsid w:val="002811B6"/>
    <w:rsid w:val="002820AC"/>
    <w:rsid w:val="00282528"/>
    <w:rsid w:val="00282E61"/>
    <w:rsid w:val="00283995"/>
    <w:rsid w:val="00284D28"/>
    <w:rsid w:val="00285524"/>
    <w:rsid w:val="00286BFC"/>
    <w:rsid w:val="002872E6"/>
    <w:rsid w:val="00287606"/>
    <w:rsid w:val="00290322"/>
    <w:rsid w:val="00290570"/>
    <w:rsid w:val="00291D2A"/>
    <w:rsid w:val="00292D16"/>
    <w:rsid w:val="00292E81"/>
    <w:rsid w:val="00293737"/>
    <w:rsid w:val="00293AB5"/>
    <w:rsid w:val="00293DAB"/>
    <w:rsid w:val="00294202"/>
    <w:rsid w:val="002946A7"/>
    <w:rsid w:val="00294C33"/>
    <w:rsid w:val="00294F6A"/>
    <w:rsid w:val="002960A3"/>
    <w:rsid w:val="00296725"/>
    <w:rsid w:val="002A0DDA"/>
    <w:rsid w:val="002A1303"/>
    <w:rsid w:val="002A2027"/>
    <w:rsid w:val="002A29B3"/>
    <w:rsid w:val="002A29B5"/>
    <w:rsid w:val="002A2E28"/>
    <w:rsid w:val="002A3131"/>
    <w:rsid w:val="002A38DB"/>
    <w:rsid w:val="002A41D8"/>
    <w:rsid w:val="002A486D"/>
    <w:rsid w:val="002A4A18"/>
    <w:rsid w:val="002A54FA"/>
    <w:rsid w:val="002A59E6"/>
    <w:rsid w:val="002A5AD9"/>
    <w:rsid w:val="002A5DB6"/>
    <w:rsid w:val="002A6AE1"/>
    <w:rsid w:val="002A6EEF"/>
    <w:rsid w:val="002A7CD6"/>
    <w:rsid w:val="002A7E90"/>
    <w:rsid w:val="002B0CC0"/>
    <w:rsid w:val="002B167A"/>
    <w:rsid w:val="002B1E09"/>
    <w:rsid w:val="002B210D"/>
    <w:rsid w:val="002B2587"/>
    <w:rsid w:val="002B2636"/>
    <w:rsid w:val="002B2E12"/>
    <w:rsid w:val="002B37CD"/>
    <w:rsid w:val="002B380F"/>
    <w:rsid w:val="002B5DF2"/>
    <w:rsid w:val="002B6750"/>
    <w:rsid w:val="002B7E13"/>
    <w:rsid w:val="002C0669"/>
    <w:rsid w:val="002C17DC"/>
    <w:rsid w:val="002C1808"/>
    <w:rsid w:val="002C20F1"/>
    <w:rsid w:val="002C3357"/>
    <w:rsid w:val="002C3A82"/>
    <w:rsid w:val="002C46B8"/>
    <w:rsid w:val="002C4E93"/>
    <w:rsid w:val="002C7605"/>
    <w:rsid w:val="002D046E"/>
    <w:rsid w:val="002D0EE6"/>
    <w:rsid w:val="002D1821"/>
    <w:rsid w:val="002D1F72"/>
    <w:rsid w:val="002D2359"/>
    <w:rsid w:val="002D26CA"/>
    <w:rsid w:val="002D2A34"/>
    <w:rsid w:val="002D33E6"/>
    <w:rsid w:val="002D3CED"/>
    <w:rsid w:val="002D46C8"/>
    <w:rsid w:val="002D4C02"/>
    <w:rsid w:val="002D5360"/>
    <w:rsid w:val="002D5519"/>
    <w:rsid w:val="002D5D81"/>
    <w:rsid w:val="002D73D4"/>
    <w:rsid w:val="002E074B"/>
    <w:rsid w:val="002E0B68"/>
    <w:rsid w:val="002E1E5C"/>
    <w:rsid w:val="002E23E9"/>
    <w:rsid w:val="002E2817"/>
    <w:rsid w:val="002E284E"/>
    <w:rsid w:val="002E2DFC"/>
    <w:rsid w:val="002E3B35"/>
    <w:rsid w:val="002E4B95"/>
    <w:rsid w:val="002E4F51"/>
    <w:rsid w:val="002E57DC"/>
    <w:rsid w:val="002E67E9"/>
    <w:rsid w:val="002E6CF4"/>
    <w:rsid w:val="002E71D2"/>
    <w:rsid w:val="002E72DF"/>
    <w:rsid w:val="002E741C"/>
    <w:rsid w:val="002E76A0"/>
    <w:rsid w:val="002F0E5E"/>
    <w:rsid w:val="002F15BA"/>
    <w:rsid w:val="002F206F"/>
    <w:rsid w:val="002F284B"/>
    <w:rsid w:val="002F3992"/>
    <w:rsid w:val="002F4E85"/>
    <w:rsid w:val="002F4F4C"/>
    <w:rsid w:val="002F61B7"/>
    <w:rsid w:val="002F6270"/>
    <w:rsid w:val="002F6FFF"/>
    <w:rsid w:val="002F7809"/>
    <w:rsid w:val="0030025F"/>
    <w:rsid w:val="00300393"/>
    <w:rsid w:val="0030093E"/>
    <w:rsid w:val="00301F4B"/>
    <w:rsid w:val="00302798"/>
    <w:rsid w:val="0030355C"/>
    <w:rsid w:val="00303E71"/>
    <w:rsid w:val="003041BC"/>
    <w:rsid w:val="00304580"/>
    <w:rsid w:val="0030471C"/>
    <w:rsid w:val="00304782"/>
    <w:rsid w:val="00304920"/>
    <w:rsid w:val="00304975"/>
    <w:rsid w:val="00305396"/>
    <w:rsid w:val="0030597A"/>
    <w:rsid w:val="00306156"/>
    <w:rsid w:val="0030650B"/>
    <w:rsid w:val="00306551"/>
    <w:rsid w:val="00306731"/>
    <w:rsid w:val="00306956"/>
    <w:rsid w:val="003069A2"/>
    <w:rsid w:val="00306EBA"/>
    <w:rsid w:val="00307015"/>
    <w:rsid w:val="0030705F"/>
    <w:rsid w:val="00307F54"/>
    <w:rsid w:val="003101A4"/>
    <w:rsid w:val="00310954"/>
    <w:rsid w:val="00311E90"/>
    <w:rsid w:val="00312A4E"/>
    <w:rsid w:val="00312B4B"/>
    <w:rsid w:val="0031334C"/>
    <w:rsid w:val="0031365E"/>
    <w:rsid w:val="00313D99"/>
    <w:rsid w:val="0031491A"/>
    <w:rsid w:val="00314E3E"/>
    <w:rsid w:val="00315B2A"/>
    <w:rsid w:val="00315CF5"/>
    <w:rsid w:val="00315E25"/>
    <w:rsid w:val="003169C9"/>
    <w:rsid w:val="00316F70"/>
    <w:rsid w:val="00316FA0"/>
    <w:rsid w:val="00317336"/>
    <w:rsid w:val="0031786C"/>
    <w:rsid w:val="00317E3B"/>
    <w:rsid w:val="0032049D"/>
    <w:rsid w:val="00320E6C"/>
    <w:rsid w:val="00321C37"/>
    <w:rsid w:val="00321FAE"/>
    <w:rsid w:val="003221AE"/>
    <w:rsid w:val="0032281B"/>
    <w:rsid w:val="00322B63"/>
    <w:rsid w:val="00323472"/>
    <w:rsid w:val="003235B9"/>
    <w:rsid w:val="003244C9"/>
    <w:rsid w:val="0032516F"/>
    <w:rsid w:val="003263B4"/>
    <w:rsid w:val="00330323"/>
    <w:rsid w:val="00330676"/>
    <w:rsid w:val="00332038"/>
    <w:rsid w:val="00332DEE"/>
    <w:rsid w:val="00333478"/>
    <w:rsid w:val="00333B63"/>
    <w:rsid w:val="003346E1"/>
    <w:rsid w:val="00335188"/>
    <w:rsid w:val="0033548C"/>
    <w:rsid w:val="00335AF3"/>
    <w:rsid w:val="00335E62"/>
    <w:rsid w:val="0033636D"/>
    <w:rsid w:val="0033691E"/>
    <w:rsid w:val="00336BCA"/>
    <w:rsid w:val="00337774"/>
    <w:rsid w:val="00340271"/>
    <w:rsid w:val="00340540"/>
    <w:rsid w:val="0034129B"/>
    <w:rsid w:val="00341B00"/>
    <w:rsid w:val="0034226C"/>
    <w:rsid w:val="003423EE"/>
    <w:rsid w:val="00342678"/>
    <w:rsid w:val="00342E07"/>
    <w:rsid w:val="00343149"/>
    <w:rsid w:val="00343944"/>
    <w:rsid w:val="00344714"/>
    <w:rsid w:val="00344DD5"/>
    <w:rsid w:val="00345C63"/>
    <w:rsid w:val="003466C7"/>
    <w:rsid w:val="003473E0"/>
    <w:rsid w:val="003475E9"/>
    <w:rsid w:val="00347FF5"/>
    <w:rsid w:val="00350F7F"/>
    <w:rsid w:val="00352B72"/>
    <w:rsid w:val="0035334E"/>
    <w:rsid w:val="00354435"/>
    <w:rsid w:val="00354645"/>
    <w:rsid w:val="0035552A"/>
    <w:rsid w:val="003556E4"/>
    <w:rsid w:val="00356EE5"/>
    <w:rsid w:val="00357800"/>
    <w:rsid w:val="00357A4C"/>
    <w:rsid w:val="00362606"/>
    <w:rsid w:val="00362AE1"/>
    <w:rsid w:val="0036355B"/>
    <w:rsid w:val="00363BDB"/>
    <w:rsid w:val="00363EE1"/>
    <w:rsid w:val="003649BA"/>
    <w:rsid w:val="003655C0"/>
    <w:rsid w:val="00365DEA"/>
    <w:rsid w:val="0036669C"/>
    <w:rsid w:val="0036671D"/>
    <w:rsid w:val="00367612"/>
    <w:rsid w:val="003704D4"/>
    <w:rsid w:val="00370966"/>
    <w:rsid w:val="00370C3F"/>
    <w:rsid w:val="00371BFA"/>
    <w:rsid w:val="00372640"/>
    <w:rsid w:val="003735A7"/>
    <w:rsid w:val="003736A3"/>
    <w:rsid w:val="003740AA"/>
    <w:rsid w:val="0037447B"/>
    <w:rsid w:val="00374B7D"/>
    <w:rsid w:val="00374BDC"/>
    <w:rsid w:val="003754CC"/>
    <w:rsid w:val="003754F6"/>
    <w:rsid w:val="00375816"/>
    <w:rsid w:val="00375BCA"/>
    <w:rsid w:val="00375E2F"/>
    <w:rsid w:val="00376A34"/>
    <w:rsid w:val="00380513"/>
    <w:rsid w:val="0038066C"/>
    <w:rsid w:val="00380C9F"/>
    <w:rsid w:val="00380D7B"/>
    <w:rsid w:val="003812F0"/>
    <w:rsid w:val="003814CB"/>
    <w:rsid w:val="0038160E"/>
    <w:rsid w:val="003817CE"/>
    <w:rsid w:val="00381B04"/>
    <w:rsid w:val="00382A89"/>
    <w:rsid w:val="00382B7C"/>
    <w:rsid w:val="00382F62"/>
    <w:rsid w:val="003831F2"/>
    <w:rsid w:val="00383776"/>
    <w:rsid w:val="003839E7"/>
    <w:rsid w:val="00383B55"/>
    <w:rsid w:val="003841AC"/>
    <w:rsid w:val="003848F3"/>
    <w:rsid w:val="00384D20"/>
    <w:rsid w:val="00385F62"/>
    <w:rsid w:val="00386B31"/>
    <w:rsid w:val="00387C1A"/>
    <w:rsid w:val="00387D96"/>
    <w:rsid w:val="00387F99"/>
    <w:rsid w:val="0039080D"/>
    <w:rsid w:val="003909F8"/>
    <w:rsid w:val="00390C06"/>
    <w:rsid w:val="00391FE2"/>
    <w:rsid w:val="00392167"/>
    <w:rsid w:val="00392314"/>
    <w:rsid w:val="00392574"/>
    <w:rsid w:val="00392A9D"/>
    <w:rsid w:val="003932E2"/>
    <w:rsid w:val="00393431"/>
    <w:rsid w:val="00393B72"/>
    <w:rsid w:val="003953D3"/>
    <w:rsid w:val="00395F4C"/>
    <w:rsid w:val="003973EA"/>
    <w:rsid w:val="00397D0A"/>
    <w:rsid w:val="00397ED2"/>
    <w:rsid w:val="003A00D8"/>
    <w:rsid w:val="003A0BFE"/>
    <w:rsid w:val="003A149A"/>
    <w:rsid w:val="003A1D99"/>
    <w:rsid w:val="003A2A89"/>
    <w:rsid w:val="003A38A6"/>
    <w:rsid w:val="003A3D13"/>
    <w:rsid w:val="003A5083"/>
    <w:rsid w:val="003A5497"/>
    <w:rsid w:val="003A5744"/>
    <w:rsid w:val="003A6B48"/>
    <w:rsid w:val="003A7B8B"/>
    <w:rsid w:val="003A7C1E"/>
    <w:rsid w:val="003B0583"/>
    <w:rsid w:val="003B076B"/>
    <w:rsid w:val="003B0AB6"/>
    <w:rsid w:val="003B0D03"/>
    <w:rsid w:val="003B125C"/>
    <w:rsid w:val="003B21B0"/>
    <w:rsid w:val="003B21EE"/>
    <w:rsid w:val="003B2585"/>
    <w:rsid w:val="003B25D5"/>
    <w:rsid w:val="003B41FC"/>
    <w:rsid w:val="003B4993"/>
    <w:rsid w:val="003B4A4B"/>
    <w:rsid w:val="003B4CDF"/>
    <w:rsid w:val="003B538C"/>
    <w:rsid w:val="003B5C5F"/>
    <w:rsid w:val="003B654B"/>
    <w:rsid w:val="003B6E49"/>
    <w:rsid w:val="003B75BB"/>
    <w:rsid w:val="003B75C8"/>
    <w:rsid w:val="003B79BC"/>
    <w:rsid w:val="003B7F39"/>
    <w:rsid w:val="003C0576"/>
    <w:rsid w:val="003C0A69"/>
    <w:rsid w:val="003C0C05"/>
    <w:rsid w:val="003C1C73"/>
    <w:rsid w:val="003C1E8C"/>
    <w:rsid w:val="003C220D"/>
    <w:rsid w:val="003C276D"/>
    <w:rsid w:val="003C3935"/>
    <w:rsid w:val="003C3B17"/>
    <w:rsid w:val="003C57BB"/>
    <w:rsid w:val="003C586D"/>
    <w:rsid w:val="003C5D19"/>
    <w:rsid w:val="003C5DE9"/>
    <w:rsid w:val="003C7106"/>
    <w:rsid w:val="003C7A76"/>
    <w:rsid w:val="003C7A77"/>
    <w:rsid w:val="003C7D74"/>
    <w:rsid w:val="003C7DED"/>
    <w:rsid w:val="003D06B8"/>
    <w:rsid w:val="003D0C48"/>
    <w:rsid w:val="003D21FA"/>
    <w:rsid w:val="003D22FE"/>
    <w:rsid w:val="003D24B4"/>
    <w:rsid w:val="003D2F43"/>
    <w:rsid w:val="003D365F"/>
    <w:rsid w:val="003D4D6C"/>
    <w:rsid w:val="003D511C"/>
    <w:rsid w:val="003D561C"/>
    <w:rsid w:val="003D5AB3"/>
    <w:rsid w:val="003D5CCB"/>
    <w:rsid w:val="003D6367"/>
    <w:rsid w:val="003D79FD"/>
    <w:rsid w:val="003D7D23"/>
    <w:rsid w:val="003D7FE0"/>
    <w:rsid w:val="003E058A"/>
    <w:rsid w:val="003E0B7F"/>
    <w:rsid w:val="003E0DCC"/>
    <w:rsid w:val="003E1D9A"/>
    <w:rsid w:val="003E2E9E"/>
    <w:rsid w:val="003E2F29"/>
    <w:rsid w:val="003E34D5"/>
    <w:rsid w:val="003E3D94"/>
    <w:rsid w:val="003E446D"/>
    <w:rsid w:val="003E4ABE"/>
    <w:rsid w:val="003E51CF"/>
    <w:rsid w:val="003E5477"/>
    <w:rsid w:val="003E569D"/>
    <w:rsid w:val="003E5CE3"/>
    <w:rsid w:val="003E7A84"/>
    <w:rsid w:val="003E7C91"/>
    <w:rsid w:val="003E7E74"/>
    <w:rsid w:val="003E7F95"/>
    <w:rsid w:val="003F026D"/>
    <w:rsid w:val="003F0491"/>
    <w:rsid w:val="003F04FB"/>
    <w:rsid w:val="003F1962"/>
    <w:rsid w:val="003F1DFD"/>
    <w:rsid w:val="003F20BE"/>
    <w:rsid w:val="003F2934"/>
    <w:rsid w:val="003F2DDB"/>
    <w:rsid w:val="003F330E"/>
    <w:rsid w:val="003F4B36"/>
    <w:rsid w:val="003F4FFA"/>
    <w:rsid w:val="003F55F0"/>
    <w:rsid w:val="003F56C6"/>
    <w:rsid w:val="003F615C"/>
    <w:rsid w:val="003F65AF"/>
    <w:rsid w:val="0040133A"/>
    <w:rsid w:val="0040165D"/>
    <w:rsid w:val="00401ACE"/>
    <w:rsid w:val="0040203B"/>
    <w:rsid w:val="004025E5"/>
    <w:rsid w:val="00403705"/>
    <w:rsid w:val="00403D0C"/>
    <w:rsid w:val="00403E99"/>
    <w:rsid w:val="004046E0"/>
    <w:rsid w:val="0040488E"/>
    <w:rsid w:val="0040595F"/>
    <w:rsid w:val="00405E9A"/>
    <w:rsid w:val="00406853"/>
    <w:rsid w:val="00407166"/>
    <w:rsid w:val="004074A6"/>
    <w:rsid w:val="00410D4A"/>
    <w:rsid w:val="00411521"/>
    <w:rsid w:val="00411906"/>
    <w:rsid w:val="00411E46"/>
    <w:rsid w:val="00412648"/>
    <w:rsid w:val="00412EB4"/>
    <w:rsid w:val="004133EC"/>
    <w:rsid w:val="00413DCC"/>
    <w:rsid w:val="00414249"/>
    <w:rsid w:val="004150A1"/>
    <w:rsid w:val="004153FB"/>
    <w:rsid w:val="00415C34"/>
    <w:rsid w:val="00416749"/>
    <w:rsid w:val="00416F40"/>
    <w:rsid w:val="0041702D"/>
    <w:rsid w:val="004179AA"/>
    <w:rsid w:val="004217E3"/>
    <w:rsid w:val="0042293A"/>
    <w:rsid w:val="00423FAC"/>
    <w:rsid w:val="00424F1E"/>
    <w:rsid w:val="004251B3"/>
    <w:rsid w:val="00425389"/>
    <w:rsid w:val="00425495"/>
    <w:rsid w:val="00425975"/>
    <w:rsid w:val="00425A20"/>
    <w:rsid w:val="00425E1A"/>
    <w:rsid w:val="00427122"/>
    <w:rsid w:val="0043169A"/>
    <w:rsid w:val="004319DF"/>
    <w:rsid w:val="00432DB5"/>
    <w:rsid w:val="00433362"/>
    <w:rsid w:val="00433438"/>
    <w:rsid w:val="004353F8"/>
    <w:rsid w:val="00435E7C"/>
    <w:rsid w:val="00437D22"/>
    <w:rsid w:val="004403A7"/>
    <w:rsid w:val="004404EE"/>
    <w:rsid w:val="004408A4"/>
    <w:rsid w:val="0044151D"/>
    <w:rsid w:val="004417A1"/>
    <w:rsid w:val="00442A21"/>
    <w:rsid w:val="0044344C"/>
    <w:rsid w:val="00443D25"/>
    <w:rsid w:val="00444850"/>
    <w:rsid w:val="0044560F"/>
    <w:rsid w:val="00446B71"/>
    <w:rsid w:val="0045017E"/>
    <w:rsid w:val="004502F0"/>
    <w:rsid w:val="0045143C"/>
    <w:rsid w:val="00451EBB"/>
    <w:rsid w:val="004523AE"/>
    <w:rsid w:val="004525A2"/>
    <w:rsid w:val="00452B63"/>
    <w:rsid w:val="00452D88"/>
    <w:rsid w:val="00453636"/>
    <w:rsid w:val="0045472E"/>
    <w:rsid w:val="00454817"/>
    <w:rsid w:val="00456BE5"/>
    <w:rsid w:val="00456CCA"/>
    <w:rsid w:val="00457C00"/>
    <w:rsid w:val="004601BE"/>
    <w:rsid w:val="00460240"/>
    <w:rsid w:val="004604CE"/>
    <w:rsid w:val="00460873"/>
    <w:rsid w:val="0046104E"/>
    <w:rsid w:val="00461269"/>
    <w:rsid w:val="00462B10"/>
    <w:rsid w:val="0046447A"/>
    <w:rsid w:val="00464927"/>
    <w:rsid w:val="00465592"/>
    <w:rsid w:val="0046631A"/>
    <w:rsid w:val="0046690B"/>
    <w:rsid w:val="00467EF4"/>
    <w:rsid w:val="00467F4A"/>
    <w:rsid w:val="00467F84"/>
    <w:rsid w:val="004708FD"/>
    <w:rsid w:val="00470BF1"/>
    <w:rsid w:val="00472C72"/>
    <w:rsid w:val="004737EE"/>
    <w:rsid w:val="00474406"/>
    <w:rsid w:val="00474829"/>
    <w:rsid w:val="00474DC8"/>
    <w:rsid w:val="00475697"/>
    <w:rsid w:val="00475A38"/>
    <w:rsid w:val="00475E93"/>
    <w:rsid w:val="00476B42"/>
    <w:rsid w:val="00477089"/>
    <w:rsid w:val="004770BB"/>
    <w:rsid w:val="004771F4"/>
    <w:rsid w:val="004775AE"/>
    <w:rsid w:val="00477DC1"/>
    <w:rsid w:val="004803F5"/>
    <w:rsid w:val="00481378"/>
    <w:rsid w:val="00481C85"/>
    <w:rsid w:val="004823C9"/>
    <w:rsid w:val="00482CF3"/>
    <w:rsid w:val="0048307D"/>
    <w:rsid w:val="0048443A"/>
    <w:rsid w:val="00484959"/>
    <w:rsid w:val="00484A22"/>
    <w:rsid w:val="00484EE6"/>
    <w:rsid w:val="00485EE0"/>
    <w:rsid w:val="0048600B"/>
    <w:rsid w:val="004864F6"/>
    <w:rsid w:val="00486ADF"/>
    <w:rsid w:val="00486F0E"/>
    <w:rsid w:val="004875FE"/>
    <w:rsid w:val="00487CC0"/>
    <w:rsid w:val="00487EB6"/>
    <w:rsid w:val="00490071"/>
    <w:rsid w:val="00491048"/>
    <w:rsid w:val="00492108"/>
    <w:rsid w:val="00492804"/>
    <w:rsid w:val="00493087"/>
    <w:rsid w:val="00494761"/>
    <w:rsid w:val="00494FFC"/>
    <w:rsid w:val="00495450"/>
    <w:rsid w:val="004955D1"/>
    <w:rsid w:val="00495A29"/>
    <w:rsid w:val="004960AC"/>
    <w:rsid w:val="00497006"/>
    <w:rsid w:val="00497085"/>
    <w:rsid w:val="00497595"/>
    <w:rsid w:val="00497CA7"/>
    <w:rsid w:val="004A0E61"/>
    <w:rsid w:val="004A1C98"/>
    <w:rsid w:val="004A26E5"/>
    <w:rsid w:val="004A2D6A"/>
    <w:rsid w:val="004A36C0"/>
    <w:rsid w:val="004A3802"/>
    <w:rsid w:val="004A39E2"/>
    <w:rsid w:val="004A3CC0"/>
    <w:rsid w:val="004A4CE6"/>
    <w:rsid w:val="004A5AD5"/>
    <w:rsid w:val="004A7002"/>
    <w:rsid w:val="004B27F3"/>
    <w:rsid w:val="004B3056"/>
    <w:rsid w:val="004B3F8B"/>
    <w:rsid w:val="004B446D"/>
    <w:rsid w:val="004B468F"/>
    <w:rsid w:val="004B4C28"/>
    <w:rsid w:val="004B50BC"/>
    <w:rsid w:val="004B5471"/>
    <w:rsid w:val="004B6407"/>
    <w:rsid w:val="004B6C38"/>
    <w:rsid w:val="004B707D"/>
    <w:rsid w:val="004B77B6"/>
    <w:rsid w:val="004B7D31"/>
    <w:rsid w:val="004B7D33"/>
    <w:rsid w:val="004C02D4"/>
    <w:rsid w:val="004C04B6"/>
    <w:rsid w:val="004C0BF6"/>
    <w:rsid w:val="004C0EF6"/>
    <w:rsid w:val="004C1F49"/>
    <w:rsid w:val="004C31E9"/>
    <w:rsid w:val="004C335E"/>
    <w:rsid w:val="004C39B1"/>
    <w:rsid w:val="004C3D9B"/>
    <w:rsid w:val="004C420C"/>
    <w:rsid w:val="004C4B9B"/>
    <w:rsid w:val="004C5934"/>
    <w:rsid w:val="004C63B9"/>
    <w:rsid w:val="004C68E8"/>
    <w:rsid w:val="004C7191"/>
    <w:rsid w:val="004C7347"/>
    <w:rsid w:val="004C73D4"/>
    <w:rsid w:val="004C767A"/>
    <w:rsid w:val="004D093E"/>
    <w:rsid w:val="004D09B5"/>
    <w:rsid w:val="004D17CF"/>
    <w:rsid w:val="004D1BF9"/>
    <w:rsid w:val="004D1BFC"/>
    <w:rsid w:val="004D22DB"/>
    <w:rsid w:val="004D377F"/>
    <w:rsid w:val="004D38D2"/>
    <w:rsid w:val="004D4E1F"/>
    <w:rsid w:val="004D51BC"/>
    <w:rsid w:val="004D58FD"/>
    <w:rsid w:val="004D7197"/>
    <w:rsid w:val="004E002A"/>
    <w:rsid w:val="004E03DC"/>
    <w:rsid w:val="004E21BF"/>
    <w:rsid w:val="004E21EB"/>
    <w:rsid w:val="004E30F1"/>
    <w:rsid w:val="004E331F"/>
    <w:rsid w:val="004E347B"/>
    <w:rsid w:val="004E3FF4"/>
    <w:rsid w:val="004E4559"/>
    <w:rsid w:val="004E4720"/>
    <w:rsid w:val="004E4FCC"/>
    <w:rsid w:val="004E5C24"/>
    <w:rsid w:val="004E5CE1"/>
    <w:rsid w:val="004E5EC1"/>
    <w:rsid w:val="004E797D"/>
    <w:rsid w:val="004E7BF2"/>
    <w:rsid w:val="004F00EE"/>
    <w:rsid w:val="004F15F0"/>
    <w:rsid w:val="004F1B62"/>
    <w:rsid w:val="004F1CC6"/>
    <w:rsid w:val="004F201F"/>
    <w:rsid w:val="004F203D"/>
    <w:rsid w:val="004F4014"/>
    <w:rsid w:val="004F4AD3"/>
    <w:rsid w:val="004F5313"/>
    <w:rsid w:val="004F5FD0"/>
    <w:rsid w:val="004F6284"/>
    <w:rsid w:val="004F6592"/>
    <w:rsid w:val="004F6714"/>
    <w:rsid w:val="004F78C1"/>
    <w:rsid w:val="00500709"/>
    <w:rsid w:val="00500ACC"/>
    <w:rsid w:val="00500B89"/>
    <w:rsid w:val="0050115D"/>
    <w:rsid w:val="005012D2"/>
    <w:rsid w:val="00501C21"/>
    <w:rsid w:val="00502991"/>
    <w:rsid w:val="00502AE2"/>
    <w:rsid w:val="00502F3A"/>
    <w:rsid w:val="0050352E"/>
    <w:rsid w:val="005035C3"/>
    <w:rsid w:val="00504089"/>
    <w:rsid w:val="0050431E"/>
    <w:rsid w:val="00504835"/>
    <w:rsid w:val="00504C87"/>
    <w:rsid w:val="0050550E"/>
    <w:rsid w:val="00505E3C"/>
    <w:rsid w:val="005065E9"/>
    <w:rsid w:val="00506B49"/>
    <w:rsid w:val="0050736B"/>
    <w:rsid w:val="00507B6C"/>
    <w:rsid w:val="005106CC"/>
    <w:rsid w:val="005112BB"/>
    <w:rsid w:val="00511E3D"/>
    <w:rsid w:val="0051259C"/>
    <w:rsid w:val="005133C6"/>
    <w:rsid w:val="00514A03"/>
    <w:rsid w:val="00515575"/>
    <w:rsid w:val="00515A64"/>
    <w:rsid w:val="00515F2B"/>
    <w:rsid w:val="005164D7"/>
    <w:rsid w:val="005165CA"/>
    <w:rsid w:val="0051719C"/>
    <w:rsid w:val="005204B9"/>
    <w:rsid w:val="00520D16"/>
    <w:rsid w:val="00521788"/>
    <w:rsid w:val="005219DB"/>
    <w:rsid w:val="00521CC6"/>
    <w:rsid w:val="005222CA"/>
    <w:rsid w:val="00522305"/>
    <w:rsid w:val="00522F20"/>
    <w:rsid w:val="00523773"/>
    <w:rsid w:val="005238C5"/>
    <w:rsid w:val="00523B1F"/>
    <w:rsid w:val="0052471E"/>
    <w:rsid w:val="00524835"/>
    <w:rsid w:val="00524E8B"/>
    <w:rsid w:val="0052512B"/>
    <w:rsid w:val="0052675F"/>
    <w:rsid w:val="00527317"/>
    <w:rsid w:val="0052733C"/>
    <w:rsid w:val="005312E4"/>
    <w:rsid w:val="0053146C"/>
    <w:rsid w:val="0053323D"/>
    <w:rsid w:val="005344A7"/>
    <w:rsid w:val="005354D3"/>
    <w:rsid w:val="00535B97"/>
    <w:rsid w:val="00535E4C"/>
    <w:rsid w:val="0053653E"/>
    <w:rsid w:val="005369CF"/>
    <w:rsid w:val="00536DBE"/>
    <w:rsid w:val="00537144"/>
    <w:rsid w:val="0053741B"/>
    <w:rsid w:val="00537D22"/>
    <w:rsid w:val="00540321"/>
    <w:rsid w:val="00540A62"/>
    <w:rsid w:val="00540B7B"/>
    <w:rsid w:val="005411A7"/>
    <w:rsid w:val="005415DF"/>
    <w:rsid w:val="00541E47"/>
    <w:rsid w:val="00543243"/>
    <w:rsid w:val="0054358C"/>
    <w:rsid w:val="00543769"/>
    <w:rsid w:val="00543930"/>
    <w:rsid w:val="005448F3"/>
    <w:rsid w:val="00544991"/>
    <w:rsid w:val="00545AF7"/>
    <w:rsid w:val="00546480"/>
    <w:rsid w:val="00546537"/>
    <w:rsid w:val="005465DF"/>
    <w:rsid w:val="0054665B"/>
    <w:rsid w:val="00546F5B"/>
    <w:rsid w:val="00547E7F"/>
    <w:rsid w:val="005506E9"/>
    <w:rsid w:val="005507DF"/>
    <w:rsid w:val="00550B97"/>
    <w:rsid w:val="00551D0A"/>
    <w:rsid w:val="00551D55"/>
    <w:rsid w:val="00551E16"/>
    <w:rsid w:val="0055230B"/>
    <w:rsid w:val="005525AF"/>
    <w:rsid w:val="005526FA"/>
    <w:rsid w:val="00552747"/>
    <w:rsid w:val="00552DBD"/>
    <w:rsid w:val="00553325"/>
    <w:rsid w:val="00553370"/>
    <w:rsid w:val="00554870"/>
    <w:rsid w:val="005549AE"/>
    <w:rsid w:val="00554B59"/>
    <w:rsid w:val="00555505"/>
    <w:rsid w:val="00555749"/>
    <w:rsid w:val="0055588F"/>
    <w:rsid w:val="00556D28"/>
    <w:rsid w:val="00557589"/>
    <w:rsid w:val="005576C1"/>
    <w:rsid w:val="005601CB"/>
    <w:rsid w:val="0056128F"/>
    <w:rsid w:val="005622F7"/>
    <w:rsid w:val="00562575"/>
    <w:rsid w:val="00562775"/>
    <w:rsid w:val="00562848"/>
    <w:rsid w:val="005632A4"/>
    <w:rsid w:val="005651D3"/>
    <w:rsid w:val="00566653"/>
    <w:rsid w:val="00566A23"/>
    <w:rsid w:val="00566B39"/>
    <w:rsid w:val="005676DD"/>
    <w:rsid w:val="00567782"/>
    <w:rsid w:val="0057047F"/>
    <w:rsid w:val="00570B7A"/>
    <w:rsid w:val="00570CAF"/>
    <w:rsid w:val="00571261"/>
    <w:rsid w:val="00571750"/>
    <w:rsid w:val="00571D1B"/>
    <w:rsid w:val="0057203C"/>
    <w:rsid w:val="005727E5"/>
    <w:rsid w:val="00572B1B"/>
    <w:rsid w:val="00573093"/>
    <w:rsid w:val="00573175"/>
    <w:rsid w:val="00573404"/>
    <w:rsid w:val="00573CCB"/>
    <w:rsid w:val="00574024"/>
    <w:rsid w:val="00574306"/>
    <w:rsid w:val="00574367"/>
    <w:rsid w:val="00574B8B"/>
    <w:rsid w:val="00574C46"/>
    <w:rsid w:val="00574DFD"/>
    <w:rsid w:val="00575631"/>
    <w:rsid w:val="00575E7E"/>
    <w:rsid w:val="00577607"/>
    <w:rsid w:val="00577DD5"/>
    <w:rsid w:val="005801B5"/>
    <w:rsid w:val="005801F7"/>
    <w:rsid w:val="00580C83"/>
    <w:rsid w:val="005823E5"/>
    <w:rsid w:val="005828B2"/>
    <w:rsid w:val="00582A3F"/>
    <w:rsid w:val="00582B10"/>
    <w:rsid w:val="0058320D"/>
    <w:rsid w:val="00583994"/>
    <w:rsid w:val="00583D19"/>
    <w:rsid w:val="0058458C"/>
    <w:rsid w:val="00584845"/>
    <w:rsid w:val="00584B61"/>
    <w:rsid w:val="00584ED5"/>
    <w:rsid w:val="00584F17"/>
    <w:rsid w:val="005853D5"/>
    <w:rsid w:val="00585461"/>
    <w:rsid w:val="0058573A"/>
    <w:rsid w:val="00585BE1"/>
    <w:rsid w:val="005861C9"/>
    <w:rsid w:val="0058672C"/>
    <w:rsid w:val="0058745D"/>
    <w:rsid w:val="005875BF"/>
    <w:rsid w:val="0058771E"/>
    <w:rsid w:val="00587B24"/>
    <w:rsid w:val="00587DB2"/>
    <w:rsid w:val="00590A16"/>
    <w:rsid w:val="00590C1B"/>
    <w:rsid w:val="00590E26"/>
    <w:rsid w:val="005914C1"/>
    <w:rsid w:val="00592AEE"/>
    <w:rsid w:val="00593159"/>
    <w:rsid w:val="005947DB"/>
    <w:rsid w:val="005948D9"/>
    <w:rsid w:val="005951B0"/>
    <w:rsid w:val="005951DF"/>
    <w:rsid w:val="00595C48"/>
    <w:rsid w:val="005964B9"/>
    <w:rsid w:val="00596B90"/>
    <w:rsid w:val="00597A3C"/>
    <w:rsid w:val="00597FD3"/>
    <w:rsid w:val="005A2228"/>
    <w:rsid w:val="005A2AB9"/>
    <w:rsid w:val="005A2FEA"/>
    <w:rsid w:val="005A38FD"/>
    <w:rsid w:val="005A4493"/>
    <w:rsid w:val="005A4E49"/>
    <w:rsid w:val="005A52C6"/>
    <w:rsid w:val="005A7210"/>
    <w:rsid w:val="005A75C5"/>
    <w:rsid w:val="005A7B8D"/>
    <w:rsid w:val="005B07A6"/>
    <w:rsid w:val="005B0D87"/>
    <w:rsid w:val="005B14E3"/>
    <w:rsid w:val="005B1922"/>
    <w:rsid w:val="005B194B"/>
    <w:rsid w:val="005B1AA3"/>
    <w:rsid w:val="005B205D"/>
    <w:rsid w:val="005B34B8"/>
    <w:rsid w:val="005B389F"/>
    <w:rsid w:val="005B4808"/>
    <w:rsid w:val="005B4B20"/>
    <w:rsid w:val="005B5460"/>
    <w:rsid w:val="005B59E8"/>
    <w:rsid w:val="005B5B59"/>
    <w:rsid w:val="005B6511"/>
    <w:rsid w:val="005B6CD4"/>
    <w:rsid w:val="005B7351"/>
    <w:rsid w:val="005B7734"/>
    <w:rsid w:val="005C00DE"/>
    <w:rsid w:val="005C0382"/>
    <w:rsid w:val="005C1C0D"/>
    <w:rsid w:val="005C235A"/>
    <w:rsid w:val="005C3786"/>
    <w:rsid w:val="005C526D"/>
    <w:rsid w:val="005C54F9"/>
    <w:rsid w:val="005C5655"/>
    <w:rsid w:val="005C6280"/>
    <w:rsid w:val="005D0B6E"/>
    <w:rsid w:val="005D0CE2"/>
    <w:rsid w:val="005D1860"/>
    <w:rsid w:val="005D1B1B"/>
    <w:rsid w:val="005D1BA6"/>
    <w:rsid w:val="005D1D4D"/>
    <w:rsid w:val="005D20F4"/>
    <w:rsid w:val="005D2701"/>
    <w:rsid w:val="005D29E9"/>
    <w:rsid w:val="005D2AD7"/>
    <w:rsid w:val="005D2EDC"/>
    <w:rsid w:val="005D3FDE"/>
    <w:rsid w:val="005D41D8"/>
    <w:rsid w:val="005D527E"/>
    <w:rsid w:val="005D63DC"/>
    <w:rsid w:val="005D6C5A"/>
    <w:rsid w:val="005D71E6"/>
    <w:rsid w:val="005E0222"/>
    <w:rsid w:val="005E0E30"/>
    <w:rsid w:val="005E1587"/>
    <w:rsid w:val="005E1E6E"/>
    <w:rsid w:val="005E25CA"/>
    <w:rsid w:val="005E2E50"/>
    <w:rsid w:val="005E3ED5"/>
    <w:rsid w:val="005E3F92"/>
    <w:rsid w:val="005E435C"/>
    <w:rsid w:val="005E45CF"/>
    <w:rsid w:val="005E4ECF"/>
    <w:rsid w:val="005E55C5"/>
    <w:rsid w:val="005E56B0"/>
    <w:rsid w:val="005E580F"/>
    <w:rsid w:val="005E584E"/>
    <w:rsid w:val="005E5F38"/>
    <w:rsid w:val="005E6986"/>
    <w:rsid w:val="005E6AED"/>
    <w:rsid w:val="005E7112"/>
    <w:rsid w:val="005E7217"/>
    <w:rsid w:val="005E7577"/>
    <w:rsid w:val="005E7785"/>
    <w:rsid w:val="005E787A"/>
    <w:rsid w:val="005E79F7"/>
    <w:rsid w:val="005F0F37"/>
    <w:rsid w:val="005F11DB"/>
    <w:rsid w:val="005F172E"/>
    <w:rsid w:val="005F3092"/>
    <w:rsid w:val="005F3206"/>
    <w:rsid w:val="005F3B98"/>
    <w:rsid w:val="005F5151"/>
    <w:rsid w:val="005F5233"/>
    <w:rsid w:val="005F52A4"/>
    <w:rsid w:val="005F5419"/>
    <w:rsid w:val="005F6619"/>
    <w:rsid w:val="005F6794"/>
    <w:rsid w:val="005F7B9C"/>
    <w:rsid w:val="00600040"/>
    <w:rsid w:val="006005F4"/>
    <w:rsid w:val="00600863"/>
    <w:rsid w:val="006008E1"/>
    <w:rsid w:val="0060098A"/>
    <w:rsid w:val="00600D34"/>
    <w:rsid w:val="0060128C"/>
    <w:rsid w:val="00601D5F"/>
    <w:rsid w:val="00602603"/>
    <w:rsid w:val="00602E8C"/>
    <w:rsid w:val="006036DE"/>
    <w:rsid w:val="00603ECB"/>
    <w:rsid w:val="0060411C"/>
    <w:rsid w:val="00604A5A"/>
    <w:rsid w:val="00604AB7"/>
    <w:rsid w:val="00604ABB"/>
    <w:rsid w:val="006051C9"/>
    <w:rsid w:val="006054AC"/>
    <w:rsid w:val="0060572E"/>
    <w:rsid w:val="006058A2"/>
    <w:rsid w:val="006058FD"/>
    <w:rsid w:val="0060622A"/>
    <w:rsid w:val="006062E7"/>
    <w:rsid w:val="006063B7"/>
    <w:rsid w:val="00606A68"/>
    <w:rsid w:val="006074C3"/>
    <w:rsid w:val="006077D3"/>
    <w:rsid w:val="006100DB"/>
    <w:rsid w:val="006103B1"/>
    <w:rsid w:val="00611236"/>
    <w:rsid w:val="006115AE"/>
    <w:rsid w:val="006118F3"/>
    <w:rsid w:val="00611F32"/>
    <w:rsid w:val="006123A4"/>
    <w:rsid w:val="00613142"/>
    <w:rsid w:val="006142F6"/>
    <w:rsid w:val="006144B4"/>
    <w:rsid w:val="00614938"/>
    <w:rsid w:val="00614AF4"/>
    <w:rsid w:val="00614F84"/>
    <w:rsid w:val="00614FE7"/>
    <w:rsid w:val="00615512"/>
    <w:rsid w:val="00616427"/>
    <w:rsid w:val="00616AC5"/>
    <w:rsid w:val="00616FF0"/>
    <w:rsid w:val="00620A90"/>
    <w:rsid w:val="00621AF1"/>
    <w:rsid w:val="00622C0A"/>
    <w:rsid w:val="00622DF3"/>
    <w:rsid w:val="00622EB0"/>
    <w:rsid w:val="0062325A"/>
    <w:rsid w:val="0062330F"/>
    <w:rsid w:val="006235A4"/>
    <w:rsid w:val="00625274"/>
    <w:rsid w:val="0062545E"/>
    <w:rsid w:val="006257E6"/>
    <w:rsid w:val="0062590D"/>
    <w:rsid w:val="00625A19"/>
    <w:rsid w:val="00625C1E"/>
    <w:rsid w:val="00626687"/>
    <w:rsid w:val="006275F4"/>
    <w:rsid w:val="006276BB"/>
    <w:rsid w:val="00630471"/>
    <w:rsid w:val="006304AA"/>
    <w:rsid w:val="00630B03"/>
    <w:rsid w:val="006312B8"/>
    <w:rsid w:val="00631CD6"/>
    <w:rsid w:val="006323A1"/>
    <w:rsid w:val="006326C4"/>
    <w:rsid w:val="006338CD"/>
    <w:rsid w:val="00634913"/>
    <w:rsid w:val="006349F4"/>
    <w:rsid w:val="00635158"/>
    <w:rsid w:val="00635D70"/>
    <w:rsid w:val="006363E7"/>
    <w:rsid w:val="00636753"/>
    <w:rsid w:val="00637B6E"/>
    <w:rsid w:val="006403B0"/>
    <w:rsid w:val="006405CB"/>
    <w:rsid w:val="00640888"/>
    <w:rsid w:val="00641006"/>
    <w:rsid w:val="0064302F"/>
    <w:rsid w:val="0064394A"/>
    <w:rsid w:val="00645548"/>
    <w:rsid w:val="00645868"/>
    <w:rsid w:val="00646D8B"/>
    <w:rsid w:val="00647671"/>
    <w:rsid w:val="006504CA"/>
    <w:rsid w:val="00650807"/>
    <w:rsid w:val="00651DEC"/>
    <w:rsid w:val="00651E46"/>
    <w:rsid w:val="00651F5D"/>
    <w:rsid w:val="006520AE"/>
    <w:rsid w:val="006521CD"/>
    <w:rsid w:val="0065285D"/>
    <w:rsid w:val="0065329C"/>
    <w:rsid w:val="00653447"/>
    <w:rsid w:val="00653586"/>
    <w:rsid w:val="00653E16"/>
    <w:rsid w:val="006547EB"/>
    <w:rsid w:val="00654D11"/>
    <w:rsid w:val="00655146"/>
    <w:rsid w:val="0065579D"/>
    <w:rsid w:val="00655907"/>
    <w:rsid w:val="006563BD"/>
    <w:rsid w:val="00656EB9"/>
    <w:rsid w:val="0065735A"/>
    <w:rsid w:val="00660736"/>
    <w:rsid w:val="00660C74"/>
    <w:rsid w:val="00660E8B"/>
    <w:rsid w:val="00660F0D"/>
    <w:rsid w:val="00661700"/>
    <w:rsid w:val="00662B2C"/>
    <w:rsid w:val="00663485"/>
    <w:rsid w:val="00663567"/>
    <w:rsid w:val="006637B2"/>
    <w:rsid w:val="00663AF0"/>
    <w:rsid w:val="00663C7B"/>
    <w:rsid w:val="0066451D"/>
    <w:rsid w:val="006645DA"/>
    <w:rsid w:val="0066472B"/>
    <w:rsid w:val="00665646"/>
    <w:rsid w:val="00665A6B"/>
    <w:rsid w:val="00665ABE"/>
    <w:rsid w:val="00665C9B"/>
    <w:rsid w:val="00666592"/>
    <w:rsid w:val="00666F45"/>
    <w:rsid w:val="006676FF"/>
    <w:rsid w:val="0066781E"/>
    <w:rsid w:val="006679AC"/>
    <w:rsid w:val="00667EAB"/>
    <w:rsid w:val="00667FC5"/>
    <w:rsid w:val="00670757"/>
    <w:rsid w:val="00670B07"/>
    <w:rsid w:val="00671EBE"/>
    <w:rsid w:val="00671F18"/>
    <w:rsid w:val="00672514"/>
    <w:rsid w:val="00672632"/>
    <w:rsid w:val="006727F4"/>
    <w:rsid w:val="006738F3"/>
    <w:rsid w:val="006743BD"/>
    <w:rsid w:val="00674C51"/>
    <w:rsid w:val="00675E33"/>
    <w:rsid w:val="006769C4"/>
    <w:rsid w:val="0067790F"/>
    <w:rsid w:val="00677916"/>
    <w:rsid w:val="00677DBD"/>
    <w:rsid w:val="00680C3A"/>
    <w:rsid w:val="00682C7D"/>
    <w:rsid w:val="00684505"/>
    <w:rsid w:val="0068450F"/>
    <w:rsid w:val="00684981"/>
    <w:rsid w:val="00685118"/>
    <w:rsid w:val="00685451"/>
    <w:rsid w:val="00685B51"/>
    <w:rsid w:val="00686A92"/>
    <w:rsid w:val="00686DBB"/>
    <w:rsid w:val="00686E0E"/>
    <w:rsid w:val="00687044"/>
    <w:rsid w:val="006878F7"/>
    <w:rsid w:val="00687981"/>
    <w:rsid w:val="006907F1"/>
    <w:rsid w:val="00690B46"/>
    <w:rsid w:val="006915C6"/>
    <w:rsid w:val="0069197E"/>
    <w:rsid w:val="006919D5"/>
    <w:rsid w:val="00691DB1"/>
    <w:rsid w:val="00692531"/>
    <w:rsid w:val="00693069"/>
    <w:rsid w:val="006935DD"/>
    <w:rsid w:val="00693BE7"/>
    <w:rsid w:val="00693F61"/>
    <w:rsid w:val="006940FD"/>
    <w:rsid w:val="006942E7"/>
    <w:rsid w:val="00694CB5"/>
    <w:rsid w:val="006951AA"/>
    <w:rsid w:val="0069592C"/>
    <w:rsid w:val="00695FD5"/>
    <w:rsid w:val="006963EF"/>
    <w:rsid w:val="0069661A"/>
    <w:rsid w:val="0069694E"/>
    <w:rsid w:val="00696BAA"/>
    <w:rsid w:val="00696C2C"/>
    <w:rsid w:val="00696F24"/>
    <w:rsid w:val="006A035D"/>
    <w:rsid w:val="006A0432"/>
    <w:rsid w:val="006A0513"/>
    <w:rsid w:val="006A18DD"/>
    <w:rsid w:val="006A1BFE"/>
    <w:rsid w:val="006A1E10"/>
    <w:rsid w:val="006A2162"/>
    <w:rsid w:val="006A242D"/>
    <w:rsid w:val="006A2440"/>
    <w:rsid w:val="006A29B6"/>
    <w:rsid w:val="006A34AF"/>
    <w:rsid w:val="006A3E6C"/>
    <w:rsid w:val="006A4DC4"/>
    <w:rsid w:val="006A4F05"/>
    <w:rsid w:val="006A501B"/>
    <w:rsid w:val="006A5C5D"/>
    <w:rsid w:val="006A628C"/>
    <w:rsid w:val="006A6376"/>
    <w:rsid w:val="006A67E5"/>
    <w:rsid w:val="006A6BC3"/>
    <w:rsid w:val="006A6BFB"/>
    <w:rsid w:val="006A6C65"/>
    <w:rsid w:val="006B02B8"/>
    <w:rsid w:val="006B06A5"/>
    <w:rsid w:val="006B1DD1"/>
    <w:rsid w:val="006B1F36"/>
    <w:rsid w:val="006B383A"/>
    <w:rsid w:val="006B3C36"/>
    <w:rsid w:val="006B43CE"/>
    <w:rsid w:val="006B48AA"/>
    <w:rsid w:val="006B5565"/>
    <w:rsid w:val="006B58B6"/>
    <w:rsid w:val="006B690F"/>
    <w:rsid w:val="006B72D3"/>
    <w:rsid w:val="006B7FD3"/>
    <w:rsid w:val="006C0F1D"/>
    <w:rsid w:val="006C165F"/>
    <w:rsid w:val="006C1980"/>
    <w:rsid w:val="006C2370"/>
    <w:rsid w:val="006C27F0"/>
    <w:rsid w:val="006C2B3B"/>
    <w:rsid w:val="006C31FE"/>
    <w:rsid w:val="006C35B2"/>
    <w:rsid w:val="006C3883"/>
    <w:rsid w:val="006C42E5"/>
    <w:rsid w:val="006C459F"/>
    <w:rsid w:val="006C49E1"/>
    <w:rsid w:val="006C4A77"/>
    <w:rsid w:val="006C52B7"/>
    <w:rsid w:val="006C56F0"/>
    <w:rsid w:val="006C5F76"/>
    <w:rsid w:val="006C6226"/>
    <w:rsid w:val="006C68A1"/>
    <w:rsid w:val="006C6A59"/>
    <w:rsid w:val="006C6B04"/>
    <w:rsid w:val="006C6E83"/>
    <w:rsid w:val="006C7B98"/>
    <w:rsid w:val="006D03C6"/>
    <w:rsid w:val="006D1317"/>
    <w:rsid w:val="006D1CC2"/>
    <w:rsid w:val="006D25AB"/>
    <w:rsid w:val="006D2D25"/>
    <w:rsid w:val="006D2D28"/>
    <w:rsid w:val="006D2E35"/>
    <w:rsid w:val="006D3684"/>
    <w:rsid w:val="006D3F4A"/>
    <w:rsid w:val="006D5729"/>
    <w:rsid w:val="006D5A26"/>
    <w:rsid w:val="006D6D48"/>
    <w:rsid w:val="006D74D0"/>
    <w:rsid w:val="006E0323"/>
    <w:rsid w:val="006E04F3"/>
    <w:rsid w:val="006E0507"/>
    <w:rsid w:val="006E0624"/>
    <w:rsid w:val="006E0B1F"/>
    <w:rsid w:val="006E1040"/>
    <w:rsid w:val="006E10E0"/>
    <w:rsid w:val="006E154B"/>
    <w:rsid w:val="006E1A16"/>
    <w:rsid w:val="006E1CD5"/>
    <w:rsid w:val="006E2337"/>
    <w:rsid w:val="006E2C97"/>
    <w:rsid w:val="006E3189"/>
    <w:rsid w:val="006E3545"/>
    <w:rsid w:val="006E450C"/>
    <w:rsid w:val="006E4A6E"/>
    <w:rsid w:val="006E4F2C"/>
    <w:rsid w:val="006E50C8"/>
    <w:rsid w:val="006E5F83"/>
    <w:rsid w:val="006E6D08"/>
    <w:rsid w:val="006E736E"/>
    <w:rsid w:val="006E755B"/>
    <w:rsid w:val="006E7958"/>
    <w:rsid w:val="006F03CC"/>
    <w:rsid w:val="006F0916"/>
    <w:rsid w:val="006F1362"/>
    <w:rsid w:val="006F1DC6"/>
    <w:rsid w:val="006F405B"/>
    <w:rsid w:val="006F413A"/>
    <w:rsid w:val="006F4F7E"/>
    <w:rsid w:val="006F5530"/>
    <w:rsid w:val="006F5575"/>
    <w:rsid w:val="006F58F6"/>
    <w:rsid w:val="006F5BF1"/>
    <w:rsid w:val="006F7036"/>
    <w:rsid w:val="006F70A1"/>
    <w:rsid w:val="006F725D"/>
    <w:rsid w:val="006F7919"/>
    <w:rsid w:val="00700EA4"/>
    <w:rsid w:val="00701930"/>
    <w:rsid w:val="00701F4C"/>
    <w:rsid w:val="007031B9"/>
    <w:rsid w:val="00703388"/>
    <w:rsid w:val="00703977"/>
    <w:rsid w:val="00703A2D"/>
    <w:rsid w:val="00704227"/>
    <w:rsid w:val="00704A1A"/>
    <w:rsid w:val="007058E5"/>
    <w:rsid w:val="00706245"/>
    <w:rsid w:val="0070648A"/>
    <w:rsid w:val="00710590"/>
    <w:rsid w:val="00710848"/>
    <w:rsid w:val="0071105C"/>
    <w:rsid w:val="00711D39"/>
    <w:rsid w:val="00711DA5"/>
    <w:rsid w:val="00712406"/>
    <w:rsid w:val="007126F1"/>
    <w:rsid w:val="00713013"/>
    <w:rsid w:val="00713597"/>
    <w:rsid w:val="00713A98"/>
    <w:rsid w:val="00713C17"/>
    <w:rsid w:val="00713D80"/>
    <w:rsid w:val="007146B9"/>
    <w:rsid w:val="00714729"/>
    <w:rsid w:val="00715427"/>
    <w:rsid w:val="00715C72"/>
    <w:rsid w:val="007163AB"/>
    <w:rsid w:val="007174A5"/>
    <w:rsid w:val="007200E3"/>
    <w:rsid w:val="0072067B"/>
    <w:rsid w:val="007212C6"/>
    <w:rsid w:val="00721D8C"/>
    <w:rsid w:val="00721FDF"/>
    <w:rsid w:val="0072355C"/>
    <w:rsid w:val="00723D78"/>
    <w:rsid w:val="00723DA3"/>
    <w:rsid w:val="00723EB1"/>
    <w:rsid w:val="00723F4C"/>
    <w:rsid w:val="00724366"/>
    <w:rsid w:val="007249AF"/>
    <w:rsid w:val="00724FD1"/>
    <w:rsid w:val="007257FF"/>
    <w:rsid w:val="00725A6A"/>
    <w:rsid w:val="00725E78"/>
    <w:rsid w:val="00725EB7"/>
    <w:rsid w:val="00726573"/>
    <w:rsid w:val="00726921"/>
    <w:rsid w:val="00726ADB"/>
    <w:rsid w:val="007278B0"/>
    <w:rsid w:val="00727AB9"/>
    <w:rsid w:val="00730175"/>
    <w:rsid w:val="007308FB"/>
    <w:rsid w:val="00731319"/>
    <w:rsid w:val="00731453"/>
    <w:rsid w:val="0073163F"/>
    <w:rsid w:val="007320CB"/>
    <w:rsid w:val="007330B6"/>
    <w:rsid w:val="00733B65"/>
    <w:rsid w:val="00734ED8"/>
    <w:rsid w:val="00734F8B"/>
    <w:rsid w:val="007352BC"/>
    <w:rsid w:val="007355B8"/>
    <w:rsid w:val="00735AE4"/>
    <w:rsid w:val="0073644F"/>
    <w:rsid w:val="007373C3"/>
    <w:rsid w:val="00737A86"/>
    <w:rsid w:val="007401C3"/>
    <w:rsid w:val="00740621"/>
    <w:rsid w:val="007422FE"/>
    <w:rsid w:val="0074247A"/>
    <w:rsid w:val="00742B29"/>
    <w:rsid w:val="00743945"/>
    <w:rsid w:val="00743DAA"/>
    <w:rsid w:val="00743DAD"/>
    <w:rsid w:val="00743DF5"/>
    <w:rsid w:val="007452F4"/>
    <w:rsid w:val="00745844"/>
    <w:rsid w:val="00745F68"/>
    <w:rsid w:val="007466A4"/>
    <w:rsid w:val="007469E5"/>
    <w:rsid w:val="00746E7F"/>
    <w:rsid w:val="007508CA"/>
    <w:rsid w:val="007509E0"/>
    <w:rsid w:val="00750CD1"/>
    <w:rsid w:val="007510B3"/>
    <w:rsid w:val="007518A6"/>
    <w:rsid w:val="00752569"/>
    <w:rsid w:val="00752B92"/>
    <w:rsid w:val="00753244"/>
    <w:rsid w:val="00754E2D"/>
    <w:rsid w:val="00755342"/>
    <w:rsid w:val="00755821"/>
    <w:rsid w:val="00755AA1"/>
    <w:rsid w:val="0075605A"/>
    <w:rsid w:val="0075614F"/>
    <w:rsid w:val="0075735E"/>
    <w:rsid w:val="00757F66"/>
    <w:rsid w:val="00760086"/>
    <w:rsid w:val="00760B44"/>
    <w:rsid w:val="00761A40"/>
    <w:rsid w:val="00762498"/>
    <w:rsid w:val="007634FB"/>
    <w:rsid w:val="007636B6"/>
    <w:rsid w:val="007636C7"/>
    <w:rsid w:val="00763995"/>
    <w:rsid w:val="00764735"/>
    <w:rsid w:val="00764779"/>
    <w:rsid w:val="00764AAB"/>
    <w:rsid w:val="00764F1E"/>
    <w:rsid w:val="00764FF7"/>
    <w:rsid w:val="00765F6B"/>
    <w:rsid w:val="0076615E"/>
    <w:rsid w:val="00766AE9"/>
    <w:rsid w:val="00766EC7"/>
    <w:rsid w:val="007673E5"/>
    <w:rsid w:val="00767E1F"/>
    <w:rsid w:val="007700EE"/>
    <w:rsid w:val="007705ED"/>
    <w:rsid w:val="0077097F"/>
    <w:rsid w:val="007710E8"/>
    <w:rsid w:val="00771DCE"/>
    <w:rsid w:val="00771F63"/>
    <w:rsid w:val="0077247A"/>
    <w:rsid w:val="007727B4"/>
    <w:rsid w:val="00772B3D"/>
    <w:rsid w:val="00773DFC"/>
    <w:rsid w:val="00774424"/>
    <w:rsid w:val="00774A10"/>
    <w:rsid w:val="00774AC1"/>
    <w:rsid w:val="007756A0"/>
    <w:rsid w:val="00776190"/>
    <w:rsid w:val="00776D76"/>
    <w:rsid w:val="00776F92"/>
    <w:rsid w:val="00777DDC"/>
    <w:rsid w:val="00777E0F"/>
    <w:rsid w:val="007801C2"/>
    <w:rsid w:val="00780363"/>
    <w:rsid w:val="00781021"/>
    <w:rsid w:val="0078231E"/>
    <w:rsid w:val="0078288C"/>
    <w:rsid w:val="00782907"/>
    <w:rsid w:val="00782EC6"/>
    <w:rsid w:val="00784288"/>
    <w:rsid w:val="00784404"/>
    <w:rsid w:val="00784FF7"/>
    <w:rsid w:val="00785232"/>
    <w:rsid w:val="007852F3"/>
    <w:rsid w:val="00785A68"/>
    <w:rsid w:val="007860DE"/>
    <w:rsid w:val="007862F4"/>
    <w:rsid w:val="00786C76"/>
    <w:rsid w:val="00787A3A"/>
    <w:rsid w:val="00787B06"/>
    <w:rsid w:val="00787BA7"/>
    <w:rsid w:val="007901A8"/>
    <w:rsid w:val="00790351"/>
    <w:rsid w:val="00790575"/>
    <w:rsid w:val="00790A19"/>
    <w:rsid w:val="00790D97"/>
    <w:rsid w:val="0079196B"/>
    <w:rsid w:val="00792BCE"/>
    <w:rsid w:val="00792BDE"/>
    <w:rsid w:val="00792DE9"/>
    <w:rsid w:val="00792E04"/>
    <w:rsid w:val="007932A7"/>
    <w:rsid w:val="0079344A"/>
    <w:rsid w:val="007937EB"/>
    <w:rsid w:val="00794045"/>
    <w:rsid w:val="0079456E"/>
    <w:rsid w:val="00794EC3"/>
    <w:rsid w:val="00795085"/>
    <w:rsid w:val="0079589B"/>
    <w:rsid w:val="0079614C"/>
    <w:rsid w:val="00796E3C"/>
    <w:rsid w:val="007979A1"/>
    <w:rsid w:val="00797BA0"/>
    <w:rsid w:val="00797F7D"/>
    <w:rsid w:val="007A055E"/>
    <w:rsid w:val="007A165D"/>
    <w:rsid w:val="007A1689"/>
    <w:rsid w:val="007A20F7"/>
    <w:rsid w:val="007A2B74"/>
    <w:rsid w:val="007A2D99"/>
    <w:rsid w:val="007A304E"/>
    <w:rsid w:val="007A3B5A"/>
    <w:rsid w:val="007A3F76"/>
    <w:rsid w:val="007A4B28"/>
    <w:rsid w:val="007A4CA6"/>
    <w:rsid w:val="007A5825"/>
    <w:rsid w:val="007A58A1"/>
    <w:rsid w:val="007A5F05"/>
    <w:rsid w:val="007A6E7F"/>
    <w:rsid w:val="007A77D6"/>
    <w:rsid w:val="007B01BD"/>
    <w:rsid w:val="007B0BA0"/>
    <w:rsid w:val="007B0C12"/>
    <w:rsid w:val="007B1EC6"/>
    <w:rsid w:val="007B2697"/>
    <w:rsid w:val="007B2858"/>
    <w:rsid w:val="007B28C1"/>
    <w:rsid w:val="007B2C08"/>
    <w:rsid w:val="007B33FE"/>
    <w:rsid w:val="007B402F"/>
    <w:rsid w:val="007B419D"/>
    <w:rsid w:val="007B4433"/>
    <w:rsid w:val="007B454E"/>
    <w:rsid w:val="007B51FB"/>
    <w:rsid w:val="007B5336"/>
    <w:rsid w:val="007B558A"/>
    <w:rsid w:val="007B6316"/>
    <w:rsid w:val="007B64B9"/>
    <w:rsid w:val="007B73D7"/>
    <w:rsid w:val="007B788B"/>
    <w:rsid w:val="007B7F0F"/>
    <w:rsid w:val="007C0956"/>
    <w:rsid w:val="007C0C06"/>
    <w:rsid w:val="007C0D6D"/>
    <w:rsid w:val="007C0E80"/>
    <w:rsid w:val="007C1121"/>
    <w:rsid w:val="007C1457"/>
    <w:rsid w:val="007C2869"/>
    <w:rsid w:val="007C2918"/>
    <w:rsid w:val="007C29CF"/>
    <w:rsid w:val="007C2D34"/>
    <w:rsid w:val="007C2F94"/>
    <w:rsid w:val="007C30C5"/>
    <w:rsid w:val="007C32BD"/>
    <w:rsid w:val="007C3B6C"/>
    <w:rsid w:val="007C5529"/>
    <w:rsid w:val="007C559D"/>
    <w:rsid w:val="007C5B9E"/>
    <w:rsid w:val="007C7691"/>
    <w:rsid w:val="007C7F01"/>
    <w:rsid w:val="007C7FDF"/>
    <w:rsid w:val="007D02DC"/>
    <w:rsid w:val="007D0854"/>
    <w:rsid w:val="007D1292"/>
    <w:rsid w:val="007D1A02"/>
    <w:rsid w:val="007D24A6"/>
    <w:rsid w:val="007D2AE3"/>
    <w:rsid w:val="007D39CC"/>
    <w:rsid w:val="007D47E8"/>
    <w:rsid w:val="007D4B29"/>
    <w:rsid w:val="007D4B61"/>
    <w:rsid w:val="007D50BD"/>
    <w:rsid w:val="007D5740"/>
    <w:rsid w:val="007D632F"/>
    <w:rsid w:val="007D75D6"/>
    <w:rsid w:val="007D7B04"/>
    <w:rsid w:val="007E013E"/>
    <w:rsid w:val="007E2FAD"/>
    <w:rsid w:val="007E3558"/>
    <w:rsid w:val="007E37CD"/>
    <w:rsid w:val="007E3CEC"/>
    <w:rsid w:val="007E3D4D"/>
    <w:rsid w:val="007E4AE5"/>
    <w:rsid w:val="007E4D49"/>
    <w:rsid w:val="007E55D8"/>
    <w:rsid w:val="007E5717"/>
    <w:rsid w:val="007E58B1"/>
    <w:rsid w:val="007E5C73"/>
    <w:rsid w:val="007E6DF8"/>
    <w:rsid w:val="007E74ED"/>
    <w:rsid w:val="007F1C65"/>
    <w:rsid w:val="007F2561"/>
    <w:rsid w:val="007F2E09"/>
    <w:rsid w:val="007F303D"/>
    <w:rsid w:val="007F3075"/>
    <w:rsid w:val="007F378B"/>
    <w:rsid w:val="007F3FB5"/>
    <w:rsid w:val="007F4386"/>
    <w:rsid w:val="007F4643"/>
    <w:rsid w:val="007F50F1"/>
    <w:rsid w:val="007F5A59"/>
    <w:rsid w:val="007F5CC8"/>
    <w:rsid w:val="007F5D6E"/>
    <w:rsid w:val="007F6F4D"/>
    <w:rsid w:val="007F731D"/>
    <w:rsid w:val="007F7939"/>
    <w:rsid w:val="007F79E9"/>
    <w:rsid w:val="008001F6"/>
    <w:rsid w:val="0080030D"/>
    <w:rsid w:val="00800E88"/>
    <w:rsid w:val="008016C1"/>
    <w:rsid w:val="0080212D"/>
    <w:rsid w:val="0080214A"/>
    <w:rsid w:val="00802673"/>
    <w:rsid w:val="00802743"/>
    <w:rsid w:val="00802761"/>
    <w:rsid w:val="00802BB3"/>
    <w:rsid w:val="00802C37"/>
    <w:rsid w:val="00802EC0"/>
    <w:rsid w:val="0080329F"/>
    <w:rsid w:val="00803DC6"/>
    <w:rsid w:val="00804259"/>
    <w:rsid w:val="00804A77"/>
    <w:rsid w:val="00805339"/>
    <w:rsid w:val="0080591B"/>
    <w:rsid w:val="00806837"/>
    <w:rsid w:val="00806F5F"/>
    <w:rsid w:val="00807069"/>
    <w:rsid w:val="00807AD9"/>
    <w:rsid w:val="00807D26"/>
    <w:rsid w:val="00807D96"/>
    <w:rsid w:val="00810048"/>
    <w:rsid w:val="0081012A"/>
    <w:rsid w:val="00810A7B"/>
    <w:rsid w:val="00810DAD"/>
    <w:rsid w:val="00811A42"/>
    <w:rsid w:val="00811E47"/>
    <w:rsid w:val="00811E79"/>
    <w:rsid w:val="00813778"/>
    <w:rsid w:val="008141AD"/>
    <w:rsid w:val="008147B1"/>
    <w:rsid w:val="008148E6"/>
    <w:rsid w:val="00814BD4"/>
    <w:rsid w:val="00815479"/>
    <w:rsid w:val="0081566B"/>
    <w:rsid w:val="00815975"/>
    <w:rsid w:val="0081656C"/>
    <w:rsid w:val="0081659B"/>
    <w:rsid w:val="0081663A"/>
    <w:rsid w:val="00816CC8"/>
    <w:rsid w:val="008178A8"/>
    <w:rsid w:val="00817ABA"/>
    <w:rsid w:val="008202DB"/>
    <w:rsid w:val="008205C2"/>
    <w:rsid w:val="00820AFC"/>
    <w:rsid w:val="00820C3E"/>
    <w:rsid w:val="00822132"/>
    <w:rsid w:val="00822D9A"/>
    <w:rsid w:val="00823DEB"/>
    <w:rsid w:val="00824234"/>
    <w:rsid w:val="00824A79"/>
    <w:rsid w:val="00824C6A"/>
    <w:rsid w:val="00824F22"/>
    <w:rsid w:val="00825532"/>
    <w:rsid w:val="008261AA"/>
    <w:rsid w:val="00827568"/>
    <w:rsid w:val="00827968"/>
    <w:rsid w:val="00827B5D"/>
    <w:rsid w:val="0083056E"/>
    <w:rsid w:val="00831384"/>
    <w:rsid w:val="0083205F"/>
    <w:rsid w:val="008326CF"/>
    <w:rsid w:val="00832831"/>
    <w:rsid w:val="0083304A"/>
    <w:rsid w:val="0083339F"/>
    <w:rsid w:val="00833E97"/>
    <w:rsid w:val="008351A3"/>
    <w:rsid w:val="008355E9"/>
    <w:rsid w:val="00836847"/>
    <w:rsid w:val="0083686A"/>
    <w:rsid w:val="0083752D"/>
    <w:rsid w:val="00837B51"/>
    <w:rsid w:val="00837F00"/>
    <w:rsid w:val="00840CA9"/>
    <w:rsid w:val="008413C3"/>
    <w:rsid w:val="008413F8"/>
    <w:rsid w:val="00841DF1"/>
    <w:rsid w:val="00841EA6"/>
    <w:rsid w:val="008423E1"/>
    <w:rsid w:val="00842887"/>
    <w:rsid w:val="00842AEE"/>
    <w:rsid w:val="00842B6C"/>
    <w:rsid w:val="00843DC3"/>
    <w:rsid w:val="00845803"/>
    <w:rsid w:val="00846074"/>
    <w:rsid w:val="0084616F"/>
    <w:rsid w:val="00847D92"/>
    <w:rsid w:val="0085057C"/>
    <w:rsid w:val="00850783"/>
    <w:rsid w:val="008510F4"/>
    <w:rsid w:val="008515C2"/>
    <w:rsid w:val="008520D7"/>
    <w:rsid w:val="008528E0"/>
    <w:rsid w:val="00852CEB"/>
    <w:rsid w:val="00853159"/>
    <w:rsid w:val="00853C43"/>
    <w:rsid w:val="00854739"/>
    <w:rsid w:val="00854DE6"/>
    <w:rsid w:val="0085591A"/>
    <w:rsid w:val="00856304"/>
    <w:rsid w:val="00856528"/>
    <w:rsid w:val="00856956"/>
    <w:rsid w:val="00856B9C"/>
    <w:rsid w:val="0085784C"/>
    <w:rsid w:val="00860166"/>
    <w:rsid w:val="00860553"/>
    <w:rsid w:val="00861431"/>
    <w:rsid w:val="0086175C"/>
    <w:rsid w:val="00861872"/>
    <w:rsid w:val="008619D7"/>
    <w:rsid w:val="00861EB3"/>
    <w:rsid w:val="008626FD"/>
    <w:rsid w:val="00862B69"/>
    <w:rsid w:val="0086340D"/>
    <w:rsid w:val="00863BFD"/>
    <w:rsid w:val="00863DC5"/>
    <w:rsid w:val="00863FFB"/>
    <w:rsid w:val="008642D4"/>
    <w:rsid w:val="0086449C"/>
    <w:rsid w:val="00866B17"/>
    <w:rsid w:val="008673CC"/>
    <w:rsid w:val="00867958"/>
    <w:rsid w:val="00867C9C"/>
    <w:rsid w:val="00870962"/>
    <w:rsid w:val="00870B89"/>
    <w:rsid w:val="00873142"/>
    <w:rsid w:val="008738E4"/>
    <w:rsid w:val="008739E7"/>
    <w:rsid w:val="0087459A"/>
    <w:rsid w:val="008756D9"/>
    <w:rsid w:val="00875726"/>
    <w:rsid w:val="0087622A"/>
    <w:rsid w:val="008774AB"/>
    <w:rsid w:val="00877570"/>
    <w:rsid w:val="00877713"/>
    <w:rsid w:val="0088026F"/>
    <w:rsid w:val="00880A7D"/>
    <w:rsid w:val="008821E0"/>
    <w:rsid w:val="008822DA"/>
    <w:rsid w:val="008822F4"/>
    <w:rsid w:val="00882884"/>
    <w:rsid w:val="00882FF5"/>
    <w:rsid w:val="00883440"/>
    <w:rsid w:val="0088393D"/>
    <w:rsid w:val="00883D0E"/>
    <w:rsid w:val="00883D6F"/>
    <w:rsid w:val="00884F54"/>
    <w:rsid w:val="008857DA"/>
    <w:rsid w:val="00885CA0"/>
    <w:rsid w:val="00885FAE"/>
    <w:rsid w:val="00886290"/>
    <w:rsid w:val="0088668D"/>
    <w:rsid w:val="008866BF"/>
    <w:rsid w:val="008869AD"/>
    <w:rsid w:val="00886AD7"/>
    <w:rsid w:val="00886C9B"/>
    <w:rsid w:val="00886E6A"/>
    <w:rsid w:val="00891018"/>
    <w:rsid w:val="008910B9"/>
    <w:rsid w:val="008911DB"/>
    <w:rsid w:val="008915B0"/>
    <w:rsid w:val="008915DF"/>
    <w:rsid w:val="00892B97"/>
    <w:rsid w:val="00892DBE"/>
    <w:rsid w:val="00893190"/>
    <w:rsid w:val="008932C1"/>
    <w:rsid w:val="00893550"/>
    <w:rsid w:val="00894473"/>
    <w:rsid w:val="00894532"/>
    <w:rsid w:val="00894DA7"/>
    <w:rsid w:val="00895284"/>
    <w:rsid w:val="00895546"/>
    <w:rsid w:val="008958F1"/>
    <w:rsid w:val="00895B0B"/>
    <w:rsid w:val="00895F1F"/>
    <w:rsid w:val="00895FFE"/>
    <w:rsid w:val="00896017"/>
    <w:rsid w:val="008962C3"/>
    <w:rsid w:val="00896548"/>
    <w:rsid w:val="00896685"/>
    <w:rsid w:val="00896BAB"/>
    <w:rsid w:val="00896C48"/>
    <w:rsid w:val="00896C8A"/>
    <w:rsid w:val="00896E0C"/>
    <w:rsid w:val="00897F3A"/>
    <w:rsid w:val="008A0104"/>
    <w:rsid w:val="008A09D2"/>
    <w:rsid w:val="008A21C8"/>
    <w:rsid w:val="008A23AD"/>
    <w:rsid w:val="008A26C0"/>
    <w:rsid w:val="008A2B13"/>
    <w:rsid w:val="008A2ED6"/>
    <w:rsid w:val="008A38E3"/>
    <w:rsid w:val="008A3CCE"/>
    <w:rsid w:val="008A415E"/>
    <w:rsid w:val="008A422B"/>
    <w:rsid w:val="008A4C82"/>
    <w:rsid w:val="008A57A9"/>
    <w:rsid w:val="008A5B6F"/>
    <w:rsid w:val="008A5BDB"/>
    <w:rsid w:val="008A5F21"/>
    <w:rsid w:val="008A74CF"/>
    <w:rsid w:val="008A7BE9"/>
    <w:rsid w:val="008A7BFE"/>
    <w:rsid w:val="008B0C69"/>
    <w:rsid w:val="008B14F7"/>
    <w:rsid w:val="008B1734"/>
    <w:rsid w:val="008B187A"/>
    <w:rsid w:val="008B1A13"/>
    <w:rsid w:val="008B1A7D"/>
    <w:rsid w:val="008B2318"/>
    <w:rsid w:val="008B244F"/>
    <w:rsid w:val="008B25F0"/>
    <w:rsid w:val="008B26CC"/>
    <w:rsid w:val="008B2A9B"/>
    <w:rsid w:val="008B2E06"/>
    <w:rsid w:val="008B39CB"/>
    <w:rsid w:val="008B3AA1"/>
    <w:rsid w:val="008B3AC7"/>
    <w:rsid w:val="008B3F12"/>
    <w:rsid w:val="008B44D1"/>
    <w:rsid w:val="008B493F"/>
    <w:rsid w:val="008B538A"/>
    <w:rsid w:val="008B5820"/>
    <w:rsid w:val="008B6A6E"/>
    <w:rsid w:val="008B6C50"/>
    <w:rsid w:val="008B6D79"/>
    <w:rsid w:val="008B7AA3"/>
    <w:rsid w:val="008B7B8A"/>
    <w:rsid w:val="008B7C35"/>
    <w:rsid w:val="008C086A"/>
    <w:rsid w:val="008C0CAF"/>
    <w:rsid w:val="008C2827"/>
    <w:rsid w:val="008C3C63"/>
    <w:rsid w:val="008C3FC3"/>
    <w:rsid w:val="008C5706"/>
    <w:rsid w:val="008C650B"/>
    <w:rsid w:val="008C7379"/>
    <w:rsid w:val="008C7C52"/>
    <w:rsid w:val="008C7E9A"/>
    <w:rsid w:val="008D007D"/>
    <w:rsid w:val="008D04BE"/>
    <w:rsid w:val="008D0DE2"/>
    <w:rsid w:val="008D142A"/>
    <w:rsid w:val="008D1781"/>
    <w:rsid w:val="008D1B6C"/>
    <w:rsid w:val="008D1C16"/>
    <w:rsid w:val="008D32FE"/>
    <w:rsid w:val="008D33D6"/>
    <w:rsid w:val="008D34E9"/>
    <w:rsid w:val="008D3546"/>
    <w:rsid w:val="008D48BB"/>
    <w:rsid w:val="008D4A4A"/>
    <w:rsid w:val="008D4E19"/>
    <w:rsid w:val="008D5E78"/>
    <w:rsid w:val="008D61B7"/>
    <w:rsid w:val="008D6789"/>
    <w:rsid w:val="008D73C8"/>
    <w:rsid w:val="008D7D31"/>
    <w:rsid w:val="008E09B6"/>
    <w:rsid w:val="008E0DEA"/>
    <w:rsid w:val="008E1208"/>
    <w:rsid w:val="008E1DAF"/>
    <w:rsid w:val="008E20FF"/>
    <w:rsid w:val="008E2AC2"/>
    <w:rsid w:val="008E2B7A"/>
    <w:rsid w:val="008E3024"/>
    <w:rsid w:val="008E3CB4"/>
    <w:rsid w:val="008E4252"/>
    <w:rsid w:val="008E4458"/>
    <w:rsid w:val="008E45BC"/>
    <w:rsid w:val="008E4C37"/>
    <w:rsid w:val="008E5421"/>
    <w:rsid w:val="008E7F1D"/>
    <w:rsid w:val="008F0872"/>
    <w:rsid w:val="008F0D30"/>
    <w:rsid w:val="008F0FAD"/>
    <w:rsid w:val="008F12A0"/>
    <w:rsid w:val="008F1A99"/>
    <w:rsid w:val="008F21D2"/>
    <w:rsid w:val="008F268D"/>
    <w:rsid w:val="008F33BC"/>
    <w:rsid w:val="008F515A"/>
    <w:rsid w:val="008F5351"/>
    <w:rsid w:val="008F5A59"/>
    <w:rsid w:val="008F646F"/>
    <w:rsid w:val="008F6773"/>
    <w:rsid w:val="008F7089"/>
    <w:rsid w:val="008F73FE"/>
    <w:rsid w:val="008F7F5D"/>
    <w:rsid w:val="00900037"/>
    <w:rsid w:val="00900AC6"/>
    <w:rsid w:val="009011EE"/>
    <w:rsid w:val="009017FD"/>
    <w:rsid w:val="0090187F"/>
    <w:rsid w:val="009031FD"/>
    <w:rsid w:val="00903C81"/>
    <w:rsid w:val="009047B8"/>
    <w:rsid w:val="00904DCE"/>
    <w:rsid w:val="0090577B"/>
    <w:rsid w:val="00905826"/>
    <w:rsid w:val="00905F07"/>
    <w:rsid w:val="009061A6"/>
    <w:rsid w:val="00906201"/>
    <w:rsid w:val="009067DF"/>
    <w:rsid w:val="00907DF8"/>
    <w:rsid w:val="00911693"/>
    <w:rsid w:val="0091204E"/>
    <w:rsid w:val="009126E3"/>
    <w:rsid w:val="00912D27"/>
    <w:rsid w:val="00912F12"/>
    <w:rsid w:val="00913BB5"/>
    <w:rsid w:val="00914A78"/>
    <w:rsid w:val="00914FBC"/>
    <w:rsid w:val="009158C2"/>
    <w:rsid w:val="009160F9"/>
    <w:rsid w:val="009167E4"/>
    <w:rsid w:val="009168C5"/>
    <w:rsid w:val="00916985"/>
    <w:rsid w:val="00916C11"/>
    <w:rsid w:val="0091789D"/>
    <w:rsid w:val="00920C7A"/>
    <w:rsid w:val="00920DBB"/>
    <w:rsid w:val="00920FED"/>
    <w:rsid w:val="009212DD"/>
    <w:rsid w:val="00921380"/>
    <w:rsid w:val="0092156D"/>
    <w:rsid w:val="00921EAF"/>
    <w:rsid w:val="00921F1F"/>
    <w:rsid w:val="00922E6F"/>
    <w:rsid w:val="0092352A"/>
    <w:rsid w:val="0092444B"/>
    <w:rsid w:val="009245D6"/>
    <w:rsid w:val="0092483D"/>
    <w:rsid w:val="009249CA"/>
    <w:rsid w:val="00925603"/>
    <w:rsid w:val="00925691"/>
    <w:rsid w:val="00925866"/>
    <w:rsid w:val="00926778"/>
    <w:rsid w:val="0092687F"/>
    <w:rsid w:val="00926DDE"/>
    <w:rsid w:val="00927517"/>
    <w:rsid w:val="009276EB"/>
    <w:rsid w:val="00927EBE"/>
    <w:rsid w:val="00927ED2"/>
    <w:rsid w:val="00930217"/>
    <w:rsid w:val="00930363"/>
    <w:rsid w:val="0093119D"/>
    <w:rsid w:val="0093170B"/>
    <w:rsid w:val="00931BB1"/>
    <w:rsid w:val="00932147"/>
    <w:rsid w:val="00933CD3"/>
    <w:rsid w:val="00934306"/>
    <w:rsid w:val="009354AD"/>
    <w:rsid w:val="00935628"/>
    <w:rsid w:val="009367A3"/>
    <w:rsid w:val="00936874"/>
    <w:rsid w:val="009374F1"/>
    <w:rsid w:val="00937761"/>
    <w:rsid w:val="00940793"/>
    <w:rsid w:val="009409FB"/>
    <w:rsid w:val="00940B7E"/>
    <w:rsid w:val="0094186F"/>
    <w:rsid w:val="00942201"/>
    <w:rsid w:val="00942710"/>
    <w:rsid w:val="009435D2"/>
    <w:rsid w:val="00943AF0"/>
    <w:rsid w:val="00943C84"/>
    <w:rsid w:val="00943CBB"/>
    <w:rsid w:val="00944DED"/>
    <w:rsid w:val="009455DE"/>
    <w:rsid w:val="0094601E"/>
    <w:rsid w:val="00946389"/>
    <w:rsid w:val="00946BD6"/>
    <w:rsid w:val="0094700D"/>
    <w:rsid w:val="00950D42"/>
    <w:rsid w:val="009543CA"/>
    <w:rsid w:val="00955121"/>
    <w:rsid w:val="0095555C"/>
    <w:rsid w:val="00955659"/>
    <w:rsid w:val="0095591C"/>
    <w:rsid w:val="00955EFF"/>
    <w:rsid w:val="009562C2"/>
    <w:rsid w:val="009565B1"/>
    <w:rsid w:val="00956849"/>
    <w:rsid w:val="00956ABC"/>
    <w:rsid w:val="00956E06"/>
    <w:rsid w:val="0095723C"/>
    <w:rsid w:val="0095794D"/>
    <w:rsid w:val="009601D4"/>
    <w:rsid w:val="00960251"/>
    <w:rsid w:val="00960D77"/>
    <w:rsid w:val="009614C0"/>
    <w:rsid w:val="0096180F"/>
    <w:rsid w:val="009620BE"/>
    <w:rsid w:val="00962578"/>
    <w:rsid w:val="009628B6"/>
    <w:rsid w:val="00962D15"/>
    <w:rsid w:val="00963443"/>
    <w:rsid w:val="00963585"/>
    <w:rsid w:val="0096451A"/>
    <w:rsid w:val="009646FC"/>
    <w:rsid w:val="00964D32"/>
    <w:rsid w:val="00965050"/>
    <w:rsid w:val="009655F1"/>
    <w:rsid w:val="009668D4"/>
    <w:rsid w:val="00967447"/>
    <w:rsid w:val="0096768B"/>
    <w:rsid w:val="00967774"/>
    <w:rsid w:val="00970464"/>
    <w:rsid w:val="009705BA"/>
    <w:rsid w:val="009708C7"/>
    <w:rsid w:val="00970DF2"/>
    <w:rsid w:val="00971400"/>
    <w:rsid w:val="00971C3E"/>
    <w:rsid w:val="009720EE"/>
    <w:rsid w:val="009725EB"/>
    <w:rsid w:val="0097260C"/>
    <w:rsid w:val="0097332A"/>
    <w:rsid w:val="00973D30"/>
    <w:rsid w:val="009742EA"/>
    <w:rsid w:val="00974733"/>
    <w:rsid w:val="00974CF9"/>
    <w:rsid w:val="00974E36"/>
    <w:rsid w:val="009759B3"/>
    <w:rsid w:val="00976FF7"/>
    <w:rsid w:val="0097709E"/>
    <w:rsid w:val="009774AB"/>
    <w:rsid w:val="0098072F"/>
    <w:rsid w:val="00980DF1"/>
    <w:rsid w:val="009814DA"/>
    <w:rsid w:val="00982C75"/>
    <w:rsid w:val="00982EE3"/>
    <w:rsid w:val="00983B95"/>
    <w:rsid w:val="00983BCC"/>
    <w:rsid w:val="0098492A"/>
    <w:rsid w:val="00984ADE"/>
    <w:rsid w:val="00984C40"/>
    <w:rsid w:val="00984D5D"/>
    <w:rsid w:val="0098510B"/>
    <w:rsid w:val="00986C75"/>
    <w:rsid w:val="00986CBC"/>
    <w:rsid w:val="00987590"/>
    <w:rsid w:val="00991F7B"/>
    <w:rsid w:val="0099208B"/>
    <w:rsid w:val="00992954"/>
    <w:rsid w:val="009935E7"/>
    <w:rsid w:val="0099381E"/>
    <w:rsid w:val="00993FEC"/>
    <w:rsid w:val="0099472F"/>
    <w:rsid w:val="0099482B"/>
    <w:rsid w:val="00994DB2"/>
    <w:rsid w:val="00995272"/>
    <w:rsid w:val="00995DCA"/>
    <w:rsid w:val="00997050"/>
    <w:rsid w:val="009A04EA"/>
    <w:rsid w:val="009A175A"/>
    <w:rsid w:val="009A1E99"/>
    <w:rsid w:val="009A1EDE"/>
    <w:rsid w:val="009A1F06"/>
    <w:rsid w:val="009A2678"/>
    <w:rsid w:val="009A2F3A"/>
    <w:rsid w:val="009A3434"/>
    <w:rsid w:val="009A3922"/>
    <w:rsid w:val="009A3A80"/>
    <w:rsid w:val="009A3ED0"/>
    <w:rsid w:val="009A48FA"/>
    <w:rsid w:val="009A4A5D"/>
    <w:rsid w:val="009A53F2"/>
    <w:rsid w:val="009A58D9"/>
    <w:rsid w:val="009A5DA5"/>
    <w:rsid w:val="009A642F"/>
    <w:rsid w:val="009A666D"/>
    <w:rsid w:val="009A767F"/>
    <w:rsid w:val="009A7BE4"/>
    <w:rsid w:val="009B0084"/>
    <w:rsid w:val="009B06FD"/>
    <w:rsid w:val="009B0C77"/>
    <w:rsid w:val="009B1B18"/>
    <w:rsid w:val="009B1D20"/>
    <w:rsid w:val="009B1E18"/>
    <w:rsid w:val="009B2C0F"/>
    <w:rsid w:val="009B2C8A"/>
    <w:rsid w:val="009B37C6"/>
    <w:rsid w:val="009B3ADA"/>
    <w:rsid w:val="009B460B"/>
    <w:rsid w:val="009B4CAB"/>
    <w:rsid w:val="009B5216"/>
    <w:rsid w:val="009B553E"/>
    <w:rsid w:val="009B5D16"/>
    <w:rsid w:val="009B6504"/>
    <w:rsid w:val="009B6791"/>
    <w:rsid w:val="009B71AB"/>
    <w:rsid w:val="009B72A2"/>
    <w:rsid w:val="009B737C"/>
    <w:rsid w:val="009B76A7"/>
    <w:rsid w:val="009B7F76"/>
    <w:rsid w:val="009C01BD"/>
    <w:rsid w:val="009C0305"/>
    <w:rsid w:val="009C0AB2"/>
    <w:rsid w:val="009C0CEF"/>
    <w:rsid w:val="009C1477"/>
    <w:rsid w:val="009C1896"/>
    <w:rsid w:val="009C1A10"/>
    <w:rsid w:val="009C1F1B"/>
    <w:rsid w:val="009C264C"/>
    <w:rsid w:val="009C3692"/>
    <w:rsid w:val="009C3A5D"/>
    <w:rsid w:val="009C3AED"/>
    <w:rsid w:val="009C42CC"/>
    <w:rsid w:val="009C4368"/>
    <w:rsid w:val="009C4472"/>
    <w:rsid w:val="009C4661"/>
    <w:rsid w:val="009C472D"/>
    <w:rsid w:val="009C4BDA"/>
    <w:rsid w:val="009C5130"/>
    <w:rsid w:val="009C5B78"/>
    <w:rsid w:val="009C5B8E"/>
    <w:rsid w:val="009C5E00"/>
    <w:rsid w:val="009C61C0"/>
    <w:rsid w:val="009C6696"/>
    <w:rsid w:val="009C6AAA"/>
    <w:rsid w:val="009C70D1"/>
    <w:rsid w:val="009C741F"/>
    <w:rsid w:val="009C750B"/>
    <w:rsid w:val="009C7691"/>
    <w:rsid w:val="009C7977"/>
    <w:rsid w:val="009D035C"/>
    <w:rsid w:val="009D0543"/>
    <w:rsid w:val="009D0B21"/>
    <w:rsid w:val="009D0B3B"/>
    <w:rsid w:val="009D0CC2"/>
    <w:rsid w:val="009D1046"/>
    <w:rsid w:val="009D1826"/>
    <w:rsid w:val="009D1E7F"/>
    <w:rsid w:val="009D2210"/>
    <w:rsid w:val="009D245E"/>
    <w:rsid w:val="009D4139"/>
    <w:rsid w:val="009D43BA"/>
    <w:rsid w:val="009D493B"/>
    <w:rsid w:val="009D513F"/>
    <w:rsid w:val="009D571F"/>
    <w:rsid w:val="009D6BF7"/>
    <w:rsid w:val="009D6CDD"/>
    <w:rsid w:val="009D6D4E"/>
    <w:rsid w:val="009D6FD0"/>
    <w:rsid w:val="009E007C"/>
    <w:rsid w:val="009E00B8"/>
    <w:rsid w:val="009E080C"/>
    <w:rsid w:val="009E09D5"/>
    <w:rsid w:val="009E0BC5"/>
    <w:rsid w:val="009E0D55"/>
    <w:rsid w:val="009E1328"/>
    <w:rsid w:val="009E144E"/>
    <w:rsid w:val="009E1DD7"/>
    <w:rsid w:val="009E33D6"/>
    <w:rsid w:val="009E3CFC"/>
    <w:rsid w:val="009E3D2C"/>
    <w:rsid w:val="009E3D55"/>
    <w:rsid w:val="009E594D"/>
    <w:rsid w:val="009E5954"/>
    <w:rsid w:val="009E5DD7"/>
    <w:rsid w:val="009E5FE9"/>
    <w:rsid w:val="009E668B"/>
    <w:rsid w:val="009E6917"/>
    <w:rsid w:val="009F0704"/>
    <w:rsid w:val="009F08B4"/>
    <w:rsid w:val="009F0FB0"/>
    <w:rsid w:val="009F0FB4"/>
    <w:rsid w:val="009F146C"/>
    <w:rsid w:val="009F196E"/>
    <w:rsid w:val="009F1F47"/>
    <w:rsid w:val="009F1F95"/>
    <w:rsid w:val="009F34B4"/>
    <w:rsid w:val="009F41E0"/>
    <w:rsid w:val="009F44D2"/>
    <w:rsid w:val="009F4B2D"/>
    <w:rsid w:val="009F4D6E"/>
    <w:rsid w:val="009F51A5"/>
    <w:rsid w:val="009F586F"/>
    <w:rsid w:val="009F5AD6"/>
    <w:rsid w:val="009F67AD"/>
    <w:rsid w:val="009F6959"/>
    <w:rsid w:val="009F72E2"/>
    <w:rsid w:val="00A01D3C"/>
    <w:rsid w:val="00A02AA3"/>
    <w:rsid w:val="00A02AD3"/>
    <w:rsid w:val="00A03079"/>
    <w:rsid w:val="00A0334F"/>
    <w:rsid w:val="00A033FC"/>
    <w:rsid w:val="00A0368E"/>
    <w:rsid w:val="00A03780"/>
    <w:rsid w:val="00A03988"/>
    <w:rsid w:val="00A03F9E"/>
    <w:rsid w:val="00A04861"/>
    <w:rsid w:val="00A04880"/>
    <w:rsid w:val="00A04A4A"/>
    <w:rsid w:val="00A04CD6"/>
    <w:rsid w:val="00A05AAF"/>
    <w:rsid w:val="00A06023"/>
    <w:rsid w:val="00A067BA"/>
    <w:rsid w:val="00A06DC4"/>
    <w:rsid w:val="00A06F6E"/>
    <w:rsid w:val="00A10735"/>
    <w:rsid w:val="00A1169C"/>
    <w:rsid w:val="00A118E8"/>
    <w:rsid w:val="00A12C4B"/>
    <w:rsid w:val="00A12FBB"/>
    <w:rsid w:val="00A13836"/>
    <w:rsid w:val="00A14647"/>
    <w:rsid w:val="00A15C25"/>
    <w:rsid w:val="00A15F4E"/>
    <w:rsid w:val="00A16067"/>
    <w:rsid w:val="00A1607C"/>
    <w:rsid w:val="00A160D9"/>
    <w:rsid w:val="00A16ACD"/>
    <w:rsid w:val="00A20459"/>
    <w:rsid w:val="00A20E2E"/>
    <w:rsid w:val="00A20E7E"/>
    <w:rsid w:val="00A21A95"/>
    <w:rsid w:val="00A21AD8"/>
    <w:rsid w:val="00A22373"/>
    <w:rsid w:val="00A22C54"/>
    <w:rsid w:val="00A23B63"/>
    <w:rsid w:val="00A2420F"/>
    <w:rsid w:val="00A242CB"/>
    <w:rsid w:val="00A2556A"/>
    <w:rsid w:val="00A262F9"/>
    <w:rsid w:val="00A26A1C"/>
    <w:rsid w:val="00A26C39"/>
    <w:rsid w:val="00A271D9"/>
    <w:rsid w:val="00A2720E"/>
    <w:rsid w:val="00A274DA"/>
    <w:rsid w:val="00A27A14"/>
    <w:rsid w:val="00A321AE"/>
    <w:rsid w:val="00A33318"/>
    <w:rsid w:val="00A33CE6"/>
    <w:rsid w:val="00A33F11"/>
    <w:rsid w:val="00A34CC8"/>
    <w:rsid w:val="00A35296"/>
    <w:rsid w:val="00A358F0"/>
    <w:rsid w:val="00A366DE"/>
    <w:rsid w:val="00A36C16"/>
    <w:rsid w:val="00A37471"/>
    <w:rsid w:val="00A376A2"/>
    <w:rsid w:val="00A401AE"/>
    <w:rsid w:val="00A402E3"/>
    <w:rsid w:val="00A40861"/>
    <w:rsid w:val="00A40BCB"/>
    <w:rsid w:val="00A41A5F"/>
    <w:rsid w:val="00A41B7F"/>
    <w:rsid w:val="00A42BAF"/>
    <w:rsid w:val="00A43227"/>
    <w:rsid w:val="00A43640"/>
    <w:rsid w:val="00A437E6"/>
    <w:rsid w:val="00A4426A"/>
    <w:rsid w:val="00A44BBD"/>
    <w:rsid w:val="00A457DE"/>
    <w:rsid w:val="00A4673A"/>
    <w:rsid w:val="00A47066"/>
    <w:rsid w:val="00A4751E"/>
    <w:rsid w:val="00A476BE"/>
    <w:rsid w:val="00A479B7"/>
    <w:rsid w:val="00A47A45"/>
    <w:rsid w:val="00A47CDA"/>
    <w:rsid w:val="00A506C1"/>
    <w:rsid w:val="00A50F78"/>
    <w:rsid w:val="00A51618"/>
    <w:rsid w:val="00A516F9"/>
    <w:rsid w:val="00A51BAD"/>
    <w:rsid w:val="00A51F7B"/>
    <w:rsid w:val="00A52332"/>
    <w:rsid w:val="00A5378A"/>
    <w:rsid w:val="00A5504B"/>
    <w:rsid w:val="00A5518D"/>
    <w:rsid w:val="00A5531A"/>
    <w:rsid w:val="00A57218"/>
    <w:rsid w:val="00A60369"/>
    <w:rsid w:val="00A61137"/>
    <w:rsid w:val="00A61599"/>
    <w:rsid w:val="00A61ED8"/>
    <w:rsid w:val="00A62753"/>
    <w:rsid w:val="00A636C5"/>
    <w:rsid w:val="00A64187"/>
    <w:rsid w:val="00A6421C"/>
    <w:rsid w:val="00A6431B"/>
    <w:rsid w:val="00A648AB"/>
    <w:rsid w:val="00A64ADE"/>
    <w:rsid w:val="00A65154"/>
    <w:rsid w:val="00A6536E"/>
    <w:rsid w:val="00A65D59"/>
    <w:rsid w:val="00A66141"/>
    <w:rsid w:val="00A66159"/>
    <w:rsid w:val="00A66532"/>
    <w:rsid w:val="00A66A27"/>
    <w:rsid w:val="00A67414"/>
    <w:rsid w:val="00A674C5"/>
    <w:rsid w:val="00A67903"/>
    <w:rsid w:val="00A67E5F"/>
    <w:rsid w:val="00A70047"/>
    <w:rsid w:val="00A70475"/>
    <w:rsid w:val="00A704A3"/>
    <w:rsid w:val="00A707FE"/>
    <w:rsid w:val="00A7171C"/>
    <w:rsid w:val="00A71951"/>
    <w:rsid w:val="00A71FD8"/>
    <w:rsid w:val="00A7251F"/>
    <w:rsid w:val="00A72BA1"/>
    <w:rsid w:val="00A732F3"/>
    <w:rsid w:val="00A74483"/>
    <w:rsid w:val="00A744EF"/>
    <w:rsid w:val="00A74E19"/>
    <w:rsid w:val="00A74F97"/>
    <w:rsid w:val="00A753C6"/>
    <w:rsid w:val="00A755AB"/>
    <w:rsid w:val="00A75C32"/>
    <w:rsid w:val="00A762E0"/>
    <w:rsid w:val="00A774EB"/>
    <w:rsid w:val="00A77D26"/>
    <w:rsid w:val="00A77D39"/>
    <w:rsid w:val="00A80118"/>
    <w:rsid w:val="00A8036C"/>
    <w:rsid w:val="00A80AA0"/>
    <w:rsid w:val="00A80B5D"/>
    <w:rsid w:val="00A80D66"/>
    <w:rsid w:val="00A810F1"/>
    <w:rsid w:val="00A8147E"/>
    <w:rsid w:val="00A81A79"/>
    <w:rsid w:val="00A81F41"/>
    <w:rsid w:val="00A821BE"/>
    <w:rsid w:val="00A82ED8"/>
    <w:rsid w:val="00A83D49"/>
    <w:rsid w:val="00A83FE7"/>
    <w:rsid w:val="00A85F13"/>
    <w:rsid w:val="00A85FFF"/>
    <w:rsid w:val="00A86856"/>
    <w:rsid w:val="00A87A0D"/>
    <w:rsid w:val="00A90C5A"/>
    <w:rsid w:val="00A90CFA"/>
    <w:rsid w:val="00A91BCA"/>
    <w:rsid w:val="00A91EB7"/>
    <w:rsid w:val="00A922DE"/>
    <w:rsid w:val="00A9264A"/>
    <w:rsid w:val="00A92FD1"/>
    <w:rsid w:val="00A93428"/>
    <w:rsid w:val="00A93C28"/>
    <w:rsid w:val="00A943C5"/>
    <w:rsid w:val="00A947D2"/>
    <w:rsid w:val="00A94A43"/>
    <w:rsid w:val="00A959D7"/>
    <w:rsid w:val="00A965B5"/>
    <w:rsid w:val="00A97C6E"/>
    <w:rsid w:val="00A97F14"/>
    <w:rsid w:val="00AA1541"/>
    <w:rsid w:val="00AA189C"/>
    <w:rsid w:val="00AA1BF9"/>
    <w:rsid w:val="00AA24F8"/>
    <w:rsid w:val="00AA280A"/>
    <w:rsid w:val="00AA34A6"/>
    <w:rsid w:val="00AA3E1D"/>
    <w:rsid w:val="00AA5674"/>
    <w:rsid w:val="00AA6990"/>
    <w:rsid w:val="00AA7591"/>
    <w:rsid w:val="00AB0388"/>
    <w:rsid w:val="00AB0B73"/>
    <w:rsid w:val="00AB122C"/>
    <w:rsid w:val="00AB1344"/>
    <w:rsid w:val="00AB1E0C"/>
    <w:rsid w:val="00AB27A1"/>
    <w:rsid w:val="00AB29AD"/>
    <w:rsid w:val="00AB2AED"/>
    <w:rsid w:val="00AB2D16"/>
    <w:rsid w:val="00AB3ABA"/>
    <w:rsid w:val="00AB3B46"/>
    <w:rsid w:val="00AB40BF"/>
    <w:rsid w:val="00AB42B6"/>
    <w:rsid w:val="00AB56C8"/>
    <w:rsid w:val="00AB77E5"/>
    <w:rsid w:val="00AB7932"/>
    <w:rsid w:val="00AB7BB9"/>
    <w:rsid w:val="00AB7D6B"/>
    <w:rsid w:val="00AB7EA1"/>
    <w:rsid w:val="00AC03D3"/>
    <w:rsid w:val="00AC0E95"/>
    <w:rsid w:val="00AC1C5B"/>
    <w:rsid w:val="00AC1F9C"/>
    <w:rsid w:val="00AC382C"/>
    <w:rsid w:val="00AC3C72"/>
    <w:rsid w:val="00AC4088"/>
    <w:rsid w:val="00AC43D1"/>
    <w:rsid w:val="00AC45FF"/>
    <w:rsid w:val="00AC49B4"/>
    <w:rsid w:val="00AC4FC2"/>
    <w:rsid w:val="00AC5744"/>
    <w:rsid w:val="00AC5BE3"/>
    <w:rsid w:val="00AC6F08"/>
    <w:rsid w:val="00AC7DB1"/>
    <w:rsid w:val="00AC7EAD"/>
    <w:rsid w:val="00AD0A5F"/>
    <w:rsid w:val="00AD148A"/>
    <w:rsid w:val="00AD167A"/>
    <w:rsid w:val="00AD248B"/>
    <w:rsid w:val="00AD287B"/>
    <w:rsid w:val="00AD2B30"/>
    <w:rsid w:val="00AD2DE0"/>
    <w:rsid w:val="00AD48A3"/>
    <w:rsid w:val="00AD4CE9"/>
    <w:rsid w:val="00AD4E70"/>
    <w:rsid w:val="00AD5672"/>
    <w:rsid w:val="00AD575E"/>
    <w:rsid w:val="00AD5867"/>
    <w:rsid w:val="00AD605E"/>
    <w:rsid w:val="00AD6523"/>
    <w:rsid w:val="00AD6EA8"/>
    <w:rsid w:val="00AD740B"/>
    <w:rsid w:val="00AD78D8"/>
    <w:rsid w:val="00AD7BE8"/>
    <w:rsid w:val="00AD7FFC"/>
    <w:rsid w:val="00AE13B9"/>
    <w:rsid w:val="00AE1A33"/>
    <w:rsid w:val="00AE355F"/>
    <w:rsid w:val="00AE3B63"/>
    <w:rsid w:val="00AE3B6E"/>
    <w:rsid w:val="00AE3DC3"/>
    <w:rsid w:val="00AE41FC"/>
    <w:rsid w:val="00AE5162"/>
    <w:rsid w:val="00AE5F0F"/>
    <w:rsid w:val="00AE67B4"/>
    <w:rsid w:val="00AE6E16"/>
    <w:rsid w:val="00AE7993"/>
    <w:rsid w:val="00AE7C59"/>
    <w:rsid w:val="00AE7CB0"/>
    <w:rsid w:val="00AF00FC"/>
    <w:rsid w:val="00AF0758"/>
    <w:rsid w:val="00AF2001"/>
    <w:rsid w:val="00AF2684"/>
    <w:rsid w:val="00AF27BB"/>
    <w:rsid w:val="00AF3447"/>
    <w:rsid w:val="00AF3C5F"/>
    <w:rsid w:val="00AF3D2F"/>
    <w:rsid w:val="00AF407C"/>
    <w:rsid w:val="00AF4523"/>
    <w:rsid w:val="00AF4614"/>
    <w:rsid w:val="00AF4C1F"/>
    <w:rsid w:val="00AF4EA3"/>
    <w:rsid w:val="00AF4F56"/>
    <w:rsid w:val="00AF5411"/>
    <w:rsid w:val="00AF5629"/>
    <w:rsid w:val="00AF575C"/>
    <w:rsid w:val="00AF593D"/>
    <w:rsid w:val="00AF5A11"/>
    <w:rsid w:val="00AF60AD"/>
    <w:rsid w:val="00AF6D18"/>
    <w:rsid w:val="00AF6DDB"/>
    <w:rsid w:val="00AF7A04"/>
    <w:rsid w:val="00B00413"/>
    <w:rsid w:val="00B0177A"/>
    <w:rsid w:val="00B021BE"/>
    <w:rsid w:val="00B02B4A"/>
    <w:rsid w:val="00B02CCC"/>
    <w:rsid w:val="00B02E10"/>
    <w:rsid w:val="00B0365E"/>
    <w:rsid w:val="00B03D92"/>
    <w:rsid w:val="00B03E21"/>
    <w:rsid w:val="00B03EF5"/>
    <w:rsid w:val="00B043B6"/>
    <w:rsid w:val="00B04EFF"/>
    <w:rsid w:val="00B05911"/>
    <w:rsid w:val="00B0636A"/>
    <w:rsid w:val="00B064C8"/>
    <w:rsid w:val="00B07DA0"/>
    <w:rsid w:val="00B07EF7"/>
    <w:rsid w:val="00B10443"/>
    <w:rsid w:val="00B1076B"/>
    <w:rsid w:val="00B10D20"/>
    <w:rsid w:val="00B11319"/>
    <w:rsid w:val="00B12980"/>
    <w:rsid w:val="00B1302E"/>
    <w:rsid w:val="00B13362"/>
    <w:rsid w:val="00B137CA"/>
    <w:rsid w:val="00B139B9"/>
    <w:rsid w:val="00B141FF"/>
    <w:rsid w:val="00B14D04"/>
    <w:rsid w:val="00B14E24"/>
    <w:rsid w:val="00B154A5"/>
    <w:rsid w:val="00B15F38"/>
    <w:rsid w:val="00B165C0"/>
    <w:rsid w:val="00B168CA"/>
    <w:rsid w:val="00B16920"/>
    <w:rsid w:val="00B16EFC"/>
    <w:rsid w:val="00B170F6"/>
    <w:rsid w:val="00B1783D"/>
    <w:rsid w:val="00B17E7F"/>
    <w:rsid w:val="00B203D3"/>
    <w:rsid w:val="00B20978"/>
    <w:rsid w:val="00B20FF3"/>
    <w:rsid w:val="00B21078"/>
    <w:rsid w:val="00B22191"/>
    <w:rsid w:val="00B22B96"/>
    <w:rsid w:val="00B22C71"/>
    <w:rsid w:val="00B2304F"/>
    <w:rsid w:val="00B23283"/>
    <w:rsid w:val="00B233A0"/>
    <w:rsid w:val="00B2376E"/>
    <w:rsid w:val="00B24A72"/>
    <w:rsid w:val="00B24DC8"/>
    <w:rsid w:val="00B252BB"/>
    <w:rsid w:val="00B269BA"/>
    <w:rsid w:val="00B273BC"/>
    <w:rsid w:val="00B279A1"/>
    <w:rsid w:val="00B30AFF"/>
    <w:rsid w:val="00B317FE"/>
    <w:rsid w:val="00B3223F"/>
    <w:rsid w:val="00B3238B"/>
    <w:rsid w:val="00B326A7"/>
    <w:rsid w:val="00B32B53"/>
    <w:rsid w:val="00B33979"/>
    <w:rsid w:val="00B33BC2"/>
    <w:rsid w:val="00B33E5E"/>
    <w:rsid w:val="00B3483C"/>
    <w:rsid w:val="00B34C76"/>
    <w:rsid w:val="00B35226"/>
    <w:rsid w:val="00B35879"/>
    <w:rsid w:val="00B3608B"/>
    <w:rsid w:val="00B368F7"/>
    <w:rsid w:val="00B3717C"/>
    <w:rsid w:val="00B37194"/>
    <w:rsid w:val="00B403BD"/>
    <w:rsid w:val="00B40435"/>
    <w:rsid w:val="00B406FF"/>
    <w:rsid w:val="00B407EE"/>
    <w:rsid w:val="00B408BD"/>
    <w:rsid w:val="00B408C7"/>
    <w:rsid w:val="00B40E47"/>
    <w:rsid w:val="00B417D2"/>
    <w:rsid w:val="00B432CA"/>
    <w:rsid w:val="00B43656"/>
    <w:rsid w:val="00B43857"/>
    <w:rsid w:val="00B4434E"/>
    <w:rsid w:val="00B4489E"/>
    <w:rsid w:val="00B449A4"/>
    <w:rsid w:val="00B44E08"/>
    <w:rsid w:val="00B45280"/>
    <w:rsid w:val="00B4594A"/>
    <w:rsid w:val="00B45DF6"/>
    <w:rsid w:val="00B464CB"/>
    <w:rsid w:val="00B464F0"/>
    <w:rsid w:val="00B46FBE"/>
    <w:rsid w:val="00B47A4A"/>
    <w:rsid w:val="00B47A8D"/>
    <w:rsid w:val="00B50E6E"/>
    <w:rsid w:val="00B51570"/>
    <w:rsid w:val="00B515C8"/>
    <w:rsid w:val="00B52188"/>
    <w:rsid w:val="00B52600"/>
    <w:rsid w:val="00B5269F"/>
    <w:rsid w:val="00B52937"/>
    <w:rsid w:val="00B531E4"/>
    <w:rsid w:val="00B547CC"/>
    <w:rsid w:val="00B54A4B"/>
    <w:rsid w:val="00B54EDA"/>
    <w:rsid w:val="00B551AE"/>
    <w:rsid w:val="00B558C6"/>
    <w:rsid w:val="00B55AD3"/>
    <w:rsid w:val="00B55DA7"/>
    <w:rsid w:val="00B56A3A"/>
    <w:rsid w:val="00B56F6B"/>
    <w:rsid w:val="00B57D30"/>
    <w:rsid w:val="00B601B0"/>
    <w:rsid w:val="00B60382"/>
    <w:rsid w:val="00B6040C"/>
    <w:rsid w:val="00B60428"/>
    <w:rsid w:val="00B6072F"/>
    <w:rsid w:val="00B60AE7"/>
    <w:rsid w:val="00B60B57"/>
    <w:rsid w:val="00B60DE5"/>
    <w:rsid w:val="00B611A5"/>
    <w:rsid w:val="00B612B8"/>
    <w:rsid w:val="00B61308"/>
    <w:rsid w:val="00B618B9"/>
    <w:rsid w:val="00B619E6"/>
    <w:rsid w:val="00B6224D"/>
    <w:rsid w:val="00B62C50"/>
    <w:rsid w:val="00B62D4E"/>
    <w:rsid w:val="00B62FA6"/>
    <w:rsid w:val="00B63446"/>
    <w:rsid w:val="00B63995"/>
    <w:rsid w:val="00B641B6"/>
    <w:rsid w:val="00B6441F"/>
    <w:rsid w:val="00B6510E"/>
    <w:rsid w:val="00B65521"/>
    <w:rsid w:val="00B6571B"/>
    <w:rsid w:val="00B65B9E"/>
    <w:rsid w:val="00B65D62"/>
    <w:rsid w:val="00B666A4"/>
    <w:rsid w:val="00B666F9"/>
    <w:rsid w:val="00B66D51"/>
    <w:rsid w:val="00B67524"/>
    <w:rsid w:val="00B70099"/>
    <w:rsid w:val="00B71902"/>
    <w:rsid w:val="00B7269F"/>
    <w:rsid w:val="00B74126"/>
    <w:rsid w:val="00B74B3C"/>
    <w:rsid w:val="00B74DD0"/>
    <w:rsid w:val="00B7545E"/>
    <w:rsid w:val="00B757DE"/>
    <w:rsid w:val="00B758A2"/>
    <w:rsid w:val="00B75A75"/>
    <w:rsid w:val="00B75BEB"/>
    <w:rsid w:val="00B75C0B"/>
    <w:rsid w:val="00B75DE1"/>
    <w:rsid w:val="00B76001"/>
    <w:rsid w:val="00B77295"/>
    <w:rsid w:val="00B776C1"/>
    <w:rsid w:val="00B77B37"/>
    <w:rsid w:val="00B77B55"/>
    <w:rsid w:val="00B77BFB"/>
    <w:rsid w:val="00B8008E"/>
    <w:rsid w:val="00B816E3"/>
    <w:rsid w:val="00B81D87"/>
    <w:rsid w:val="00B82015"/>
    <w:rsid w:val="00B85771"/>
    <w:rsid w:val="00B85A89"/>
    <w:rsid w:val="00B85E69"/>
    <w:rsid w:val="00B86736"/>
    <w:rsid w:val="00B86CC9"/>
    <w:rsid w:val="00B86E6E"/>
    <w:rsid w:val="00B87814"/>
    <w:rsid w:val="00B8794D"/>
    <w:rsid w:val="00B907D0"/>
    <w:rsid w:val="00B90B8D"/>
    <w:rsid w:val="00B91A08"/>
    <w:rsid w:val="00B92AF9"/>
    <w:rsid w:val="00B93497"/>
    <w:rsid w:val="00B93F64"/>
    <w:rsid w:val="00B94264"/>
    <w:rsid w:val="00B9449F"/>
    <w:rsid w:val="00B9478B"/>
    <w:rsid w:val="00B9480D"/>
    <w:rsid w:val="00B9565D"/>
    <w:rsid w:val="00B95B5F"/>
    <w:rsid w:val="00B96498"/>
    <w:rsid w:val="00B96B8C"/>
    <w:rsid w:val="00B97C73"/>
    <w:rsid w:val="00BA01E3"/>
    <w:rsid w:val="00BA0560"/>
    <w:rsid w:val="00BA1828"/>
    <w:rsid w:val="00BA1AFC"/>
    <w:rsid w:val="00BA1BF9"/>
    <w:rsid w:val="00BA2267"/>
    <w:rsid w:val="00BA2405"/>
    <w:rsid w:val="00BA2BA1"/>
    <w:rsid w:val="00BA2BA2"/>
    <w:rsid w:val="00BA2D48"/>
    <w:rsid w:val="00BA3DBD"/>
    <w:rsid w:val="00BA425F"/>
    <w:rsid w:val="00BA43AB"/>
    <w:rsid w:val="00BA4C75"/>
    <w:rsid w:val="00BA4D56"/>
    <w:rsid w:val="00BA4E68"/>
    <w:rsid w:val="00BA4F72"/>
    <w:rsid w:val="00BA537B"/>
    <w:rsid w:val="00BA58E9"/>
    <w:rsid w:val="00BA5BB8"/>
    <w:rsid w:val="00BA5BE8"/>
    <w:rsid w:val="00BA60EE"/>
    <w:rsid w:val="00BA64E9"/>
    <w:rsid w:val="00BA6CA6"/>
    <w:rsid w:val="00BA6DF4"/>
    <w:rsid w:val="00BA6EF2"/>
    <w:rsid w:val="00BA74E4"/>
    <w:rsid w:val="00BA75A4"/>
    <w:rsid w:val="00BB0581"/>
    <w:rsid w:val="00BB104E"/>
    <w:rsid w:val="00BB19A1"/>
    <w:rsid w:val="00BB3255"/>
    <w:rsid w:val="00BB34F4"/>
    <w:rsid w:val="00BB3D75"/>
    <w:rsid w:val="00BB3EF3"/>
    <w:rsid w:val="00BB44C4"/>
    <w:rsid w:val="00BB4D05"/>
    <w:rsid w:val="00BB5836"/>
    <w:rsid w:val="00BB5D52"/>
    <w:rsid w:val="00BB5D7B"/>
    <w:rsid w:val="00BB5E0D"/>
    <w:rsid w:val="00BB65FD"/>
    <w:rsid w:val="00BB68C3"/>
    <w:rsid w:val="00BB6FD8"/>
    <w:rsid w:val="00BB7376"/>
    <w:rsid w:val="00BB75F5"/>
    <w:rsid w:val="00BC03F5"/>
    <w:rsid w:val="00BC0FCF"/>
    <w:rsid w:val="00BC11E6"/>
    <w:rsid w:val="00BC19AA"/>
    <w:rsid w:val="00BC1D49"/>
    <w:rsid w:val="00BC2046"/>
    <w:rsid w:val="00BC33B0"/>
    <w:rsid w:val="00BC3681"/>
    <w:rsid w:val="00BC3B82"/>
    <w:rsid w:val="00BC3FED"/>
    <w:rsid w:val="00BC41BE"/>
    <w:rsid w:val="00BC43D8"/>
    <w:rsid w:val="00BC451D"/>
    <w:rsid w:val="00BC49B0"/>
    <w:rsid w:val="00BC49D6"/>
    <w:rsid w:val="00BC5A8C"/>
    <w:rsid w:val="00BC5EEB"/>
    <w:rsid w:val="00BC610D"/>
    <w:rsid w:val="00BC6EE8"/>
    <w:rsid w:val="00BC78DB"/>
    <w:rsid w:val="00BC7BC1"/>
    <w:rsid w:val="00BC7EA2"/>
    <w:rsid w:val="00BD0050"/>
    <w:rsid w:val="00BD0167"/>
    <w:rsid w:val="00BD0A02"/>
    <w:rsid w:val="00BD0DBF"/>
    <w:rsid w:val="00BD19D0"/>
    <w:rsid w:val="00BD1AA2"/>
    <w:rsid w:val="00BD506B"/>
    <w:rsid w:val="00BD51D1"/>
    <w:rsid w:val="00BD59F1"/>
    <w:rsid w:val="00BD5CA5"/>
    <w:rsid w:val="00BD6260"/>
    <w:rsid w:val="00BD7578"/>
    <w:rsid w:val="00BE0821"/>
    <w:rsid w:val="00BE1689"/>
    <w:rsid w:val="00BE1A55"/>
    <w:rsid w:val="00BE207E"/>
    <w:rsid w:val="00BE2677"/>
    <w:rsid w:val="00BE2D6C"/>
    <w:rsid w:val="00BE30FD"/>
    <w:rsid w:val="00BE37D1"/>
    <w:rsid w:val="00BE4021"/>
    <w:rsid w:val="00BE40C3"/>
    <w:rsid w:val="00BE457F"/>
    <w:rsid w:val="00BE4F53"/>
    <w:rsid w:val="00BE5668"/>
    <w:rsid w:val="00BE5862"/>
    <w:rsid w:val="00BE59A0"/>
    <w:rsid w:val="00BE5BFA"/>
    <w:rsid w:val="00BE5CBC"/>
    <w:rsid w:val="00BE66A5"/>
    <w:rsid w:val="00BE77CC"/>
    <w:rsid w:val="00BF00FE"/>
    <w:rsid w:val="00BF02BA"/>
    <w:rsid w:val="00BF03B9"/>
    <w:rsid w:val="00BF03F6"/>
    <w:rsid w:val="00BF089A"/>
    <w:rsid w:val="00BF099C"/>
    <w:rsid w:val="00BF1639"/>
    <w:rsid w:val="00BF19BF"/>
    <w:rsid w:val="00BF1DC2"/>
    <w:rsid w:val="00BF220E"/>
    <w:rsid w:val="00BF2659"/>
    <w:rsid w:val="00BF26DB"/>
    <w:rsid w:val="00BF28FB"/>
    <w:rsid w:val="00BF3C5A"/>
    <w:rsid w:val="00BF592A"/>
    <w:rsid w:val="00BF5ECE"/>
    <w:rsid w:val="00BF5F18"/>
    <w:rsid w:val="00BF60E4"/>
    <w:rsid w:val="00BF6253"/>
    <w:rsid w:val="00BF656C"/>
    <w:rsid w:val="00BF6F7E"/>
    <w:rsid w:val="00C00291"/>
    <w:rsid w:val="00C0148D"/>
    <w:rsid w:val="00C01A76"/>
    <w:rsid w:val="00C01C39"/>
    <w:rsid w:val="00C0216C"/>
    <w:rsid w:val="00C03F74"/>
    <w:rsid w:val="00C04375"/>
    <w:rsid w:val="00C04391"/>
    <w:rsid w:val="00C04612"/>
    <w:rsid w:val="00C04A87"/>
    <w:rsid w:val="00C0525D"/>
    <w:rsid w:val="00C056E1"/>
    <w:rsid w:val="00C05A16"/>
    <w:rsid w:val="00C05A88"/>
    <w:rsid w:val="00C05A94"/>
    <w:rsid w:val="00C06A10"/>
    <w:rsid w:val="00C06B8F"/>
    <w:rsid w:val="00C07848"/>
    <w:rsid w:val="00C07E42"/>
    <w:rsid w:val="00C1055D"/>
    <w:rsid w:val="00C1194F"/>
    <w:rsid w:val="00C11B25"/>
    <w:rsid w:val="00C12F7E"/>
    <w:rsid w:val="00C1349F"/>
    <w:rsid w:val="00C13BE8"/>
    <w:rsid w:val="00C14086"/>
    <w:rsid w:val="00C1424A"/>
    <w:rsid w:val="00C14424"/>
    <w:rsid w:val="00C145A3"/>
    <w:rsid w:val="00C1477E"/>
    <w:rsid w:val="00C14DDC"/>
    <w:rsid w:val="00C14E4D"/>
    <w:rsid w:val="00C1523A"/>
    <w:rsid w:val="00C15C8A"/>
    <w:rsid w:val="00C15F68"/>
    <w:rsid w:val="00C163C1"/>
    <w:rsid w:val="00C16556"/>
    <w:rsid w:val="00C168A6"/>
    <w:rsid w:val="00C16C16"/>
    <w:rsid w:val="00C17260"/>
    <w:rsid w:val="00C179D5"/>
    <w:rsid w:val="00C20B13"/>
    <w:rsid w:val="00C21143"/>
    <w:rsid w:val="00C21D91"/>
    <w:rsid w:val="00C21DD8"/>
    <w:rsid w:val="00C228AE"/>
    <w:rsid w:val="00C230C5"/>
    <w:rsid w:val="00C23756"/>
    <w:rsid w:val="00C23DA1"/>
    <w:rsid w:val="00C23E72"/>
    <w:rsid w:val="00C23EBE"/>
    <w:rsid w:val="00C24514"/>
    <w:rsid w:val="00C25714"/>
    <w:rsid w:val="00C258BC"/>
    <w:rsid w:val="00C25AEB"/>
    <w:rsid w:val="00C25FB7"/>
    <w:rsid w:val="00C262C7"/>
    <w:rsid w:val="00C264A3"/>
    <w:rsid w:val="00C26972"/>
    <w:rsid w:val="00C26A05"/>
    <w:rsid w:val="00C26FDA"/>
    <w:rsid w:val="00C30D57"/>
    <w:rsid w:val="00C30FC7"/>
    <w:rsid w:val="00C31046"/>
    <w:rsid w:val="00C31158"/>
    <w:rsid w:val="00C3279A"/>
    <w:rsid w:val="00C327FF"/>
    <w:rsid w:val="00C3324E"/>
    <w:rsid w:val="00C3347F"/>
    <w:rsid w:val="00C33622"/>
    <w:rsid w:val="00C33BE2"/>
    <w:rsid w:val="00C34536"/>
    <w:rsid w:val="00C34553"/>
    <w:rsid w:val="00C34E43"/>
    <w:rsid w:val="00C350AD"/>
    <w:rsid w:val="00C35B54"/>
    <w:rsid w:val="00C3652B"/>
    <w:rsid w:val="00C40866"/>
    <w:rsid w:val="00C408DB"/>
    <w:rsid w:val="00C40BFB"/>
    <w:rsid w:val="00C411F2"/>
    <w:rsid w:val="00C42E83"/>
    <w:rsid w:val="00C44B71"/>
    <w:rsid w:val="00C44E3E"/>
    <w:rsid w:val="00C451E5"/>
    <w:rsid w:val="00C45F99"/>
    <w:rsid w:val="00C46CC8"/>
    <w:rsid w:val="00C47C95"/>
    <w:rsid w:val="00C47EF4"/>
    <w:rsid w:val="00C47F26"/>
    <w:rsid w:val="00C506D2"/>
    <w:rsid w:val="00C50CFA"/>
    <w:rsid w:val="00C51222"/>
    <w:rsid w:val="00C51919"/>
    <w:rsid w:val="00C51C28"/>
    <w:rsid w:val="00C51E4A"/>
    <w:rsid w:val="00C520BB"/>
    <w:rsid w:val="00C5297C"/>
    <w:rsid w:val="00C53626"/>
    <w:rsid w:val="00C53EA2"/>
    <w:rsid w:val="00C560BD"/>
    <w:rsid w:val="00C56AC2"/>
    <w:rsid w:val="00C56C19"/>
    <w:rsid w:val="00C56C51"/>
    <w:rsid w:val="00C57863"/>
    <w:rsid w:val="00C603DD"/>
    <w:rsid w:val="00C6081F"/>
    <w:rsid w:val="00C625BD"/>
    <w:rsid w:val="00C633D4"/>
    <w:rsid w:val="00C64A6B"/>
    <w:rsid w:val="00C6511B"/>
    <w:rsid w:val="00C65623"/>
    <w:rsid w:val="00C6602C"/>
    <w:rsid w:val="00C663AD"/>
    <w:rsid w:val="00C67BBC"/>
    <w:rsid w:val="00C67D45"/>
    <w:rsid w:val="00C67E31"/>
    <w:rsid w:val="00C7026D"/>
    <w:rsid w:val="00C7045F"/>
    <w:rsid w:val="00C70491"/>
    <w:rsid w:val="00C70646"/>
    <w:rsid w:val="00C71F94"/>
    <w:rsid w:val="00C7263C"/>
    <w:rsid w:val="00C7279B"/>
    <w:rsid w:val="00C734CF"/>
    <w:rsid w:val="00C73E90"/>
    <w:rsid w:val="00C747D9"/>
    <w:rsid w:val="00C74A82"/>
    <w:rsid w:val="00C74AD8"/>
    <w:rsid w:val="00C74B93"/>
    <w:rsid w:val="00C74C4F"/>
    <w:rsid w:val="00C751D6"/>
    <w:rsid w:val="00C75D94"/>
    <w:rsid w:val="00C766E2"/>
    <w:rsid w:val="00C76918"/>
    <w:rsid w:val="00C770C8"/>
    <w:rsid w:val="00C77281"/>
    <w:rsid w:val="00C77E5F"/>
    <w:rsid w:val="00C80237"/>
    <w:rsid w:val="00C802B6"/>
    <w:rsid w:val="00C809C8"/>
    <w:rsid w:val="00C80CB0"/>
    <w:rsid w:val="00C81F18"/>
    <w:rsid w:val="00C82E31"/>
    <w:rsid w:val="00C8390E"/>
    <w:rsid w:val="00C8424A"/>
    <w:rsid w:val="00C84530"/>
    <w:rsid w:val="00C849AF"/>
    <w:rsid w:val="00C84AF5"/>
    <w:rsid w:val="00C8597B"/>
    <w:rsid w:val="00C85A4D"/>
    <w:rsid w:val="00C85D35"/>
    <w:rsid w:val="00C863F7"/>
    <w:rsid w:val="00C8715E"/>
    <w:rsid w:val="00C87417"/>
    <w:rsid w:val="00C87BE4"/>
    <w:rsid w:val="00C900D1"/>
    <w:rsid w:val="00C915DB"/>
    <w:rsid w:val="00C92BFA"/>
    <w:rsid w:val="00C92EF1"/>
    <w:rsid w:val="00C933D7"/>
    <w:rsid w:val="00C934D1"/>
    <w:rsid w:val="00C93CD7"/>
    <w:rsid w:val="00C93FEA"/>
    <w:rsid w:val="00C943C5"/>
    <w:rsid w:val="00C9481B"/>
    <w:rsid w:val="00C95482"/>
    <w:rsid w:val="00C95AF8"/>
    <w:rsid w:val="00C95E0D"/>
    <w:rsid w:val="00C95E49"/>
    <w:rsid w:val="00C95EB8"/>
    <w:rsid w:val="00C95EF4"/>
    <w:rsid w:val="00C9679F"/>
    <w:rsid w:val="00C97057"/>
    <w:rsid w:val="00C97190"/>
    <w:rsid w:val="00C97294"/>
    <w:rsid w:val="00C97561"/>
    <w:rsid w:val="00C9788B"/>
    <w:rsid w:val="00C97B6B"/>
    <w:rsid w:val="00C97F5F"/>
    <w:rsid w:val="00CA00D4"/>
    <w:rsid w:val="00CA061B"/>
    <w:rsid w:val="00CA0737"/>
    <w:rsid w:val="00CA0802"/>
    <w:rsid w:val="00CA11F7"/>
    <w:rsid w:val="00CA141D"/>
    <w:rsid w:val="00CA14CD"/>
    <w:rsid w:val="00CA1DD6"/>
    <w:rsid w:val="00CA2CF0"/>
    <w:rsid w:val="00CA3ACF"/>
    <w:rsid w:val="00CA41C0"/>
    <w:rsid w:val="00CA4B8D"/>
    <w:rsid w:val="00CA4DC6"/>
    <w:rsid w:val="00CA538E"/>
    <w:rsid w:val="00CA6027"/>
    <w:rsid w:val="00CA7525"/>
    <w:rsid w:val="00CA7770"/>
    <w:rsid w:val="00CA790D"/>
    <w:rsid w:val="00CB12CA"/>
    <w:rsid w:val="00CB2490"/>
    <w:rsid w:val="00CB33DD"/>
    <w:rsid w:val="00CB378B"/>
    <w:rsid w:val="00CB3A53"/>
    <w:rsid w:val="00CB4766"/>
    <w:rsid w:val="00CB514C"/>
    <w:rsid w:val="00CB53B4"/>
    <w:rsid w:val="00CB58E7"/>
    <w:rsid w:val="00CB5C24"/>
    <w:rsid w:val="00CB6608"/>
    <w:rsid w:val="00CB6BB7"/>
    <w:rsid w:val="00CB7B3E"/>
    <w:rsid w:val="00CC0854"/>
    <w:rsid w:val="00CC13B1"/>
    <w:rsid w:val="00CC2F5A"/>
    <w:rsid w:val="00CC2FE8"/>
    <w:rsid w:val="00CC31D6"/>
    <w:rsid w:val="00CC32F2"/>
    <w:rsid w:val="00CC4BB9"/>
    <w:rsid w:val="00CC4DE4"/>
    <w:rsid w:val="00CC6883"/>
    <w:rsid w:val="00CC7C5A"/>
    <w:rsid w:val="00CC7D8B"/>
    <w:rsid w:val="00CD087B"/>
    <w:rsid w:val="00CD22B9"/>
    <w:rsid w:val="00CD2558"/>
    <w:rsid w:val="00CD2B2B"/>
    <w:rsid w:val="00CD3DF0"/>
    <w:rsid w:val="00CD3FA2"/>
    <w:rsid w:val="00CD404E"/>
    <w:rsid w:val="00CD4192"/>
    <w:rsid w:val="00CD4536"/>
    <w:rsid w:val="00CD4B07"/>
    <w:rsid w:val="00CD52EB"/>
    <w:rsid w:val="00CD5841"/>
    <w:rsid w:val="00CD585D"/>
    <w:rsid w:val="00CD5AAF"/>
    <w:rsid w:val="00CD651E"/>
    <w:rsid w:val="00CD6963"/>
    <w:rsid w:val="00CD6AC5"/>
    <w:rsid w:val="00CE0541"/>
    <w:rsid w:val="00CE1127"/>
    <w:rsid w:val="00CE131C"/>
    <w:rsid w:val="00CE14A0"/>
    <w:rsid w:val="00CE155D"/>
    <w:rsid w:val="00CE2216"/>
    <w:rsid w:val="00CE251A"/>
    <w:rsid w:val="00CE3696"/>
    <w:rsid w:val="00CE393D"/>
    <w:rsid w:val="00CE4593"/>
    <w:rsid w:val="00CE465C"/>
    <w:rsid w:val="00CE48A2"/>
    <w:rsid w:val="00CE49A0"/>
    <w:rsid w:val="00CE4DAB"/>
    <w:rsid w:val="00CE58E9"/>
    <w:rsid w:val="00CE5A6C"/>
    <w:rsid w:val="00CE629A"/>
    <w:rsid w:val="00CE7468"/>
    <w:rsid w:val="00CE7597"/>
    <w:rsid w:val="00CE77A6"/>
    <w:rsid w:val="00CE7A3A"/>
    <w:rsid w:val="00CE7CF0"/>
    <w:rsid w:val="00CF0565"/>
    <w:rsid w:val="00CF06EA"/>
    <w:rsid w:val="00CF0919"/>
    <w:rsid w:val="00CF0A07"/>
    <w:rsid w:val="00CF13AF"/>
    <w:rsid w:val="00CF160F"/>
    <w:rsid w:val="00CF217F"/>
    <w:rsid w:val="00CF276F"/>
    <w:rsid w:val="00CF2802"/>
    <w:rsid w:val="00CF2A35"/>
    <w:rsid w:val="00CF2B8A"/>
    <w:rsid w:val="00CF3168"/>
    <w:rsid w:val="00CF38B9"/>
    <w:rsid w:val="00CF424E"/>
    <w:rsid w:val="00CF47C6"/>
    <w:rsid w:val="00CF4A4B"/>
    <w:rsid w:val="00CF6187"/>
    <w:rsid w:val="00CF63C0"/>
    <w:rsid w:val="00CF682F"/>
    <w:rsid w:val="00CF6A2C"/>
    <w:rsid w:val="00CF6E2D"/>
    <w:rsid w:val="00CF741E"/>
    <w:rsid w:val="00CF7BE8"/>
    <w:rsid w:val="00CF7DC6"/>
    <w:rsid w:val="00D0045E"/>
    <w:rsid w:val="00D00BB8"/>
    <w:rsid w:val="00D00BC5"/>
    <w:rsid w:val="00D015FC"/>
    <w:rsid w:val="00D02073"/>
    <w:rsid w:val="00D027F5"/>
    <w:rsid w:val="00D02A6D"/>
    <w:rsid w:val="00D02C13"/>
    <w:rsid w:val="00D040F1"/>
    <w:rsid w:val="00D04A4D"/>
    <w:rsid w:val="00D059AA"/>
    <w:rsid w:val="00D05ADD"/>
    <w:rsid w:val="00D05D3A"/>
    <w:rsid w:val="00D06D57"/>
    <w:rsid w:val="00D06F6C"/>
    <w:rsid w:val="00D101AF"/>
    <w:rsid w:val="00D103E8"/>
    <w:rsid w:val="00D10AFF"/>
    <w:rsid w:val="00D10CA7"/>
    <w:rsid w:val="00D11134"/>
    <w:rsid w:val="00D1148C"/>
    <w:rsid w:val="00D11725"/>
    <w:rsid w:val="00D11B5C"/>
    <w:rsid w:val="00D11B9C"/>
    <w:rsid w:val="00D12117"/>
    <w:rsid w:val="00D1227A"/>
    <w:rsid w:val="00D12A3C"/>
    <w:rsid w:val="00D13C63"/>
    <w:rsid w:val="00D13E38"/>
    <w:rsid w:val="00D14FD1"/>
    <w:rsid w:val="00D155B7"/>
    <w:rsid w:val="00D15801"/>
    <w:rsid w:val="00D169AC"/>
    <w:rsid w:val="00D16F81"/>
    <w:rsid w:val="00D177F8"/>
    <w:rsid w:val="00D17841"/>
    <w:rsid w:val="00D17884"/>
    <w:rsid w:val="00D17BBC"/>
    <w:rsid w:val="00D20095"/>
    <w:rsid w:val="00D203D3"/>
    <w:rsid w:val="00D207B5"/>
    <w:rsid w:val="00D20FCF"/>
    <w:rsid w:val="00D210EE"/>
    <w:rsid w:val="00D212A7"/>
    <w:rsid w:val="00D22237"/>
    <w:rsid w:val="00D2266D"/>
    <w:rsid w:val="00D22A0D"/>
    <w:rsid w:val="00D23009"/>
    <w:rsid w:val="00D238B0"/>
    <w:rsid w:val="00D23C94"/>
    <w:rsid w:val="00D23D47"/>
    <w:rsid w:val="00D2410A"/>
    <w:rsid w:val="00D2448C"/>
    <w:rsid w:val="00D24503"/>
    <w:rsid w:val="00D24611"/>
    <w:rsid w:val="00D26473"/>
    <w:rsid w:val="00D2761B"/>
    <w:rsid w:val="00D30CDB"/>
    <w:rsid w:val="00D30F90"/>
    <w:rsid w:val="00D31596"/>
    <w:rsid w:val="00D31CAB"/>
    <w:rsid w:val="00D31EC1"/>
    <w:rsid w:val="00D324DF"/>
    <w:rsid w:val="00D329C4"/>
    <w:rsid w:val="00D32AF1"/>
    <w:rsid w:val="00D32C40"/>
    <w:rsid w:val="00D32CA4"/>
    <w:rsid w:val="00D330C5"/>
    <w:rsid w:val="00D335A4"/>
    <w:rsid w:val="00D338B9"/>
    <w:rsid w:val="00D339FA"/>
    <w:rsid w:val="00D34E82"/>
    <w:rsid w:val="00D34FD7"/>
    <w:rsid w:val="00D3517D"/>
    <w:rsid w:val="00D351C2"/>
    <w:rsid w:val="00D351FD"/>
    <w:rsid w:val="00D366AF"/>
    <w:rsid w:val="00D36768"/>
    <w:rsid w:val="00D371F5"/>
    <w:rsid w:val="00D371FF"/>
    <w:rsid w:val="00D37747"/>
    <w:rsid w:val="00D40086"/>
    <w:rsid w:val="00D4048F"/>
    <w:rsid w:val="00D4172C"/>
    <w:rsid w:val="00D420EE"/>
    <w:rsid w:val="00D422D4"/>
    <w:rsid w:val="00D42403"/>
    <w:rsid w:val="00D4413D"/>
    <w:rsid w:val="00D442B7"/>
    <w:rsid w:val="00D4478E"/>
    <w:rsid w:val="00D44848"/>
    <w:rsid w:val="00D44D2D"/>
    <w:rsid w:val="00D47295"/>
    <w:rsid w:val="00D473E6"/>
    <w:rsid w:val="00D501BA"/>
    <w:rsid w:val="00D50235"/>
    <w:rsid w:val="00D506F2"/>
    <w:rsid w:val="00D509AF"/>
    <w:rsid w:val="00D52E3F"/>
    <w:rsid w:val="00D5361C"/>
    <w:rsid w:val="00D53AE0"/>
    <w:rsid w:val="00D53B2D"/>
    <w:rsid w:val="00D53D74"/>
    <w:rsid w:val="00D54EC6"/>
    <w:rsid w:val="00D552C3"/>
    <w:rsid w:val="00D55C7D"/>
    <w:rsid w:val="00D56397"/>
    <w:rsid w:val="00D56958"/>
    <w:rsid w:val="00D56FAD"/>
    <w:rsid w:val="00D5749E"/>
    <w:rsid w:val="00D60A2A"/>
    <w:rsid w:val="00D6225E"/>
    <w:rsid w:val="00D62D7B"/>
    <w:rsid w:val="00D62E89"/>
    <w:rsid w:val="00D630D8"/>
    <w:rsid w:val="00D633F0"/>
    <w:rsid w:val="00D63BEB"/>
    <w:rsid w:val="00D641CA"/>
    <w:rsid w:val="00D64E5F"/>
    <w:rsid w:val="00D67092"/>
    <w:rsid w:val="00D703FD"/>
    <w:rsid w:val="00D70415"/>
    <w:rsid w:val="00D70E9C"/>
    <w:rsid w:val="00D70E9E"/>
    <w:rsid w:val="00D7147F"/>
    <w:rsid w:val="00D71548"/>
    <w:rsid w:val="00D725DB"/>
    <w:rsid w:val="00D7299F"/>
    <w:rsid w:val="00D73448"/>
    <w:rsid w:val="00D73839"/>
    <w:rsid w:val="00D73EFA"/>
    <w:rsid w:val="00D7418E"/>
    <w:rsid w:val="00D74C1E"/>
    <w:rsid w:val="00D75653"/>
    <w:rsid w:val="00D75A55"/>
    <w:rsid w:val="00D76762"/>
    <w:rsid w:val="00D76DFA"/>
    <w:rsid w:val="00D76FB9"/>
    <w:rsid w:val="00D771A9"/>
    <w:rsid w:val="00D779AA"/>
    <w:rsid w:val="00D77C9E"/>
    <w:rsid w:val="00D77CA2"/>
    <w:rsid w:val="00D808E3"/>
    <w:rsid w:val="00D809D6"/>
    <w:rsid w:val="00D80CED"/>
    <w:rsid w:val="00D80EA1"/>
    <w:rsid w:val="00D81BFA"/>
    <w:rsid w:val="00D81FA7"/>
    <w:rsid w:val="00D82ACB"/>
    <w:rsid w:val="00D82BBA"/>
    <w:rsid w:val="00D82DF6"/>
    <w:rsid w:val="00D839E2"/>
    <w:rsid w:val="00D83C35"/>
    <w:rsid w:val="00D83D26"/>
    <w:rsid w:val="00D83ED4"/>
    <w:rsid w:val="00D84C60"/>
    <w:rsid w:val="00D84E28"/>
    <w:rsid w:val="00D86D22"/>
    <w:rsid w:val="00D8719E"/>
    <w:rsid w:val="00D8736E"/>
    <w:rsid w:val="00D90F2E"/>
    <w:rsid w:val="00D91D6E"/>
    <w:rsid w:val="00D92143"/>
    <w:rsid w:val="00D9295B"/>
    <w:rsid w:val="00D92DBC"/>
    <w:rsid w:val="00D9319E"/>
    <w:rsid w:val="00D939DA"/>
    <w:rsid w:val="00D944BE"/>
    <w:rsid w:val="00D94ACC"/>
    <w:rsid w:val="00D95372"/>
    <w:rsid w:val="00D9555F"/>
    <w:rsid w:val="00D960CD"/>
    <w:rsid w:val="00D97709"/>
    <w:rsid w:val="00D97C57"/>
    <w:rsid w:val="00DA02E6"/>
    <w:rsid w:val="00DA077F"/>
    <w:rsid w:val="00DA1067"/>
    <w:rsid w:val="00DA1C08"/>
    <w:rsid w:val="00DA22B2"/>
    <w:rsid w:val="00DA3F68"/>
    <w:rsid w:val="00DA3FCB"/>
    <w:rsid w:val="00DA40C5"/>
    <w:rsid w:val="00DA47A1"/>
    <w:rsid w:val="00DA50D4"/>
    <w:rsid w:val="00DA5187"/>
    <w:rsid w:val="00DA52D7"/>
    <w:rsid w:val="00DA5721"/>
    <w:rsid w:val="00DA595B"/>
    <w:rsid w:val="00DA5B67"/>
    <w:rsid w:val="00DA5FD5"/>
    <w:rsid w:val="00DA600D"/>
    <w:rsid w:val="00DA61A6"/>
    <w:rsid w:val="00DA627A"/>
    <w:rsid w:val="00DA6925"/>
    <w:rsid w:val="00DA6FB0"/>
    <w:rsid w:val="00DA7364"/>
    <w:rsid w:val="00DB0055"/>
    <w:rsid w:val="00DB0345"/>
    <w:rsid w:val="00DB1789"/>
    <w:rsid w:val="00DB2B9F"/>
    <w:rsid w:val="00DB2DA8"/>
    <w:rsid w:val="00DB2EE5"/>
    <w:rsid w:val="00DB2F14"/>
    <w:rsid w:val="00DB3373"/>
    <w:rsid w:val="00DB34D4"/>
    <w:rsid w:val="00DB4025"/>
    <w:rsid w:val="00DB4108"/>
    <w:rsid w:val="00DB4127"/>
    <w:rsid w:val="00DB4EF5"/>
    <w:rsid w:val="00DB55B1"/>
    <w:rsid w:val="00DB56CE"/>
    <w:rsid w:val="00DB5B6D"/>
    <w:rsid w:val="00DB69EB"/>
    <w:rsid w:val="00DB702C"/>
    <w:rsid w:val="00DB7045"/>
    <w:rsid w:val="00DB71C7"/>
    <w:rsid w:val="00DB7F5C"/>
    <w:rsid w:val="00DC176D"/>
    <w:rsid w:val="00DC1B85"/>
    <w:rsid w:val="00DC1C46"/>
    <w:rsid w:val="00DC1D2D"/>
    <w:rsid w:val="00DC1F45"/>
    <w:rsid w:val="00DC294F"/>
    <w:rsid w:val="00DC2A82"/>
    <w:rsid w:val="00DC5108"/>
    <w:rsid w:val="00DC5A67"/>
    <w:rsid w:val="00DC6188"/>
    <w:rsid w:val="00DC6340"/>
    <w:rsid w:val="00DC6B7A"/>
    <w:rsid w:val="00DC6C0F"/>
    <w:rsid w:val="00DC6FC1"/>
    <w:rsid w:val="00DD01E9"/>
    <w:rsid w:val="00DD0CDE"/>
    <w:rsid w:val="00DD16C4"/>
    <w:rsid w:val="00DD18C0"/>
    <w:rsid w:val="00DD201A"/>
    <w:rsid w:val="00DD3325"/>
    <w:rsid w:val="00DD3B28"/>
    <w:rsid w:val="00DD3DA7"/>
    <w:rsid w:val="00DD4899"/>
    <w:rsid w:val="00DD5390"/>
    <w:rsid w:val="00DD5855"/>
    <w:rsid w:val="00DD61B0"/>
    <w:rsid w:val="00DD7A1D"/>
    <w:rsid w:val="00DE0D04"/>
    <w:rsid w:val="00DE0E37"/>
    <w:rsid w:val="00DE1F0A"/>
    <w:rsid w:val="00DE22F4"/>
    <w:rsid w:val="00DE23E9"/>
    <w:rsid w:val="00DE2408"/>
    <w:rsid w:val="00DE2420"/>
    <w:rsid w:val="00DE2E67"/>
    <w:rsid w:val="00DE3418"/>
    <w:rsid w:val="00DE36A7"/>
    <w:rsid w:val="00DE41F3"/>
    <w:rsid w:val="00DE4926"/>
    <w:rsid w:val="00DE4D89"/>
    <w:rsid w:val="00DE6CC4"/>
    <w:rsid w:val="00DE6DB0"/>
    <w:rsid w:val="00DE7199"/>
    <w:rsid w:val="00DE74B6"/>
    <w:rsid w:val="00DE7999"/>
    <w:rsid w:val="00DE7F0D"/>
    <w:rsid w:val="00DF00EF"/>
    <w:rsid w:val="00DF01AC"/>
    <w:rsid w:val="00DF031D"/>
    <w:rsid w:val="00DF093E"/>
    <w:rsid w:val="00DF0AE1"/>
    <w:rsid w:val="00DF159E"/>
    <w:rsid w:val="00DF27E0"/>
    <w:rsid w:val="00DF2B8D"/>
    <w:rsid w:val="00DF4622"/>
    <w:rsid w:val="00DF4EA3"/>
    <w:rsid w:val="00DF4EB5"/>
    <w:rsid w:val="00DF51EC"/>
    <w:rsid w:val="00DF5488"/>
    <w:rsid w:val="00DF5715"/>
    <w:rsid w:val="00DF6261"/>
    <w:rsid w:val="00DF62FC"/>
    <w:rsid w:val="00DF6D8A"/>
    <w:rsid w:val="00DF6DE1"/>
    <w:rsid w:val="00DF7B7D"/>
    <w:rsid w:val="00E00211"/>
    <w:rsid w:val="00E01353"/>
    <w:rsid w:val="00E01A61"/>
    <w:rsid w:val="00E02050"/>
    <w:rsid w:val="00E035F5"/>
    <w:rsid w:val="00E04708"/>
    <w:rsid w:val="00E047D4"/>
    <w:rsid w:val="00E047EF"/>
    <w:rsid w:val="00E04911"/>
    <w:rsid w:val="00E04C81"/>
    <w:rsid w:val="00E052D8"/>
    <w:rsid w:val="00E061C6"/>
    <w:rsid w:val="00E062A2"/>
    <w:rsid w:val="00E06401"/>
    <w:rsid w:val="00E07F5E"/>
    <w:rsid w:val="00E10196"/>
    <w:rsid w:val="00E10379"/>
    <w:rsid w:val="00E1037A"/>
    <w:rsid w:val="00E10C9B"/>
    <w:rsid w:val="00E10FFE"/>
    <w:rsid w:val="00E1102B"/>
    <w:rsid w:val="00E118A9"/>
    <w:rsid w:val="00E1193C"/>
    <w:rsid w:val="00E12160"/>
    <w:rsid w:val="00E128DC"/>
    <w:rsid w:val="00E133A6"/>
    <w:rsid w:val="00E136C0"/>
    <w:rsid w:val="00E13F4C"/>
    <w:rsid w:val="00E143FB"/>
    <w:rsid w:val="00E14961"/>
    <w:rsid w:val="00E1603B"/>
    <w:rsid w:val="00E1703A"/>
    <w:rsid w:val="00E2035A"/>
    <w:rsid w:val="00E204ED"/>
    <w:rsid w:val="00E207BA"/>
    <w:rsid w:val="00E2081F"/>
    <w:rsid w:val="00E20DEC"/>
    <w:rsid w:val="00E20EA4"/>
    <w:rsid w:val="00E21939"/>
    <w:rsid w:val="00E21982"/>
    <w:rsid w:val="00E225EE"/>
    <w:rsid w:val="00E22A21"/>
    <w:rsid w:val="00E2314D"/>
    <w:rsid w:val="00E23540"/>
    <w:rsid w:val="00E236F6"/>
    <w:rsid w:val="00E23B31"/>
    <w:rsid w:val="00E23FA4"/>
    <w:rsid w:val="00E2421B"/>
    <w:rsid w:val="00E245D7"/>
    <w:rsid w:val="00E26D38"/>
    <w:rsid w:val="00E319E1"/>
    <w:rsid w:val="00E321C8"/>
    <w:rsid w:val="00E32DCF"/>
    <w:rsid w:val="00E32FD0"/>
    <w:rsid w:val="00E3315F"/>
    <w:rsid w:val="00E33A5B"/>
    <w:rsid w:val="00E33BB2"/>
    <w:rsid w:val="00E34A9A"/>
    <w:rsid w:val="00E35A2E"/>
    <w:rsid w:val="00E35D74"/>
    <w:rsid w:val="00E36928"/>
    <w:rsid w:val="00E374E0"/>
    <w:rsid w:val="00E37CB5"/>
    <w:rsid w:val="00E37CBA"/>
    <w:rsid w:val="00E37FA4"/>
    <w:rsid w:val="00E403ED"/>
    <w:rsid w:val="00E40515"/>
    <w:rsid w:val="00E405A1"/>
    <w:rsid w:val="00E40700"/>
    <w:rsid w:val="00E4086B"/>
    <w:rsid w:val="00E4115E"/>
    <w:rsid w:val="00E41979"/>
    <w:rsid w:val="00E41AC7"/>
    <w:rsid w:val="00E41F1C"/>
    <w:rsid w:val="00E42AE8"/>
    <w:rsid w:val="00E43920"/>
    <w:rsid w:val="00E43EBD"/>
    <w:rsid w:val="00E440E7"/>
    <w:rsid w:val="00E4478C"/>
    <w:rsid w:val="00E450E2"/>
    <w:rsid w:val="00E45182"/>
    <w:rsid w:val="00E452FA"/>
    <w:rsid w:val="00E45701"/>
    <w:rsid w:val="00E46963"/>
    <w:rsid w:val="00E46BD0"/>
    <w:rsid w:val="00E47821"/>
    <w:rsid w:val="00E5012B"/>
    <w:rsid w:val="00E51674"/>
    <w:rsid w:val="00E52145"/>
    <w:rsid w:val="00E52F94"/>
    <w:rsid w:val="00E52FBA"/>
    <w:rsid w:val="00E5318B"/>
    <w:rsid w:val="00E534DB"/>
    <w:rsid w:val="00E53AF0"/>
    <w:rsid w:val="00E54200"/>
    <w:rsid w:val="00E5467D"/>
    <w:rsid w:val="00E54BF4"/>
    <w:rsid w:val="00E5519D"/>
    <w:rsid w:val="00E55672"/>
    <w:rsid w:val="00E55899"/>
    <w:rsid w:val="00E5755D"/>
    <w:rsid w:val="00E575A8"/>
    <w:rsid w:val="00E57A18"/>
    <w:rsid w:val="00E601A4"/>
    <w:rsid w:val="00E60A09"/>
    <w:rsid w:val="00E61829"/>
    <w:rsid w:val="00E62C72"/>
    <w:rsid w:val="00E62F3E"/>
    <w:rsid w:val="00E634A8"/>
    <w:rsid w:val="00E63AC7"/>
    <w:rsid w:val="00E63E7E"/>
    <w:rsid w:val="00E642D8"/>
    <w:rsid w:val="00E648BD"/>
    <w:rsid w:val="00E64CF8"/>
    <w:rsid w:val="00E64D7A"/>
    <w:rsid w:val="00E65469"/>
    <w:rsid w:val="00E65713"/>
    <w:rsid w:val="00E65FB3"/>
    <w:rsid w:val="00E676D0"/>
    <w:rsid w:val="00E7053F"/>
    <w:rsid w:val="00E70956"/>
    <w:rsid w:val="00E71269"/>
    <w:rsid w:val="00E7146E"/>
    <w:rsid w:val="00E71665"/>
    <w:rsid w:val="00E72486"/>
    <w:rsid w:val="00E72A38"/>
    <w:rsid w:val="00E72E0E"/>
    <w:rsid w:val="00E73331"/>
    <w:rsid w:val="00E73BF5"/>
    <w:rsid w:val="00E7444E"/>
    <w:rsid w:val="00E74910"/>
    <w:rsid w:val="00E74F8D"/>
    <w:rsid w:val="00E75B49"/>
    <w:rsid w:val="00E75CFD"/>
    <w:rsid w:val="00E75DC6"/>
    <w:rsid w:val="00E75E0E"/>
    <w:rsid w:val="00E76636"/>
    <w:rsid w:val="00E76CAA"/>
    <w:rsid w:val="00E76CE8"/>
    <w:rsid w:val="00E76D07"/>
    <w:rsid w:val="00E77656"/>
    <w:rsid w:val="00E80214"/>
    <w:rsid w:val="00E80232"/>
    <w:rsid w:val="00E80954"/>
    <w:rsid w:val="00E80A73"/>
    <w:rsid w:val="00E80F00"/>
    <w:rsid w:val="00E815D5"/>
    <w:rsid w:val="00E81A6E"/>
    <w:rsid w:val="00E81B65"/>
    <w:rsid w:val="00E822D8"/>
    <w:rsid w:val="00E82B90"/>
    <w:rsid w:val="00E832AC"/>
    <w:rsid w:val="00E83423"/>
    <w:rsid w:val="00E837FC"/>
    <w:rsid w:val="00E83D4A"/>
    <w:rsid w:val="00E85194"/>
    <w:rsid w:val="00E86281"/>
    <w:rsid w:val="00E863F0"/>
    <w:rsid w:val="00E86755"/>
    <w:rsid w:val="00E9026B"/>
    <w:rsid w:val="00E903E0"/>
    <w:rsid w:val="00E909C9"/>
    <w:rsid w:val="00E92108"/>
    <w:rsid w:val="00E92443"/>
    <w:rsid w:val="00E93431"/>
    <w:rsid w:val="00E93AC8"/>
    <w:rsid w:val="00E94396"/>
    <w:rsid w:val="00E943A4"/>
    <w:rsid w:val="00E946D0"/>
    <w:rsid w:val="00E95A40"/>
    <w:rsid w:val="00E96176"/>
    <w:rsid w:val="00E96EA6"/>
    <w:rsid w:val="00E97652"/>
    <w:rsid w:val="00EA0BC9"/>
    <w:rsid w:val="00EA101F"/>
    <w:rsid w:val="00EA1AF5"/>
    <w:rsid w:val="00EA24E0"/>
    <w:rsid w:val="00EA369F"/>
    <w:rsid w:val="00EA3C08"/>
    <w:rsid w:val="00EA3C80"/>
    <w:rsid w:val="00EA3D9C"/>
    <w:rsid w:val="00EA3DC9"/>
    <w:rsid w:val="00EA56AB"/>
    <w:rsid w:val="00EA56FE"/>
    <w:rsid w:val="00EA582E"/>
    <w:rsid w:val="00EA5987"/>
    <w:rsid w:val="00EA5F1B"/>
    <w:rsid w:val="00EA6186"/>
    <w:rsid w:val="00EA6AAC"/>
    <w:rsid w:val="00EA6B06"/>
    <w:rsid w:val="00EA6D35"/>
    <w:rsid w:val="00EA7652"/>
    <w:rsid w:val="00EA782F"/>
    <w:rsid w:val="00EA7A93"/>
    <w:rsid w:val="00EA7D26"/>
    <w:rsid w:val="00EB033A"/>
    <w:rsid w:val="00EB067A"/>
    <w:rsid w:val="00EB0840"/>
    <w:rsid w:val="00EB0F05"/>
    <w:rsid w:val="00EB23D9"/>
    <w:rsid w:val="00EB4404"/>
    <w:rsid w:val="00EB4A14"/>
    <w:rsid w:val="00EB4AB6"/>
    <w:rsid w:val="00EB4F21"/>
    <w:rsid w:val="00EB519D"/>
    <w:rsid w:val="00EB545F"/>
    <w:rsid w:val="00EB5BC0"/>
    <w:rsid w:val="00EB718B"/>
    <w:rsid w:val="00EB7620"/>
    <w:rsid w:val="00EB78CC"/>
    <w:rsid w:val="00EB7990"/>
    <w:rsid w:val="00EC04B9"/>
    <w:rsid w:val="00EC085E"/>
    <w:rsid w:val="00EC114D"/>
    <w:rsid w:val="00EC11B6"/>
    <w:rsid w:val="00EC1AE1"/>
    <w:rsid w:val="00EC1B0F"/>
    <w:rsid w:val="00EC2EBC"/>
    <w:rsid w:val="00EC415E"/>
    <w:rsid w:val="00EC4165"/>
    <w:rsid w:val="00EC4621"/>
    <w:rsid w:val="00EC4F2C"/>
    <w:rsid w:val="00EC5ECD"/>
    <w:rsid w:val="00EC6063"/>
    <w:rsid w:val="00EC64BF"/>
    <w:rsid w:val="00EC696B"/>
    <w:rsid w:val="00EC69FB"/>
    <w:rsid w:val="00EC738E"/>
    <w:rsid w:val="00ED0E78"/>
    <w:rsid w:val="00ED1415"/>
    <w:rsid w:val="00ED29A7"/>
    <w:rsid w:val="00ED31B7"/>
    <w:rsid w:val="00ED3703"/>
    <w:rsid w:val="00ED4DAB"/>
    <w:rsid w:val="00ED5485"/>
    <w:rsid w:val="00ED597C"/>
    <w:rsid w:val="00ED5B88"/>
    <w:rsid w:val="00ED642B"/>
    <w:rsid w:val="00ED644F"/>
    <w:rsid w:val="00ED6E88"/>
    <w:rsid w:val="00ED765B"/>
    <w:rsid w:val="00EE0723"/>
    <w:rsid w:val="00EE0827"/>
    <w:rsid w:val="00EE0B39"/>
    <w:rsid w:val="00EE0C96"/>
    <w:rsid w:val="00EE0DEA"/>
    <w:rsid w:val="00EE0E0C"/>
    <w:rsid w:val="00EE10D3"/>
    <w:rsid w:val="00EE17CD"/>
    <w:rsid w:val="00EE1C0C"/>
    <w:rsid w:val="00EE1D84"/>
    <w:rsid w:val="00EE23BB"/>
    <w:rsid w:val="00EE2C9E"/>
    <w:rsid w:val="00EE2CDB"/>
    <w:rsid w:val="00EE2F2B"/>
    <w:rsid w:val="00EE45BB"/>
    <w:rsid w:val="00EE74BB"/>
    <w:rsid w:val="00EE75C8"/>
    <w:rsid w:val="00EE7EDE"/>
    <w:rsid w:val="00EF015E"/>
    <w:rsid w:val="00EF0340"/>
    <w:rsid w:val="00EF1DBB"/>
    <w:rsid w:val="00EF2F6A"/>
    <w:rsid w:val="00EF4919"/>
    <w:rsid w:val="00EF4BCC"/>
    <w:rsid w:val="00EF584B"/>
    <w:rsid w:val="00EF5AF5"/>
    <w:rsid w:val="00EF6374"/>
    <w:rsid w:val="00EF693D"/>
    <w:rsid w:val="00EF6AC1"/>
    <w:rsid w:val="00EF6B00"/>
    <w:rsid w:val="00EF6CF8"/>
    <w:rsid w:val="00EF7594"/>
    <w:rsid w:val="00EF763E"/>
    <w:rsid w:val="00EF783F"/>
    <w:rsid w:val="00F00295"/>
    <w:rsid w:val="00F01672"/>
    <w:rsid w:val="00F01D36"/>
    <w:rsid w:val="00F02E69"/>
    <w:rsid w:val="00F02EB5"/>
    <w:rsid w:val="00F03420"/>
    <w:rsid w:val="00F03EA0"/>
    <w:rsid w:val="00F04148"/>
    <w:rsid w:val="00F04B10"/>
    <w:rsid w:val="00F06088"/>
    <w:rsid w:val="00F06285"/>
    <w:rsid w:val="00F06D9B"/>
    <w:rsid w:val="00F0716E"/>
    <w:rsid w:val="00F07293"/>
    <w:rsid w:val="00F07334"/>
    <w:rsid w:val="00F0739A"/>
    <w:rsid w:val="00F076D2"/>
    <w:rsid w:val="00F1062A"/>
    <w:rsid w:val="00F10C01"/>
    <w:rsid w:val="00F10C65"/>
    <w:rsid w:val="00F1120A"/>
    <w:rsid w:val="00F11CEA"/>
    <w:rsid w:val="00F120F3"/>
    <w:rsid w:val="00F1261E"/>
    <w:rsid w:val="00F12E8C"/>
    <w:rsid w:val="00F132D1"/>
    <w:rsid w:val="00F132D8"/>
    <w:rsid w:val="00F143F8"/>
    <w:rsid w:val="00F146CB"/>
    <w:rsid w:val="00F14AA9"/>
    <w:rsid w:val="00F14B98"/>
    <w:rsid w:val="00F14EDB"/>
    <w:rsid w:val="00F152C7"/>
    <w:rsid w:val="00F15942"/>
    <w:rsid w:val="00F15D95"/>
    <w:rsid w:val="00F15F52"/>
    <w:rsid w:val="00F20673"/>
    <w:rsid w:val="00F20E94"/>
    <w:rsid w:val="00F21602"/>
    <w:rsid w:val="00F217FB"/>
    <w:rsid w:val="00F21894"/>
    <w:rsid w:val="00F21AA7"/>
    <w:rsid w:val="00F221BD"/>
    <w:rsid w:val="00F22B9C"/>
    <w:rsid w:val="00F232ED"/>
    <w:rsid w:val="00F25660"/>
    <w:rsid w:val="00F25BB7"/>
    <w:rsid w:val="00F2683A"/>
    <w:rsid w:val="00F30E79"/>
    <w:rsid w:val="00F310BE"/>
    <w:rsid w:val="00F31107"/>
    <w:rsid w:val="00F31B4C"/>
    <w:rsid w:val="00F323E8"/>
    <w:rsid w:val="00F326A1"/>
    <w:rsid w:val="00F32862"/>
    <w:rsid w:val="00F32C05"/>
    <w:rsid w:val="00F33B06"/>
    <w:rsid w:val="00F3468C"/>
    <w:rsid w:val="00F35F6B"/>
    <w:rsid w:val="00F363FF"/>
    <w:rsid w:val="00F36456"/>
    <w:rsid w:val="00F36DDE"/>
    <w:rsid w:val="00F36EE5"/>
    <w:rsid w:val="00F37574"/>
    <w:rsid w:val="00F3761D"/>
    <w:rsid w:val="00F40069"/>
    <w:rsid w:val="00F40533"/>
    <w:rsid w:val="00F40D9B"/>
    <w:rsid w:val="00F40E8F"/>
    <w:rsid w:val="00F40F67"/>
    <w:rsid w:val="00F4117A"/>
    <w:rsid w:val="00F416F4"/>
    <w:rsid w:val="00F43468"/>
    <w:rsid w:val="00F43931"/>
    <w:rsid w:val="00F43F85"/>
    <w:rsid w:val="00F442DD"/>
    <w:rsid w:val="00F448F5"/>
    <w:rsid w:val="00F44C74"/>
    <w:rsid w:val="00F450D3"/>
    <w:rsid w:val="00F45410"/>
    <w:rsid w:val="00F45B51"/>
    <w:rsid w:val="00F4765D"/>
    <w:rsid w:val="00F47ECB"/>
    <w:rsid w:val="00F503F6"/>
    <w:rsid w:val="00F5108F"/>
    <w:rsid w:val="00F520BA"/>
    <w:rsid w:val="00F52216"/>
    <w:rsid w:val="00F52716"/>
    <w:rsid w:val="00F528A6"/>
    <w:rsid w:val="00F5298A"/>
    <w:rsid w:val="00F52A1D"/>
    <w:rsid w:val="00F52B91"/>
    <w:rsid w:val="00F52D60"/>
    <w:rsid w:val="00F53227"/>
    <w:rsid w:val="00F532E5"/>
    <w:rsid w:val="00F53577"/>
    <w:rsid w:val="00F53734"/>
    <w:rsid w:val="00F53955"/>
    <w:rsid w:val="00F543F9"/>
    <w:rsid w:val="00F55090"/>
    <w:rsid w:val="00F5566E"/>
    <w:rsid w:val="00F55C45"/>
    <w:rsid w:val="00F55E49"/>
    <w:rsid w:val="00F56C00"/>
    <w:rsid w:val="00F57228"/>
    <w:rsid w:val="00F57858"/>
    <w:rsid w:val="00F578D7"/>
    <w:rsid w:val="00F60B4E"/>
    <w:rsid w:val="00F6111C"/>
    <w:rsid w:val="00F61579"/>
    <w:rsid w:val="00F616D8"/>
    <w:rsid w:val="00F61786"/>
    <w:rsid w:val="00F6178A"/>
    <w:rsid w:val="00F61961"/>
    <w:rsid w:val="00F6242D"/>
    <w:rsid w:val="00F6258A"/>
    <w:rsid w:val="00F627DC"/>
    <w:rsid w:val="00F6306C"/>
    <w:rsid w:val="00F659D7"/>
    <w:rsid w:val="00F6604B"/>
    <w:rsid w:val="00F6675A"/>
    <w:rsid w:val="00F671BC"/>
    <w:rsid w:val="00F67A86"/>
    <w:rsid w:val="00F67E95"/>
    <w:rsid w:val="00F70CC7"/>
    <w:rsid w:val="00F70E1A"/>
    <w:rsid w:val="00F70F1A"/>
    <w:rsid w:val="00F71C8A"/>
    <w:rsid w:val="00F71E1D"/>
    <w:rsid w:val="00F72D24"/>
    <w:rsid w:val="00F73140"/>
    <w:rsid w:val="00F73BA3"/>
    <w:rsid w:val="00F73D26"/>
    <w:rsid w:val="00F7414A"/>
    <w:rsid w:val="00F7476F"/>
    <w:rsid w:val="00F751EC"/>
    <w:rsid w:val="00F757F7"/>
    <w:rsid w:val="00F759B4"/>
    <w:rsid w:val="00F75AB0"/>
    <w:rsid w:val="00F75C97"/>
    <w:rsid w:val="00F76549"/>
    <w:rsid w:val="00F77A16"/>
    <w:rsid w:val="00F8064F"/>
    <w:rsid w:val="00F80E28"/>
    <w:rsid w:val="00F80F04"/>
    <w:rsid w:val="00F81756"/>
    <w:rsid w:val="00F81B9F"/>
    <w:rsid w:val="00F81DA4"/>
    <w:rsid w:val="00F82316"/>
    <w:rsid w:val="00F82540"/>
    <w:rsid w:val="00F827FC"/>
    <w:rsid w:val="00F82B2A"/>
    <w:rsid w:val="00F82F3A"/>
    <w:rsid w:val="00F82FD5"/>
    <w:rsid w:val="00F831CA"/>
    <w:rsid w:val="00F8376B"/>
    <w:rsid w:val="00F841FA"/>
    <w:rsid w:val="00F84F84"/>
    <w:rsid w:val="00F86303"/>
    <w:rsid w:val="00F863D5"/>
    <w:rsid w:val="00F90699"/>
    <w:rsid w:val="00F90EF8"/>
    <w:rsid w:val="00F91C76"/>
    <w:rsid w:val="00F92513"/>
    <w:rsid w:val="00F92731"/>
    <w:rsid w:val="00F9293B"/>
    <w:rsid w:val="00F92DED"/>
    <w:rsid w:val="00F93351"/>
    <w:rsid w:val="00F94036"/>
    <w:rsid w:val="00F94F74"/>
    <w:rsid w:val="00F95AB5"/>
    <w:rsid w:val="00F95B4D"/>
    <w:rsid w:val="00F95D8C"/>
    <w:rsid w:val="00F97179"/>
    <w:rsid w:val="00F97EC2"/>
    <w:rsid w:val="00FA1027"/>
    <w:rsid w:val="00FA1104"/>
    <w:rsid w:val="00FA1A9D"/>
    <w:rsid w:val="00FA1CB8"/>
    <w:rsid w:val="00FA20BD"/>
    <w:rsid w:val="00FA23AB"/>
    <w:rsid w:val="00FA28BA"/>
    <w:rsid w:val="00FA412E"/>
    <w:rsid w:val="00FA43A9"/>
    <w:rsid w:val="00FA44FB"/>
    <w:rsid w:val="00FA47DB"/>
    <w:rsid w:val="00FA4A13"/>
    <w:rsid w:val="00FA58C5"/>
    <w:rsid w:val="00FA5C80"/>
    <w:rsid w:val="00FA66FC"/>
    <w:rsid w:val="00FA6879"/>
    <w:rsid w:val="00FA6BE5"/>
    <w:rsid w:val="00FA746D"/>
    <w:rsid w:val="00FB01DA"/>
    <w:rsid w:val="00FB0B72"/>
    <w:rsid w:val="00FB0D1C"/>
    <w:rsid w:val="00FB0FCD"/>
    <w:rsid w:val="00FB1CAB"/>
    <w:rsid w:val="00FB24A6"/>
    <w:rsid w:val="00FB27B9"/>
    <w:rsid w:val="00FB2CA5"/>
    <w:rsid w:val="00FB31AE"/>
    <w:rsid w:val="00FB346E"/>
    <w:rsid w:val="00FB35FB"/>
    <w:rsid w:val="00FB3D15"/>
    <w:rsid w:val="00FB45C5"/>
    <w:rsid w:val="00FB5399"/>
    <w:rsid w:val="00FB54A8"/>
    <w:rsid w:val="00FB59C7"/>
    <w:rsid w:val="00FB61A2"/>
    <w:rsid w:val="00FB61B6"/>
    <w:rsid w:val="00FB6930"/>
    <w:rsid w:val="00FB6B86"/>
    <w:rsid w:val="00FB6BEF"/>
    <w:rsid w:val="00FB6EA2"/>
    <w:rsid w:val="00FB7139"/>
    <w:rsid w:val="00FB7FB7"/>
    <w:rsid w:val="00FC03C9"/>
    <w:rsid w:val="00FC05AF"/>
    <w:rsid w:val="00FC07ED"/>
    <w:rsid w:val="00FC0C33"/>
    <w:rsid w:val="00FC1002"/>
    <w:rsid w:val="00FC11EC"/>
    <w:rsid w:val="00FC1A09"/>
    <w:rsid w:val="00FC1E68"/>
    <w:rsid w:val="00FC200E"/>
    <w:rsid w:val="00FC29A3"/>
    <w:rsid w:val="00FC3443"/>
    <w:rsid w:val="00FC441E"/>
    <w:rsid w:val="00FC5251"/>
    <w:rsid w:val="00FC5B29"/>
    <w:rsid w:val="00FC617E"/>
    <w:rsid w:val="00FC61B3"/>
    <w:rsid w:val="00FC6BB6"/>
    <w:rsid w:val="00FC7328"/>
    <w:rsid w:val="00FC7400"/>
    <w:rsid w:val="00FC7B77"/>
    <w:rsid w:val="00FD085A"/>
    <w:rsid w:val="00FD1352"/>
    <w:rsid w:val="00FD153F"/>
    <w:rsid w:val="00FD1C5A"/>
    <w:rsid w:val="00FD1FAF"/>
    <w:rsid w:val="00FD253E"/>
    <w:rsid w:val="00FD2A34"/>
    <w:rsid w:val="00FD2F3D"/>
    <w:rsid w:val="00FD2FAE"/>
    <w:rsid w:val="00FD3525"/>
    <w:rsid w:val="00FD3784"/>
    <w:rsid w:val="00FD3D1F"/>
    <w:rsid w:val="00FD4997"/>
    <w:rsid w:val="00FD5210"/>
    <w:rsid w:val="00FD576E"/>
    <w:rsid w:val="00FD5EAB"/>
    <w:rsid w:val="00FD65BF"/>
    <w:rsid w:val="00FD6632"/>
    <w:rsid w:val="00FD758A"/>
    <w:rsid w:val="00FD7B07"/>
    <w:rsid w:val="00FE0159"/>
    <w:rsid w:val="00FE095A"/>
    <w:rsid w:val="00FE12C4"/>
    <w:rsid w:val="00FE1617"/>
    <w:rsid w:val="00FE2E5B"/>
    <w:rsid w:val="00FE33CD"/>
    <w:rsid w:val="00FE37AC"/>
    <w:rsid w:val="00FE3DD6"/>
    <w:rsid w:val="00FE492B"/>
    <w:rsid w:val="00FE5ECD"/>
    <w:rsid w:val="00FE5F2F"/>
    <w:rsid w:val="00FE66D4"/>
    <w:rsid w:val="00FE66F5"/>
    <w:rsid w:val="00FE7078"/>
    <w:rsid w:val="00FE7208"/>
    <w:rsid w:val="00FE76F2"/>
    <w:rsid w:val="00FE7AFF"/>
    <w:rsid w:val="00FE7BF7"/>
    <w:rsid w:val="00FF0466"/>
    <w:rsid w:val="00FF12FA"/>
    <w:rsid w:val="00FF1509"/>
    <w:rsid w:val="00FF1948"/>
    <w:rsid w:val="00FF1CC3"/>
    <w:rsid w:val="00FF2201"/>
    <w:rsid w:val="00FF2392"/>
    <w:rsid w:val="00FF23F1"/>
    <w:rsid w:val="00FF2E9A"/>
    <w:rsid w:val="00FF4A29"/>
    <w:rsid w:val="00FF685C"/>
    <w:rsid w:val="00FF6E9C"/>
    <w:rsid w:val="00FF6FCC"/>
    <w:rsid w:val="00FF712F"/>
    <w:rsid w:val="00FF71F9"/>
    <w:rsid w:val="00FF7880"/>
    <w:rsid w:val="00FF7A77"/>
    <w:rsid w:val="011172DE"/>
    <w:rsid w:val="01131DBC"/>
    <w:rsid w:val="013163B7"/>
    <w:rsid w:val="016E4053"/>
    <w:rsid w:val="01772445"/>
    <w:rsid w:val="01824DC1"/>
    <w:rsid w:val="018A3D64"/>
    <w:rsid w:val="0193584D"/>
    <w:rsid w:val="01A969C1"/>
    <w:rsid w:val="01AB6E35"/>
    <w:rsid w:val="01B842AC"/>
    <w:rsid w:val="01BF1AB5"/>
    <w:rsid w:val="01CE7D3E"/>
    <w:rsid w:val="01D20C45"/>
    <w:rsid w:val="01D91895"/>
    <w:rsid w:val="022F1F58"/>
    <w:rsid w:val="02490DD8"/>
    <w:rsid w:val="024A2DC0"/>
    <w:rsid w:val="02504F4B"/>
    <w:rsid w:val="02592D0A"/>
    <w:rsid w:val="025F13E1"/>
    <w:rsid w:val="02813F46"/>
    <w:rsid w:val="029A5F34"/>
    <w:rsid w:val="02BB5024"/>
    <w:rsid w:val="02CD3E2F"/>
    <w:rsid w:val="02D73DFD"/>
    <w:rsid w:val="02DB370C"/>
    <w:rsid w:val="02F30CD1"/>
    <w:rsid w:val="03041D44"/>
    <w:rsid w:val="030D389B"/>
    <w:rsid w:val="03184817"/>
    <w:rsid w:val="033315EF"/>
    <w:rsid w:val="03373AC6"/>
    <w:rsid w:val="033E3331"/>
    <w:rsid w:val="03650A78"/>
    <w:rsid w:val="03783CCE"/>
    <w:rsid w:val="037B54CB"/>
    <w:rsid w:val="03874544"/>
    <w:rsid w:val="03A111F8"/>
    <w:rsid w:val="03A50BC5"/>
    <w:rsid w:val="03A54FEA"/>
    <w:rsid w:val="03BF740A"/>
    <w:rsid w:val="03C00BFE"/>
    <w:rsid w:val="03D26AF4"/>
    <w:rsid w:val="03E256CE"/>
    <w:rsid w:val="03EC55A9"/>
    <w:rsid w:val="03FF1D98"/>
    <w:rsid w:val="0401703F"/>
    <w:rsid w:val="04276825"/>
    <w:rsid w:val="044D7489"/>
    <w:rsid w:val="0456102F"/>
    <w:rsid w:val="045D3DE9"/>
    <w:rsid w:val="046635CB"/>
    <w:rsid w:val="04727E1B"/>
    <w:rsid w:val="04752DF0"/>
    <w:rsid w:val="048F71BF"/>
    <w:rsid w:val="04A15979"/>
    <w:rsid w:val="04C64E6C"/>
    <w:rsid w:val="04CB5FDF"/>
    <w:rsid w:val="04CE0A9D"/>
    <w:rsid w:val="04E511CE"/>
    <w:rsid w:val="04F4037B"/>
    <w:rsid w:val="04F62CC6"/>
    <w:rsid w:val="05047CBE"/>
    <w:rsid w:val="05067B1D"/>
    <w:rsid w:val="0539563E"/>
    <w:rsid w:val="053C4B77"/>
    <w:rsid w:val="054D0CE0"/>
    <w:rsid w:val="054D2A80"/>
    <w:rsid w:val="0568045F"/>
    <w:rsid w:val="058C6B4B"/>
    <w:rsid w:val="05B220F5"/>
    <w:rsid w:val="05E62C5C"/>
    <w:rsid w:val="05EB019C"/>
    <w:rsid w:val="05EF21A1"/>
    <w:rsid w:val="05EF3E67"/>
    <w:rsid w:val="05EF5B24"/>
    <w:rsid w:val="05F21666"/>
    <w:rsid w:val="0647493B"/>
    <w:rsid w:val="065C0B4E"/>
    <w:rsid w:val="06674D87"/>
    <w:rsid w:val="066A1ABA"/>
    <w:rsid w:val="066F6E3E"/>
    <w:rsid w:val="0676641E"/>
    <w:rsid w:val="067B4F04"/>
    <w:rsid w:val="069F71FE"/>
    <w:rsid w:val="06A3538D"/>
    <w:rsid w:val="06B01B99"/>
    <w:rsid w:val="06B11F40"/>
    <w:rsid w:val="06B75798"/>
    <w:rsid w:val="06B95E3A"/>
    <w:rsid w:val="06F25A37"/>
    <w:rsid w:val="06F54959"/>
    <w:rsid w:val="07033BB1"/>
    <w:rsid w:val="0717393E"/>
    <w:rsid w:val="071F58CA"/>
    <w:rsid w:val="07273839"/>
    <w:rsid w:val="072754DF"/>
    <w:rsid w:val="07276A3A"/>
    <w:rsid w:val="074B180A"/>
    <w:rsid w:val="074F5A58"/>
    <w:rsid w:val="075A5243"/>
    <w:rsid w:val="07683E2F"/>
    <w:rsid w:val="07863D34"/>
    <w:rsid w:val="0790429C"/>
    <w:rsid w:val="0793458A"/>
    <w:rsid w:val="07C35693"/>
    <w:rsid w:val="07CA6A21"/>
    <w:rsid w:val="07E3155C"/>
    <w:rsid w:val="07E779D9"/>
    <w:rsid w:val="07EA47F3"/>
    <w:rsid w:val="07F13F8A"/>
    <w:rsid w:val="07F748AB"/>
    <w:rsid w:val="081128A2"/>
    <w:rsid w:val="082726F0"/>
    <w:rsid w:val="085E0420"/>
    <w:rsid w:val="08702A70"/>
    <w:rsid w:val="08781498"/>
    <w:rsid w:val="087E6008"/>
    <w:rsid w:val="088736F1"/>
    <w:rsid w:val="0899051C"/>
    <w:rsid w:val="08AA7348"/>
    <w:rsid w:val="08B07D5D"/>
    <w:rsid w:val="08B5379C"/>
    <w:rsid w:val="08D5567E"/>
    <w:rsid w:val="08DC5944"/>
    <w:rsid w:val="08DF2B78"/>
    <w:rsid w:val="08E64699"/>
    <w:rsid w:val="08F001F2"/>
    <w:rsid w:val="08F94819"/>
    <w:rsid w:val="091C776D"/>
    <w:rsid w:val="09214205"/>
    <w:rsid w:val="09443496"/>
    <w:rsid w:val="095501FE"/>
    <w:rsid w:val="09554DEA"/>
    <w:rsid w:val="097B18A9"/>
    <w:rsid w:val="09976DD7"/>
    <w:rsid w:val="09A934FF"/>
    <w:rsid w:val="09BE78F8"/>
    <w:rsid w:val="09C463A2"/>
    <w:rsid w:val="09CB0395"/>
    <w:rsid w:val="09D055A1"/>
    <w:rsid w:val="09D311AE"/>
    <w:rsid w:val="09DB44B8"/>
    <w:rsid w:val="09E66AD6"/>
    <w:rsid w:val="09E71320"/>
    <w:rsid w:val="0A135548"/>
    <w:rsid w:val="0A250B5C"/>
    <w:rsid w:val="0A3265DC"/>
    <w:rsid w:val="0A404594"/>
    <w:rsid w:val="0A517F88"/>
    <w:rsid w:val="0A590CEA"/>
    <w:rsid w:val="0A594478"/>
    <w:rsid w:val="0A7427D5"/>
    <w:rsid w:val="0A7D7242"/>
    <w:rsid w:val="0A8250BD"/>
    <w:rsid w:val="0A911F71"/>
    <w:rsid w:val="0A976CBA"/>
    <w:rsid w:val="0A9C0F0C"/>
    <w:rsid w:val="0AB13B0C"/>
    <w:rsid w:val="0ACE5DE9"/>
    <w:rsid w:val="0ADC72C4"/>
    <w:rsid w:val="0ADF62A4"/>
    <w:rsid w:val="0AF57114"/>
    <w:rsid w:val="0AFC4183"/>
    <w:rsid w:val="0AFC55AE"/>
    <w:rsid w:val="0B05200E"/>
    <w:rsid w:val="0B0B69EE"/>
    <w:rsid w:val="0B2000E5"/>
    <w:rsid w:val="0B2F252E"/>
    <w:rsid w:val="0B3711BD"/>
    <w:rsid w:val="0B38741A"/>
    <w:rsid w:val="0B3F2C8F"/>
    <w:rsid w:val="0B414F42"/>
    <w:rsid w:val="0B473285"/>
    <w:rsid w:val="0B6A36D6"/>
    <w:rsid w:val="0B7E2406"/>
    <w:rsid w:val="0B8B51C9"/>
    <w:rsid w:val="0B8C1969"/>
    <w:rsid w:val="0B8C1A81"/>
    <w:rsid w:val="0BA059C1"/>
    <w:rsid w:val="0BB10EB4"/>
    <w:rsid w:val="0BB737C5"/>
    <w:rsid w:val="0BBD1AAA"/>
    <w:rsid w:val="0BCB1ABB"/>
    <w:rsid w:val="0BDB2575"/>
    <w:rsid w:val="0BE20369"/>
    <w:rsid w:val="0BF20269"/>
    <w:rsid w:val="0BFE45EE"/>
    <w:rsid w:val="0C1F1719"/>
    <w:rsid w:val="0C2149AE"/>
    <w:rsid w:val="0C26516F"/>
    <w:rsid w:val="0C327F23"/>
    <w:rsid w:val="0C38694D"/>
    <w:rsid w:val="0C462B11"/>
    <w:rsid w:val="0C4C6C46"/>
    <w:rsid w:val="0C612559"/>
    <w:rsid w:val="0C63470F"/>
    <w:rsid w:val="0C653ABC"/>
    <w:rsid w:val="0C6805B7"/>
    <w:rsid w:val="0C6F69FB"/>
    <w:rsid w:val="0C75783C"/>
    <w:rsid w:val="0C8A2C23"/>
    <w:rsid w:val="0CAB74BC"/>
    <w:rsid w:val="0CBE4EA6"/>
    <w:rsid w:val="0CCA2A83"/>
    <w:rsid w:val="0CE654C3"/>
    <w:rsid w:val="0CF37A36"/>
    <w:rsid w:val="0CFE5D32"/>
    <w:rsid w:val="0D013DFF"/>
    <w:rsid w:val="0D0227A6"/>
    <w:rsid w:val="0D02554F"/>
    <w:rsid w:val="0D0504FC"/>
    <w:rsid w:val="0D055225"/>
    <w:rsid w:val="0D1D3200"/>
    <w:rsid w:val="0D2A6BBA"/>
    <w:rsid w:val="0D2D2692"/>
    <w:rsid w:val="0D3E4221"/>
    <w:rsid w:val="0D3E6DDF"/>
    <w:rsid w:val="0D4030FC"/>
    <w:rsid w:val="0D533C9A"/>
    <w:rsid w:val="0D5F5E3A"/>
    <w:rsid w:val="0D6D057B"/>
    <w:rsid w:val="0D6D1397"/>
    <w:rsid w:val="0D701E22"/>
    <w:rsid w:val="0D74572A"/>
    <w:rsid w:val="0D7E49DE"/>
    <w:rsid w:val="0D7F779E"/>
    <w:rsid w:val="0D8B14C6"/>
    <w:rsid w:val="0D986DB7"/>
    <w:rsid w:val="0D9F4489"/>
    <w:rsid w:val="0DA45467"/>
    <w:rsid w:val="0DAC268E"/>
    <w:rsid w:val="0DB92389"/>
    <w:rsid w:val="0DB96584"/>
    <w:rsid w:val="0DCD0FD2"/>
    <w:rsid w:val="0DD04A22"/>
    <w:rsid w:val="0DD77190"/>
    <w:rsid w:val="0E010EFB"/>
    <w:rsid w:val="0E04686B"/>
    <w:rsid w:val="0E154A75"/>
    <w:rsid w:val="0E335665"/>
    <w:rsid w:val="0E3F1532"/>
    <w:rsid w:val="0E412F73"/>
    <w:rsid w:val="0E4A08BC"/>
    <w:rsid w:val="0E4B0190"/>
    <w:rsid w:val="0E4C75CA"/>
    <w:rsid w:val="0E5F153B"/>
    <w:rsid w:val="0E636F32"/>
    <w:rsid w:val="0E807119"/>
    <w:rsid w:val="0E811D9B"/>
    <w:rsid w:val="0E840C5B"/>
    <w:rsid w:val="0EA1140E"/>
    <w:rsid w:val="0EA528D2"/>
    <w:rsid w:val="0EAB0649"/>
    <w:rsid w:val="0EC312DC"/>
    <w:rsid w:val="0EDC30B6"/>
    <w:rsid w:val="0EE2549E"/>
    <w:rsid w:val="0F010290"/>
    <w:rsid w:val="0F135152"/>
    <w:rsid w:val="0F1B34AA"/>
    <w:rsid w:val="0F1F1E13"/>
    <w:rsid w:val="0F487AC9"/>
    <w:rsid w:val="0F4946D0"/>
    <w:rsid w:val="0F775D78"/>
    <w:rsid w:val="0F8579AE"/>
    <w:rsid w:val="0F872400"/>
    <w:rsid w:val="0F9D5DB4"/>
    <w:rsid w:val="0FAF14F2"/>
    <w:rsid w:val="0FAF74CA"/>
    <w:rsid w:val="0FBF2EA5"/>
    <w:rsid w:val="0FC00B55"/>
    <w:rsid w:val="0FD016F3"/>
    <w:rsid w:val="0FDA3F6B"/>
    <w:rsid w:val="0FE40C37"/>
    <w:rsid w:val="0FEB3009"/>
    <w:rsid w:val="0FF14086"/>
    <w:rsid w:val="100F7DA5"/>
    <w:rsid w:val="101D29F6"/>
    <w:rsid w:val="102C0E63"/>
    <w:rsid w:val="103C382C"/>
    <w:rsid w:val="106A1FE6"/>
    <w:rsid w:val="106C28D1"/>
    <w:rsid w:val="10767210"/>
    <w:rsid w:val="10774F71"/>
    <w:rsid w:val="107F7555"/>
    <w:rsid w:val="10853E2D"/>
    <w:rsid w:val="10860002"/>
    <w:rsid w:val="109364AD"/>
    <w:rsid w:val="10980AB7"/>
    <w:rsid w:val="10B9469B"/>
    <w:rsid w:val="10BD671F"/>
    <w:rsid w:val="10CE201D"/>
    <w:rsid w:val="10CE290F"/>
    <w:rsid w:val="110C4DAD"/>
    <w:rsid w:val="110E095E"/>
    <w:rsid w:val="11235AD5"/>
    <w:rsid w:val="11286567"/>
    <w:rsid w:val="112C0A94"/>
    <w:rsid w:val="11365128"/>
    <w:rsid w:val="1138273B"/>
    <w:rsid w:val="113C577C"/>
    <w:rsid w:val="1152029A"/>
    <w:rsid w:val="115B2DE0"/>
    <w:rsid w:val="11641D4A"/>
    <w:rsid w:val="117C3BE6"/>
    <w:rsid w:val="118B06E1"/>
    <w:rsid w:val="118E114E"/>
    <w:rsid w:val="11A3286B"/>
    <w:rsid w:val="11A872DA"/>
    <w:rsid w:val="11AB4A12"/>
    <w:rsid w:val="11AC5083"/>
    <w:rsid w:val="11AD5298"/>
    <w:rsid w:val="11BB1600"/>
    <w:rsid w:val="11BE7AFF"/>
    <w:rsid w:val="11C07564"/>
    <w:rsid w:val="11D8467D"/>
    <w:rsid w:val="11D85837"/>
    <w:rsid w:val="11DC416E"/>
    <w:rsid w:val="11E66B46"/>
    <w:rsid w:val="11F55274"/>
    <w:rsid w:val="11FB1EA7"/>
    <w:rsid w:val="120C5875"/>
    <w:rsid w:val="1229269C"/>
    <w:rsid w:val="12565C28"/>
    <w:rsid w:val="126D2DCB"/>
    <w:rsid w:val="12706610"/>
    <w:rsid w:val="12954638"/>
    <w:rsid w:val="12B0226B"/>
    <w:rsid w:val="12C44B3A"/>
    <w:rsid w:val="12C955FA"/>
    <w:rsid w:val="12CB1352"/>
    <w:rsid w:val="12CF3FE8"/>
    <w:rsid w:val="12D4022D"/>
    <w:rsid w:val="12D87D82"/>
    <w:rsid w:val="12DB3264"/>
    <w:rsid w:val="12F85BF9"/>
    <w:rsid w:val="12F97202"/>
    <w:rsid w:val="131C21BC"/>
    <w:rsid w:val="132B33E4"/>
    <w:rsid w:val="135101E2"/>
    <w:rsid w:val="1357068E"/>
    <w:rsid w:val="135B607C"/>
    <w:rsid w:val="136A1366"/>
    <w:rsid w:val="13762662"/>
    <w:rsid w:val="13AE5E1E"/>
    <w:rsid w:val="13D761B2"/>
    <w:rsid w:val="143432AF"/>
    <w:rsid w:val="143B7FF8"/>
    <w:rsid w:val="143D288F"/>
    <w:rsid w:val="144137CF"/>
    <w:rsid w:val="14991E57"/>
    <w:rsid w:val="1499326E"/>
    <w:rsid w:val="14A10028"/>
    <w:rsid w:val="14B4350D"/>
    <w:rsid w:val="14B56E07"/>
    <w:rsid w:val="14CC1AB8"/>
    <w:rsid w:val="14D42C8D"/>
    <w:rsid w:val="14E2326B"/>
    <w:rsid w:val="14E557FF"/>
    <w:rsid w:val="15000030"/>
    <w:rsid w:val="151041AB"/>
    <w:rsid w:val="151A42F8"/>
    <w:rsid w:val="15325529"/>
    <w:rsid w:val="153A583C"/>
    <w:rsid w:val="153A6F3F"/>
    <w:rsid w:val="153B070E"/>
    <w:rsid w:val="155D7FE3"/>
    <w:rsid w:val="15806971"/>
    <w:rsid w:val="15872AE8"/>
    <w:rsid w:val="159C38BA"/>
    <w:rsid w:val="15A83D50"/>
    <w:rsid w:val="15AB2F29"/>
    <w:rsid w:val="15B06ACB"/>
    <w:rsid w:val="15BF1E24"/>
    <w:rsid w:val="15CA0428"/>
    <w:rsid w:val="15CD62FC"/>
    <w:rsid w:val="15D3315F"/>
    <w:rsid w:val="162E2F25"/>
    <w:rsid w:val="163F5714"/>
    <w:rsid w:val="164C677C"/>
    <w:rsid w:val="1653598E"/>
    <w:rsid w:val="165E499E"/>
    <w:rsid w:val="165E6A89"/>
    <w:rsid w:val="166E7469"/>
    <w:rsid w:val="16716DD6"/>
    <w:rsid w:val="167A24A4"/>
    <w:rsid w:val="16926B37"/>
    <w:rsid w:val="16B27490"/>
    <w:rsid w:val="16B51EDE"/>
    <w:rsid w:val="16BC7E7D"/>
    <w:rsid w:val="16C3745D"/>
    <w:rsid w:val="16CD550B"/>
    <w:rsid w:val="16D52CED"/>
    <w:rsid w:val="16EC3886"/>
    <w:rsid w:val="16EF095D"/>
    <w:rsid w:val="16F86CF6"/>
    <w:rsid w:val="17061C86"/>
    <w:rsid w:val="170F65E5"/>
    <w:rsid w:val="17190B4C"/>
    <w:rsid w:val="172872C1"/>
    <w:rsid w:val="17400A9B"/>
    <w:rsid w:val="17414ED0"/>
    <w:rsid w:val="17485BB5"/>
    <w:rsid w:val="1758719D"/>
    <w:rsid w:val="176B6BEF"/>
    <w:rsid w:val="176D6D02"/>
    <w:rsid w:val="17705A0D"/>
    <w:rsid w:val="177A1F84"/>
    <w:rsid w:val="17813E0E"/>
    <w:rsid w:val="17824C23"/>
    <w:rsid w:val="178C4771"/>
    <w:rsid w:val="17996C68"/>
    <w:rsid w:val="179E5ED3"/>
    <w:rsid w:val="17AB07FA"/>
    <w:rsid w:val="17B86097"/>
    <w:rsid w:val="17BA651F"/>
    <w:rsid w:val="17C0300C"/>
    <w:rsid w:val="17C14BED"/>
    <w:rsid w:val="17C32BFE"/>
    <w:rsid w:val="17E93347"/>
    <w:rsid w:val="17F50354"/>
    <w:rsid w:val="180C02DF"/>
    <w:rsid w:val="180C273E"/>
    <w:rsid w:val="18132C92"/>
    <w:rsid w:val="1817665B"/>
    <w:rsid w:val="18282E3B"/>
    <w:rsid w:val="18432226"/>
    <w:rsid w:val="18462DAC"/>
    <w:rsid w:val="184A75FE"/>
    <w:rsid w:val="18516A09"/>
    <w:rsid w:val="18524998"/>
    <w:rsid w:val="185F212C"/>
    <w:rsid w:val="186210EB"/>
    <w:rsid w:val="1865370C"/>
    <w:rsid w:val="18672F2C"/>
    <w:rsid w:val="186A7E3D"/>
    <w:rsid w:val="187D3720"/>
    <w:rsid w:val="18822A00"/>
    <w:rsid w:val="18AA06BC"/>
    <w:rsid w:val="18B61F9D"/>
    <w:rsid w:val="18C65607"/>
    <w:rsid w:val="18E229AA"/>
    <w:rsid w:val="190672B3"/>
    <w:rsid w:val="191168AD"/>
    <w:rsid w:val="19151E44"/>
    <w:rsid w:val="19190841"/>
    <w:rsid w:val="192772E7"/>
    <w:rsid w:val="19352262"/>
    <w:rsid w:val="196638B5"/>
    <w:rsid w:val="19867244"/>
    <w:rsid w:val="19887932"/>
    <w:rsid w:val="199C5D44"/>
    <w:rsid w:val="19BD0F88"/>
    <w:rsid w:val="19D931BF"/>
    <w:rsid w:val="19E11108"/>
    <w:rsid w:val="19E2701A"/>
    <w:rsid w:val="19FA65EB"/>
    <w:rsid w:val="1A16254B"/>
    <w:rsid w:val="1A2F711C"/>
    <w:rsid w:val="1A312930"/>
    <w:rsid w:val="1A374B2D"/>
    <w:rsid w:val="1A3A45CA"/>
    <w:rsid w:val="1A75359A"/>
    <w:rsid w:val="1A7647E7"/>
    <w:rsid w:val="1A7E085D"/>
    <w:rsid w:val="1A967EB6"/>
    <w:rsid w:val="1A9C3265"/>
    <w:rsid w:val="1AB46036"/>
    <w:rsid w:val="1AB55C14"/>
    <w:rsid w:val="1AB615EF"/>
    <w:rsid w:val="1ABC677E"/>
    <w:rsid w:val="1AD7503E"/>
    <w:rsid w:val="1AD96CCF"/>
    <w:rsid w:val="1ADC0AEE"/>
    <w:rsid w:val="1AEC7CF5"/>
    <w:rsid w:val="1AF84B4A"/>
    <w:rsid w:val="1B007FDE"/>
    <w:rsid w:val="1B030313"/>
    <w:rsid w:val="1B096D7F"/>
    <w:rsid w:val="1B0A58F6"/>
    <w:rsid w:val="1B0E2C71"/>
    <w:rsid w:val="1B0E7439"/>
    <w:rsid w:val="1B1C2720"/>
    <w:rsid w:val="1B201672"/>
    <w:rsid w:val="1B266386"/>
    <w:rsid w:val="1B294BF3"/>
    <w:rsid w:val="1B2B3D60"/>
    <w:rsid w:val="1B404B06"/>
    <w:rsid w:val="1B406167"/>
    <w:rsid w:val="1B415A72"/>
    <w:rsid w:val="1B4A147F"/>
    <w:rsid w:val="1B535892"/>
    <w:rsid w:val="1B5552A7"/>
    <w:rsid w:val="1B5A59B4"/>
    <w:rsid w:val="1B67034F"/>
    <w:rsid w:val="1B6845C4"/>
    <w:rsid w:val="1B724934"/>
    <w:rsid w:val="1B78413F"/>
    <w:rsid w:val="1B8F6A2D"/>
    <w:rsid w:val="1B9701BF"/>
    <w:rsid w:val="1B9C18D2"/>
    <w:rsid w:val="1BA30B09"/>
    <w:rsid w:val="1BB17363"/>
    <w:rsid w:val="1BB32CA8"/>
    <w:rsid w:val="1BBC398A"/>
    <w:rsid w:val="1BC316EF"/>
    <w:rsid w:val="1C026332"/>
    <w:rsid w:val="1C093C66"/>
    <w:rsid w:val="1C2D3EDA"/>
    <w:rsid w:val="1C2F0392"/>
    <w:rsid w:val="1C3C260D"/>
    <w:rsid w:val="1C4D1CEE"/>
    <w:rsid w:val="1C640F08"/>
    <w:rsid w:val="1C646FED"/>
    <w:rsid w:val="1C703ED5"/>
    <w:rsid w:val="1C841752"/>
    <w:rsid w:val="1C856F63"/>
    <w:rsid w:val="1C8677EC"/>
    <w:rsid w:val="1C8B71AC"/>
    <w:rsid w:val="1C9419F3"/>
    <w:rsid w:val="1C97580E"/>
    <w:rsid w:val="1CA90B96"/>
    <w:rsid w:val="1CA92C52"/>
    <w:rsid w:val="1CAE66C1"/>
    <w:rsid w:val="1CB31A96"/>
    <w:rsid w:val="1CB35B06"/>
    <w:rsid w:val="1CB67C12"/>
    <w:rsid w:val="1CF16B1E"/>
    <w:rsid w:val="1D175E0D"/>
    <w:rsid w:val="1D186225"/>
    <w:rsid w:val="1D3410D3"/>
    <w:rsid w:val="1D3B67C3"/>
    <w:rsid w:val="1D3F383F"/>
    <w:rsid w:val="1D4368CF"/>
    <w:rsid w:val="1D4D5D12"/>
    <w:rsid w:val="1D650389"/>
    <w:rsid w:val="1D702545"/>
    <w:rsid w:val="1D8B5FB3"/>
    <w:rsid w:val="1D94395C"/>
    <w:rsid w:val="1DA81672"/>
    <w:rsid w:val="1DB4519A"/>
    <w:rsid w:val="1DB83A1E"/>
    <w:rsid w:val="1DC05B4C"/>
    <w:rsid w:val="1DCF66E8"/>
    <w:rsid w:val="1DF57FE7"/>
    <w:rsid w:val="1DF964D0"/>
    <w:rsid w:val="1E0929B8"/>
    <w:rsid w:val="1E1A439D"/>
    <w:rsid w:val="1E206988"/>
    <w:rsid w:val="1E3E31D8"/>
    <w:rsid w:val="1E4075E6"/>
    <w:rsid w:val="1E6C2052"/>
    <w:rsid w:val="1E830D84"/>
    <w:rsid w:val="1E903B74"/>
    <w:rsid w:val="1E943062"/>
    <w:rsid w:val="1E9C0400"/>
    <w:rsid w:val="1EA04083"/>
    <w:rsid w:val="1EA4608E"/>
    <w:rsid w:val="1EAF7D54"/>
    <w:rsid w:val="1ECA47D6"/>
    <w:rsid w:val="1ED762F5"/>
    <w:rsid w:val="1EF6594F"/>
    <w:rsid w:val="1F077EA3"/>
    <w:rsid w:val="1F1F0155"/>
    <w:rsid w:val="1F226CEB"/>
    <w:rsid w:val="1F240788"/>
    <w:rsid w:val="1F2A7C6A"/>
    <w:rsid w:val="1F3033FD"/>
    <w:rsid w:val="1F380DFE"/>
    <w:rsid w:val="1F446025"/>
    <w:rsid w:val="1F4D2AED"/>
    <w:rsid w:val="1F4D46E6"/>
    <w:rsid w:val="1F563247"/>
    <w:rsid w:val="1F5F1CED"/>
    <w:rsid w:val="1F631543"/>
    <w:rsid w:val="1F6C464A"/>
    <w:rsid w:val="1F8A089C"/>
    <w:rsid w:val="1F9F7FDE"/>
    <w:rsid w:val="1FA01406"/>
    <w:rsid w:val="1FA51C06"/>
    <w:rsid w:val="1FBA019B"/>
    <w:rsid w:val="1FC66DCB"/>
    <w:rsid w:val="1FD21888"/>
    <w:rsid w:val="1FD44E45"/>
    <w:rsid w:val="1FD65381"/>
    <w:rsid w:val="1FE32679"/>
    <w:rsid w:val="1FE973E5"/>
    <w:rsid w:val="20000202"/>
    <w:rsid w:val="20074B4D"/>
    <w:rsid w:val="20146079"/>
    <w:rsid w:val="201D0211"/>
    <w:rsid w:val="20202DF9"/>
    <w:rsid w:val="203A4D34"/>
    <w:rsid w:val="2052046B"/>
    <w:rsid w:val="2058561D"/>
    <w:rsid w:val="2066656A"/>
    <w:rsid w:val="207069F0"/>
    <w:rsid w:val="207D6028"/>
    <w:rsid w:val="20804B56"/>
    <w:rsid w:val="209634ED"/>
    <w:rsid w:val="209D07AD"/>
    <w:rsid w:val="20A93832"/>
    <w:rsid w:val="20BB4051"/>
    <w:rsid w:val="20BB5E80"/>
    <w:rsid w:val="20CB5949"/>
    <w:rsid w:val="20CF338A"/>
    <w:rsid w:val="210650F7"/>
    <w:rsid w:val="211065CE"/>
    <w:rsid w:val="21111ADE"/>
    <w:rsid w:val="21184F79"/>
    <w:rsid w:val="212C4D4D"/>
    <w:rsid w:val="21343AF3"/>
    <w:rsid w:val="213A59D4"/>
    <w:rsid w:val="214C2913"/>
    <w:rsid w:val="215000AC"/>
    <w:rsid w:val="215442EE"/>
    <w:rsid w:val="2155578A"/>
    <w:rsid w:val="21624689"/>
    <w:rsid w:val="218A6C2C"/>
    <w:rsid w:val="218C4128"/>
    <w:rsid w:val="21B21D78"/>
    <w:rsid w:val="21D11BF4"/>
    <w:rsid w:val="21E657C7"/>
    <w:rsid w:val="21E751EC"/>
    <w:rsid w:val="21E80774"/>
    <w:rsid w:val="222E13FF"/>
    <w:rsid w:val="223A2A38"/>
    <w:rsid w:val="224561E0"/>
    <w:rsid w:val="22707876"/>
    <w:rsid w:val="227577B5"/>
    <w:rsid w:val="22790B9F"/>
    <w:rsid w:val="227C516B"/>
    <w:rsid w:val="22904CB2"/>
    <w:rsid w:val="22A073F7"/>
    <w:rsid w:val="22A23DC8"/>
    <w:rsid w:val="22AB654F"/>
    <w:rsid w:val="22B24F32"/>
    <w:rsid w:val="22B3362D"/>
    <w:rsid w:val="22B50F32"/>
    <w:rsid w:val="22C332FD"/>
    <w:rsid w:val="22C45627"/>
    <w:rsid w:val="22D51F9B"/>
    <w:rsid w:val="22FD2FC3"/>
    <w:rsid w:val="23026C06"/>
    <w:rsid w:val="23063E8C"/>
    <w:rsid w:val="231F73CD"/>
    <w:rsid w:val="2321593E"/>
    <w:rsid w:val="23373160"/>
    <w:rsid w:val="23466C13"/>
    <w:rsid w:val="234C6FBA"/>
    <w:rsid w:val="23535A2E"/>
    <w:rsid w:val="2370521A"/>
    <w:rsid w:val="23737557"/>
    <w:rsid w:val="23973DB6"/>
    <w:rsid w:val="23A423C5"/>
    <w:rsid w:val="23A656EA"/>
    <w:rsid w:val="23C640E9"/>
    <w:rsid w:val="23D10533"/>
    <w:rsid w:val="23DF08DC"/>
    <w:rsid w:val="23FB00DC"/>
    <w:rsid w:val="24533BBE"/>
    <w:rsid w:val="24C85168"/>
    <w:rsid w:val="24CA1266"/>
    <w:rsid w:val="24E66C0E"/>
    <w:rsid w:val="24F60820"/>
    <w:rsid w:val="24FA1360"/>
    <w:rsid w:val="250101C9"/>
    <w:rsid w:val="250154CC"/>
    <w:rsid w:val="250E3A53"/>
    <w:rsid w:val="25186881"/>
    <w:rsid w:val="2521111D"/>
    <w:rsid w:val="2526561E"/>
    <w:rsid w:val="25481672"/>
    <w:rsid w:val="25494FD2"/>
    <w:rsid w:val="254B7C87"/>
    <w:rsid w:val="254E06EB"/>
    <w:rsid w:val="255356EB"/>
    <w:rsid w:val="255526B0"/>
    <w:rsid w:val="256D3D30"/>
    <w:rsid w:val="257A518B"/>
    <w:rsid w:val="259E7A37"/>
    <w:rsid w:val="25B23490"/>
    <w:rsid w:val="25BC57A4"/>
    <w:rsid w:val="25C920AE"/>
    <w:rsid w:val="25D75D6C"/>
    <w:rsid w:val="25DD55BE"/>
    <w:rsid w:val="25E53680"/>
    <w:rsid w:val="25F174B6"/>
    <w:rsid w:val="25F219D5"/>
    <w:rsid w:val="25FC5A56"/>
    <w:rsid w:val="26046D94"/>
    <w:rsid w:val="26084E8D"/>
    <w:rsid w:val="261B39AB"/>
    <w:rsid w:val="26282034"/>
    <w:rsid w:val="262E4567"/>
    <w:rsid w:val="26386013"/>
    <w:rsid w:val="26497A42"/>
    <w:rsid w:val="264F452F"/>
    <w:rsid w:val="26627A33"/>
    <w:rsid w:val="267F0244"/>
    <w:rsid w:val="26822AF7"/>
    <w:rsid w:val="26906C30"/>
    <w:rsid w:val="26910C04"/>
    <w:rsid w:val="26A2483A"/>
    <w:rsid w:val="26C92BC5"/>
    <w:rsid w:val="26CD1546"/>
    <w:rsid w:val="26E44D3C"/>
    <w:rsid w:val="26ED6DBF"/>
    <w:rsid w:val="26FE247D"/>
    <w:rsid w:val="270238D8"/>
    <w:rsid w:val="271A6C26"/>
    <w:rsid w:val="27246EF6"/>
    <w:rsid w:val="27274379"/>
    <w:rsid w:val="272D7E42"/>
    <w:rsid w:val="27443545"/>
    <w:rsid w:val="27475891"/>
    <w:rsid w:val="27515C45"/>
    <w:rsid w:val="276A7B67"/>
    <w:rsid w:val="27883FBE"/>
    <w:rsid w:val="278F2942"/>
    <w:rsid w:val="27AC4BCF"/>
    <w:rsid w:val="27AF6209"/>
    <w:rsid w:val="27DD1167"/>
    <w:rsid w:val="27E30012"/>
    <w:rsid w:val="27E31772"/>
    <w:rsid w:val="27E96C07"/>
    <w:rsid w:val="27EC0B62"/>
    <w:rsid w:val="27EC495B"/>
    <w:rsid w:val="27F00594"/>
    <w:rsid w:val="27F15498"/>
    <w:rsid w:val="27F9120D"/>
    <w:rsid w:val="281E4F67"/>
    <w:rsid w:val="282150C6"/>
    <w:rsid w:val="28345B2B"/>
    <w:rsid w:val="2839684E"/>
    <w:rsid w:val="284F53AF"/>
    <w:rsid w:val="2859035D"/>
    <w:rsid w:val="285A46CB"/>
    <w:rsid w:val="2864676A"/>
    <w:rsid w:val="2889597D"/>
    <w:rsid w:val="28917C49"/>
    <w:rsid w:val="28BD7E42"/>
    <w:rsid w:val="28DA1C93"/>
    <w:rsid w:val="28E51C4B"/>
    <w:rsid w:val="28E835EB"/>
    <w:rsid w:val="28F434A6"/>
    <w:rsid w:val="290818EB"/>
    <w:rsid w:val="293056AC"/>
    <w:rsid w:val="293F102B"/>
    <w:rsid w:val="294B328D"/>
    <w:rsid w:val="29544E20"/>
    <w:rsid w:val="29602492"/>
    <w:rsid w:val="29781C29"/>
    <w:rsid w:val="297D524A"/>
    <w:rsid w:val="298A3445"/>
    <w:rsid w:val="299058B2"/>
    <w:rsid w:val="29952F90"/>
    <w:rsid w:val="29BA1BB2"/>
    <w:rsid w:val="29C07BCC"/>
    <w:rsid w:val="29EA4AA6"/>
    <w:rsid w:val="2A094C80"/>
    <w:rsid w:val="2A1B46CD"/>
    <w:rsid w:val="2A1C442B"/>
    <w:rsid w:val="2A2365D9"/>
    <w:rsid w:val="2A2474EA"/>
    <w:rsid w:val="2A342C1B"/>
    <w:rsid w:val="2A4832C4"/>
    <w:rsid w:val="2A5D2343"/>
    <w:rsid w:val="2A5F29FA"/>
    <w:rsid w:val="2A5F6A51"/>
    <w:rsid w:val="2A6754FA"/>
    <w:rsid w:val="2A8F5AE7"/>
    <w:rsid w:val="2A9A4FEC"/>
    <w:rsid w:val="2A9C4BC6"/>
    <w:rsid w:val="2AA4757C"/>
    <w:rsid w:val="2AB47003"/>
    <w:rsid w:val="2AD9469D"/>
    <w:rsid w:val="2AE81E78"/>
    <w:rsid w:val="2AE87AEC"/>
    <w:rsid w:val="2AF01A3C"/>
    <w:rsid w:val="2AF46ACC"/>
    <w:rsid w:val="2AFB6454"/>
    <w:rsid w:val="2B123A09"/>
    <w:rsid w:val="2B1E44AA"/>
    <w:rsid w:val="2B2048E2"/>
    <w:rsid w:val="2B2065DA"/>
    <w:rsid w:val="2B2362C5"/>
    <w:rsid w:val="2B2838DB"/>
    <w:rsid w:val="2B2B261D"/>
    <w:rsid w:val="2B2E18AC"/>
    <w:rsid w:val="2B420EB5"/>
    <w:rsid w:val="2B4460F3"/>
    <w:rsid w:val="2B611226"/>
    <w:rsid w:val="2B7840B3"/>
    <w:rsid w:val="2B8750E2"/>
    <w:rsid w:val="2BAC259B"/>
    <w:rsid w:val="2BBC0A4B"/>
    <w:rsid w:val="2BCE1078"/>
    <w:rsid w:val="2BD022C8"/>
    <w:rsid w:val="2BE45390"/>
    <w:rsid w:val="2C0D1124"/>
    <w:rsid w:val="2C16748E"/>
    <w:rsid w:val="2C1B3A2E"/>
    <w:rsid w:val="2C1B7576"/>
    <w:rsid w:val="2C240F7A"/>
    <w:rsid w:val="2C254210"/>
    <w:rsid w:val="2C336AD6"/>
    <w:rsid w:val="2C4122FF"/>
    <w:rsid w:val="2C431F03"/>
    <w:rsid w:val="2C556F7E"/>
    <w:rsid w:val="2C6108CC"/>
    <w:rsid w:val="2C6A6448"/>
    <w:rsid w:val="2C717190"/>
    <w:rsid w:val="2C8C202F"/>
    <w:rsid w:val="2CA13D1E"/>
    <w:rsid w:val="2CA81ACF"/>
    <w:rsid w:val="2CB37B2A"/>
    <w:rsid w:val="2CB74F17"/>
    <w:rsid w:val="2CC23A57"/>
    <w:rsid w:val="2CD17A52"/>
    <w:rsid w:val="2CDC63A4"/>
    <w:rsid w:val="2CEB01DB"/>
    <w:rsid w:val="2CF776EF"/>
    <w:rsid w:val="2D151C3D"/>
    <w:rsid w:val="2D274F9A"/>
    <w:rsid w:val="2D2D2C93"/>
    <w:rsid w:val="2D3F170C"/>
    <w:rsid w:val="2D4E6583"/>
    <w:rsid w:val="2D5A2818"/>
    <w:rsid w:val="2D646770"/>
    <w:rsid w:val="2D764C6F"/>
    <w:rsid w:val="2D885DEC"/>
    <w:rsid w:val="2D8A78B1"/>
    <w:rsid w:val="2D8F379E"/>
    <w:rsid w:val="2D9355C3"/>
    <w:rsid w:val="2DA336ED"/>
    <w:rsid w:val="2DAA2934"/>
    <w:rsid w:val="2DB9081B"/>
    <w:rsid w:val="2DBE4083"/>
    <w:rsid w:val="2DCB7516"/>
    <w:rsid w:val="2DCE7D49"/>
    <w:rsid w:val="2DD613CD"/>
    <w:rsid w:val="2DE050F7"/>
    <w:rsid w:val="2E132E52"/>
    <w:rsid w:val="2E305235"/>
    <w:rsid w:val="2E4C78E1"/>
    <w:rsid w:val="2E575861"/>
    <w:rsid w:val="2E6E5040"/>
    <w:rsid w:val="2E910E59"/>
    <w:rsid w:val="2EA06778"/>
    <w:rsid w:val="2EA20B7C"/>
    <w:rsid w:val="2EB05510"/>
    <w:rsid w:val="2EBF44A9"/>
    <w:rsid w:val="2EC425D7"/>
    <w:rsid w:val="2ED175B7"/>
    <w:rsid w:val="2ED46413"/>
    <w:rsid w:val="2EE15F74"/>
    <w:rsid w:val="2EE17A9F"/>
    <w:rsid w:val="2EE856EC"/>
    <w:rsid w:val="2EEF1782"/>
    <w:rsid w:val="2EF86D4A"/>
    <w:rsid w:val="2EFA3352"/>
    <w:rsid w:val="2F035E00"/>
    <w:rsid w:val="2F347116"/>
    <w:rsid w:val="2F3F4A85"/>
    <w:rsid w:val="2F5875C2"/>
    <w:rsid w:val="2F77256D"/>
    <w:rsid w:val="2F8A6913"/>
    <w:rsid w:val="2F926239"/>
    <w:rsid w:val="2F972ABA"/>
    <w:rsid w:val="2F9C0373"/>
    <w:rsid w:val="2FA144C8"/>
    <w:rsid w:val="2FB01437"/>
    <w:rsid w:val="2FB42237"/>
    <w:rsid w:val="2FCF4279"/>
    <w:rsid w:val="2FD07B27"/>
    <w:rsid w:val="2FE27232"/>
    <w:rsid w:val="2FF51816"/>
    <w:rsid w:val="2FFC3975"/>
    <w:rsid w:val="300D21F1"/>
    <w:rsid w:val="30202DD3"/>
    <w:rsid w:val="30246B39"/>
    <w:rsid w:val="302B7681"/>
    <w:rsid w:val="30327758"/>
    <w:rsid w:val="3066650C"/>
    <w:rsid w:val="306E7710"/>
    <w:rsid w:val="3079715A"/>
    <w:rsid w:val="30951E06"/>
    <w:rsid w:val="30B24C8F"/>
    <w:rsid w:val="30B72542"/>
    <w:rsid w:val="30BC3658"/>
    <w:rsid w:val="30BD690A"/>
    <w:rsid w:val="30BF29FB"/>
    <w:rsid w:val="30C92E80"/>
    <w:rsid w:val="30DF76F0"/>
    <w:rsid w:val="30E13F7A"/>
    <w:rsid w:val="30E4301A"/>
    <w:rsid w:val="30ED19D3"/>
    <w:rsid w:val="31011C0D"/>
    <w:rsid w:val="312D4CCC"/>
    <w:rsid w:val="3133784D"/>
    <w:rsid w:val="31347C1E"/>
    <w:rsid w:val="31416B76"/>
    <w:rsid w:val="31492F5E"/>
    <w:rsid w:val="316D3DF6"/>
    <w:rsid w:val="3178679F"/>
    <w:rsid w:val="318301E4"/>
    <w:rsid w:val="31897E27"/>
    <w:rsid w:val="31981DDB"/>
    <w:rsid w:val="31A37A04"/>
    <w:rsid w:val="31BE0AF5"/>
    <w:rsid w:val="31C51FB3"/>
    <w:rsid w:val="31C82AFC"/>
    <w:rsid w:val="31E57E30"/>
    <w:rsid w:val="31EF40BC"/>
    <w:rsid w:val="31FB3AF8"/>
    <w:rsid w:val="32060809"/>
    <w:rsid w:val="32163D42"/>
    <w:rsid w:val="321817D1"/>
    <w:rsid w:val="3236701A"/>
    <w:rsid w:val="328F6AA2"/>
    <w:rsid w:val="329435BC"/>
    <w:rsid w:val="32944037"/>
    <w:rsid w:val="32A25FEB"/>
    <w:rsid w:val="32A448DE"/>
    <w:rsid w:val="32B45315"/>
    <w:rsid w:val="32C10D60"/>
    <w:rsid w:val="32C55A17"/>
    <w:rsid w:val="32DC5587"/>
    <w:rsid w:val="32DD37B2"/>
    <w:rsid w:val="32DE7359"/>
    <w:rsid w:val="32F26CA9"/>
    <w:rsid w:val="32F763B0"/>
    <w:rsid w:val="33035931"/>
    <w:rsid w:val="330E2B01"/>
    <w:rsid w:val="3327319E"/>
    <w:rsid w:val="334B583F"/>
    <w:rsid w:val="33531584"/>
    <w:rsid w:val="33613D67"/>
    <w:rsid w:val="337E3973"/>
    <w:rsid w:val="337F71F6"/>
    <w:rsid w:val="33990639"/>
    <w:rsid w:val="339F0590"/>
    <w:rsid w:val="33B639CC"/>
    <w:rsid w:val="33BF2903"/>
    <w:rsid w:val="33C00D4E"/>
    <w:rsid w:val="33D71116"/>
    <w:rsid w:val="33E12813"/>
    <w:rsid w:val="33F033C3"/>
    <w:rsid w:val="33F07BA0"/>
    <w:rsid w:val="33FC6953"/>
    <w:rsid w:val="3401126C"/>
    <w:rsid w:val="340F6321"/>
    <w:rsid w:val="342B7104"/>
    <w:rsid w:val="3434112C"/>
    <w:rsid w:val="34567033"/>
    <w:rsid w:val="347668BE"/>
    <w:rsid w:val="34824787"/>
    <w:rsid w:val="34922DBE"/>
    <w:rsid w:val="34945D99"/>
    <w:rsid w:val="349E658F"/>
    <w:rsid w:val="34A96C4E"/>
    <w:rsid w:val="34B67D92"/>
    <w:rsid w:val="34CB4AF0"/>
    <w:rsid w:val="34CF403A"/>
    <w:rsid w:val="34D7723E"/>
    <w:rsid w:val="34E93E19"/>
    <w:rsid w:val="350D2F7E"/>
    <w:rsid w:val="351120A1"/>
    <w:rsid w:val="352F4185"/>
    <w:rsid w:val="35463DBA"/>
    <w:rsid w:val="35487473"/>
    <w:rsid w:val="354B402D"/>
    <w:rsid w:val="355563BA"/>
    <w:rsid w:val="35777939"/>
    <w:rsid w:val="35794460"/>
    <w:rsid w:val="358521E7"/>
    <w:rsid w:val="359C0C23"/>
    <w:rsid w:val="35AB75E3"/>
    <w:rsid w:val="35AD46F2"/>
    <w:rsid w:val="35B30761"/>
    <w:rsid w:val="35B44D6B"/>
    <w:rsid w:val="35B74DDB"/>
    <w:rsid w:val="35C27C1F"/>
    <w:rsid w:val="35C72551"/>
    <w:rsid w:val="35D63EB9"/>
    <w:rsid w:val="35D66775"/>
    <w:rsid w:val="35E87898"/>
    <w:rsid w:val="35F067EB"/>
    <w:rsid w:val="35FC419F"/>
    <w:rsid w:val="35FE7EA9"/>
    <w:rsid w:val="361D749E"/>
    <w:rsid w:val="36264CDF"/>
    <w:rsid w:val="365078F5"/>
    <w:rsid w:val="365D2DBB"/>
    <w:rsid w:val="366155B1"/>
    <w:rsid w:val="36944DE6"/>
    <w:rsid w:val="36992ED7"/>
    <w:rsid w:val="369B6B5B"/>
    <w:rsid w:val="36A762D2"/>
    <w:rsid w:val="36B0316F"/>
    <w:rsid w:val="36CB18B9"/>
    <w:rsid w:val="36DA7698"/>
    <w:rsid w:val="36EB2702"/>
    <w:rsid w:val="36EC4C78"/>
    <w:rsid w:val="36ED3A78"/>
    <w:rsid w:val="36FA4821"/>
    <w:rsid w:val="36FC4BE4"/>
    <w:rsid w:val="37121464"/>
    <w:rsid w:val="371F6B69"/>
    <w:rsid w:val="37311B98"/>
    <w:rsid w:val="37320E77"/>
    <w:rsid w:val="375A3AE5"/>
    <w:rsid w:val="37720EE1"/>
    <w:rsid w:val="37835EB9"/>
    <w:rsid w:val="37855847"/>
    <w:rsid w:val="378C151C"/>
    <w:rsid w:val="37D74586"/>
    <w:rsid w:val="37D837CF"/>
    <w:rsid w:val="37E43FDF"/>
    <w:rsid w:val="37ED53A5"/>
    <w:rsid w:val="37EF39F2"/>
    <w:rsid w:val="381305BD"/>
    <w:rsid w:val="381A6E4B"/>
    <w:rsid w:val="381B6F2D"/>
    <w:rsid w:val="381C50CD"/>
    <w:rsid w:val="382104AF"/>
    <w:rsid w:val="38262F32"/>
    <w:rsid w:val="383A7AA3"/>
    <w:rsid w:val="383B40B2"/>
    <w:rsid w:val="38403C5B"/>
    <w:rsid w:val="385F783A"/>
    <w:rsid w:val="3876438E"/>
    <w:rsid w:val="387C26DA"/>
    <w:rsid w:val="388233F0"/>
    <w:rsid w:val="38A1498C"/>
    <w:rsid w:val="38A16576"/>
    <w:rsid w:val="38A47730"/>
    <w:rsid w:val="38B05331"/>
    <w:rsid w:val="38B315C7"/>
    <w:rsid w:val="38C529DD"/>
    <w:rsid w:val="38CF0226"/>
    <w:rsid w:val="38D50D67"/>
    <w:rsid w:val="38E572FE"/>
    <w:rsid w:val="38EA2DF0"/>
    <w:rsid w:val="391C6321"/>
    <w:rsid w:val="391F637E"/>
    <w:rsid w:val="39217040"/>
    <w:rsid w:val="392D11D5"/>
    <w:rsid w:val="394B3983"/>
    <w:rsid w:val="39570CAC"/>
    <w:rsid w:val="39582F3C"/>
    <w:rsid w:val="395C19A9"/>
    <w:rsid w:val="39672AF0"/>
    <w:rsid w:val="39743285"/>
    <w:rsid w:val="398372B0"/>
    <w:rsid w:val="39B50E44"/>
    <w:rsid w:val="39EC72A2"/>
    <w:rsid w:val="39F1334A"/>
    <w:rsid w:val="39F350B4"/>
    <w:rsid w:val="39F636E4"/>
    <w:rsid w:val="39F96679"/>
    <w:rsid w:val="3A24406F"/>
    <w:rsid w:val="3A294859"/>
    <w:rsid w:val="3A35196F"/>
    <w:rsid w:val="3A4F5348"/>
    <w:rsid w:val="3A504A37"/>
    <w:rsid w:val="3A5210DD"/>
    <w:rsid w:val="3A5F0277"/>
    <w:rsid w:val="3A6B10FD"/>
    <w:rsid w:val="3A6C0F48"/>
    <w:rsid w:val="3A777901"/>
    <w:rsid w:val="3A9068CA"/>
    <w:rsid w:val="3AAE6F5B"/>
    <w:rsid w:val="3AB51AB1"/>
    <w:rsid w:val="3AC667DE"/>
    <w:rsid w:val="3AE35497"/>
    <w:rsid w:val="3AF848EA"/>
    <w:rsid w:val="3AFC7DBA"/>
    <w:rsid w:val="3B0E6CDC"/>
    <w:rsid w:val="3B1160AA"/>
    <w:rsid w:val="3B1B5FD6"/>
    <w:rsid w:val="3B2E2509"/>
    <w:rsid w:val="3B33283C"/>
    <w:rsid w:val="3B36490E"/>
    <w:rsid w:val="3B586FD3"/>
    <w:rsid w:val="3B5F656E"/>
    <w:rsid w:val="3B6D1590"/>
    <w:rsid w:val="3B6D6560"/>
    <w:rsid w:val="3B6F77A6"/>
    <w:rsid w:val="3B724AE2"/>
    <w:rsid w:val="3B812C72"/>
    <w:rsid w:val="3BAE3DC7"/>
    <w:rsid w:val="3BB31A61"/>
    <w:rsid w:val="3BB433BB"/>
    <w:rsid w:val="3BCB4D1D"/>
    <w:rsid w:val="3BD8616C"/>
    <w:rsid w:val="3C0C10ED"/>
    <w:rsid w:val="3C1533CA"/>
    <w:rsid w:val="3C1860C7"/>
    <w:rsid w:val="3C4D1164"/>
    <w:rsid w:val="3C5462DE"/>
    <w:rsid w:val="3C584599"/>
    <w:rsid w:val="3C70349A"/>
    <w:rsid w:val="3C7324DC"/>
    <w:rsid w:val="3C7B6BE8"/>
    <w:rsid w:val="3C9A1E9B"/>
    <w:rsid w:val="3C9E4F6D"/>
    <w:rsid w:val="3CA24F43"/>
    <w:rsid w:val="3CA2598D"/>
    <w:rsid w:val="3CA560E8"/>
    <w:rsid w:val="3CAF00EB"/>
    <w:rsid w:val="3CBE19AA"/>
    <w:rsid w:val="3CC0774E"/>
    <w:rsid w:val="3CD53D49"/>
    <w:rsid w:val="3CED1FDF"/>
    <w:rsid w:val="3CF11874"/>
    <w:rsid w:val="3CF60287"/>
    <w:rsid w:val="3D0D1774"/>
    <w:rsid w:val="3D0E0B83"/>
    <w:rsid w:val="3D1729DA"/>
    <w:rsid w:val="3D237ADA"/>
    <w:rsid w:val="3D2E2CA1"/>
    <w:rsid w:val="3D380774"/>
    <w:rsid w:val="3D5237C1"/>
    <w:rsid w:val="3D58218F"/>
    <w:rsid w:val="3D796F13"/>
    <w:rsid w:val="3D7F7C55"/>
    <w:rsid w:val="3DA35220"/>
    <w:rsid w:val="3DA81BEC"/>
    <w:rsid w:val="3DD50C9B"/>
    <w:rsid w:val="3DE00E19"/>
    <w:rsid w:val="3DE76852"/>
    <w:rsid w:val="3DFE0BF8"/>
    <w:rsid w:val="3DFF4CF8"/>
    <w:rsid w:val="3E100416"/>
    <w:rsid w:val="3E1C3A43"/>
    <w:rsid w:val="3E214BB0"/>
    <w:rsid w:val="3E343C68"/>
    <w:rsid w:val="3E531068"/>
    <w:rsid w:val="3E7E7130"/>
    <w:rsid w:val="3E8210BF"/>
    <w:rsid w:val="3E8325D8"/>
    <w:rsid w:val="3E9E37C9"/>
    <w:rsid w:val="3EA026D5"/>
    <w:rsid w:val="3EA253FB"/>
    <w:rsid w:val="3EC14B66"/>
    <w:rsid w:val="3EC245B2"/>
    <w:rsid w:val="3EC72C53"/>
    <w:rsid w:val="3ECF0B19"/>
    <w:rsid w:val="3EDB343B"/>
    <w:rsid w:val="3EDF4B23"/>
    <w:rsid w:val="3EE7064A"/>
    <w:rsid w:val="3EF26352"/>
    <w:rsid w:val="3F15197D"/>
    <w:rsid w:val="3F2A1E20"/>
    <w:rsid w:val="3F3C30D6"/>
    <w:rsid w:val="3F445432"/>
    <w:rsid w:val="3F494B04"/>
    <w:rsid w:val="3F5C7014"/>
    <w:rsid w:val="3F6A77FF"/>
    <w:rsid w:val="3F734817"/>
    <w:rsid w:val="3F737B94"/>
    <w:rsid w:val="3F76574D"/>
    <w:rsid w:val="3F853849"/>
    <w:rsid w:val="3F8B48B6"/>
    <w:rsid w:val="3F9907F8"/>
    <w:rsid w:val="3FA67074"/>
    <w:rsid w:val="3FB61231"/>
    <w:rsid w:val="3FB7030A"/>
    <w:rsid w:val="3FB93AF4"/>
    <w:rsid w:val="3FC127D1"/>
    <w:rsid w:val="3FD23D45"/>
    <w:rsid w:val="3FD332A4"/>
    <w:rsid w:val="3FE165F6"/>
    <w:rsid w:val="3FE2526D"/>
    <w:rsid w:val="3FF027C2"/>
    <w:rsid w:val="402111DF"/>
    <w:rsid w:val="403E4E33"/>
    <w:rsid w:val="404662B4"/>
    <w:rsid w:val="405B5DAD"/>
    <w:rsid w:val="405D616A"/>
    <w:rsid w:val="406B0212"/>
    <w:rsid w:val="40752C8D"/>
    <w:rsid w:val="407A6EF0"/>
    <w:rsid w:val="40871E6D"/>
    <w:rsid w:val="408F0DBE"/>
    <w:rsid w:val="4093139F"/>
    <w:rsid w:val="40A43B89"/>
    <w:rsid w:val="40A86C7F"/>
    <w:rsid w:val="40B02C96"/>
    <w:rsid w:val="40C50D63"/>
    <w:rsid w:val="40C85F5A"/>
    <w:rsid w:val="40D0548A"/>
    <w:rsid w:val="40D66825"/>
    <w:rsid w:val="40DB567E"/>
    <w:rsid w:val="40EC324F"/>
    <w:rsid w:val="40FE0B51"/>
    <w:rsid w:val="40FE1F15"/>
    <w:rsid w:val="411D5318"/>
    <w:rsid w:val="41221B24"/>
    <w:rsid w:val="412D35A2"/>
    <w:rsid w:val="413B33BC"/>
    <w:rsid w:val="4142512F"/>
    <w:rsid w:val="41696BC4"/>
    <w:rsid w:val="416F7716"/>
    <w:rsid w:val="4179704B"/>
    <w:rsid w:val="417C3643"/>
    <w:rsid w:val="41B12D2F"/>
    <w:rsid w:val="41C34E35"/>
    <w:rsid w:val="41D22E02"/>
    <w:rsid w:val="41DC0A05"/>
    <w:rsid w:val="41DE664A"/>
    <w:rsid w:val="420A4A9C"/>
    <w:rsid w:val="42110800"/>
    <w:rsid w:val="421F0844"/>
    <w:rsid w:val="42284C4D"/>
    <w:rsid w:val="424E49D3"/>
    <w:rsid w:val="42534818"/>
    <w:rsid w:val="426771A6"/>
    <w:rsid w:val="42747E89"/>
    <w:rsid w:val="427B5F8C"/>
    <w:rsid w:val="427D037D"/>
    <w:rsid w:val="427F1C6E"/>
    <w:rsid w:val="42834DEB"/>
    <w:rsid w:val="429A3BEE"/>
    <w:rsid w:val="429E78A4"/>
    <w:rsid w:val="42A84EA8"/>
    <w:rsid w:val="42D678C6"/>
    <w:rsid w:val="42E71582"/>
    <w:rsid w:val="42F1351E"/>
    <w:rsid w:val="433C547A"/>
    <w:rsid w:val="434E3B40"/>
    <w:rsid w:val="43571AC0"/>
    <w:rsid w:val="43704576"/>
    <w:rsid w:val="438363EE"/>
    <w:rsid w:val="43925311"/>
    <w:rsid w:val="4395479E"/>
    <w:rsid w:val="439C25C8"/>
    <w:rsid w:val="439E6A72"/>
    <w:rsid w:val="43E24F65"/>
    <w:rsid w:val="43F95456"/>
    <w:rsid w:val="44147178"/>
    <w:rsid w:val="44203A1A"/>
    <w:rsid w:val="4421371C"/>
    <w:rsid w:val="44264B1D"/>
    <w:rsid w:val="4428122F"/>
    <w:rsid w:val="442B6032"/>
    <w:rsid w:val="443D0884"/>
    <w:rsid w:val="444525C6"/>
    <w:rsid w:val="444E5F56"/>
    <w:rsid w:val="44550B05"/>
    <w:rsid w:val="445848AB"/>
    <w:rsid w:val="447B19D3"/>
    <w:rsid w:val="447F4128"/>
    <w:rsid w:val="44822C61"/>
    <w:rsid w:val="4488073B"/>
    <w:rsid w:val="448F13E3"/>
    <w:rsid w:val="449355E8"/>
    <w:rsid w:val="44A21E4F"/>
    <w:rsid w:val="44A43B7B"/>
    <w:rsid w:val="44B809E3"/>
    <w:rsid w:val="44BD4C3D"/>
    <w:rsid w:val="44C4409D"/>
    <w:rsid w:val="44C80E26"/>
    <w:rsid w:val="44D93D9C"/>
    <w:rsid w:val="44E73A68"/>
    <w:rsid w:val="44FE41F3"/>
    <w:rsid w:val="45273367"/>
    <w:rsid w:val="45322088"/>
    <w:rsid w:val="453341B1"/>
    <w:rsid w:val="453B08C9"/>
    <w:rsid w:val="4548631D"/>
    <w:rsid w:val="454D7580"/>
    <w:rsid w:val="456815F5"/>
    <w:rsid w:val="45A81370"/>
    <w:rsid w:val="45CB6EEF"/>
    <w:rsid w:val="45E113A4"/>
    <w:rsid w:val="45E54B05"/>
    <w:rsid w:val="45E85A95"/>
    <w:rsid w:val="45EA7757"/>
    <w:rsid w:val="45F47AC8"/>
    <w:rsid w:val="45F80C4E"/>
    <w:rsid w:val="461D1903"/>
    <w:rsid w:val="461E462C"/>
    <w:rsid w:val="463C12A7"/>
    <w:rsid w:val="46402439"/>
    <w:rsid w:val="46455DA4"/>
    <w:rsid w:val="46523EB7"/>
    <w:rsid w:val="46672CBC"/>
    <w:rsid w:val="46742CDD"/>
    <w:rsid w:val="467C0B9D"/>
    <w:rsid w:val="468174FD"/>
    <w:rsid w:val="46B75F04"/>
    <w:rsid w:val="47013507"/>
    <w:rsid w:val="471E23AD"/>
    <w:rsid w:val="47264A2E"/>
    <w:rsid w:val="472D07D6"/>
    <w:rsid w:val="47336772"/>
    <w:rsid w:val="474253DA"/>
    <w:rsid w:val="474368BD"/>
    <w:rsid w:val="474A12F7"/>
    <w:rsid w:val="476D339B"/>
    <w:rsid w:val="47713778"/>
    <w:rsid w:val="47724B8C"/>
    <w:rsid w:val="47821364"/>
    <w:rsid w:val="478A1D44"/>
    <w:rsid w:val="478F28C0"/>
    <w:rsid w:val="479135FB"/>
    <w:rsid w:val="47A46B2E"/>
    <w:rsid w:val="47A64ED6"/>
    <w:rsid w:val="47B15320"/>
    <w:rsid w:val="47C17FC6"/>
    <w:rsid w:val="47D77AE4"/>
    <w:rsid w:val="47EE1DE4"/>
    <w:rsid w:val="480220F4"/>
    <w:rsid w:val="48195DC3"/>
    <w:rsid w:val="481A5A5C"/>
    <w:rsid w:val="48217EC1"/>
    <w:rsid w:val="482368DC"/>
    <w:rsid w:val="48480048"/>
    <w:rsid w:val="48561630"/>
    <w:rsid w:val="485B6DB7"/>
    <w:rsid w:val="48624972"/>
    <w:rsid w:val="48772862"/>
    <w:rsid w:val="48822425"/>
    <w:rsid w:val="48882B1F"/>
    <w:rsid w:val="48943A40"/>
    <w:rsid w:val="48966751"/>
    <w:rsid w:val="489675FD"/>
    <w:rsid w:val="489C2AC1"/>
    <w:rsid w:val="48B0622E"/>
    <w:rsid w:val="48B2126D"/>
    <w:rsid w:val="48CA7B82"/>
    <w:rsid w:val="48DF2769"/>
    <w:rsid w:val="48F55735"/>
    <w:rsid w:val="48F81FDA"/>
    <w:rsid w:val="4912179A"/>
    <w:rsid w:val="491D67EA"/>
    <w:rsid w:val="49267254"/>
    <w:rsid w:val="492920A3"/>
    <w:rsid w:val="493C79EE"/>
    <w:rsid w:val="495042D1"/>
    <w:rsid w:val="496D1BBE"/>
    <w:rsid w:val="497761B0"/>
    <w:rsid w:val="49865F45"/>
    <w:rsid w:val="499413CC"/>
    <w:rsid w:val="49955620"/>
    <w:rsid w:val="49B040DD"/>
    <w:rsid w:val="49B6029E"/>
    <w:rsid w:val="49C062D8"/>
    <w:rsid w:val="4A180323"/>
    <w:rsid w:val="4A18521A"/>
    <w:rsid w:val="4A1B50E6"/>
    <w:rsid w:val="4A2C352E"/>
    <w:rsid w:val="4A3A66C0"/>
    <w:rsid w:val="4A4C66CE"/>
    <w:rsid w:val="4A5D0777"/>
    <w:rsid w:val="4A5D6CA6"/>
    <w:rsid w:val="4A626DCE"/>
    <w:rsid w:val="4A645948"/>
    <w:rsid w:val="4A8D37B6"/>
    <w:rsid w:val="4AC83A3B"/>
    <w:rsid w:val="4ACA452E"/>
    <w:rsid w:val="4AD24C14"/>
    <w:rsid w:val="4ADE2FAB"/>
    <w:rsid w:val="4AE74A5E"/>
    <w:rsid w:val="4AFE3506"/>
    <w:rsid w:val="4AFF271B"/>
    <w:rsid w:val="4B0C077B"/>
    <w:rsid w:val="4B0C2D92"/>
    <w:rsid w:val="4B210973"/>
    <w:rsid w:val="4B32146E"/>
    <w:rsid w:val="4B393AC9"/>
    <w:rsid w:val="4B400745"/>
    <w:rsid w:val="4B410375"/>
    <w:rsid w:val="4B475260"/>
    <w:rsid w:val="4B497DA7"/>
    <w:rsid w:val="4B53235D"/>
    <w:rsid w:val="4B5E2A2B"/>
    <w:rsid w:val="4B7C3DE9"/>
    <w:rsid w:val="4B851A3B"/>
    <w:rsid w:val="4B866EBD"/>
    <w:rsid w:val="4BA94B51"/>
    <w:rsid w:val="4BAD490F"/>
    <w:rsid w:val="4BB075FB"/>
    <w:rsid w:val="4BB44F0C"/>
    <w:rsid w:val="4BCB5F10"/>
    <w:rsid w:val="4BDC4253"/>
    <w:rsid w:val="4BE839CF"/>
    <w:rsid w:val="4C004E19"/>
    <w:rsid w:val="4C11522E"/>
    <w:rsid w:val="4C163602"/>
    <w:rsid w:val="4C336762"/>
    <w:rsid w:val="4C3938C0"/>
    <w:rsid w:val="4C432428"/>
    <w:rsid w:val="4C436A9B"/>
    <w:rsid w:val="4C501432"/>
    <w:rsid w:val="4C5C7610"/>
    <w:rsid w:val="4C607541"/>
    <w:rsid w:val="4C6274BB"/>
    <w:rsid w:val="4C66772F"/>
    <w:rsid w:val="4C82244E"/>
    <w:rsid w:val="4C8F160B"/>
    <w:rsid w:val="4C977111"/>
    <w:rsid w:val="4C983FC5"/>
    <w:rsid w:val="4C9E76A5"/>
    <w:rsid w:val="4CA24256"/>
    <w:rsid w:val="4CA50001"/>
    <w:rsid w:val="4CA8788E"/>
    <w:rsid w:val="4CBB0755"/>
    <w:rsid w:val="4CE3088A"/>
    <w:rsid w:val="4CE71F53"/>
    <w:rsid w:val="4D014FE2"/>
    <w:rsid w:val="4D08518D"/>
    <w:rsid w:val="4D2E66D8"/>
    <w:rsid w:val="4D463A08"/>
    <w:rsid w:val="4D6D3F81"/>
    <w:rsid w:val="4D9E5CB2"/>
    <w:rsid w:val="4DAE2F83"/>
    <w:rsid w:val="4E012872"/>
    <w:rsid w:val="4E09271D"/>
    <w:rsid w:val="4E1A2A71"/>
    <w:rsid w:val="4E1E674C"/>
    <w:rsid w:val="4E346177"/>
    <w:rsid w:val="4E43533F"/>
    <w:rsid w:val="4E530037"/>
    <w:rsid w:val="4E604533"/>
    <w:rsid w:val="4E663239"/>
    <w:rsid w:val="4E716620"/>
    <w:rsid w:val="4E800C84"/>
    <w:rsid w:val="4E8D754D"/>
    <w:rsid w:val="4E95005D"/>
    <w:rsid w:val="4E992668"/>
    <w:rsid w:val="4EBA7A48"/>
    <w:rsid w:val="4EC350E2"/>
    <w:rsid w:val="4EDA69AB"/>
    <w:rsid w:val="4EE11D93"/>
    <w:rsid w:val="4EEC4C10"/>
    <w:rsid w:val="4EED5864"/>
    <w:rsid w:val="4EF47AB2"/>
    <w:rsid w:val="4F02606E"/>
    <w:rsid w:val="4F042239"/>
    <w:rsid w:val="4F13747A"/>
    <w:rsid w:val="4F214803"/>
    <w:rsid w:val="4F2206A9"/>
    <w:rsid w:val="4F22390A"/>
    <w:rsid w:val="4F266E8C"/>
    <w:rsid w:val="4F300EF8"/>
    <w:rsid w:val="4F340278"/>
    <w:rsid w:val="4F3A75B6"/>
    <w:rsid w:val="4F6156AF"/>
    <w:rsid w:val="4F677071"/>
    <w:rsid w:val="4F6D1AE7"/>
    <w:rsid w:val="4F754924"/>
    <w:rsid w:val="4F8A7E4B"/>
    <w:rsid w:val="4F8C1835"/>
    <w:rsid w:val="4F9940C2"/>
    <w:rsid w:val="4FA61FC2"/>
    <w:rsid w:val="4FAB567F"/>
    <w:rsid w:val="4FAD532B"/>
    <w:rsid w:val="4FBB7EF1"/>
    <w:rsid w:val="4FC007B1"/>
    <w:rsid w:val="4FC652ED"/>
    <w:rsid w:val="4FD51A72"/>
    <w:rsid w:val="4FDE16F7"/>
    <w:rsid w:val="4FDF062B"/>
    <w:rsid w:val="4FE17A31"/>
    <w:rsid w:val="4FEF253E"/>
    <w:rsid w:val="50030D49"/>
    <w:rsid w:val="50052BD9"/>
    <w:rsid w:val="501134A0"/>
    <w:rsid w:val="50116691"/>
    <w:rsid w:val="5017360B"/>
    <w:rsid w:val="501F1533"/>
    <w:rsid w:val="502B773E"/>
    <w:rsid w:val="50363EA4"/>
    <w:rsid w:val="50551118"/>
    <w:rsid w:val="505730E1"/>
    <w:rsid w:val="507A768C"/>
    <w:rsid w:val="50812A01"/>
    <w:rsid w:val="50863846"/>
    <w:rsid w:val="50945742"/>
    <w:rsid w:val="5096401B"/>
    <w:rsid w:val="50A3440D"/>
    <w:rsid w:val="50D17AAE"/>
    <w:rsid w:val="50D567D6"/>
    <w:rsid w:val="50E17FCC"/>
    <w:rsid w:val="50E92D58"/>
    <w:rsid w:val="50EC08D1"/>
    <w:rsid w:val="50EC3A67"/>
    <w:rsid w:val="50F97DD6"/>
    <w:rsid w:val="50FB0FC7"/>
    <w:rsid w:val="510E3AD6"/>
    <w:rsid w:val="512D105F"/>
    <w:rsid w:val="51415CEE"/>
    <w:rsid w:val="517876C8"/>
    <w:rsid w:val="517D4812"/>
    <w:rsid w:val="518F4120"/>
    <w:rsid w:val="519A5D6B"/>
    <w:rsid w:val="519E7D43"/>
    <w:rsid w:val="51A13719"/>
    <w:rsid w:val="51C50EAA"/>
    <w:rsid w:val="51CB02F5"/>
    <w:rsid w:val="51D36025"/>
    <w:rsid w:val="51E04C7D"/>
    <w:rsid w:val="52041869"/>
    <w:rsid w:val="52100AA2"/>
    <w:rsid w:val="52170BA0"/>
    <w:rsid w:val="5220459F"/>
    <w:rsid w:val="52222D4B"/>
    <w:rsid w:val="52342335"/>
    <w:rsid w:val="52406E74"/>
    <w:rsid w:val="52537FBE"/>
    <w:rsid w:val="52790FCB"/>
    <w:rsid w:val="52853300"/>
    <w:rsid w:val="52AE3ECD"/>
    <w:rsid w:val="52B326B5"/>
    <w:rsid w:val="52B44EF9"/>
    <w:rsid w:val="52C70074"/>
    <w:rsid w:val="52D7294B"/>
    <w:rsid w:val="5319034A"/>
    <w:rsid w:val="531A1058"/>
    <w:rsid w:val="53226088"/>
    <w:rsid w:val="53287776"/>
    <w:rsid w:val="534327B1"/>
    <w:rsid w:val="53516681"/>
    <w:rsid w:val="535367A5"/>
    <w:rsid w:val="537A3562"/>
    <w:rsid w:val="537D62D4"/>
    <w:rsid w:val="53AB5F55"/>
    <w:rsid w:val="53BB2F57"/>
    <w:rsid w:val="53D21A37"/>
    <w:rsid w:val="53E9620F"/>
    <w:rsid w:val="53F9228A"/>
    <w:rsid w:val="53FB1E7A"/>
    <w:rsid w:val="54053336"/>
    <w:rsid w:val="540C7B6D"/>
    <w:rsid w:val="5437555B"/>
    <w:rsid w:val="543E489C"/>
    <w:rsid w:val="54407C8E"/>
    <w:rsid w:val="54443E79"/>
    <w:rsid w:val="544C32A1"/>
    <w:rsid w:val="545B0434"/>
    <w:rsid w:val="545F7B91"/>
    <w:rsid w:val="54623D2B"/>
    <w:rsid w:val="546D3812"/>
    <w:rsid w:val="54716E30"/>
    <w:rsid w:val="54737B42"/>
    <w:rsid w:val="54763667"/>
    <w:rsid w:val="54873305"/>
    <w:rsid w:val="549354AA"/>
    <w:rsid w:val="54C14E68"/>
    <w:rsid w:val="54C544E3"/>
    <w:rsid w:val="54CA45BE"/>
    <w:rsid w:val="54D5458B"/>
    <w:rsid w:val="54F77904"/>
    <w:rsid w:val="54FD2449"/>
    <w:rsid w:val="5509513D"/>
    <w:rsid w:val="550B2A29"/>
    <w:rsid w:val="55125568"/>
    <w:rsid w:val="551363FB"/>
    <w:rsid w:val="55342058"/>
    <w:rsid w:val="55421BBF"/>
    <w:rsid w:val="554C7075"/>
    <w:rsid w:val="554D7917"/>
    <w:rsid w:val="555407DA"/>
    <w:rsid w:val="555644D4"/>
    <w:rsid w:val="556476EF"/>
    <w:rsid w:val="558006F3"/>
    <w:rsid w:val="558266F4"/>
    <w:rsid w:val="558B0E31"/>
    <w:rsid w:val="55960BAE"/>
    <w:rsid w:val="559D1D7E"/>
    <w:rsid w:val="55A37775"/>
    <w:rsid w:val="55AC2F47"/>
    <w:rsid w:val="55B04C74"/>
    <w:rsid w:val="55B97923"/>
    <w:rsid w:val="55C15CFA"/>
    <w:rsid w:val="55C8213D"/>
    <w:rsid w:val="55E65EAE"/>
    <w:rsid w:val="55F4457D"/>
    <w:rsid w:val="560742C8"/>
    <w:rsid w:val="560E1236"/>
    <w:rsid w:val="56105A29"/>
    <w:rsid w:val="561E07D8"/>
    <w:rsid w:val="561F1AF6"/>
    <w:rsid w:val="563D4408"/>
    <w:rsid w:val="56432251"/>
    <w:rsid w:val="564575E0"/>
    <w:rsid w:val="56574EF1"/>
    <w:rsid w:val="565F366D"/>
    <w:rsid w:val="566A066C"/>
    <w:rsid w:val="567B4E13"/>
    <w:rsid w:val="567F6FEE"/>
    <w:rsid w:val="56B46352"/>
    <w:rsid w:val="56CD2B18"/>
    <w:rsid w:val="56F72230"/>
    <w:rsid w:val="570255A4"/>
    <w:rsid w:val="57212943"/>
    <w:rsid w:val="572F605C"/>
    <w:rsid w:val="57331746"/>
    <w:rsid w:val="57346FE0"/>
    <w:rsid w:val="57422BDA"/>
    <w:rsid w:val="574240BD"/>
    <w:rsid w:val="57447935"/>
    <w:rsid w:val="57475A6B"/>
    <w:rsid w:val="574B67F8"/>
    <w:rsid w:val="57633422"/>
    <w:rsid w:val="576A09D3"/>
    <w:rsid w:val="57845CF4"/>
    <w:rsid w:val="57927DC8"/>
    <w:rsid w:val="57945BC5"/>
    <w:rsid w:val="579509CC"/>
    <w:rsid w:val="57A848B6"/>
    <w:rsid w:val="57E42CE5"/>
    <w:rsid w:val="5802587A"/>
    <w:rsid w:val="580E03CE"/>
    <w:rsid w:val="5813550C"/>
    <w:rsid w:val="5819020D"/>
    <w:rsid w:val="58197D1A"/>
    <w:rsid w:val="581D2C60"/>
    <w:rsid w:val="581F795D"/>
    <w:rsid w:val="5822061F"/>
    <w:rsid w:val="582B50E5"/>
    <w:rsid w:val="582E7DE8"/>
    <w:rsid w:val="58353010"/>
    <w:rsid w:val="583F3FB9"/>
    <w:rsid w:val="586627D6"/>
    <w:rsid w:val="58691659"/>
    <w:rsid w:val="58723C9A"/>
    <w:rsid w:val="58BC2457"/>
    <w:rsid w:val="58CF0BA1"/>
    <w:rsid w:val="58D84B76"/>
    <w:rsid w:val="58DC5194"/>
    <w:rsid w:val="58E7534A"/>
    <w:rsid w:val="58FB58FF"/>
    <w:rsid w:val="5916122F"/>
    <w:rsid w:val="593B53C3"/>
    <w:rsid w:val="594941EB"/>
    <w:rsid w:val="59644B93"/>
    <w:rsid w:val="5966514E"/>
    <w:rsid w:val="596B232B"/>
    <w:rsid w:val="596E28C6"/>
    <w:rsid w:val="596F2033"/>
    <w:rsid w:val="597B3807"/>
    <w:rsid w:val="59814033"/>
    <w:rsid w:val="59A04296"/>
    <w:rsid w:val="59B400E6"/>
    <w:rsid w:val="59DB3B09"/>
    <w:rsid w:val="59EA0E34"/>
    <w:rsid w:val="59FC16BE"/>
    <w:rsid w:val="5A1132DF"/>
    <w:rsid w:val="5A2318A9"/>
    <w:rsid w:val="5A23191A"/>
    <w:rsid w:val="5A2539DE"/>
    <w:rsid w:val="5A2E48AD"/>
    <w:rsid w:val="5A345527"/>
    <w:rsid w:val="5A3E4D2C"/>
    <w:rsid w:val="5A637FAD"/>
    <w:rsid w:val="5A6435F9"/>
    <w:rsid w:val="5A6C32DD"/>
    <w:rsid w:val="5A6F4A19"/>
    <w:rsid w:val="5A727CD7"/>
    <w:rsid w:val="5A81783F"/>
    <w:rsid w:val="5A8720C8"/>
    <w:rsid w:val="5A8A4156"/>
    <w:rsid w:val="5AAA1D42"/>
    <w:rsid w:val="5AAF5677"/>
    <w:rsid w:val="5AB161D4"/>
    <w:rsid w:val="5AB60CB3"/>
    <w:rsid w:val="5ADF6FEF"/>
    <w:rsid w:val="5B0D4304"/>
    <w:rsid w:val="5B106CB2"/>
    <w:rsid w:val="5B256F2A"/>
    <w:rsid w:val="5B32148A"/>
    <w:rsid w:val="5B337567"/>
    <w:rsid w:val="5B454733"/>
    <w:rsid w:val="5B4C03D4"/>
    <w:rsid w:val="5B4E3F66"/>
    <w:rsid w:val="5B704DC9"/>
    <w:rsid w:val="5B7366FA"/>
    <w:rsid w:val="5B7976B8"/>
    <w:rsid w:val="5B8D642D"/>
    <w:rsid w:val="5BB27B05"/>
    <w:rsid w:val="5BD5374B"/>
    <w:rsid w:val="5BD82287"/>
    <w:rsid w:val="5BD97C13"/>
    <w:rsid w:val="5BE91DEC"/>
    <w:rsid w:val="5BF21EC3"/>
    <w:rsid w:val="5C037FA0"/>
    <w:rsid w:val="5C0C761D"/>
    <w:rsid w:val="5C161F23"/>
    <w:rsid w:val="5C1724DA"/>
    <w:rsid w:val="5C215837"/>
    <w:rsid w:val="5C331714"/>
    <w:rsid w:val="5C37458B"/>
    <w:rsid w:val="5C527FC6"/>
    <w:rsid w:val="5C546B65"/>
    <w:rsid w:val="5C58551F"/>
    <w:rsid w:val="5C6321E3"/>
    <w:rsid w:val="5C706058"/>
    <w:rsid w:val="5C7C0659"/>
    <w:rsid w:val="5C7D508D"/>
    <w:rsid w:val="5C82259C"/>
    <w:rsid w:val="5C8D6ACA"/>
    <w:rsid w:val="5C8F4BCA"/>
    <w:rsid w:val="5C943EB0"/>
    <w:rsid w:val="5CB544C6"/>
    <w:rsid w:val="5CBD7EC2"/>
    <w:rsid w:val="5CC7699A"/>
    <w:rsid w:val="5CCE53BD"/>
    <w:rsid w:val="5CD86660"/>
    <w:rsid w:val="5CF13077"/>
    <w:rsid w:val="5CF23D1E"/>
    <w:rsid w:val="5CF5671C"/>
    <w:rsid w:val="5D107B9E"/>
    <w:rsid w:val="5D11426F"/>
    <w:rsid w:val="5D1C3414"/>
    <w:rsid w:val="5D263C3C"/>
    <w:rsid w:val="5D4863FD"/>
    <w:rsid w:val="5D4D4FF3"/>
    <w:rsid w:val="5D5351CA"/>
    <w:rsid w:val="5D62255D"/>
    <w:rsid w:val="5D665E8D"/>
    <w:rsid w:val="5D76506E"/>
    <w:rsid w:val="5D994C04"/>
    <w:rsid w:val="5D9C56B2"/>
    <w:rsid w:val="5DA84D1A"/>
    <w:rsid w:val="5DAC63A4"/>
    <w:rsid w:val="5DB17256"/>
    <w:rsid w:val="5DCB3ACF"/>
    <w:rsid w:val="5DD91D27"/>
    <w:rsid w:val="5DDE66BA"/>
    <w:rsid w:val="5DF82AC8"/>
    <w:rsid w:val="5DFD193E"/>
    <w:rsid w:val="5E274F00"/>
    <w:rsid w:val="5E2A3371"/>
    <w:rsid w:val="5E2A3A79"/>
    <w:rsid w:val="5E325B87"/>
    <w:rsid w:val="5E331B69"/>
    <w:rsid w:val="5E3A7333"/>
    <w:rsid w:val="5E41483B"/>
    <w:rsid w:val="5E5750DA"/>
    <w:rsid w:val="5E660B4A"/>
    <w:rsid w:val="5E6A7837"/>
    <w:rsid w:val="5E6B0BB3"/>
    <w:rsid w:val="5E7136A8"/>
    <w:rsid w:val="5E8B5B2E"/>
    <w:rsid w:val="5EA26816"/>
    <w:rsid w:val="5EA35FD2"/>
    <w:rsid w:val="5EA55153"/>
    <w:rsid w:val="5EB81477"/>
    <w:rsid w:val="5ED732E7"/>
    <w:rsid w:val="5EDB3EA3"/>
    <w:rsid w:val="5F0B453E"/>
    <w:rsid w:val="5F114EEE"/>
    <w:rsid w:val="5F266E53"/>
    <w:rsid w:val="5F2D7982"/>
    <w:rsid w:val="5F361B36"/>
    <w:rsid w:val="5F3F5534"/>
    <w:rsid w:val="5F423BED"/>
    <w:rsid w:val="5F4E4388"/>
    <w:rsid w:val="5F681277"/>
    <w:rsid w:val="5F6963B8"/>
    <w:rsid w:val="5F6B460B"/>
    <w:rsid w:val="5F6D4EF3"/>
    <w:rsid w:val="5F7A544D"/>
    <w:rsid w:val="5F9377C5"/>
    <w:rsid w:val="5F94179F"/>
    <w:rsid w:val="5F961C15"/>
    <w:rsid w:val="5FAD7930"/>
    <w:rsid w:val="5FD32EDD"/>
    <w:rsid w:val="5FE13A7D"/>
    <w:rsid w:val="5FEB6E96"/>
    <w:rsid w:val="5FF97BC5"/>
    <w:rsid w:val="60327E35"/>
    <w:rsid w:val="60367925"/>
    <w:rsid w:val="604535EC"/>
    <w:rsid w:val="60483AFC"/>
    <w:rsid w:val="60552241"/>
    <w:rsid w:val="605F3F2D"/>
    <w:rsid w:val="605F520F"/>
    <w:rsid w:val="60600DD8"/>
    <w:rsid w:val="60791B3B"/>
    <w:rsid w:val="60843253"/>
    <w:rsid w:val="6089226C"/>
    <w:rsid w:val="60977B40"/>
    <w:rsid w:val="60A1431C"/>
    <w:rsid w:val="60A4648E"/>
    <w:rsid w:val="60C931C8"/>
    <w:rsid w:val="60D633F1"/>
    <w:rsid w:val="60E23C87"/>
    <w:rsid w:val="60EB40BD"/>
    <w:rsid w:val="60F14588"/>
    <w:rsid w:val="60F26A95"/>
    <w:rsid w:val="60F8276F"/>
    <w:rsid w:val="60FB536A"/>
    <w:rsid w:val="60FC7A16"/>
    <w:rsid w:val="6103231E"/>
    <w:rsid w:val="61207382"/>
    <w:rsid w:val="612714BC"/>
    <w:rsid w:val="613D2FF0"/>
    <w:rsid w:val="613F25FC"/>
    <w:rsid w:val="6145562C"/>
    <w:rsid w:val="61572249"/>
    <w:rsid w:val="61806BD6"/>
    <w:rsid w:val="61840F31"/>
    <w:rsid w:val="61890674"/>
    <w:rsid w:val="61BA42B0"/>
    <w:rsid w:val="61BB6F36"/>
    <w:rsid w:val="61C41E46"/>
    <w:rsid w:val="61D711F4"/>
    <w:rsid w:val="61DA7DD4"/>
    <w:rsid w:val="61E2010E"/>
    <w:rsid w:val="61E3588B"/>
    <w:rsid w:val="61EE2555"/>
    <w:rsid w:val="61F13709"/>
    <w:rsid w:val="61FD280C"/>
    <w:rsid w:val="62030D78"/>
    <w:rsid w:val="6215133C"/>
    <w:rsid w:val="621D72FD"/>
    <w:rsid w:val="622212BB"/>
    <w:rsid w:val="622D2E8E"/>
    <w:rsid w:val="62371925"/>
    <w:rsid w:val="62695BE8"/>
    <w:rsid w:val="62775C4D"/>
    <w:rsid w:val="629225FF"/>
    <w:rsid w:val="62AE390E"/>
    <w:rsid w:val="62BA0445"/>
    <w:rsid w:val="62BB2C0A"/>
    <w:rsid w:val="62BD5318"/>
    <w:rsid w:val="62C332D8"/>
    <w:rsid w:val="62D24AE2"/>
    <w:rsid w:val="62F00438"/>
    <w:rsid w:val="62F34F29"/>
    <w:rsid w:val="62FA764A"/>
    <w:rsid w:val="62FF66F4"/>
    <w:rsid w:val="632403C9"/>
    <w:rsid w:val="6340490B"/>
    <w:rsid w:val="634E500B"/>
    <w:rsid w:val="63546039"/>
    <w:rsid w:val="636E5FB5"/>
    <w:rsid w:val="6388579D"/>
    <w:rsid w:val="638E373A"/>
    <w:rsid w:val="639071B6"/>
    <w:rsid w:val="63964BC5"/>
    <w:rsid w:val="63A159FD"/>
    <w:rsid w:val="63B32DF0"/>
    <w:rsid w:val="63BE035D"/>
    <w:rsid w:val="63D44135"/>
    <w:rsid w:val="63DE1500"/>
    <w:rsid w:val="63E45062"/>
    <w:rsid w:val="63E60D75"/>
    <w:rsid w:val="63ED606A"/>
    <w:rsid w:val="63FA3DE0"/>
    <w:rsid w:val="64065BE6"/>
    <w:rsid w:val="640C7AA5"/>
    <w:rsid w:val="643B0D27"/>
    <w:rsid w:val="64455104"/>
    <w:rsid w:val="6447528B"/>
    <w:rsid w:val="644A2CBD"/>
    <w:rsid w:val="646031C3"/>
    <w:rsid w:val="64633872"/>
    <w:rsid w:val="646D1D84"/>
    <w:rsid w:val="6473277B"/>
    <w:rsid w:val="64752015"/>
    <w:rsid w:val="647E16CD"/>
    <w:rsid w:val="648036D8"/>
    <w:rsid w:val="64967A5E"/>
    <w:rsid w:val="64983AB3"/>
    <w:rsid w:val="649E52E0"/>
    <w:rsid w:val="64A04A5F"/>
    <w:rsid w:val="64A46201"/>
    <w:rsid w:val="64AE1610"/>
    <w:rsid w:val="64AE5827"/>
    <w:rsid w:val="64B973B8"/>
    <w:rsid w:val="64BE518D"/>
    <w:rsid w:val="64C03887"/>
    <w:rsid w:val="64C6646D"/>
    <w:rsid w:val="64CD75E2"/>
    <w:rsid w:val="64E3637E"/>
    <w:rsid w:val="64E6175B"/>
    <w:rsid w:val="64E74EAF"/>
    <w:rsid w:val="64EA0D48"/>
    <w:rsid w:val="64F04FAA"/>
    <w:rsid w:val="64F5118D"/>
    <w:rsid w:val="650E4C1F"/>
    <w:rsid w:val="651D010E"/>
    <w:rsid w:val="65231C3C"/>
    <w:rsid w:val="6556721F"/>
    <w:rsid w:val="65614771"/>
    <w:rsid w:val="657163C9"/>
    <w:rsid w:val="65716CA7"/>
    <w:rsid w:val="65963125"/>
    <w:rsid w:val="65996C24"/>
    <w:rsid w:val="659A3FE2"/>
    <w:rsid w:val="659B538E"/>
    <w:rsid w:val="65A342CD"/>
    <w:rsid w:val="65C93407"/>
    <w:rsid w:val="65D63A0A"/>
    <w:rsid w:val="661A3B26"/>
    <w:rsid w:val="66230554"/>
    <w:rsid w:val="66544966"/>
    <w:rsid w:val="66645DEE"/>
    <w:rsid w:val="669405D5"/>
    <w:rsid w:val="669E47EF"/>
    <w:rsid w:val="66A23704"/>
    <w:rsid w:val="66B4167A"/>
    <w:rsid w:val="66D770DB"/>
    <w:rsid w:val="672C6993"/>
    <w:rsid w:val="673343FC"/>
    <w:rsid w:val="673E4223"/>
    <w:rsid w:val="674B0C03"/>
    <w:rsid w:val="67561512"/>
    <w:rsid w:val="675757B4"/>
    <w:rsid w:val="67582877"/>
    <w:rsid w:val="67647007"/>
    <w:rsid w:val="677D5E3A"/>
    <w:rsid w:val="67892E09"/>
    <w:rsid w:val="679A454A"/>
    <w:rsid w:val="679E6C73"/>
    <w:rsid w:val="679F5CAA"/>
    <w:rsid w:val="67AA6C9A"/>
    <w:rsid w:val="67BB133A"/>
    <w:rsid w:val="67C750E6"/>
    <w:rsid w:val="67CA1A71"/>
    <w:rsid w:val="67D45FAE"/>
    <w:rsid w:val="67DA7F13"/>
    <w:rsid w:val="67EE266A"/>
    <w:rsid w:val="681609EC"/>
    <w:rsid w:val="68475B79"/>
    <w:rsid w:val="686356BB"/>
    <w:rsid w:val="6869317B"/>
    <w:rsid w:val="68772563"/>
    <w:rsid w:val="689B282D"/>
    <w:rsid w:val="689E148F"/>
    <w:rsid w:val="68B07F78"/>
    <w:rsid w:val="68C03D70"/>
    <w:rsid w:val="68CF531B"/>
    <w:rsid w:val="68D413DC"/>
    <w:rsid w:val="68E21764"/>
    <w:rsid w:val="6902231B"/>
    <w:rsid w:val="691A5159"/>
    <w:rsid w:val="691D5519"/>
    <w:rsid w:val="693858C9"/>
    <w:rsid w:val="693E064F"/>
    <w:rsid w:val="6948667E"/>
    <w:rsid w:val="69531571"/>
    <w:rsid w:val="695A6E03"/>
    <w:rsid w:val="69652866"/>
    <w:rsid w:val="69746038"/>
    <w:rsid w:val="698E12A6"/>
    <w:rsid w:val="699B673C"/>
    <w:rsid w:val="69CC0D0E"/>
    <w:rsid w:val="69CD5B35"/>
    <w:rsid w:val="69D66A9F"/>
    <w:rsid w:val="69E118A1"/>
    <w:rsid w:val="69EE0565"/>
    <w:rsid w:val="6A062DB5"/>
    <w:rsid w:val="6A077780"/>
    <w:rsid w:val="6A1D5C89"/>
    <w:rsid w:val="6A214C62"/>
    <w:rsid w:val="6A2C3362"/>
    <w:rsid w:val="6A366049"/>
    <w:rsid w:val="6A48325F"/>
    <w:rsid w:val="6A4E15B2"/>
    <w:rsid w:val="6A715D72"/>
    <w:rsid w:val="6A881731"/>
    <w:rsid w:val="6A8A2F73"/>
    <w:rsid w:val="6A983FEE"/>
    <w:rsid w:val="6AA31CCA"/>
    <w:rsid w:val="6ABE5BE2"/>
    <w:rsid w:val="6AC4489D"/>
    <w:rsid w:val="6AD43A04"/>
    <w:rsid w:val="6AF718E9"/>
    <w:rsid w:val="6AF756CB"/>
    <w:rsid w:val="6AFC6012"/>
    <w:rsid w:val="6B015586"/>
    <w:rsid w:val="6B1663BB"/>
    <w:rsid w:val="6B1C5157"/>
    <w:rsid w:val="6B427AC6"/>
    <w:rsid w:val="6B4D249D"/>
    <w:rsid w:val="6B535AF1"/>
    <w:rsid w:val="6B581098"/>
    <w:rsid w:val="6B587CF1"/>
    <w:rsid w:val="6B5965FE"/>
    <w:rsid w:val="6B6F1B02"/>
    <w:rsid w:val="6B7D2EF9"/>
    <w:rsid w:val="6B92658C"/>
    <w:rsid w:val="6B94551F"/>
    <w:rsid w:val="6B985A5E"/>
    <w:rsid w:val="6BFF6BED"/>
    <w:rsid w:val="6C195815"/>
    <w:rsid w:val="6C2729EB"/>
    <w:rsid w:val="6C335562"/>
    <w:rsid w:val="6C3E3DD5"/>
    <w:rsid w:val="6C4F4337"/>
    <w:rsid w:val="6C6C46CF"/>
    <w:rsid w:val="6C965D24"/>
    <w:rsid w:val="6CA25ED0"/>
    <w:rsid w:val="6CAE79F0"/>
    <w:rsid w:val="6CCB1C75"/>
    <w:rsid w:val="6CDC2567"/>
    <w:rsid w:val="6CDE564B"/>
    <w:rsid w:val="6CF031BE"/>
    <w:rsid w:val="6CFA44B9"/>
    <w:rsid w:val="6D092EB4"/>
    <w:rsid w:val="6D1608EB"/>
    <w:rsid w:val="6D205846"/>
    <w:rsid w:val="6D2850DD"/>
    <w:rsid w:val="6D2F34B1"/>
    <w:rsid w:val="6D357685"/>
    <w:rsid w:val="6D3675A1"/>
    <w:rsid w:val="6D375631"/>
    <w:rsid w:val="6D395B1C"/>
    <w:rsid w:val="6D5A6D10"/>
    <w:rsid w:val="6D6214F6"/>
    <w:rsid w:val="6D667E8A"/>
    <w:rsid w:val="6D7C4EA4"/>
    <w:rsid w:val="6D955A59"/>
    <w:rsid w:val="6D991FBA"/>
    <w:rsid w:val="6DB1045F"/>
    <w:rsid w:val="6DB5163F"/>
    <w:rsid w:val="6DBC6ACB"/>
    <w:rsid w:val="6DDE2C87"/>
    <w:rsid w:val="6DDE3F5B"/>
    <w:rsid w:val="6DE51F1C"/>
    <w:rsid w:val="6DE52FE2"/>
    <w:rsid w:val="6DE90016"/>
    <w:rsid w:val="6DE97448"/>
    <w:rsid w:val="6DF0414E"/>
    <w:rsid w:val="6DF56318"/>
    <w:rsid w:val="6E1D0376"/>
    <w:rsid w:val="6E1E3573"/>
    <w:rsid w:val="6E215622"/>
    <w:rsid w:val="6E2D322B"/>
    <w:rsid w:val="6E345B53"/>
    <w:rsid w:val="6E3E468C"/>
    <w:rsid w:val="6E642E1A"/>
    <w:rsid w:val="6E683A2E"/>
    <w:rsid w:val="6E711DF8"/>
    <w:rsid w:val="6E737934"/>
    <w:rsid w:val="6E83783D"/>
    <w:rsid w:val="6E8E4FDB"/>
    <w:rsid w:val="6EAA3D90"/>
    <w:rsid w:val="6EAE28C9"/>
    <w:rsid w:val="6ED26308"/>
    <w:rsid w:val="6ED45F5B"/>
    <w:rsid w:val="6EDF51C5"/>
    <w:rsid w:val="6EDF622C"/>
    <w:rsid w:val="6EE63A6B"/>
    <w:rsid w:val="6EEE12F3"/>
    <w:rsid w:val="6F090343"/>
    <w:rsid w:val="6F0962D1"/>
    <w:rsid w:val="6F0A35B4"/>
    <w:rsid w:val="6F0B0EDF"/>
    <w:rsid w:val="6F10546A"/>
    <w:rsid w:val="6F2573A1"/>
    <w:rsid w:val="6F2B3D1E"/>
    <w:rsid w:val="6F2E3EBD"/>
    <w:rsid w:val="6F3C3085"/>
    <w:rsid w:val="6F443506"/>
    <w:rsid w:val="6F4B0182"/>
    <w:rsid w:val="6F595014"/>
    <w:rsid w:val="6F5B0320"/>
    <w:rsid w:val="6F5C7804"/>
    <w:rsid w:val="6F642A72"/>
    <w:rsid w:val="6F6B5112"/>
    <w:rsid w:val="6F6E6750"/>
    <w:rsid w:val="6F7102B4"/>
    <w:rsid w:val="6F7E3FF5"/>
    <w:rsid w:val="6F861A53"/>
    <w:rsid w:val="6FA35D97"/>
    <w:rsid w:val="6FAB6631"/>
    <w:rsid w:val="6FAB7CB4"/>
    <w:rsid w:val="6FBD35DB"/>
    <w:rsid w:val="6FBF159F"/>
    <w:rsid w:val="6FC73581"/>
    <w:rsid w:val="6FDE2908"/>
    <w:rsid w:val="6FE458EE"/>
    <w:rsid w:val="6FE45D38"/>
    <w:rsid w:val="6FFD5869"/>
    <w:rsid w:val="6FFF66E1"/>
    <w:rsid w:val="70032F4B"/>
    <w:rsid w:val="701521B2"/>
    <w:rsid w:val="703C73E9"/>
    <w:rsid w:val="70495453"/>
    <w:rsid w:val="70553478"/>
    <w:rsid w:val="70676DE8"/>
    <w:rsid w:val="70777113"/>
    <w:rsid w:val="708B4FC9"/>
    <w:rsid w:val="709C3321"/>
    <w:rsid w:val="70A971E8"/>
    <w:rsid w:val="70CF2E5F"/>
    <w:rsid w:val="70D133C3"/>
    <w:rsid w:val="70D46276"/>
    <w:rsid w:val="70D57649"/>
    <w:rsid w:val="70E4084A"/>
    <w:rsid w:val="70F858B7"/>
    <w:rsid w:val="70FA499F"/>
    <w:rsid w:val="710F1C5C"/>
    <w:rsid w:val="71271028"/>
    <w:rsid w:val="712F38ED"/>
    <w:rsid w:val="7137174F"/>
    <w:rsid w:val="71382505"/>
    <w:rsid w:val="71452D14"/>
    <w:rsid w:val="7148485D"/>
    <w:rsid w:val="715B3922"/>
    <w:rsid w:val="716B2D78"/>
    <w:rsid w:val="71707F90"/>
    <w:rsid w:val="717949E1"/>
    <w:rsid w:val="717958C4"/>
    <w:rsid w:val="717C3606"/>
    <w:rsid w:val="717E7D70"/>
    <w:rsid w:val="718A6D2E"/>
    <w:rsid w:val="718B4825"/>
    <w:rsid w:val="718F5356"/>
    <w:rsid w:val="719027A2"/>
    <w:rsid w:val="71970495"/>
    <w:rsid w:val="71970E02"/>
    <w:rsid w:val="71980928"/>
    <w:rsid w:val="71981CC7"/>
    <w:rsid w:val="719C6FFC"/>
    <w:rsid w:val="71A1132D"/>
    <w:rsid w:val="71AC3EEB"/>
    <w:rsid w:val="71AE1B90"/>
    <w:rsid w:val="71C27BB8"/>
    <w:rsid w:val="71D451F0"/>
    <w:rsid w:val="71D94509"/>
    <w:rsid w:val="71E371E1"/>
    <w:rsid w:val="71EF428A"/>
    <w:rsid w:val="71F66D46"/>
    <w:rsid w:val="72062A7B"/>
    <w:rsid w:val="72125F16"/>
    <w:rsid w:val="721C738B"/>
    <w:rsid w:val="72277DC4"/>
    <w:rsid w:val="72400601"/>
    <w:rsid w:val="724B15D8"/>
    <w:rsid w:val="725C7669"/>
    <w:rsid w:val="725F0889"/>
    <w:rsid w:val="727644F9"/>
    <w:rsid w:val="72765F34"/>
    <w:rsid w:val="72786AAA"/>
    <w:rsid w:val="72841B96"/>
    <w:rsid w:val="728F1117"/>
    <w:rsid w:val="72961328"/>
    <w:rsid w:val="729E0BC9"/>
    <w:rsid w:val="72A360FE"/>
    <w:rsid w:val="72AE5B37"/>
    <w:rsid w:val="72C450D3"/>
    <w:rsid w:val="72E25C4A"/>
    <w:rsid w:val="72EF2FA5"/>
    <w:rsid w:val="73010267"/>
    <w:rsid w:val="73075151"/>
    <w:rsid w:val="732977C8"/>
    <w:rsid w:val="732D6623"/>
    <w:rsid w:val="733C3201"/>
    <w:rsid w:val="734A2CC3"/>
    <w:rsid w:val="73656113"/>
    <w:rsid w:val="736976DD"/>
    <w:rsid w:val="73757A8C"/>
    <w:rsid w:val="73780927"/>
    <w:rsid w:val="737F6EC1"/>
    <w:rsid w:val="738363E6"/>
    <w:rsid w:val="7394128E"/>
    <w:rsid w:val="73966B72"/>
    <w:rsid w:val="73B81706"/>
    <w:rsid w:val="73B87397"/>
    <w:rsid w:val="73C458D6"/>
    <w:rsid w:val="73CE70E4"/>
    <w:rsid w:val="73E01D65"/>
    <w:rsid w:val="73E65648"/>
    <w:rsid w:val="73EA4857"/>
    <w:rsid w:val="73FC0A2E"/>
    <w:rsid w:val="73FE4F39"/>
    <w:rsid w:val="73FE7CFC"/>
    <w:rsid w:val="74082CC5"/>
    <w:rsid w:val="7414319A"/>
    <w:rsid w:val="74222102"/>
    <w:rsid w:val="74340287"/>
    <w:rsid w:val="7438528B"/>
    <w:rsid w:val="746A1279"/>
    <w:rsid w:val="746E34F2"/>
    <w:rsid w:val="74733772"/>
    <w:rsid w:val="74875D08"/>
    <w:rsid w:val="7489492D"/>
    <w:rsid w:val="748F2855"/>
    <w:rsid w:val="74954716"/>
    <w:rsid w:val="74AE03A7"/>
    <w:rsid w:val="74B64FBF"/>
    <w:rsid w:val="74DF0E68"/>
    <w:rsid w:val="752104D6"/>
    <w:rsid w:val="752D5343"/>
    <w:rsid w:val="753C6D34"/>
    <w:rsid w:val="754E6C62"/>
    <w:rsid w:val="755471EB"/>
    <w:rsid w:val="755A647E"/>
    <w:rsid w:val="757310EA"/>
    <w:rsid w:val="75750A98"/>
    <w:rsid w:val="757B26C9"/>
    <w:rsid w:val="75861B7C"/>
    <w:rsid w:val="758E10AC"/>
    <w:rsid w:val="75954A64"/>
    <w:rsid w:val="75A9609F"/>
    <w:rsid w:val="75B41759"/>
    <w:rsid w:val="75B74C0D"/>
    <w:rsid w:val="75C368DB"/>
    <w:rsid w:val="75DE7779"/>
    <w:rsid w:val="75F45E61"/>
    <w:rsid w:val="75FB0F9D"/>
    <w:rsid w:val="75FD2845"/>
    <w:rsid w:val="76032DC2"/>
    <w:rsid w:val="762A0C98"/>
    <w:rsid w:val="762F0821"/>
    <w:rsid w:val="76391AC6"/>
    <w:rsid w:val="76476CE5"/>
    <w:rsid w:val="765406AD"/>
    <w:rsid w:val="76565D47"/>
    <w:rsid w:val="76591410"/>
    <w:rsid w:val="76715505"/>
    <w:rsid w:val="767945B8"/>
    <w:rsid w:val="767A42A9"/>
    <w:rsid w:val="76825FD2"/>
    <w:rsid w:val="768D61B3"/>
    <w:rsid w:val="76980B23"/>
    <w:rsid w:val="769907B5"/>
    <w:rsid w:val="76996CBE"/>
    <w:rsid w:val="769B7F18"/>
    <w:rsid w:val="769E388E"/>
    <w:rsid w:val="76A3485D"/>
    <w:rsid w:val="76AB17CD"/>
    <w:rsid w:val="76AB5C96"/>
    <w:rsid w:val="76BE2E3A"/>
    <w:rsid w:val="76FF0F71"/>
    <w:rsid w:val="77065891"/>
    <w:rsid w:val="770A2E36"/>
    <w:rsid w:val="77186E67"/>
    <w:rsid w:val="771C26B6"/>
    <w:rsid w:val="77300642"/>
    <w:rsid w:val="77364B23"/>
    <w:rsid w:val="774526CB"/>
    <w:rsid w:val="77890FF9"/>
    <w:rsid w:val="779B3D57"/>
    <w:rsid w:val="77A613DD"/>
    <w:rsid w:val="77A73578"/>
    <w:rsid w:val="77B70AFE"/>
    <w:rsid w:val="77D67E78"/>
    <w:rsid w:val="77E51C93"/>
    <w:rsid w:val="77F70FA8"/>
    <w:rsid w:val="78102A81"/>
    <w:rsid w:val="7816329E"/>
    <w:rsid w:val="785108D1"/>
    <w:rsid w:val="7856153F"/>
    <w:rsid w:val="78582625"/>
    <w:rsid w:val="78597CD3"/>
    <w:rsid w:val="785D0042"/>
    <w:rsid w:val="787310A4"/>
    <w:rsid w:val="7875134F"/>
    <w:rsid w:val="78862991"/>
    <w:rsid w:val="7899689B"/>
    <w:rsid w:val="789D476A"/>
    <w:rsid w:val="78CB4772"/>
    <w:rsid w:val="78D45904"/>
    <w:rsid w:val="78D45A13"/>
    <w:rsid w:val="78D646A3"/>
    <w:rsid w:val="78DC2D0E"/>
    <w:rsid w:val="78DE0749"/>
    <w:rsid w:val="78E07272"/>
    <w:rsid w:val="78FE2B62"/>
    <w:rsid w:val="7905692D"/>
    <w:rsid w:val="790E007B"/>
    <w:rsid w:val="791A00AF"/>
    <w:rsid w:val="791F188F"/>
    <w:rsid w:val="79231701"/>
    <w:rsid w:val="7932507E"/>
    <w:rsid w:val="79366CB6"/>
    <w:rsid w:val="793D7066"/>
    <w:rsid w:val="79550542"/>
    <w:rsid w:val="79712FC9"/>
    <w:rsid w:val="799D2151"/>
    <w:rsid w:val="79A17D95"/>
    <w:rsid w:val="79C17A62"/>
    <w:rsid w:val="79C31650"/>
    <w:rsid w:val="79C37777"/>
    <w:rsid w:val="79F05377"/>
    <w:rsid w:val="79F104C4"/>
    <w:rsid w:val="79F54F15"/>
    <w:rsid w:val="79FA76E8"/>
    <w:rsid w:val="79FE34F1"/>
    <w:rsid w:val="7A107897"/>
    <w:rsid w:val="7A131EC1"/>
    <w:rsid w:val="7A1C4C29"/>
    <w:rsid w:val="7A212F9C"/>
    <w:rsid w:val="7A465F7C"/>
    <w:rsid w:val="7A466D49"/>
    <w:rsid w:val="7A7D43B5"/>
    <w:rsid w:val="7A825DDB"/>
    <w:rsid w:val="7A8A171D"/>
    <w:rsid w:val="7A912BBB"/>
    <w:rsid w:val="7A953ACC"/>
    <w:rsid w:val="7A953E08"/>
    <w:rsid w:val="7AA12203"/>
    <w:rsid w:val="7AA6044F"/>
    <w:rsid w:val="7AAD7530"/>
    <w:rsid w:val="7AB17484"/>
    <w:rsid w:val="7AB24E38"/>
    <w:rsid w:val="7AB7370B"/>
    <w:rsid w:val="7ABE6A3D"/>
    <w:rsid w:val="7AC854B0"/>
    <w:rsid w:val="7B113F94"/>
    <w:rsid w:val="7B312159"/>
    <w:rsid w:val="7B450235"/>
    <w:rsid w:val="7B4700DC"/>
    <w:rsid w:val="7B4F234A"/>
    <w:rsid w:val="7B544EBD"/>
    <w:rsid w:val="7B6E5653"/>
    <w:rsid w:val="7B861441"/>
    <w:rsid w:val="7B871257"/>
    <w:rsid w:val="7B891B74"/>
    <w:rsid w:val="7BC523D9"/>
    <w:rsid w:val="7BD05638"/>
    <w:rsid w:val="7BE517D0"/>
    <w:rsid w:val="7BEA1391"/>
    <w:rsid w:val="7BF42314"/>
    <w:rsid w:val="7BF907B4"/>
    <w:rsid w:val="7C1F52CF"/>
    <w:rsid w:val="7C214F8F"/>
    <w:rsid w:val="7C2A77AE"/>
    <w:rsid w:val="7C2F2CBD"/>
    <w:rsid w:val="7C340D73"/>
    <w:rsid w:val="7C40057F"/>
    <w:rsid w:val="7C4A700C"/>
    <w:rsid w:val="7CAF5391"/>
    <w:rsid w:val="7CB05FE6"/>
    <w:rsid w:val="7CB75DAB"/>
    <w:rsid w:val="7CBA08F5"/>
    <w:rsid w:val="7CBB0D04"/>
    <w:rsid w:val="7CD44439"/>
    <w:rsid w:val="7CD67C72"/>
    <w:rsid w:val="7CE82ACC"/>
    <w:rsid w:val="7CE9416C"/>
    <w:rsid w:val="7D113E38"/>
    <w:rsid w:val="7D126EE2"/>
    <w:rsid w:val="7D2470E5"/>
    <w:rsid w:val="7D3E79C1"/>
    <w:rsid w:val="7D4C42E3"/>
    <w:rsid w:val="7D5301FF"/>
    <w:rsid w:val="7D536BC2"/>
    <w:rsid w:val="7DA110BD"/>
    <w:rsid w:val="7DA666D2"/>
    <w:rsid w:val="7DA73042"/>
    <w:rsid w:val="7DBA1D60"/>
    <w:rsid w:val="7DCC6B62"/>
    <w:rsid w:val="7DD1071E"/>
    <w:rsid w:val="7DD76236"/>
    <w:rsid w:val="7E06261A"/>
    <w:rsid w:val="7E332E03"/>
    <w:rsid w:val="7E36267E"/>
    <w:rsid w:val="7E415905"/>
    <w:rsid w:val="7E531031"/>
    <w:rsid w:val="7E6070AE"/>
    <w:rsid w:val="7E870BA5"/>
    <w:rsid w:val="7E8B2AF9"/>
    <w:rsid w:val="7E8B6C36"/>
    <w:rsid w:val="7EAB1ECB"/>
    <w:rsid w:val="7EAC18FA"/>
    <w:rsid w:val="7ECE515C"/>
    <w:rsid w:val="7EE272EF"/>
    <w:rsid w:val="7EE53E70"/>
    <w:rsid w:val="7F04553C"/>
    <w:rsid w:val="7F10538E"/>
    <w:rsid w:val="7F281A70"/>
    <w:rsid w:val="7F32167B"/>
    <w:rsid w:val="7F623E3B"/>
    <w:rsid w:val="7F6C1CFB"/>
    <w:rsid w:val="7F7C0903"/>
    <w:rsid w:val="7F821CC2"/>
    <w:rsid w:val="7F850671"/>
    <w:rsid w:val="7F8D12CE"/>
    <w:rsid w:val="7FA46582"/>
    <w:rsid w:val="7FB65EB9"/>
    <w:rsid w:val="7FBA4B01"/>
    <w:rsid w:val="7FC21225"/>
    <w:rsid w:val="7FC360E6"/>
    <w:rsid w:val="7FC422DA"/>
    <w:rsid w:val="7FDB3BED"/>
    <w:rsid w:val="7FE57AFF"/>
    <w:rsid w:val="7FE676BD"/>
    <w:rsid w:val="7FEA47F6"/>
    <w:rsid w:val="7FEE0A77"/>
    <w:rsid w:val="7FF102A0"/>
    <w:rsid w:val="7FFB4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nhideWhenUsed="0" w:uiPriority="9" w:semiHidden="0" w:name="heading 6"/>
    <w:lsdException w:qFormat="1" w:unhideWhenUsed="0" w:uiPriority="99" w:semiHidden="0" w:name="heading 7"/>
    <w:lsdException w:qFormat="1" w:uiPriority="99" w:semiHidden="0" w:name="heading 8"/>
    <w:lsdException w:qFormat="1" w:unhideWhenUsed="0" w:uiPriority="99" w:semiHidden="0" w:name="heading 9"/>
    <w:lsdException w:qFormat="1" w:unhideWhenUsed="0"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0" w:semiHidden="0" w:name="table of figures"/>
    <w:lsdException w:qFormat="1" w:unhideWhenUsed="0" w:uiPriority="99" w:semiHidden="0" w:name="envelope address"/>
    <w:lsdException w:qFormat="1" w:unhideWhenUsed="0" w:uiPriority="99" w:semiHidden="0" w:name="envelope return"/>
    <w:lsdException w:uiPriority="99" w:name="footnote reference"/>
    <w:lsdException w:qFormat="1" w:uiPriority="99" w:semiHidden="0" w:name="annotation reference"/>
    <w:lsdException w:qFormat="1" w:unhideWhenUsed="0" w:uiPriority="99" w:semiHidden="0"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0"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iPriority="99" w:semiHidden="0" w:name="Date"/>
    <w:lsdException w:qFormat="1" w:uiPriority="99" w:semiHidden="0" w:name="Body Text First Indent"/>
    <w:lsdException w:qFormat="1" w:unhideWhenUsed="0" w:uiPriority="99" w:semiHidden="0" w:name="Body Text First Indent 2"/>
    <w:lsdException w:qFormat="1" w:unhideWhenUsed="0" w:uiPriority="0" w:semiHidden="0" w:name="Note Heading"/>
    <w:lsdException w:qFormat="1" w:uiPriority="99" w:semiHidden="0" w:name="Body Text 2"/>
    <w:lsdException w:qFormat="1"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9"/>
    <w:pPr>
      <w:widowControl w:val="0"/>
      <w:autoSpaceDE w:val="0"/>
      <w:autoSpaceDN w:val="0"/>
      <w:adjustRightIn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2">
    <w:name w:val="heading 1"/>
    <w:basedOn w:val="1"/>
    <w:next w:val="1"/>
    <w:link w:val="100"/>
    <w:qFormat/>
    <w:uiPriority w:val="0"/>
    <w:pPr>
      <w:keepNext/>
      <w:keepLines/>
      <w:numPr>
        <w:ilvl w:val="0"/>
        <w:numId w:val="1"/>
      </w:numPr>
      <w:ind w:firstLineChars="0"/>
      <w:outlineLvl w:val="0"/>
    </w:pPr>
    <w:rPr>
      <w:b/>
      <w:bCs/>
      <w:kern w:val="32"/>
      <w:sz w:val="32"/>
      <w:szCs w:val="44"/>
    </w:rPr>
  </w:style>
  <w:style w:type="paragraph" w:styleId="3">
    <w:name w:val="heading 2"/>
    <w:basedOn w:val="1"/>
    <w:next w:val="1"/>
    <w:link w:val="101"/>
    <w:unhideWhenUsed/>
    <w:qFormat/>
    <w:uiPriority w:val="0"/>
    <w:pPr>
      <w:keepNext/>
      <w:keepLines/>
      <w:numPr>
        <w:ilvl w:val="1"/>
        <w:numId w:val="1"/>
      </w:numPr>
      <w:tabs>
        <w:tab w:val="left" w:pos="0"/>
      </w:tabs>
      <w:ind w:firstLineChars="0"/>
      <w:outlineLvl w:val="1"/>
    </w:pPr>
    <w:rPr>
      <w:b/>
      <w:bCs/>
      <w:sz w:val="30"/>
      <w:szCs w:val="32"/>
    </w:rPr>
  </w:style>
  <w:style w:type="paragraph" w:styleId="4">
    <w:name w:val="heading 3"/>
    <w:basedOn w:val="1"/>
    <w:next w:val="1"/>
    <w:link w:val="102"/>
    <w:unhideWhenUsed/>
    <w:qFormat/>
    <w:uiPriority w:val="0"/>
    <w:pPr>
      <w:keepNext/>
      <w:keepLines/>
      <w:numPr>
        <w:ilvl w:val="2"/>
        <w:numId w:val="1"/>
      </w:numPr>
      <w:tabs>
        <w:tab w:val="left" w:pos="0"/>
      </w:tabs>
      <w:ind w:firstLineChars="0"/>
      <w:outlineLvl w:val="2"/>
    </w:pPr>
    <w:rPr>
      <w:b/>
      <w:bCs/>
      <w:sz w:val="28"/>
      <w:szCs w:val="32"/>
    </w:rPr>
  </w:style>
  <w:style w:type="paragraph" w:styleId="5">
    <w:name w:val="heading 4"/>
    <w:basedOn w:val="1"/>
    <w:next w:val="1"/>
    <w:link w:val="103"/>
    <w:unhideWhenUsed/>
    <w:qFormat/>
    <w:uiPriority w:val="0"/>
    <w:pPr>
      <w:keepNext/>
      <w:keepLines/>
      <w:numPr>
        <w:ilvl w:val="3"/>
        <w:numId w:val="1"/>
      </w:numPr>
      <w:tabs>
        <w:tab w:val="left" w:pos="0"/>
      </w:tabs>
      <w:adjustRightInd/>
      <w:ind w:firstLineChars="0"/>
      <w:outlineLvl w:val="3"/>
    </w:pPr>
    <w:rPr>
      <w:b/>
      <w:bCs/>
      <w:szCs w:val="28"/>
    </w:rPr>
  </w:style>
  <w:style w:type="paragraph" w:styleId="6">
    <w:name w:val="heading 5"/>
    <w:basedOn w:val="1"/>
    <w:next w:val="1"/>
    <w:link w:val="104"/>
    <w:unhideWhenUsed/>
    <w:qFormat/>
    <w:uiPriority w:val="9"/>
    <w:pPr>
      <w:keepNext/>
      <w:keepLines/>
      <w:ind w:firstLine="0" w:firstLineChars="0"/>
      <w:outlineLvl w:val="4"/>
    </w:pPr>
    <w:rPr>
      <w:b/>
    </w:rPr>
  </w:style>
  <w:style w:type="paragraph" w:styleId="7">
    <w:name w:val="heading 6"/>
    <w:basedOn w:val="1"/>
    <w:next w:val="1"/>
    <w:link w:val="105"/>
    <w:qFormat/>
    <w:uiPriority w:val="9"/>
    <w:pPr>
      <w:keepNext/>
      <w:keepLines/>
      <w:numPr>
        <w:ilvl w:val="5"/>
        <w:numId w:val="1"/>
      </w:numPr>
      <w:autoSpaceDE/>
      <w:autoSpaceDN/>
      <w:adjustRightInd/>
      <w:spacing w:before="240" w:after="64" w:line="317" w:lineRule="auto"/>
      <w:ind w:firstLineChars="0"/>
      <w:outlineLvl w:val="5"/>
    </w:pPr>
    <w:rPr>
      <w:rFonts w:ascii="Cambria" w:hAnsi="Cambria"/>
      <w:b/>
      <w:kern w:val="2"/>
      <w:szCs w:val="20"/>
    </w:rPr>
  </w:style>
  <w:style w:type="paragraph" w:styleId="8">
    <w:name w:val="heading 7"/>
    <w:basedOn w:val="1"/>
    <w:next w:val="1"/>
    <w:link w:val="106"/>
    <w:qFormat/>
    <w:uiPriority w:val="99"/>
    <w:pPr>
      <w:keepNext/>
      <w:keepLines/>
      <w:numPr>
        <w:ilvl w:val="6"/>
        <w:numId w:val="1"/>
      </w:numPr>
      <w:autoSpaceDE/>
      <w:autoSpaceDN/>
      <w:adjustRightInd/>
      <w:spacing w:before="240" w:after="64" w:line="317" w:lineRule="auto"/>
      <w:ind w:firstLineChars="0"/>
      <w:outlineLvl w:val="6"/>
    </w:pPr>
    <w:rPr>
      <w:b/>
      <w:kern w:val="2"/>
      <w:szCs w:val="20"/>
    </w:rPr>
  </w:style>
  <w:style w:type="paragraph" w:styleId="9">
    <w:name w:val="heading 8"/>
    <w:basedOn w:val="1"/>
    <w:next w:val="1"/>
    <w:link w:val="107"/>
    <w:unhideWhenUsed/>
    <w:qFormat/>
    <w:uiPriority w:val="99"/>
    <w:pPr>
      <w:keepNext/>
      <w:keepLines/>
      <w:spacing w:before="240" w:after="64" w:line="320" w:lineRule="auto"/>
      <w:outlineLvl w:val="7"/>
    </w:pPr>
    <w:rPr>
      <w:rFonts w:asciiTheme="majorHAnsi" w:hAnsiTheme="majorHAnsi" w:eastAsiaTheme="majorEastAsia" w:cstheme="majorBidi"/>
    </w:rPr>
  </w:style>
  <w:style w:type="paragraph" w:styleId="10">
    <w:name w:val="heading 9"/>
    <w:basedOn w:val="1"/>
    <w:next w:val="1"/>
    <w:link w:val="108"/>
    <w:qFormat/>
    <w:uiPriority w:val="99"/>
    <w:pPr>
      <w:keepNext/>
      <w:keepLines/>
      <w:numPr>
        <w:ilvl w:val="8"/>
        <w:numId w:val="1"/>
      </w:numPr>
      <w:autoSpaceDE/>
      <w:autoSpaceDN/>
      <w:adjustRightInd/>
      <w:spacing w:before="240" w:after="64" w:line="317" w:lineRule="auto"/>
      <w:ind w:firstLineChars="0"/>
      <w:outlineLvl w:val="8"/>
    </w:pPr>
    <w:rPr>
      <w:rFonts w:ascii="Cambria" w:hAnsi="Cambria"/>
      <w:kern w:val="2"/>
      <w:sz w:val="20"/>
      <w:szCs w:val="20"/>
    </w:rPr>
  </w:style>
  <w:style w:type="character" w:default="1" w:styleId="78">
    <w:name w:val="Default Paragraph Font"/>
    <w:semiHidden/>
    <w:unhideWhenUsed/>
    <w:qFormat/>
    <w:uiPriority w:val="1"/>
  </w:style>
  <w:style w:type="table" w:default="1" w:styleId="7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3"/>
    <w:basedOn w:val="1"/>
    <w:qFormat/>
    <w:uiPriority w:val="99"/>
    <w:pPr>
      <w:autoSpaceDE/>
      <w:autoSpaceDN/>
      <w:adjustRightInd/>
      <w:spacing w:line="240" w:lineRule="auto"/>
      <w:ind w:left="100" w:leftChars="400" w:hanging="200" w:hangingChars="200"/>
    </w:pPr>
    <w:rPr>
      <w:rFonts w:ascii="Calibri" w:hAnsi="Calibri"/>
      <w:kern w:val="2"/>
      <w:sz w:val="21"/>
      <w:szCs w:val="20"/>
    </w:rPr>
  </w:style>
  <w:style w:type="paragraph" w:styleId="12">
    <w:name w:val="toc 7"/>
    <w:basedOn w:val="1"/>
    <w:next w:val="1"/>
    <w:unhideWhenUsed/>
    <w:qFormat/>
    <w:uiPriority w:val="39"/>
    <w:pPr>
      <w:ind w:left="1440"/>
      <w:jc w:val="left"/>
    </w:pPr>
    <w:rPr>
      <w:rFonts w:cstheme="minorHAnsi"/>
      <w:sz w:val="18"/>
      <w:szCs w:val="18"/>
    </w:rPr>
  </w:style>
  <w:style w:type="paragraph" w:styleId="13">
    <w:name w:val="List Number 2"/>
    <w:basedOn w:val="1"/>
    <w:qFormat/>
    <w:uiPriority w:val="99"/>
    <w:pPr>
      <w:tabs>
        <w:tab w:val="left" w:pos="780"/>
      </w:tabs>
      <w:autoSpaceDE/>
      <w:autoSpaceDN/>
      <w:adjustRightInd/>
      <w:spacing w:line="240" w:lineRule="auto"/>
      <w:ind w:left="780" w:leftChars="200" w:hanging="360" w:hangingChars="200"/>
    </w:pPr>
    <w:rPr>
      <w:rFonts w:ascii="Calibri" w:hAnsi="Calibri"/>
      <w:kern w:val="2"/>
      <w:sz w:val="21"/>
      <w:szCs w:val="20"/>
    </w:rPr>
  </w:style>
  <w:style w:type="paragraph" w:styleId="14">
    <w:name w:val="Note Heading"/>
    <w:basedOn w:val="1"/>
    <w:next w:val="1"/>
    <w:link w:val="109"/>
    <w:qFormat/>
    <w:uiPriority w:val="0"/>
    <w:pPr>
      <w:autoSpaceDE/>
      <w:autoSpaceDN/>
      <w:adjustRightInd/>
      <w:spacing w:line="240" w:lineRule="auto"/>
      <w:ind w:firstLine="0" w:firstLineChars="0"/>
      <w:jc w:val="center"/>
    </w:pPr>
    <w:rPr>
      <w:rFonts w:ascii="Calibri" w:hAnsi="Calibri"/>
      <w:kern w:val="2"/>
      <w:sz w:val="21"/>
      <w:szCs w:val="20"/>
    </w:rPr>
  </w:style>
  <w:style w:type="paragraph" w:styleId="15">
    <w:name w:val="List Bullet 4"/>
    <w:basedOn w:val="1"/>
    <w:qFormat/>
    <w:uiPriority w:val="99"/>
    <w:pPr>
      <w:tabs>
        <w:tab w:val="left" w:pos="1620"/>
      </w:tabs>
      <w:autoSpaceDE/>
      <w:autoSpaceDN/>
      <w:adjustRightInd/>
      <w:spacing w:line="240" w:lineRule="auto"/>
      <w:ind w:left="1620" w:leftChars="600" w:hanging="360" w:hangingChars="200"/>
    </w:pPr>
    <w:rPr>
      <w:rFonts w:ascii="Calibri" w:hAnsi="Calibri"/>
      <w:kern w:val="2"/>
      <w:sz w:val="21"/>
      <w:szCs w:val="20"/>
    </w:rPr>
  </w:style>
  <w:style w:type="paragraph" w:styleId="16">
    <w:name w:val="E-mail Signature"/>
    <w:basedOn w:val="1"/>
    <w:link w:val="110"/>
    <w:qFormat/>
    <w:uiPriority w:val="99"/>
    <w:pPr>
      <w:autoSpaceDE/>
      <w:autoSpaceDN/>
      <w:adjustRightInd/>
      <w:spacing w:line="240" w:lineRule="auto"/>
      <w:ind w:firstLine="0" w:firstLineChars="0"/>
    </w:pPr>
    <w:rPr>
      <w:rFonts w:ascii="Calibri" w:hAnsi="Calibri"/>
      <w:kern w:val="2"/>
      <w:sz w:val="21"/>
      <w:szCs w:val="20"/>
    </w:rPr>
  </w:style>
  <w:style w:type="paragraph" w:styleId="17">
    <w:name w:val="List Number"/>
    <w:basedOn w:val="1"/>
    <w:qFormat/>
    <w:uiPriority w:val="99"/>
    <w:pPr>
      <w:tabs>
        <w:tab w:val="left" w:pos="1251"/>
      </w:tabs>
      <w:autoSpaceDE/>
      <w:autoSpaceDN/>
      <w:snapToGrid w:val="0"/>
      <w:ind w:left="1024" w:firstLine="0" w:firstLineChars="0"/>
    </w:pPr>
    <w:rPr>
      <w:kern w:val="2"/>
      <w:szCs w:val="20"/>
    </w:rPr>
  </w:style>
  <w:style w:type="paragraph" w:styleId="18">
    <w:name w:val="Normal Indent"/>
    <w:basedOn w:val="1"/>
    <w:next w:val="19"/>
    <w:link w:val="111"/>
    <w:unhideWhenUsed/>
    <w:qFormat/>
    <w:uiPriority w:val="0"/>
    <w:pPr>
      <w:spacing w:line="240" w:lineRule="auto"/>
      <w:ind w:firstLine="420" w:firstLineChars="0"/>
      <w:jc w:val="left"/>
    </w:pPr>
    <w:rPr>
      <w:kern w:val="2"/>
      <w:sz w:val="21"/>
      <w:szCs w:val="20"/>
    </w:rPr>
  </w:style>
  <w:style w:type="paragraph" w:styleId="19">
    <w:name w:val="Body Text First Indent 2"/>
    <w:basedOn w:val="20"/>
    <w:next w:val="1"/>
    <w:link w:val="136"/>
    <w:qFormat/>
    <w:uiPriority w:val="99"/>
    <w:pPr>
      <w:ind w:firstLine="420"/>
    </w:pPr>
    <w:rPr>
      <w:sz w:val="21"/>
    </w:rPr>
  </w:style>
  <w:style w:type="paragraph" w:styleId="20">
    <w:name w:val="Body Text Indent"/>
    <w:basedOn w:val="1"/>
    <w:next w:val="1"/>
    <w:link w:val="119"/>
    <w:qFormat/>
    <w:uiPriority w:val="99"/>
    <w:pPr>
      <w:spacing w:after="120"/>
      <w:ind w:left="420" w:leftChars="200"/>
    </w:pPr>
  </w:style>
  <w:style w:type="paragraph" w:styleId="21">
    <w:name w:val="caption"/>
    <w:basedOn w:val="1"/>
    <w:next w:val="1"/>
    <w:link w:val="112"/>
    <w:qFormat/>
    <w:uiPriority w:val="0"/>
    <w:rPr>
      <w:b/>
      <w:szCs w:val="22"/>
    </w:rPr>
  </w:style>
  <w:style w:type="paragraph" w:styleId="22">
    <w:name w:val="List Bullet"/>
    <w:basedOn w:val="1"/>
    <w:qFormat/>
    <w:uiPriority w:val="99"/>
    <w:pPr>
      <w:numPr>
        <w:ilvl w:val="0"/>
        <w:numId w:val="2"/>
      </w:numPr>
      <w:tabs>
        <w:tab w:val="left" w:pos="360"/>
      </w:tabs>
      <w:autoSpaceDE/>
      <w:autoSpaceDN/>
      <w:adjustRightInd/>
      <w:spacing w:line="240" w:lineRule="auto"/>
      <w:ind w:firstLineChars="0"/>
    </w:pPr>
    <w:rPr>
      <w:kern w:val="2"/>
      <w:sz w:val="20"/>
      <w:szCs w:val="20"/>
    </w:rPr>
  </w:style>
  <w:style w:type="paragraph" w:styleId="23">
    <w:name w:val="envelope address"/>
    <w:basedOn w:val="1"/>
    <w:qFormat/>
    <w:uiPriority w:val="99"/>
    <w:pPr>
      <w:autoSpaceDE/>
      <w:autoSpaceDN/>
      <w:adjustRightInd/>
      <w:snapToGrid w:val="0"/>
      <w:spacing w:line="240" w:lineRule="auto"/>
      <w:ind w:left="100" w:leftChars="1400" w:firstLine="0" w:firstLineChars="0"/>
    </w:pPr>
    <w:rPr>
      <w:rFonts w:ascii="Arial" w:hAnsi="Arial"/>
      <w:kern w:val="2"/>
      <w:szCs w:val="20"/>
    </w:rPr>
  </w:style>
  <w:style w:type="paragraph" w:styleId="24">
    <w:name w:val="Document Map"/>
    <w:basedOn w:val="1"/>
    <w:link w:val="113"/>
    <w:unhideWhenUsed/>
    <w:qFormat/>
    <w:uiPriority w:val="99"/>
    <w:rPr>
      <w:rFonts w:ascii="宋体"/>
      <w:sz w:val="18"/>
      <w:szCs w:val="18"/>
    </w:rPr>
  </w:style>
  <w:style w:type="paragraph" w:styleId="25">
    <w:name w:val="toa heading"/>
    <w:basedOn w:val="1"/>
    <w:next w:val="1"/>
    <w:qFormat/>
    <w:uiPriority w:val="0"/>
    <w:pPr>
      <w:autoSpaceDE/>
      <w:autoSpaceDN/>
      <w:snapToGrid w:val="0"/>
      <w:spacing w:before="240" w:after="120"/>
      <w:ind w:firstLine="643"/>
      <w:jc w:val="center"/>
    </w:pPr>
    <w:rPr>
      <w:smallCaps/>
      <w:kern w:val="2"/>
      <w:sz w:val="22"/>
      <w:szCs w:val="22"/>
      <w:u w:val="single"/>
    </w:rPr>
  </w:style>
  <w:style w:type="paragraph" w:styleId="26">
    <w:name w:val="annotation text"/>
    <w:basedOn w:val="1"/>
    <w:link w:val="114"/>
    <w:unhideWhenUsed/>
    <w:qFormat/>
    <w:uiPriority w:val="0"/>
    <w:pPr>
      <w:jc w:val="left"/>
    </w:pPr>
  </w:style>
  <w:style w:type="paragraph" w:styleId="27">
    <w:name w:val="Salutation"/>
    <w:basedOn w:val="1"/>
    <w:next w:val="1"/>
    <w:link w:val="115"/>
    <w:qFormat/>
    <w:uiPriority w:val="99"/>
    <w:pPr>
      <w:autoSpaceDE/>
      <w:autoSpaceDN/>
      <w:adjustRightInd/>
      <w:spacing w:line="240" w:lineRule="auto"/>
      <w:ind w:firstLine="0" w:firstLineChars="0"/>
    </w:pPr>
    <w:rPr>
      <w:rFonts w:ascii="Calibri" w:hAnsi="Calibri"/>
      <w:kern w:val="2"/>
      <w:sz w:val="21"/>
      <w:szCs w:val="20"/>
    </w:rPr>
  </w:style>
  <w:style w:type="paragraph" w:styleId="28">
    <w:name w:val="Body Text 3"/>
    <w:basedOn w:val="1"/>
    <w:link w:val="116"/>
    <w:unhideWhenUsed/>
    <w:qFormat/>
    <w:uiPriority w:val="99"/>
    <w:pPr>
      <w:autoSpaceDE/>
      <w:autoSpaceDN/>
      <w:adjustRightInd/>
      <w:spacing w:after="120" w:line="240" w:lineRule="auto"/>
      <w:ind w:firstLine="0" w:firstLineChars="0"/>
    </w:pPr>
    <w:rPr>
      <w:kern w:val="2"/>
      <w:sz w:val="16"/>
      <w:szCs w:val="16"/>
    </w:rPr>
  </w:style>
  <w:style w:type="paragraph" w:styleId="29">
    <w:name w:val="Closing"/>
    <w:basedOn w:val="1"/>
    <w:link w:val="117"/>
    <w:qFormat/>
    <w:uiPriority w:val="99"/>
    <w:pPr>
      <w:autoSpaceDE/>
      <w:autoSpaceDN/>
      <w:adjustRightInd/>
      <w:spacing w:line="240" w:lineRule="auto"/>
      <w:ind w:left="100" w:leftChars="2100" w:firstLine="0" w:firstLineChars="0"/>
    </w:pPr>
    <w:rPr>
      <w:kern w:val="2"/>
      <w:sz w:val="21"/>
      <w:szCs w:val="20"/>
    </w:rPr>
  </w:style>
  <w:style w:type="paragraph" w:styleId="30">
    <w:name w:val="List Bullet 3"/>
    <w:basedOn w:val="1"/>
    <w:qFormat/>
    <w:uiPriority w:val="99"/>
    <w:pPr>
      <w:numPr>
        <w:ilvl w:val="0"/>
        <w:numId w:val="3"/>
      </w:numPr>
      <w:tabs>
        <w:tab w:val="left" w:pos="1342"/>
      </w:tabs>
      <w:autoSpaceDE/>
      <w:autoSpaceDN/>
      <w:adjustRightInd/>
      <w:spacing w:line="240" w:lineRule="auto"/>
      <w:ind w:firstLineChars="0"/>
    </w:pPr>
    <w:rPr>
      <w:kern w:val="2"/>
      <w:sz w:val="20"/>
      <w:szCs w:val="20"/>
    </w:rPr>
  </w:style>
  <w:style w:type="paragraph" w:styleId="31">
    <w:name w:val="Body Text"/>
    <w:basedOn w:val="1"/>
    <w:link w:val="118"/>
    <w:unhideWhenUsed/>
    <w:qFormat/>
    <w:uiPriority w:val="0"/>
    <w:pPr>
      <w:spacing w:after="120"/>
      <w:jc w:val="left"/>
    </w:pPr>
    <w:rPr>
      <w:kern w:val="2"/>
    </w:rPr>
  </w:style>
  <w:style w:type="paragraph" w:styleId="32">
    <w:name w:val="List Number 3"/>
    <w:basedOn w:val="1"/>
    <w:qFormat/>
    <w:uiPriority w:val="99"/>
    <w:pPr>
      <w:tabs>
        <w:tab w:val="left" w:pos="1200"/>
      </w:tabs>
      <w:autoSpaceDE/>
      <w:autoSpaceDN/>
      <w:adjustRightInd/>
      <w:spacing w:line="240" w:lineRule="auto"/>
      <w:ind w:left="1200" w:leftChars="400" w:hanging="360" w:hangingChars="200"/>
    </w:pPr>
    <w:rPr>
      <w:rFonts w:ascii="Calibri" w:hAnsi="Calibri"/>
      <w:kern w:val="2"/>
      <w:sz w:val="21"/>
      <w:szCs w:val="20"/>
    </w:rPr>
  </w:style>
  <w:style w:type="paragraph" w:styleId="33">
    <w:name w:val="List 2"/>
    <w:basedOn w:val="1"/>
    <w:qFormat/>
    <w:uiPriority w:val="99"/>
    <w:pPr>
      <w:autoSpaceDE/>
      <w:autoSpaceDN/>
      <w:adjustRightInd/>
      <w:spacing w:line="240" w:lineRule="auto"/>
      <w:ind w:left="100" w:leftChars="200" w:hanging="200" w:hangingChars="200"/>
    </w:pPr>
    <w:rPr>
      <w:rFonts w:ascii="Calibri" w:hAnsi="Calibri"/>
      <w:kern w:val="2"/>
      <w:sz w:val="21"/>
      <w:szCs w:val="20"/>
    </w:rPr>
  </w:style>
  <w:style w:type="paragraph" w:styleId="34">
    <w:name w:val="List Continue"/>
    <w:basedOn w:val="1"/>
    <w:qFormat/>
    <w:uiPriority w:val="99"/>
    <w:pPr>
      <w:autoSpaceDE/>
      <w:autoSpaceDN/>
      <w:adjustRightInd/>
      <w:spacing w:after="120" w:line="240" w:lineRule="auto"/>
      <w:ind w:left="420" w:leftChars="200" w:firstLine="0" w:firstLineChars="0"/>
    </w:pPr>
    <w:rPr>
      <w:rFonts w:ascii="Calibri" w:hAnsi="Calibri"/>
      <w:kern w:val="2"/>
      <w:sz w:val="21"/>
      <w:szCs w:val="20"/>
    </w:rPr>
  </w:style>
  <w:style w:type="paragraph" w:styleId="35">
    <w:name w:val="Block Text"/>
    <w:basedOn w:val="1"/>
    <w:qFormat/>
    <w:uiPriority w:val="99"/>
    <w:pPr>
      <w:autoSpaceDE/>
      <w:autoSpaceDN/>
      <w:adjustRightInd/>
      <w:spacing w:after="120" w:line="240" w:lineRule="auto"/>
      <w:ind w:left="1440" w:leftChars="700" w:right="700" w:rightChars="700" w:firstLine="0" w:firstLineChars="0"/>
    </w:pPr>
    <w:rPr>
      <w:rFonts w:ascii="Calibri" w:hAnsi="Calibri"/>
      <w:kern w:val="2"/>
      <w:sz w:val="21"/>
      <w:szCs w:val="20"/>
    </w:rPr>
  </w:style>
  <w:style w:type="paragraph" w:styleId="36">
    <w:name w:val="List Bullet 2"/>
    <w:basedOn w:val="1"/>
    <w:qFormat/>
    <w:uiPriority w:val="99"/>
    <w:pPr>
      <w:tabs>
        <w:tab w:val="left" w:pos="780"/>
      </w:tabs>
      <w:autoSpaceDE/>
      <w:autoSpaceDN/>
      <w:adjustRightInd/>
      <w:spacing w:line="240" w:lineRule="auto"/>
      <w:ind w:left="780" w:leftChars="200" w:hanging="360" w:hangingChars="200"/>
    </w:pPr>
    <w:rPr>
      <w:rFonts w:ascii="Calibri" w:hAnsi="Calibri"/>
      <w:kern w:val="2"/>
      <w:sz w:val="21"/>
      <w:szCs w:val="20"/>
    </w:rPr>
  </w:style>
  <w:style w:type="paragraph" w:styleId="37">
    <w:name w:val="HTML Address"/>
    <w:basedOn w:val="1"/>
    <w:link w:val="120"/>
    <w:qFormat/>
    <w:uiPriority w:val="99"/>
    <w:pPr>
      <w:autoSpaceDE/>
      <w:autoSpaceDN/>
      <w:adjustRightInd/>
      <w:spacing w:line="240" w:lineRule="auto"/>
      <w:ind w:firstLine="0" w:firstLineChars="0"/>
    </w:pPr>
    <w:rPr>
      <w:rFonts w:ascii="Calibri" w:hAnsi="Calibri"/>
      <w:i/>
      <w:kern w:val="2"/>
      <w:sz w:val="21"/>
      <w:szCs w:val="20"/>
    </w:rPr>
  </w:style>
  <w:style w:type="paragraph" w:styleId="38">
    <w:name w:val="toc 5"/>
    <w:basedOn w:val="1"/>
    <w:next w:val="1"/>
    <w:unhideWhenUsed/>
    <w:qFormat/>
    <w:uiPriority w:val="39"/>
    <w:pPr>
      <w:ind w:left="960"/>
      <w:jc w:val="left"/>
    </w:pPr>
    <w:rPr>
      <w:rFonts w:cstheme="minorHAnsi"/>
      <w:sz w:val="18"/>
      <w:szCs w:val="18"/>
    </w:rPr>
  </w:style>
  <w:style w:type="paragraph" w:styleId="39">
    <w:name w:val="toc 3"/>
    <w:next w:val="40"/>
    <w:unhideWhenUsed/>
    <w:qFormat/>
    <w:uiPriority w:val="39"/>
    <w:pPr>
      <w:widowControl w:val="0"/>
      <w:autoSpaceDE w:val="0"/>
      <w:autoSpaceDN w:val="0"/>
      <w:adjustRightInd w:val="0"/>
      <w:ind w:left="200" w:leftChars="200"/>
    </w:pPr>
    <w:rPr>
      <w:rFonts w:ascii="Times New Roman" w:hAnsi="Times New Roman" w:eastAsia="宋体" w:cstheme="minorHAnsi"/>
      <w:iCs/>
      <w:sz w:val="24"/>
      <w:lang w:val="en-US" w:eastAsia="zh-CN" w:bidi="ar-SA"/>
    </w:rPr>
  </w:style>
  <w:style w:type="paragraph" w:styleId="40">
    <w:name w:val="No Spacing"/>
    <w:qFormat/>
    <w:uiPriority w:val="99"/>
    <w:pPr>
      <w:widowControl w:val="0"/>
      <w:autoSpaceDE w:val="0"/>
      <w:autoSpaceDN w:val="0"/>
      <w:adjustRightInd w:val="0"/>
      <w:ind w:firstLine="200" w:firstLineChars="200"/>
      <w:jc w:val="both"/>
    </w:pPr>
    <w:rPr>
      <w:rFonts w:ascii="Times New Roman" w:hAnsi="Times New Roman" w:eastAsia="宋体" w:cstheme="minorBidi"/>
      <w:sz w:val="24"/>
      <w:szCs w:val="24"/>
      <w:lang w:val="en-US" w:eastAsia="zh-CN" w:bidi="ar-SA"/>
    </w:rPr>
  </w:style>
  <w:style w:type="paragraph" w:styleId="41">
    <w:name w:val="Plain Text"/>
    <w:basedOn w:val="1"/>
    <w:link w:val="121"/>
    <w:qFormat/>
    <w:uiPriority w:val="0"/>
    <w:pPr>
      <w:autoSpaceDE/>
      <w:autoSpaceDN/>
      <w:adjustRightInd/>
      <w:spacing w:line="240" w:lineRule="auto"/>
      <w:ind w:firstLine="0" w:firstLineChars="0"/>
    </w:pPr>
    <w:rPr>
      <w:rFonts w:ascii="宋体" w:hAnsi="Courier New"/>
      <w:kern w:val="2"/>
      <w:sz w:val="28"/>
      <w:szCs w:val="20"/>
    </w:rPr>
  </w:style>
  <w:style w:type="paragraph" w:styleId="42">
    <w:name w:val="List Bullet 5"/>
    <w:basedOn w:val="1"/>
    <w:qFormat/>
    <w:uiPriority w:val="99"/>
    <w:pPr>
      <w:tabs>
        <w:tab w:val="left" w:pos="2040"/>
      </w:tabs>
      <w:autoSpaceDE/>
      <w:autoSpaceDN/>
      <w:adjustRightInd/>
      <w:spacing w:line="240" w:lineRule="auto"/>
      <w:ind w:left="2040" w:leftChars="800" w:hanging="360" w:hangingChars="200"/>
    </w:pPr>
    <w:rPr>
      <w:rFonts w:ascii="Calibri" w:hAnsi="Calibri"/>
      <w:kern w:val="2"/>
      <w:sz w:val="21"/>
      <w:szCs w:val="20"/>
    </w:rPr>
  </w:style>
  <w:style w:type="paragraph" w:styleId="43">
    <w:name w:val="List Number 4"/>
    <w:basedOn w:val="1"/>
    <w:qFormat/>
    <w:uiPriority w:val="99"/>
    <w:pPr>
      <w:tabs>
        <w:tab w:val="left" w:pos="1620"/>
      </w:tabs>
      <w:autoSpaceDE/>
      <w:autoSpaceDN/>
      <w:adjustRightInd/>
      <w:spacing w:line="240" w:lineRule="auto"/>
      <w:ind w:left="1620" w:leftChars="600" w:hanging="360" w:hangingChars="200"/>
    </w:pPr>
    <w:rPr>
      <w:rFonts w:ascii="Calibri" w:hAnsi="Calibri"/>
      <w:kern w:val="2"/>
      <w:sz w:val="21"/>
      <w:szCs w:val="20"/>
    </w:rPr>
  </w:style>
  <w:style w:type="paragraph" w:styleId="44">
    <w:name w:val="toc 8"/>
    <w:basedOn w:val="1"/>
    <w:next w:val="1"/>
    <w:unhideWhenUsed/>
    <w:qFormat/>
    <w:uiPriority w:val="39"/>
    <w:pPr>
      <w:ind w:left="1680"/>
      <w:jc w:val="left"/>
    </w:pPr>
    <w:rPr>
      <w:rFonts w:cstheme="minorHAnsi"/>
      <w:sz w:val="18"/>
      <w:szCs w:val="18"/>
    </w:rPr>
  </w:style>
  <w:style w:type="paragraph" w:styleId="45">
    <w:name w:val="Date"/>
    <w:basedOn w:val="1"/>
    <w:next w:val="1"/>
    <w:link w:val="122"/>
    <w:unhideWhenUsed/>
    <w:qFormat/>
    <w:uiPriority w:val="99"/>
    <w:pPr>
      <w:ind w:left="100" w:leftChars="2500"/>
    </w:pPr>
  </w:style>
  <w:style w:type="paragraph" w:styleId="46">
    <w:name w:val="Body Text Indent 2"/>
    <w:basedOn w:val="1"/>
    <w:link w:val="123"/>
    <w:qFormat/>
    <w:uiPriority w:val="99"/>
    <w:pPr>
      <w:spacing w:before="120" w:after="120" w:line="460" w:lineRule="exact"/>
      <w:ind w:firstLine="555"/>
    </w:pPr>
    <w:rPr>
      <w:rFonts w:eastAsia="仿宋_GB2312"/>
      <w:sz w:val="28"/>
    </w:rPr>
  </w:style>
  <w:style w:type="paragraph" w:styleId="47">
    <w:name w:val="List Continue 5"/>
    <w:basedOn w:val="1"/>
    <w:qFormat/>
    <w:uiPriority w:val="99"/>
    <w:pPr>
      <w:autoSpaceDE/>
      <w:autoSpaceDN/>
      <w:adjustRightInd/>
      <w:spacing w:after="120" w:line="240" w:lineRule="auto"/>
      <w:ind w:left="2100" w:leftChars="1000" w:firstLine="0" w:firstLineChars="0"/>
    </w:pPr>
    <w:rPr>
      <w:rFonts w:ascii="Calibri" w:hAnsi="Calibri"/>
      <w:kern w:val="2"/>
      <w:sz w:val="21"/>
      <w:szCs w:val="20"/>
    </w:rPr>
  </w:style>
  <w:style w:type="paragraph" w:styleId="48">
    <w:name w:val="Balloon Text"/>
    <w:basedOn w:val="1"/>
    <w:link w:val="124"/>
    <w:unhideWhenUsed/>
    <w:qFormat/>
    <w:uiPriority w:val="99"/>
    <w:pPr>
      <w:spacing w:line="240" w:lineRule="auto"/>
    </w:pPr>
    <w:rPr>
      <w:sz w:val="18"/>
      <w:szCs w:val="18"/>
    </w:rPr>
  </w:style>
  <w:style w:type="paragraph" w:styleId="49">
    <w:name w:val="footer"/>
    <w:basedOn w:val="1"/>
    <w:link w:val="125"/>
    <w:unhideWhenUsed/>
    <w:qFormat/>
    <w:uiPriority w:val="99"/>
    <w:pPr>
      <w:tabs>
        <w:tab w:val="center" w:pos="4153"/>
        <w:tab w:val="right" w:pos="8306"/>
      </w:tabs>
      <w:snapToGrid w:val="0"/>
      <w:jc w:val="left"/>
    </w:pPr>
    <w:rPr>
      <w:sz w:val="18"/>
      <w:szCs w:val="18"/>
    </w:rPr>
  </w:style>
  <w:style w:type="paragraph" w:styleId="50">
    <w:name w:val="envelope return"/>
    <w:basedOn w:val="1"/>
    <w:qFormat/>
    <w:uiPriority w:val="99"/>
    <w:pPr>
      <w:autoSpaceDE/>
      <w:autoSpaceDN/>
      <w:adjustRightInd/>
      <w:snapToGrid w:val="0"/>
      <w:spacing w:line="240" w:lineRule="auto"/>
      <w:ind w:firstLine="0" w:firstLineChars="0"/>
    </w:pPr>
    <w:rPr>
      <w:rFonts w:ascii="Arial" w:hAnsi="Arial"/>
      <w:kern w:val="2"/>
      <w:sz w:val="21"/>
      <w:szCs w:val="20"/>
    </w:rPr>
  </w:style>
  <w:style w:type="paragraph" w:styleId="51">
    <w:name w:val="header"/>
    <w:basedOn w:val="1"/>
    <w:link w:val="126"/>
    <w:unhideWhenUsed/>
    <w:qFormat/>
    <w:uiPriority w:val="99"/>
    <w:pPr>
      <w:pBdr>
        <w:bottom w:val="single" w:color="auto" w:sz="6" w:space="1"/>
      </w:pBdr>
      <w:tabs>
        <w:tab w:val="center" w:pos="4153"/>
        <w:tab w:val="right" w:pos="8306"/>
      </w:tabs>
      <w:snapToGrid w:val="0"/>
      <w:jc w:val="center"/>
    </w:pPr>
    <w:rPr>
      <w:sz w:val="18"/>
      <w:szCs w:val="18"/>
    </w:rPr>
  </w:style>
  <w:style w:type="paragraph" w:styleId="52">
    <w:name w:val="Signature"/>
    <w:basedOn w:val="1"/>
    <w:link w:val="127"/>
    <w:qFormat/>
    <w:uiPriority w:val="99"/>
    <w:pPr>
      <w:autoSpaceDE/>
      <w:autoSpaceDN/>
      <w:adjustRightInd/>
      <w:spacing w:line="240" w:lineRule="auto"/>
      <w:ind w:left="100" w:leftChars="2100" w:firstLine="0" w:firstLineChars="0"/>
    </w:pPr>
    <w:rPr>
      <w:rFonts w:ascii="Calibri" w:hAnsi="Calibri"/>
      <w:kern w:val="2"/>
      <w:sz w:val="21"/>
      <w:szCs w:val="20"/>
    </w:rPr>
  </w:style>
  <w:style w:type="paragraph" w:styleId="53">
    <w:name w:val="toc 1"/>
    <w:next w:val="40"/>
    <w:unhideWhenUsed/>
    <w:qFormat/>
    <w:uiPriority w:val="39"/>
    <w:pPr>
      <w:widowControl w:val="0"/>
      <w:autoSpaceDE w:val="0"/>
      <w:autoSpaceDN w:val="0"/>
      <w:adjustRightInd w:val="0"/>
    </w:pPr>
    <w:rPr>
      <w:rFonts w:ascii="Times New Roman" w:hAnsi="Times New Roman" w:eastAsia="宋体" w:cstheme="minorHAnsi"/>
      <w:b/>
      <w:bCs/>
      <w:caps/>
      <w:sz w:val="24"/>
      <w:lang w:val="en-US" w:eastAsia="zh-CN" w:bidi="ar-SA"/>
    </w:rPr>
  </w:style>
  <w:style w:type="paragraph" w:styleId="54">
    <w:name w:val="List Continue 4"/>
    <w:basedOn w:val="1"/>
    <w:qFormat/>
    <w:uiPriority w:val="99"/>
    <w:pPr>
      <w:autoSpaceDE/>
      <w:autoSpaceDN/>
      <w:adjustRightInd/>
      <w:spacing w:after="120" w:line="240" w:lineRule="auto"/>
      <w:ind w:left="1680" w:leftChars="800" w:firstLine="0" w:firstLineChars="0"/>
    </w:pPr>
    <w:rPr>
      <w:rFonts w:ascii="Calibri" w:hAnsi="Calibri"/>
      <w:kern w:val="2"/>
      <w:sz w:val="21"/>
      <w:szCs w:val="20"/>
    </w:rPr>
  </w:style>
  <w:style w:type="paragraph" w:styleId="55">
    <w:name w:val="toc 4"/>
    <w:basedOn w:val="1"/>
    <w:next w:val="1"/>
    <w:unhideWhenUsed/>
    <w:qFormat/>
    <w:uiPriority w:val="39"/>
    <w:pPr>
      <w:ind w:left="720"/>
      <w:jc w:val="left"/>
    </w:pPr>
    <w:rPr>
      <w:rFonts w:cstheme="minorHAnsi"/>
      <w:sz w:val="18"/>
      <w:szCs w:val="18"/>
    </w:rPr>
  </w:style>
  <w:style w:type="paragraph" w:styleId="56">
    <w:name w:val="Subtitle"/>
    <w:basedOn w:val="1"/>
    <w:next w:val="1"/>
    <w:link w:val="128"/>
    <w:qFormat/>
    <w:uiPriority w:val="99"/>
    <w:pPr>
      <w:autoSpaceDE/>
      <w:autoSpaceDN/>
      <w:adjustRightInd/>
      <w:spacing w:before="240" w:after="60" w:line="312" w:lineRule="auto"/>
      <w:ind w:firstLine="0" w:firstLineChars="0"/>
      <w:jc w:val="center"/>
      <w:outlineLvl w:val="1"/>
    </w:pPr>
    <w:rPr>
      <w:rFonts w:ascii="Cambria" w:hAnsi="Cambria"/>
      <w:b/>
      <w:kern w:val="28"/>
      <w:sz w:val="32"/>
      <w:szCs w:val="20"/>
    </w:rPr>
  </w:style>
  <w:style w:type="paragraph" w:styleId="57">
    <w:name w:val="List Number 5"/>
    <w:basedOn w:val="1"/>
    <w:qFormat/>
    <w:uiPriority w:val="99"/>
    <w:pPr>
      <w:tabs>
        <w:tab w:val="left" w:pos="2040"/>
      </w:tabs>
      <w:autoSpaceDE/>
      <w:autoSpaceDN/>
      <w:adjustRightInd/>
      <w:spacing w:line="240" w:lineRule="auto"/>
      <w:ind w:left="2040" w:leftChars="800" w:hanging="360" w:hangingChars="200"/>
    </w:pPr>
    <w:rPr>
      <w:rFonts w:ascii="Calibri" w:hAnsi="Calibri"/>
      <w:kern w:val="2"/>
      <w:sz w:val="21"/>
      <w:szCs w:val="20"/>
    </w:rPr>
  </w:style>
  <w:style w:type="paragraph" w:styleId="58">
    <w:name w:val="List"/>
    <w:basedOn w:val="1"/>
    <w:qFormat/>
    <w:uiPriority w:val="99"/>
    <w:pPr>
      <w:autoSpaceDE/>
      <w:autoSpaceDN/>
      <w:adjustRightInd/>
      <w:spacing w:line="360" w:lineRule="exact"/>
      <w:ind w:firstLine="0" w:firstLineChars="0"/>
      <w:jc w:val="center"/>
    </w:pPr>
    <w:rPr>
      <w:rFonts w:ascii="仿宋_GB2312" w:eastAsia="仿宋_GB2312"/>
      <w:kern w:val="2"/>
      <w:szCs w:val="20"/>
    </w:rPr>
  </w:style>
  <w:style w:type="paragraph" w:styleId="59">
    <w:name w:val="toc 6"/>
    <w:basedOn w:val="1"/>
    <w:next w:val="1"/>
    <w:unhideWhenUsed/>
    <w:qFormat/>
    <w:uiPriority w:val="39"/>
    <w:pPr>
      <w:ind w:left="1200"/>
      <w:jc w:val="left"/>
    </w:pPr>
    <w:rPr>
      <w:rFonts w:cstheme="minorHAnsi"/>
      <w:sz w:val="18"/>
      <w:szCs w:val="18"/>
    </w:rPr>
  </w:style>
  <w:style w:type="paragraph" w:styleId="60">
    <w:name w:val="List 5"/>
    <w:basedOn w:val="1"/>
    <w:qFormat/>
    <w:uiPriority w:val="99"/>
    <w:pPr>
      <w:autoSpaceDE/>
      <w:autoSpaceDN/>
      <w:adjustRightInd/>
      <w:spacing w:line="240" w:lineRule="auto"/>
      <w:ind w:left="100" w:leftChars="800" w:hanging="200" w:hangingChars="200"/>
    </w:pPr>
    <w:rPr>
      <w:rFonts w:ascii="Calibri" w:hAnsi="Calibri"/>
      <w:kern w:val="2"/>
      <w:sz w:val="21"/>
      <w:szCs w:val="20"/>
    </w:rPr>
  </w:style>
  <w:style w:type="paragraph" w:styleId="61">
    <w:name w:val="Body Text Indent 3"/>
    <w:basedOn w:val="1"/>
    <w:link w:val="129"/>
    <w:qFormat/>
    <w:uiPriority w:val="99"/>
    <w:pPr>
      <w:autoSpaceDE/>
      <w:autoSpaceDN/>
      <w:adjustRightInd/>
      <w:snapToGrid w:val="0"/>
      <w:spacing w:line="336" w:lineRule="auto"/>
      <w:ind w:firstLine="560" w:firstLineChars="0"/>
    </w:pPr>
    <w:rPr>
      <w:rFonts w:eastAsia="仿宋_GB2312"/>
      <w:kern w:val="2"/>
      <w:sz w:val="28"/>
      <w:szCs w:val="20"/>
    </w:rPr>
  </w:style>
  <w:style w:type="paragraph" w:styleId="62">
    <w:name w:val="table of figures"/>
    <w:basedOn w:val="1"/>
    <w:next w:val="1"/>
    <w:unhideWhenUsed/>
    <w:qFormat/>
    <w:uiPriority w:val="0"/>
    <w:pPr>
      <w:ind w:left="200" w:leftChars="200" w:hanging="200" w:hangingChars="200"/>
    </w:pPr>
  </w:style>
  <w:style w:type="paragraph" w:styleId="63">
    <w:name w:val="toc 2"/>
    <w:basedOn w:val="1"/>
    <w:next w:val="1"/>
    <w:unhideWhenUsed/>
    <w:qFormat/>
    <w:uiPriority w:val="39"/>
    <w:pPr>
      <w:widowControl w:val="0"/>
      <w:autoSpaceDE w:val="0"/>
      <w:autoSpaceDN w:val="0"/>
      <w:adjustRightInd w:val="0"/>
      <w:ind w:left="100" w:leftChars="100"/>
    </w:pPr>
    <w:rPr>
      <w:rFonts w:ascii="Times New Roman" w:hAnsi="Times New Roman" w:eastAsia="宋体" w:cstheme="minorHAnsi"/>
      <w:smallCaps/>
      <w:sz w:val="24"/>
      <w:lang w:val="en-US" w:eastAsia="zh-CN" w:bidi="ar-SA"/>
    </w:rPr>
  </w:style>
  <w:style w:type="paragraph" w:styleId="64">
    <w:name w:val="toc 9"/>
    <w:basedOn w:val="1"/>
    <w:next w:val="1"/>
    <w:unhideWhenUsed/>
    <w:qFormat/>
    <w:uiPriority w:val="39"/>
    <w:pPr>
      <w:ind w:left="1920"/>
      <w:jc w:val="left"/>
    </w:pPr>
    <w:rPr>
      <w:rFonts w:cstheme="minorHAnsi"/>
      <w:sz w:val="18"/>
      <w:szCs w:val="18"/>
    </w:rPr>
  </w:style>
  <w:style w:type="paragraph" w:styleId="65">
    <w:name w:val="Body Text 2"/>
    <w:basedOn w:val="1"/>
    <w:link w:val="130"/>
    <w:unhideWhenUsed/>
    <w:qFormat/>
    <w:uiPriority w:val="99"/>
    <w:pPr>
      <w:spacing w:after="120" w:line="480" w:lineRule="auto"/>
    </w:pPr>
  </w:style>
  <w:style w:type="paragraph" w:styleId="66">
    <w:name w:val="List 4"/>
    <w:basedOn w:val="1"/>
    <w:qFormat/>
    <w:uiPriority w:val="99"/>
    <w:pPr>
      <w:autoSpaceDE/>
      <w:autoSpaceDN/>
      <w:adjustRightInd/>
      <w:spacing w:line="240" w:lineRule="auto"/>
      <w:ind w:left="100" w:leftChars="600" w:hanging="200" w:hangingChars="200"/>
    </w:pPr>
    <w:rPr>
      <w:rFonts w:ascii="Calibri" w:hAnsi="Calibri"/>
      <w:kern w:val="2"/>
      <w:sz w:val="21"/>
      <w:szCs w:val="20"/>
    </w:rPr>
  </w:style>
  <w:style w:type="paragraph" w:styleId="67">
    <w:name w:val="List Continue 2"/>
    <w:basedOn w:val="1"/>
    <w:qFormat/>
    <w:uiPriority w:val="99"/>
    <w:pPr>
      <w:autoSpaceDE/>
      <w:autoSpaceDN/>
      <w:adjustRightInd/>
      <w:spacing w:after="120" w:line="240" w:lineRule="auto"/>
      <w:ind w:left="840" w:leftChars="400" w:firstLine="0" w:firstLineChars="0"/>
    </w:pPr>
    <w:rPr>
      <w:rFonts w:ascii="Calibri" w:hAnsi="Calibri"/>
      <w:kern w:val="2"/>
      <w:sz w:val="21"/>
      <w:szCs w:val="20"/>
    </w:rPr>
  </w:style>
  <w:style w:type="paragraph" w:styleId="68">
    <w:name w:val="Message Header"/>
    <w:basedOn w:val="1"/>
    <w:link w:val="131"/>
    <w:qFormat/>
    <w:uiPriority w:val="99"/>
    <w:pPr>
      <w:pBdr>
        <w:top w:val="single" w:color="auto" w:sz="6" w:space="1"/>
        <w:left w:val="single" w:color="auto" w:sz="6" w:space="1"/>
        <w:bottom w:val="single" w:color="auto" w:sz="6" w:space="1"/>
        <w:right w:val="single" w:color="auto" w:sz="6" w:space="1"/>
      </w:pBdr>
      <w:shd w:val="pct20" w:color="auto" w:fill="auto"/>
      <w:autoSpaceDE/>
      <w:autoSpaceDN/>
      <w:adjustRightInd/>
      <w:spacing w:line="240" w:lineRule="auto"/>
      <w:ind w:left="1080" w:leftChars="500" w:hanging="1080" w:hangingChars="500"/>
    </w:pPr>
    <w:rPr>
      <w:rFonts w:ascii="Arial" w:hAnsi="Arial"/>
      <w:kern w:val="2"/>
      <w:szCs w:val="20"/>
      <w:shd w:val="pct20" w:color="auto" w:fill="auto"/>
    </w:rPr>
  </w:style>
  <w:style w:type="paragraph" w:styleId="69">
    <w:name w:val="HTML Preformatted"/>
    <w:basedOn w:val="1"/>
    <w:link w:val="132"/>
    <w:qFormat/>
    <w:uiPriority w:val="99"/>
    <w:pPr>
      <w:autoSpaceDE/>
      <w:autoSpaceDN/>
      <w:adjustRightInd/>
      <w:spacing w:line="240" w:lineRule="auto"/>
      <w:ind w:firstLine="0" w:firstLineChars="0"/>
    </w:pPr>
    <w:rPr>
      <w:rFonts w:ascii="Courier New" w:hAnsi="Courier New"/>
      <w:kern w:val="2"/>
      <w:sz w:val="20"/>
      <w:szCs w:val="20"/>
    </w:rPr>
  </w:style>
  <w:style w:type="paragraph" w:styleId="70">
    <w:name w:val="Normal (Web)"/>
    <w:basedOn w:val="1"/>
    <w:unhideWhenUsed/>
    <w:qFormat/>
    <w:uiPriority w:val="99"/>
    <w:pPr>
      <w:widowControl/>
      <w:spacing w:beforeAutospacing="1" w:afterAutospacing="1" w:line="240" w:lineRule="auto"/>
      <w:ind w:firstLine="0" w:firstLineChars="0"/>
      <w:jc w:val="left"/>
    </w:pPr>
    <w:rPr>
      <w:rFonts w:hint="eastAsia" w:ascii="宋体" w:hAnsi="宋体"/>
    </w:rPr>
  </w:style>
  <w:style w:type="paragraph" w:styleId="71">
    <w:name w:val="List Continue 3"/>
    <w:basedOn w:val="1"/>
    <w:qFormat/>
    <w:uiPriority w:val="99"/>
    <w:pPr>
      <w:autoSpaceDE/>
      <w:autoSpaceDN/>
      <w:adjustRightInd/>
      <w:spacing w:after="120" w:line="240" w:lineRule="auto"/>
      <w:ind w:left="1260" w:leftChars="600" w:firstLine="0" w:firstLineChars="0"/>
    </w:pPr>
    <w:rPr>
      <w:rFonts w:ascii="Calibri" w:hAnsi="Calibri"/>
      <w:kern w:val="2"/>
      <w:sz w:val="21"/>
      <w:szCs w:val="20"/>
    </w:rPr>
  </w:style>
  <w:style w:type="paragraph" w:styleId="72">
    <w:name w:val="index 1"/>
    <w:basedOn w:val="1"/>
    <w:next w:val="1"/>
    <w:qFormat/>
    <w:uiPriority w:val="99"/>
    <w:pPr>
      <w:autoSpaceDE/>
      <w:autoSpaceDN/>
      <w:ind w:firstLine="0" w:firstLineChars="0"/>
      <w:jc w:val="center"/>
    </w:pPr>
    <w:rPr>
      <w:kern w:val="2"/>
      <w:sz w:val="28"/>
      <w:szCs w:val="20"/>
    </w:rPr>
  </w:style>
  <w:style w:type="paragraph" w:styleId="73">
    <w:name w:val="Title"/>
    <w:basedOn w:val="1"/>
    <w:next w:val="74"/>
    <w:link w:val="134"/>
    <w:qFormat/>
    <w:uiPriority w:val="99"/>
    <w:pPr>
      <w:autoSpaceDE/>
      <w:autoSpaceDN/>
      <w:snapToGrid w:val="0"/>
      <w:ind w:firstLine="0" w:firstLineChars="0"/>
      <w:jc w:val="center"/>
    </w:pPr>
    <w:rPr>
      <w:rFonts w:eastAsia="黑体"/>
      <w:kern w:val="2"/>
      <w:sz w:val="36"/>
      <w:szCs w:val="20"/>
    </w:rPr>
  </w:style>
  <w:style w:type="paragraph" w:styleId="74">
    <w:name w:val="Body Text First Indent"/>
    <w:basedOn w:val="31"/>
    <w:next w:val="1"/>
    <w:link w:val="133"/>
    <w:unhideWhenUsed/>
    <w:qFormat/>
    <w:uiPriority w:val="99"/>
    <w:pPr>
      <w:ind w:firstLine="420" w:firstLineChars="100"/>
    </w:pPr>
  </w:style>
  <w:style w:type="paragraph" w:styleId="75">
    <w:name w:val="annotation subject"/>
    <w:basedOn w:val="26"/>
    <w:next w:val="26"/>
    <w:link w:val="135"/>
    <w:unhideWhenUsed/>
    <w:qFormat/>
    <w:uiPriority w:val="99"/>
    <w:rPr>
      <w:b/>
      <w:bCs/>
    </w:rPr>
  </w:style>
  <w:style w:type="table" w:styleId="77">
    <w:name w:val="Table Grid"/>
    <w:basedOn w:val="7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9">
    <w:name w:val="Strong"/>
    <w:qFormat/>
    <w:uiPriority w:val="22"/>
    <w:rPr>
      <w:b/>
    </w:rPr>
  </w:style>
  <w:style w:type="character" w:styleId="80">
    <w:name w:val="page number"/>
    <w:qFormat/>
    <w:uiPriority w:val="99"/>
    <w:rPr>
      <w:rFonts w:ascii="Times New Roman" w:hAnsi="Times New Roman" w:eastAsia="宋体" w:cs="Times New Roman"/>
      <w:lang w:val="en-US" w:eastAsia="zh-CN" w:bidi="ar-SA"/>
    </w:rPr>
  </w:style>
  <w:style w:type="character" w:styleId="81">
    <w:name w:val="FollowedHyperlink"/>
    <w:qFormat/>
    <w:uiPriority w:val="99"/>
    <w:rPr>
      <w:color w:val="800080"/>
      <w:u w:val="single"/>
    </w:rPr>
  </w:style>
  <w:style w:type="character" w:styleId="82">
    <w:name w:val="Emphasis"/>
    <w:qFormat/>
    <w:uiPriority w:val="20"/>
    <w:rPr>
      <w:i/>
    </w:rPr>
  </w:style>
  <w:style w:type="character" w:styleId="83">
    <w:name w:val="line number"/>
    <w:basedOn w:val="78"/>
    <w:qFormat/>
    <w:uiPriority w:val="99"/>
  </w:style>
  <w:style w:type="character" w:styleId="84">
    <w:name w:val="HTML Definition"/>
    <w:qFormat/>
    <w:uiPriority w:val="99"/>
    <w:rPr>
      <w:i/>
    </w:rPr>
  </w:style>
  <w:style w:type="character" w:styleId="85">
    <w:name w:val="HTML Typewriter"/>
    <w:qFormat/>
    <w:uiPriority w:val="99"/>
    <w:rPr>
      <w:rFonts w:ascii="Courier New" w:hAnsi="Courier New"/>
      <w:sz w:val="20"/>
    </w:rPr>
  </w:style>
  <w:style w:type="character" w:styleId="86">
    <w:name w:val="HTML Acronym"/>
    <w:basedOn w:val="78"/>
    <w:qFormat/>
    <w:uiPriority w:val="99"/>
  </w:style>
  <w:style w:type="character" w:styleId="87">
    <w:name w:val="HTML Variable"/>
    <w:qFormat/>
    <w:uiPriority w:val="99"/>
    <w:rPr>
      <w:i/>
    </w:rPr>
  </w:style>
  <w:style w:type="character" w:styleId="88">
    <w:name w:val="Hyperlink"/>
    <w:basedOn w:val="78"/>
    <w:unhideWhenUsed/>
    <w:qFormat/>
    <w:uiPriority w:val="99"/>
    <w:rPr>
      <w:color w:val="0000FF" w:themeColor="hyperlink"/>
      <w:u w:val="single"/>
      <w14:textFill>
        <w14:solidFill>
          <w14:schemeClr w14:val="hlink"/>
        </w14:solidFill>
      </w14:textFill>
    </w:rPr>
  </w:style>
  <w:style w:type="character" w:styleId="89">
    <w:name w:val="HTML Code"/>
    <w:qFormat/>
    <w:uiPriority w:val="99"/>
    <w:rPr>
      <w:rFonts w:ascii="Courier New" w:hAnsi="Courier New"/>
      <w:sz w:val="20"/>
    </w:rPr>
  </w:style>
  <w:style w:type="character" w:styleId="90">
    <w:name w:val="annotation reference"/>
    <w:basedOn w:val="78"/>
    <w:unhideWhenUsed/>
    <w:qFormat/>
    <w:uiPriority w:val="99"/>
    <w:rPr>
      <w:sz w:val="21"/>
      <w:szCs w:val="21"/>
    </w:rPr>
  </w:style>
  <w:style w:type="character" w:styleId="91">
    <w:name w:val="HTML Cite"/>
    <w:qFormat/>
    <w:uiPriority w:val="99"/>
    <w:rPr>
      <w:i/>
    </w:rPr>
  </w:style>
  <w:style w:type="character" w:styleId="92">
    <w:name w:val="HTML Keyboard"/>
    <w:qFormat/>
    <w:uiPriority w:val="99"/>
    <w:rPr>
      <w:rFonts w:ascii="Courier New" w:hAnsi="Courier New"/>
      <w:sz w:val="20"/>
    </w:rPr>
  </w:style>
  <w:style w:type="character" w:styleId="93">
    <w:name w:val="HTML Sample"/>
    <w:qFormat/>
    <w:uiPriority w:val="99"/>
    <w:rPr>
      <w:rFonts w:ascii="Courier New" w:hAnsi="Courier New"/>
    </w:rPr>
  </w:style>
  <w:style w:type="paragraph" w:customStyle="1" w:styleId="94">
    <w:name w:val="xl27"/>
    <w:basedOn w:val="1"/>
    <w:qFormat/>
    <w:uiPriority w:val="99"/>
    <w:pPr>
      <w:widowControl/>
      <w:shd w:val="clear" w:color="auto" w:fill="FFFF00"/>
      <w:autoSpaceDE/>
      <w:autoSpaceDN/>
      <w:adjustRightInd/>
      <w:spacing w:before="100" w:after="100" w:line="240" w:lineRule="auto"/>
      <w:ind w:firstLine="0" w:firstLineChars="0"/>
      <w:jc w:val="left"/>
    </w:pPr>
    <w:rPr>
      <w:rFonts w:eastAsia="Arial Unicode MS"/>
      <w:szCs w:val="20"/>
    </w:rPr>
  </w:style>
  <w:style w:type="paragraph" w:customStyle="1" w:styleId="95">
    <w:name w:val="_Style 1"/>
    <w:basedOn w:val="1"/>
    <w:qFormat/>
    <w:uiPriority w:val="34"/>
    <w:pPr>
      <w:ind w:firstLine="420" w:firstLineChars="200"/>
    </w:pPr>
  </w:style>
  <w:style w:type="paragraph" w:customStyle="1" w:styleId="96">
    <w:name w:val="Default"/>
    <w:basedOn w:val="97"/>
    <w:next w:val="98"/>
    <w:unhideWhenUsed/>
    <w:qFormat/>
    <w:uiPriority w:val="0"/>
    <w:pPr>
      <w:widowControl w:val="0"/>
      <w:autoSpaceDE w:val="0"/>
      <w:autoSpaceDN w:val="0"/>
      <w:adjustRightInd w:val="0"/>
    </w:pPr>
    <w:rPr>
      <w:rFonts w:hint="eastAsia" w:ascii="Calibri" w:hAnsi="Calibri" w:eastAsia="Times New Roman" w:cs="Times New Roman"/>
      <w:color w:val="000000"/>
      <w:sz w:val="24"/>
      <w:szCs w:val="22"/>
      <w:lang w:val="en-US" w:eastAsia="zh-CN" w:bidi="ar-SA"/>
    </w:rPr>
  </w:style>
  <w:style w:type="paragraph" w:customStyle="1" w:styleId="97">
    <w:name w:val="纯文本1"/>
    <w:basedOn w:val="1"/>
    <w:qFormat/>
    <w:uiPriority w:val="0"/>
    <w:pPr>
      <w:adjustRightInd w:val="0"/>
    </w:pPr>
    <w:rPr>
      <w:rFonts w:ascii="宋体" w:hAnsi="Courier New" w:cs="Times New Roman"/>
    </w:rPr>
  </w:style>
  <w:style w:type="paragraph" w:customStyle="1" w:styleId="98">
    <w:name w:val="样式35"/>
    <w:basedOn w:val="1"/>
    <w:next w:val="99"/>
    <w:qFormat/>
    <w:uiPriority w:val="0"/>
    <w:pPr>
      <w:spacing w:line="312" w:lineRule="auto"/>
      <w:ind w:firstLine="567"/>
    </w:pPr>
    <w:rPr>
      <w:rFonts w:ascii="宋体" w:cs="Times New Roman"/>
    </w:rPr>
  </w:style>
  <w:style w:type="paragraph" w:customStyle="1" w:styleId="99">
    <w:name w:val="font6"/>
    <w:basedOn w:val="1"/>
    <w:next w:val="63"/>
    <w:qFormat/>
    <w:uiPriority w:val="99"/>
    <w:pPr>
      <w:widowControl/>
      <w:autoSpaceDE/>
      <w:autoSpaceDN/>
      <w:adjustRightInd/>
      <w:spacing w:before="100" w:after="100" w:line="240" w:lineRule="auto"/>
      <w:ind w:firstLine="0" w:firstLineChars="0"/>
      <w:jc w:val="left"/>
    </w:pPr>
    <w:rPr>
      <w:rFonts w:eastAsia="Arial Unicode MS"/>
      <w:szCs w:val="20"/>
    </w:rPr>
  </w:style>
  <w:style w:type="character" w:customStyle="1" w:styleId="100">
    <w:name w:val="标题 1 字符"/>
    <w:link w:val="2"/>
    <w:qFormat/>
    <w:uiPriority w:val="0"/>
    <w:rPr>
      <w:b/>
      <w:bCs/>
      <w:kern w:val="32"/>
      <w:sz w:val="32"/>
      <w:szCs w:val="44"/>
    </w:rPr>
  </w:style>
  <w:style w:type="character" w:customStyle="1" w:styleId="101">
    <w:name w:val="标题 2 字符"/>
    <w:link w:val="3"/>
    <w:qFormat/>
    <w:uiPriority w:val="0"/>
    <w:rPr>
      <w:b/>
      <w:bCs/>
      <w:sz w:val="30"/>
      <w:szCs w:val="32"/>
    </w:rPr>
  </w:style>
  <w:style w:type="character" w:customStyle="1" w:styleId="102">
    <w:name w:val="标题 3 字符"/>
    <w:basedOn w:val="78"/>
    <w:link w:val="4"/>
    <w:qFormat/>
    <w:uiPriority w:val="0"/>
    <w:rPr>
      <w:b/>
      <w:bCs/>
      <w:sz w:val="28"/>
      <w:szCs w:val="32"/>
    </w:rPr>
  </w:style>
  <w:style w:type="character" w:customStyle="1" w:styleId="103">
    <w:name w:val="标题 4 字符"/>
    <w:link w:val="5"/>
    <w:qFormat/>
    <w:uiPriority w:val="0"/>
    <w:rPr>
      <w:b/>
      <w:bCs/>
      <w:sz w:val="24"/>
      <w:szCs w:val="28"/>
    </w:rPr>
  </w:style>
  <w:style w:type="character" w:customStyle="1" w:styleId="104">
    <w:name w:val="标题 5 字符"/>
    <w:link w:val="6"/>
    <w:qFormat/>
    <w:uiPriority w:val="0"/>
    <w:rPr>
      <w:rFonts w:ascii="Times New Roman" w:hAnsi="Times New Roman" w:eastAsia="宋体" w:cs="Times New Roman"/>
      <w:b/>
      <w:sz w:val="24"/>
      <w:szCs w:val="24"/>
    </w:rPr>
  </w:style>
  <w:style w:type="character" w:customStyle="1" w:styleId="105">
    <w:name w:val="标题 6 字符"/>
    <w:basedOn w:val="78"/>
    <w:link w:val="7"/>
    <w:qFormat/>
    <w:uiPriority w:val="9"/>
    <w:rPr>
      <w:rFonts w:ascii="Cambria" w:hAnsi="Cambria"/>
      <w:b/>
      <w:kern w:val="2"/>
      <w:sz w:val="24"/>
    </w:rPr>
  </w:style>
  <w:style w:type="character" w:customStyle="1" w:styleId="106">
    <w:name w:val="标题 7 字符"/>
    <w:basedOn w:val="78"/>
    <w:link w:val="8"/>
    <w:qFormat/>
    <w:uiPriority w:val="99"/>
    <w:rPr>
      <w:b/>
      <w:kern w:val="2"/>
      <w:sz w:val="24"/>
    </w:rPr>
  </w:style>
  <w:style w:type="character" w:customStyle="1" w:styleId="107">
    <w:name w:val="标题 8 字符"/>
    <w:basedOn w:val="78"/>
    <w:link w:val="9"/>
    <w:qFormat/>
    <w:uiPriority w:val="99"/>
    <w:rPr>
      <w:rFonts w:asciiTheme="majorHAnsi" w:hAnsiTheme="majorHAnsi" w:eastAsiaTheme="majorEastAsia" w:cstheme="majorBidi"/>
      <w:sz w:val="24"/>
      <w:szCs w:val="24"/>
    </w:rPr>
  </w:style>
  <w:style w:type="character" w:customStyle="1" w:styleId="108">
    <w:name w:val="标题 9 字符"/>
    <w:basedOn w:val="78"/>
    <w:link w:val="10"/>
    <w:qFormat/>
    <w:uiPriority w:val="99"/>
    <w:rPr>
      <w:rFonts w:ascii="Cambria" w:hAnsi="Cambria"/>
      <w:kern w:val="2"/>
    </w:rPr>
  </w:style>
  <w:style w:type="character" w:customStyle="1" w:styleId="109">
    <w:name w:val="注释标题 字符"/>
    <w:link w:val="14"/>
    <w:qFormat/>
    <w:uiPriority w:val="0"/>
    <w:rPr>
      <w:rFonts w:ascii="Calibri" w:hAnsi="Calibri" w:eastAsia="宋体" w:cs="Times New Roman"/>
      <w:kern w:val="2"/>
      <w:sz w:val="21"/>
    </w:rPr>
  </w:style>
  <w:style w:type="character" w:customStyle="1" w:styleId="110">
    <w:name w:val="电子邮件签名 字符"/>
    <w:link w:val="16"/>
    <w:qFormat/>
    <w:uiPriority w:val="99"/>
    <w:rPr>
      <w:rFonts w:ascii="Calibri" w:hAnsi="Calibri" w:eastAsia="宋体" w:cs="Times New Roman"/>
      <w:kern w:val="2"/>
      <w:sz w:val="21"/>
    </w:rPr>
  </w:style>
  <w:style w:type="character" w:customStyle="1" w:styleId="111">
    <w:name w:val="正文缩进 字符"/>
    <w:link w:val="18"/>
    <w:qFormat/>
    <w:uiPriority w:val="0"/>
    <w:rPr>
      <w:rFonts w:ascii="Times New Roman" w:hAnsi="Times New Roman" w:eastAsia="宋体" w:cs="Times New Roman"/>
      <w:kern w:val="2"/>
      <w:sz w:val="21"/>
    </w:rPr>
  </w:style>
  <w:style w:type="character" w:customStyle="1" w:styleId="112">
    <w:name w:val="题注 字符"/>
    <w:link w:val="21"/>
    <w:qFormat/>
    <w:uiPriority w:val="0"/>
    <w:rPr>
      <w:rFonts w:ascii="Times New Roman" w:hAnsi="Times New Roman" w:eastAsia="宋体" w:cs="Times New Roman"/>
      <w:b/>
      <w:sz w:val="24"/>
      <w:szCs w:val="22"/>
    </w:rPr>
  </w:style>
  <w:style w:type="character" w:customStyle="1" w:styleId="113">
    <w:name w:val="文档结构图 字符"/>
    <w:basedOn w:val="78"/>
    <w:link w:val="24"/>
    <w:qFormat/>
    <w:uiPriority w:val="99"/>
    <w:rPr>
      <w:rFonts w:ascii="宋体" w:hAnsi="Times New Roman" w:eastAsia="宋体" w:cs="Times New Roman"/>
      <w:sz w:val="18"/>
      <w:szCs w:val="18"/>
    </w:rPr>
  </w:style>
  <w:style w:type="character" w:customStyle="1" w:styleId="114">
    <w:name w:val="批注文字 字符"/>
    <w:basedOn w:val="78"/>
    <w:link w:val="26"/>
    <w:qFormat/>
    <w:uiPriority w:val="0"/>
    <w:rPr>
      <w:rFonts w:ascii="Times New Roman" w:hAnsi="Times New Roman" w:eastAsia="宋体" w:cs="Times New Roman"/>
      <w:sz w:val="24"/>
      <w:szCs w:val="24"/>
    </w:rPr>
  </w:style>
  <w:style w:type="character" w:customStyle="1" w:styleId="115">
    <w:name w:val="称呼 字符"/>
    <w:link w:val="27"/>
    <w:qFormat/>
    <w:uiPriority w:val="99"/>
    <w:rPr>
      <w:rFonts w:ascii="Calibri" w:hAnsi="Calibri" w:eastAsia="宋体" w:cs="Times New Roman"/>
      <w:kern w:val="2"/>
      <w:sz w:val="21"/>
    </w:rPr>
  </w:style>
  <w:style w:type="character" w:customStyle="1" w:styleId="116">
    <w:name w:val="正文文本 3 字符"/>
    <w:basedOn w:val="78"/>
    <w:link w:val="28"/>
    <w:qFormat/>
    <w:uiPriority w:val="99"/>
    <w:rPr>
      <w:rFonts w:ascii="Times New Roman" w:hAnsi="Times New Roman" w:eastAsia="宋体" w:cs="Times New Roman"/>
      <w:kern w:val="2"/>
      <w:sz w:val="16"/>
      <w:szCs w:val="16"/>
    </w:rPr>
  </w:style>
  <w:style w:type="character" w:customStyle="1" w:styleId="117">
    <w:name w:val="结束语 字符"/>
    <w:link w:val="29"/>
    <w:qFormat/>
    <w:uiPriority w:val="99"/>
    <w:rPr>
      <w:rFonts w:ascii="Times New Roman" w:hAnsi="Times New Roman" w:eastAsia="宋体" w:cs="Times New Roman"/>
      <w:kern w:val="2"/>
      <w:sz w:val="21"/>
    </w:rPr>
  </w:style>
  <w:style w:type="character" w:customStyle="1" w:styleId="118">
    <w:name w:val="正文文本 字符"/>
    <w:basedOn w:val="78"/>
    <w:link w:val="31"/>
    <w:qFormat/>
    <w:uiPriority w:val="1"/>
    <w:rPr>
      <w:rFonts w:ascii="Times New Roman" w:hAnsi="Times New Roman" w:eastAsia="宋体" w:cs="Times New Roman"/>
      <w:kern w:val="2"/>
      <w:sz w:val="24"/>
      <w:szCs w:val="24"/>
    </w:rPr>
  </w:style>
  <w:style w:type="character" w:customStyle="1" w:styleId="119">
    <w:name w:val="正文文本缩进 字符"/>
    <w:link w:val="20"/>
    <w:qFormat/>
    <w:uiPriority w:val="99"/>
    <w:rPr>
      <w:rFonts w:ascii="Times New Roman" w:hAnsi="Times New Roman" w:eastAsia="宋体" w:cs="Times New Roman"/>
      <w:sz w:val="24"/>
      <w:szCs w:val="24"/>
    </w:rPr>
  </w:style>
  <w:style w:type="character" w:customStyle="1" w:styleId="120">
    <w:name w:val="HTML 地址 字符"/>
    <w:link w:val="37"/>
    <w:qFormat/>
    <w:uiPriority w:val="99"/>
    <w:rPr>
      <w:rFonts w:ascii="Calibri" w:hAnsi="Calibri" w:eastAsia="宋体" w:cs="Times New Roman"/>
      <w:i/>
      <w:kern w:val="2"/>
      <w:sz w:val="21"/>
    </w:rPr>
  </w:style>
  <w:style w:type="character" w:customStyle="1" w:styleId="121">
    <w:name w:val="纯文本 字符"/>
    <w:link w:val="41"/>
    <w:qFormat/>
    <w:uiPriority w:val="99"/>
    <w:rPr>
      <w:rFonts w:ascii="宋体" w:hAnsi="Courier New" w:eastAsia="宋体" w:cs="Times New Roman"/>
      <w:kern w:val="2"/>
      <w:sz w:val="28"/>
    </w:rPr>
  </w:style>
  <w:style w:type="character" w:customStyle="1" w:styleId="122">
    <w:name w:val="日期 字符"/>
    <w:basedOn w:val="78"/>
    <w:link w:val="45"/>
    <w:qFormat/>
    <w:uiPriority w:val="99"/>
    <w:rPr>
      <w:rFonts w:ascii="Times New Roman" w:hAnsi="Times New Roman" w:eastAsia="宋体" w:cs="Times New Roman"/>
      <w:sz w:val="24"/>
      <w:szCs w:val="24"/>
    </w:rPr>
  </w:style>
  <w:style w:type="character" w:customStyle="1" w:styleId="123">
    <w:name w:val="正文文本缩进 2 字符"/>
    <w:link w:val="46"/>
    <w:qFormat/>
    <w:uiPriority w:val="99"/>
    <w:rPr>
      <w:rFonts w:ascii="Times New Roman" w:hAnsi="Times New Roman" w:eastAsia="仿宋_GB2312" w:cs="Times New Roman"/>
      <w:sz w:val="28"/>
      <w:szCs w:val="24"/>
    </w:rPr>
  </w:style>
  <w:style w:type="character" w:customStyle="1" w:styleId="124">
    <w:name w:val="批注框文本 字符"/>
    <w:basedOn w:val="78"/>
    <w:link w:val="48"/>
    <w:qFormat/>
    <w:uiPriority w:val="99"/>
    <w:rPr>
      <w:rFonts w:ascii="Times New Roman" w:hAnsi="Times New Roman" w:eastAsia="宋体" w:cs="Times New Roman"/>
      <w:sz w:val="18"/>
      <w:szCs w:val="18"/>
    </w:rPr>
  </w:style>
  <w:style w:type="character" w:customStyle="1" w:styleId="125">
    <w:name w:val="页脚 字符"/>
    <w:basedOn w:val="78"/>
    <w:link w:val="49"/>
    <w:qFormat/>
    <w:uiPriority w:val="99"/>
    <w:rPr>
      <w:rFonts w:ascii="Times New Roman" w:hAnsi="Times New Roman" w:eastAsia="宋体" w:cs="Times New Roman"/>
      <w:sz w:val="18"/>
      <w:szCs w:val="18"/>
    </w:rPr>
  </w:style>
  <w:style w:type="character" w:customStyle="1" w:styleId="126">
    <w:name w:val="页眉 字符"/>
    <w:basedOn w:val="78"/>
    <w:link w:val="51"/>
    <w:qFormat/>
    <w:uiPriority w:val="99"/>
    <w:rPr>
      <w:rFonts w:ascii="Times New Roman" w:hAnsi="Times New Roman" w:eastAsia="宋体" w:cs="Times New Roman"/>
      <w:sz w:val="18"/>
      <w:szCs w:val="18"/>
    </w:rPr>
  </w:style>
  <w:style w:type="character" w:customStyle="1" w:styleId="127">
    <w:name w:val="签名 字符"/>
    <w:link w:val="52"/>
    <w:qFormat/>
    <w:uiPriority w:val="99"/>
    <w:rPr>
      <w:rFonts w:ascii="Calibri" w:hAnsi="Calibri" w:eastAsia="宋体" w:cs="Times New Roman"/>
      <w:kern w:val="2"/>
      <w:sz w:val="21"/>
    </w:rPr>
  </w:style>
  <w:style w:type="character" w:customStyle="1" w:styleId="128">
    <w:name w:val="副标题 字符"/>
    <w:link w:val="56"/>
    <w:qFormat/>
    <w:uiPriority w:val="99"/>
    <w:rPr>
      <w:rFonts w:ascii="Cambria" w:hAnsi="Cambria" w:eastAsia="宋体" w:cs="Times New Roman"/>
      <w:b/>
      <w:kern w:val="28"/>
      <w:sz w:val="32"/>
    </w:rPr>
  </w:style>
  <w:style w:type="character" w:customStyle="1" w:styleId="129">
    <w:name w:val="正文文本缩进 3 字符"/>
    <w:link w:val="61"/>
    <w:qFormat/>
    <w:uiPriority w:val="99"/>
    <w:rPr>
      <w:rFonts w:ascii="Times New Roman" w:hAnsi="Times New Roman" w:eastAsia="仿宋_GB2312" w:cs="Times New Roman"/>
      <w:kern w:val="2"/>
      <w:sz w:val="28"/>
    </w:rPr>
  </w:style>
  <w:style w:type="character" w:customStyle="1" w:styleId="130">
    <w:name w:val="正文文本 2 字符"/>
    <w:basedOn w:val="78"/>
    <w:link w:val="65"/>
    <w:qFormat/>
    <w:uiPriority w:val="99"/>
    <w:rPr>
      <w:rFonts w:ascii="Times New Roman" w:hAnsi="Times New Roman" w:eastAsia="宋体" w:cs="Times New Roman"/>
      <w:sz w:val="24"/>
      <w:szCs w:val="24"/>
    </w:rPr>
  </w:style>
  <w:style w:type="character" w:customStyle="1" w:styleId="131">
    <w:name w:val="信息标题 字符"/>
    <w:link w:val="68"/>
    <w:qFormat/>
    <w:uiPriority w:val="99"/>
    <w:rPr>
      <w:rFonts w:ascii="Arial" w:hAnsi="Arial" w:eastAsia="宋体" w:cs="Times New Roman"/>
      <w:kern w:val="2"/>
      <w:sz w:val="24"/>
      <w:shd w:val="pct20" w:color="auto" w:fill="auto"/>
    </w:rPr>
  </w:style>
  <w:style w:type="character" w:customStyle="1" w:styleId="132">
    <w:name w:val="HTML 预设格式 字符"/>
    <w:link w:val="69"/>
    <w:qFormat/>
    <w:uiPriority w:val="99"/>
    <w:rPr>
      <w:rFonts w:ascii="Courier New" w:hAnsi="Courier New" w:eastAsia="宋体" w:cs="Times New Roman"/>
      <w:kern w:val="2"/>
    </w:rPr>
  </w:style>
  <w:style w:type="character" w:customStyle="1" w:styleId="133">
    <w:name w:val="正文文本首行缩进 字符1"/>
    <w:link w:val="74"/>
    <w:qFormat/>
    <w:uiPriority w:val="99"/>
    <w:rPr>
      <w:rFonts w:ascii="Times New Roman" w:hAnsi="Times New Roman" w:eastAsia="宋体" w:cs="Times New Roman"/>
      <w:kern w:val="2"/>
      <w:sz w:val="24"/>
      <w:szCs w:val="24"/>
    </w:rPr>
  </w:style>
  <w:style w:type="character" w:customStyle="1" w:styleId="134">
    <w:name w:val="标题 字符"/>
    <w:link w:val="73"/>
    <w:qFormat/>
    <w:uiPriority w:val="99"/>
    <w:rPr>
      <w:rFonts w:ascii="Times New Roman" w:hAnsi="Times New Roman" w:eastAsia="黑体" w:cs="Times New Roman"/>
      <w:kern w:val="2"/>
      <w:sz w:val="36"/>
    </w:rPr>
  </w:style>
  <w:style w:type="character" w:customStyle="1" w:styleId="135">
    <w:name w:val="批注主题 字符"/>
    <w:basedOn w:val="114"/>
    <w:link w:val="75"/>
    <w:qFormat/>
    <w:uiPriority w:val="99"/>
    <w:rPr>
      <w:rFonts w:ascii="Times New Roman" w:hAnsi="Times New Roman" w:eastAsia="宋体" w:cs="Times New Roman"/>
      <w:b/>
      <w:bCs/>
      <w:sz w:val="24"/>
      <w:szCs w:val="24"/>
    </w:rPr>
  </w:style>
  <w:style w:type="character" w:customStyle="1" w:styleId="136">
    <w:name w:val="正文文本首行缩进 2 字符"/>
    <w:link w:val="19"/>
    <w:qFormat/>
    <w:uiPriority w:val="99"/>
    <w:rPr>
      <w:rFonts w:ascii="Times New Roman" w:hAnsi="Times New Roman" w:eastAsia="宋体" w:cs="Times New Roman"/>
      <w:sz w:val="21"/>
      <w:szCs w:val="24"/>
    </w:rPr>
  </w:style>
  <w:style w:type="paragraph" w:customStyle="1" w:styleId="137">
    <w:name w:val="目录格式"/>
    <w:next w:val="1"/>
    <w:link w:val="138"/>
    <w:qFormat/>
    <w:uiPriority w:val="99"/>
    <w:pPr>
      <w:ind w:firstLine="480"/>
    </w:pPr>
    <w:rPr>
      <w:rFonts w:ascii="Times New Roman" w:hAnsi="Times New Roman" w:eastAsia="宋体" w:cstheme="majorBidi"/>
      <w:bCs/>
      <w:color w:val="376092" w:themeColor="accent1" w:themeShade="BF"/>
      <w:sz w:val="24"/>
      <w:szCs w:val="28"/>
      <w:lang w:val="zh-CN" w:eastAsia="zh-CN" w:bidi="ar-SA"/>
    </w:rPr>
  </w:style>
  <w:style w:type="character" w:customStyle="1" w:styleId="138">
    <w:name w:val="目录格式 Char"/>
    <w:basedOn w:val="78"/>
    <w:link w:val="137"/>
    <w:qFormat/>
    <w:uiPriority w:val="99"/>
    <w:rPr>
      <w:rFonts w:ascii="Times New Roman" w:hAnsi="Times New Roman" w:eastAsia="宋体" w:cstheme="majorBidi"/>
      <w:bCs/>
      <w:color w:val="376092" w:themeColor="accent1" w:themeShade="BF"/>
      <w:sz w:val="24"/>
      <w:szCs w:val="28"/>
      <w:lang w:val="zh-CN"/>
    </w:rPr>
  </w:style>
  <w:style w:type="paragraph" w:customStyle="1" w:styleId="139">
    <w:name w:val="样式 正文编号（1） +"/>
    <w:basedOn w:val="1"/>
    <w:qFormat/>
    <w:uiPriority w:val="99"/>
    <w:pPr>
      <w:numPr>
        <w:ilvl w:val="0"/>
        <w:numId w:val="4"/>
      </w:numPr>
      <w:tabs>
        <w:tab w:val="left" w:pos="572"/>
      </w:tabs>
      <w:autoSpaceDE/>
      <w:autoSpaceDN/>
      <w:adjustRightInd/>
      <w:spacing w:line="520" w:lineRule="exact"/>
      <w:ind w:firstLine="0" w:firstLineChars="0"/>
    </w:pPr>
    <w:rPr>
      <w:sz w:val="28"/>
    </w:rPr>
  </w:style>
  <w:style w:type="character" w:customStyle="1" w:styleId="140">
    <w:name w:val="标题 3 Char"/>
    <w:qFormat/>
    <w:uiPriority w:val="0"/>
    <w:rPr>
      <w:rFonts w:ascii="Times New Roman" w:hAnsi="Times New Roman" w:eastAsia="宋体" w:cs="Times New Roman"/>
      <w:bCs/>
      <w:kern w:val="0"/>
      <w:sz w:val="28"/>
      <w:szCs w:val="32"/>
    </w:rPr>
  </w:style>
  <w:style w:type="character" w:customStyle="1" w:styleId="141">
    <w:name w:val="正文文本 Char"/>
    <w:basedOn w:val="78"/>
    <w:qFormat/>
    <w:uiPriority w:val="99"/>
    <w:rPr>
      <w:kern w:val="2"/>
      <w:sz w:val="24"/>
      <w:szCs w:val="24"/>
    </w:rPr>
  </w:style>
  <w:style w:type="character" w:customStyle="1" w:styleId="142">
    <w:name w:val="表格标题 Char"/>
    <w:basedOn w:val="78"/>
    <w:link w:val="143"/>
    <w:qFormat/>
    <w:uiPriority w:val="99"/>
    <w:rPr>
      <w:rFonts w:ascii="黑体" w:hAnsi="宋体" w:eastAsia="黑体" w:cs="Times New Roman"/>
      <w:b/>
      <w:bCs/>
      <w:kern w:val="2"/>
      <w:sz w:val="24"/>
      <w:szCs w:val="24"/>
    </w:rPr>
  </w:style>
  <w:style w:type="paragraph" w:customStyle="1" w:styleId="143">
    <w:name w:val="表格标题"/>
    <w:basedOn w:val="21"/>
    <w:link w:val="142"/>
    <w:qFormat/>
    <w:uiPriority w:val="99"/>
    <w:pPr>
      <w:spacing w:line="240" w:lineRule="atLeast"/>
      <w:ind w:firstLine="0" w:firstLineChars="0"/>
      <w:jc w:val="center"/>
    </w:pPr>
    <w:rPr>
      <w:rFonts w:hint="eastAsia" w:ascii="黑体" w:hAnsi="宋体" w:eastAsia="黑体"/>
      <w:bCs/>
      <w:kern w:val="2"/>
      <w:szCs w:val="24"/>
    </w:rPr>
  </w:style>
  <w:style w:type="character" w:customStyle="1" w:styleId="144">
    <w:name w:val="正文文本 字符1"/>
    <w:basedOn w:val="78"/>
    <w:qFormat/>
    <w:uiPriority w:val="99"/>
    <w:rPr>
      <w:rFonts w:hint="default" w:ascii="Times New Roman" w:hAnsi="Times New Roman" w:eastAsia="宋体" w:cs="Times New Roman"/>
      <w:kern w:val="2"/>
      <w:sz w:val="24"/>
      <w:szCs w:val="24"/>
      <w:lang w:val="en-US" w:eastAsia="zh-CN"/>
    </w:rPr>
  </w:style>
  <w:style w:type="character" w:customStyle="1" w:styleId="145">
    <w:name w:val="表文字 Char"/>
    <w:basedOn w:val="78"/>
    <w:link w:val="146"/>
    <w:qFormat/>
    <w:uiPriority w:val="99"/>
    <w:rPr>
      <w:rFonts w:ascii="Times New Roman" w:hAnsi="Times New Roman" w:eastAsia="宋体" w:cs="Times New Roman"/>
      <w:sz w:val="24"/>
    </w:rPr>
  </w:style>
  <w:style w:type="paragraph" w:customStyle="1" w:styleId="146">
    <w:name w:val="表文字"/>
    <w:basedOn w:val="1"/>
    <w:link w:val="145"/>
    <w:qFormat/>
    <w:uiPriority w:val="0"/>
    <w:pPr>
      <w:overflowPunct w:val="0"/>
      <w:spacing w:line="240" w:lineRule="auto"/>
      <w:ind w:firstLine="0" w:firstLineChars="0"/>
      <w:jc w:val="center"/>
    </w:pPr>
    <w:rPr>
      <w:szCs w:val="20"/>
    </w:rPr>
  </w:style>
  <w:style w:type="paragraph" w:customStyle="1" w:styleId="147">
    <w:name w:val="报告正文"/>
    <w:basedOn w:val="1"/>
    <w:link w:val="148"/>
    <w:qFormat/>
    <w:uiPriority w:val="0"/>
    <w:pPr>
      <w:snapToGrid w:val="0"/>
      <w:spacing w:line="480" w:lineRule="exact"/>
      <w:jc w:val="left"/>
    </w:pPr>
    <w:rPr>
      <w:kern w:val="2"/>
    </w:rPr>
  </w:style>
  <w:style w:type="character" w:customStyle="1" w:styleId="148">
    <w:name w:val="报告正文 Char"/>
    <w:link w:val="147"/>
    <w:qFormat/>
    <w:uiPriority w:val="99"/>
    <w:rPr>
      <w:rFonts w:ascii="Times New Roman" w:hAnsi="Times New Roman" w:eastAsia="宋体" w:cs="Times New Roman"/>
      <w:kern w:val="2"/>
      <w:sz w:val="24"/>
      <w:szCs w:val="24"/>
    </w:rPr>
  </w:style>
  <w:style w:type="paragraph" w:customStyle="1" w:styleId="149">
    <w:name w:val="WPS Plain"/>
    <w:basedOn w:val="1"/>
    <w:qFormat/>
    <w:uiPriority w:val="99"/>
    <w:pPr>
      <w:widowControl/>
      <w:spacing w:line="240" w:lineRule="auto"/>
      <w:ind w:firstLine="0" w:firstLineChars="0"/>
      <w:jc w:val="left"/>
    </w:pPr>
    <w:rPr>
      <w:sz w:val="21"/>
      <w:szCs w:val="22"/>
    </w:rPr>
  </w:style>
  <w:style w:type="character" w:customStyle="1" w:styleId="150">
    <w:name w:val="正文文本首行缩进 字符"/>
    <w:qFormat/>
    <w:uiPriority w:val="99"/>
    <w:rPr>
      <w:rFonts w:hint="default" w:ascii="Times New Roman" w:hAnsi="Times New Roman" w:eastAsia="宋体" w:cs="Times New Roman"/>
      <w:kern w:val="2"/>
      <w:sz w:val="24"/>
      <w:szCs w:val="24"/>
      <w:lang w:val="en-US" w:eastAsia="zh-CN"/>
    </w:rPr>
  </w:style>
  <w:style w:type="paragraph" w:customStyle="1" w:styleId="151">
    <w:name w:val="特殊标题３"/>
    <w:basedOn w:val="1"/>
    <w:qFormat/>
    <w:uiPriority w:val="99"/>
    <w:pPr>
      <w:overflowPunct w:val="0"/>
      <w:ind w:firstLine="0" w:firstLineChars="0"/>
      <w:jc w:val="left"/>
    </w:pPr>
    <w:rPr>
      <w:rFonts w:eastAsia="仿宋_GB2312"/>
      <w:sz w:val="28"/>
      <w:szCs w:val="20"/>
    </w:rPr>
  </w:style>
  <w:style w:type="character" w:customStyle="1" w:styleId="152">
    <w:name w:val="font01"/>
    <w:basedOn w:val="78"/>
    <w:qFormat/>
    <w:uiPriority w:val="99"/>
    <w:rPr>
      <w:rFonts w:ascii="黑体" w:hAnsi="宋体" w:eastAsia="黑体" w:cs="黑体"/>
      <w:color w:val="000000"/>
      <w:sz w:val="22"/>
      <w:szCs w:val="22"/>
      <w:u w:val="none"/>
    </w:rPr>
  </w:style>
  <w:style w:type="character" w:customStyle="1" w:styleId="153">
    <w:name w:val="font21"/>
    <w:basedOn w:val="78"/>
    <w:qFormat/>
    <w:uiPriority w:val="99"/>
    <w:rPr>
      <w:rFonts w:ascii="font-weight : 400" w:hAnsi="font-weight : 400" w:eastAsia="font-weight : 400" w:cs="font-weight : 400"/>
      <w:color w:val="000000"/>
      <w:sz w:val="22"/>
      <w:szCs w:val="22"/>
      <w:u w:val="none"/>
    </w:rPr>
  </w:style>
  <w:style w:type="character" w:customStyle="1" w:styleId="154">
    <w:name w:val="font91"/>
    <w:basedOn w:val="78"/>
    <w:qFormat/>
    <w:uiPriority w:val="99"/>
    <w:rPr>
      <w:rFonts w:hint="eastAsia" w:ascii="宋体" w:hAnsi="宋体" w:eastAsia="宋体" w:cs="宋体"/>
      <w:color w:val="000000"/>
      <w:sz w:val="24"/>
      <w:szCs w:val="24"/>
      <w:u w:val="none"/>
    </w:rPr>
  </w:style>
  <w:style w:type="character" w:customStyle="1" w:styleId="155">
    <w:name w:val="font51"/>
    <w:basedOn w:val="78"/>
    <w:qFormat/>
    <w:uiPriority w:val="99"/>
    <w:rPr>
      <w:rFonts w:hint="eastAsia" w:ascii="宋体" w:hAnsi="宋体" w:eastAsia="宋体" w:cs="宋体"/>
      <w:color w:val="000000"/>
      <w:sz w:val="22"/>
      <w:szCs w:val="22"/>
      <w:u w:val="none"/>
    </w:rPr>
  </w:style>
  <w:style w:type="character" w:customStyle="1" w:styleId="156">
    <w:name w:val="font61"/>
    <w:basedOn w:val="78"/>
    <w:qFormat/>
    <w:uiPriority w:val="99"/>
    <w:rPr>
      <w:rFonts w:ascii="font-weight : 400" w:hAnsi="font-weight : 400" w:eastAsia="font-weight : 400" w:cs="font-weight : 400"/>
      <w:color w:val="000000"/>
      <w:sz w:val="22"/>
      <w:szCs w:val="22"/>
      <w:u w:val="none"/>
    </w:rPr>
  </w:style>
  <w:style w:type="character" w:customStyle="1" w:styleId="157">
    <w:name w:val="font31"/>
    <w:basedOn w:val="78"/>
    <w:qFormat/>
    <w:uiPriority w:val="99"/>
    <w:rPr>
      <w:rFonts w:hint="eastAsia" w:ascii="宋体" w:hAnsi="宋体" w:eastAsia="宋体" w:cs="宋体"/>
      <w:color w:val="000000"/>
      <w:sz w:val="22"/>
      <w:szCs w:val="22"/>
      <w:u w:val="none"/>
    </w:rPr>
  </w:style>
  <w:style w:type="character" w:customStyle="1" w:styleId="158">
    <w:name w:val="font41"/>
    <w:basedOn w:val="78"/>
    <w:qFormat/>
    <w:uiPriority w:val="99"/>
    <w:rPr>
      <w:rFonts w:hint="eastAsia" w:ascii="宋体" w:hAnsi="宋体" w:eastAsia="宋体" w:cs="宋体"/>
      <w:color w:val="000000"/>
      <w:sz w:val="22"/>
      <w:szCs w:val="22"/>
      <w:u w:val="none"/>
    </w:rPr>
  </w:style>
  <w:style w:type="paragraph" w:customStyle="1" w:styleId="159">
    <w:name w:val="表格正文"/>
    <w:basedOn w:val="1"/>
    <w:link w:val="160"/>
    <w:qFormat/>
    <w:uiPriority w:val="0"/>
    <w:pPr>
      <w:autoSpaceDE/>
      <w:autoSpaceDN/>
      <w:snapToGrid w:val="0"/>
      <w:spacing w:line="240" w:lineRule="auto"/>
      <w:ind w:firstLine="0" w:firstLineChars="0"/>
      <w:jc w:val="center"/>
    </w:pPr>
    <w:rPr>
      <w:kern w:val="2"/>
      <w:sz w:val="21"/>
    </w:rPr>
  </w:style>
  <w:style w:type="character" w:customStyle="1" w:styleId="160">
    <w:name w:val="表格正文 Char"/>
    <w:link w:val="159"/>
    <w:qFormat/>
    <w:uiPriority w:val="99"/>
    <w:rPr>
      <w:rFonts w:ascii="Times New Roman" w:hAnsi="Times New Roman" w:eastAsia="宋体" w:cs="Times New Roman"/>
      <w:kern w:val="2"/>
      <w:sz w:val="21"/>
      <w:szCs w:val="24"/>
    </w:rPr>
  </w:style>
  <w:style w:type="paragraph" w:customStyle="1" w:styleId="161">
    <w:name w:val="表格"/>
    <w:basedOn w:val="58"/>
    <w:link w:val="162"/>
    <w:qFormat/>
    <w:uiPriority w:val="99"/>
    <w:pPr>
      <w:snapToGrid w:val="0"/>
      <w:spacing w:line="400" w:lineRule="exact"/>
      <w:ind w:firstLine="0" w:firstLineChars="0"/>
      <w:jc w:val="center"/>
    </w:pPr>
    <w:rPr>
      <w:snapToGrid w:val="0"/>
      <w:sz w:val="21"/>
    </w:rPr>
  </w:style>
  <w:style w:type="character" w:customStyle="1" w:styleId="162">
    <w:name w:val="表格 Char"/>
    <w:link w:val="161"/>
    <w:qFormat/>
    <w:uiPriority w:val="99"/>
    <w:rPr>
      <w:rFonts w:ascii="Times New Roman" w:hAnsi="Times New Roman" w:eastAsia="宋体" w:cs="Times New Roman"/>
      <w:snapToGrid w:val="0"/>
      <w:sz w:val="21"/>
      <w:szCs w:val="24"/>
    </w:rPr>
  </w:style>
  <w:style w:type="paragraph" w:customStyle="1" w:styleId="163">
    <w:name w:val="表格文字"/>
    <w:basedOn w:val="31"/>
    <w:next w:val="1"/>
    <w:link w:val="164"/>
    <w:qFormat/>
    <w:uiPriority w:val="0"/>
    <w:pPr>
      <w:spacing w:line="240" w:lineRule="exact"/>
      <w:ind w:firstLine="0" w:firstLineChars="0"/>
      <w:jc w:val="center"/>
    </w:pPr>
    <w:rPr>
      <w:sz w:val="21"/>
      <w:szCs w:val="21"/>
    </w:rPr>
  </w:style>
  <w:style w:type="character" w:customStyle="1" w:styleId="164">
    <w:name w:val="表格文字 Char"/>
    <w:link w:val="163"/>
    <w:qFormat/>
    <w:uiPriority w:val="0"/>
    <w:rPr>
      <w:rFonts w:ascii="Times New Roman" w:hAnsi="Times New Roman" w:eastAsia="宋体" w:cs="Times New Roman"/>
      <w:sz w:val="21"/>
      <w:szCs w:val="21"/>
    </w:rPr>
  </w:style>
  <w:style w:type="paragraph" w:customStyle="1" w:styleId="165">
    <w:name w:val="鑫裕段落(G)"/>
    <w:basedOn w:val="1"/>
    <w:qFormat/>
    <w:uiPriority w:val="99"/>
    <w:pPr>
      <w:tabs>
        <w:tab w:val="left" w:pos="1021"/>
        <w:tab w:val="left" w:pos="1320"/>
      </w:tabs>
      <w:ind w:firstLine="480"/>
    </w:pPr>
    <w:rPr>
      <w:color w:val="000000"/>
      <w:kern w:val="24"/>
      <w:lang w:val="zh-CN"/>
    </w:rPr>
  </w:style>
  <w:style w:type="character" w:customStyle="1" w:styleId="166">
    <w:name w:val="font11"/>
    <w:basedOn w:val="78"/>
    <w:qFormat/>
    <w:uiPriority w:val="99"/>
    <w:rPr>
      <w:rFonts w:hint="default" w:ascii="Times New Roman" w:hAnsi="Times New Roman" w:cs="Times New Roman"/>
      <w:color w:val="000000"/>
      <w:sz w:val="21"/>
      <w:szCs w:val="21"/>
      <w:u w:val="none"/>
    </w:rPr>
  </w:style>
  <w:style w:type="paragraph" w:customStyle="1" w:styleId="167">
    <w:name w:val="WPSOffice手动目录 1"/>
    <w:qFormat/>
    <w:uiPriority w:val="99"/>
    <w:rPr>
      <w:rFonts w:ascii="Times New Roman" w:hAnsi="Times New Roman" w:eastAsia="宋体" w:cs="Times New Roman"/>
      <w:lang w:val="en-US" w:eastAsia="zh-CN" w:bidi="ar-SA"/>
    </w:rPr>
  </w:style>
  <w:style w:type="paragraph" w:customStyle="1" w:styleId="168">
    <w:name w:val="WPSOffice手动目录 2"/>
    <w:qFormat/>
    <w:uiPriority w:val="99"/>
    <w:pPr>
      <w:ind w:left="200" w:leftChars="200"/>
    </w:pPr>
    <w:rPr>
      <w:rFonts w:ascii="Times New Roman" w:hAnsi="Times New Roman" w:eastAsia="宋体" w:cs="Times New Roman"/>
      <w:lang w:val="en-US" w:eastAsia="zh-CN" w:bidi="ar-SA"/>
    </w:rPr>
  </w:style>
  <w:style w:type="paragraph" w:customStyle="1" w:styleId="169">
    <w:name w:val="WPSOffice手动目录 3"/>
    <w:qFormat/>
    <w:uiPriority w:val="99"/>
    <w:pPr>
      <w:ind w:left="400" w:leftChars="400"/>
    </w:pPr>
    <w:rPr>
      <w:rFonts w:ascii="Times New Roman" w:hAnsi="Times New Roman" w:eastAsia="宋体" w:cs="Times New Roman"/>
      <w:lang w:val="en-US" w:eastAsia="zh-CN" w:bidi="ar-SA"/>
    </w:rPr>
  </w:style>
  <w:style w:type="paragraph" w:customStyle="1" w:styleId="170">
    <w:name w:val="TOC 标题1"/>
    <w:basedOn w:val="2"/>
    <w:next w:val="1"/>
    <w:unhideWhenUsed/>
    <w:qFormat/>
    <w:uiPriority w:val="99"/>
    <w:pPr>
      <w:numPr>
        <w:numId w:val="0"/>
      </w:numPr>
      <w:tabs>
        <w:tab w:val="clear" w:pos="0"/>
      </w:tabs>
      <w:spacing w:before="480" w:line="276" w:lineRule="auto"/>
      <w:jc w:val="left"/>
      <w:outlineLvl w:val="9"/>
    </w:pPr>
    <w:rPr>
      <w:rFonts w:asciiTheme="majorHAnsi" w:hAnsiTheme="majorHAnsi" w:eastAsiaTheme="majorEastAsia" w:cstheme="majorBidi"/>
      <w:b w:val="0"/>
      <w:color w:val="376092" w:themeColor="accent1" w:themeShade="BF"/>
      <w:kern w:val="0"/>
      <w:sz w:val="28"/>
      <w:szCs w:val="28"/>
    </w:rPr>
  </w:style>
  <w:style w:type="paragraph" w:customStyle="1" w:styleId="171">
    <w:name w:val="卓龙正文"/>
    <w:basedOn w:val="1"/>
    <w:link w:val="172"/>
    <w:qFormat/>
    <w:uiPriority w:val="0"/>
  </w:style>
  <w:style w:type="character" w:customStyle="1" w:styleId="172">
    <w:name w:val="卓龙正文 Char"/>
    <w:link w:val="171"/>
    <w:qFormat/>
    <w:uiPriority w:val="0"/>
    <w:rPr>
      <w:sz w:val="24"/>
      <w:szCs w:val="24"/>
    </w:rPr>
  </w:style>
  <w:style w:type="paragraph" w:customStyle="1" w:styleId="173">
    <w:name w:val="鑫裕表文字"/>
    <w:basedOn w:val="1"/>
    <w:qFormat/>
    <w:uiPriority w:val="99"/>
    <w:pPr>
      <w:overflowPunct w:val="0"/>
      <w:spacing w:line="240" w:lineRule="atLeast"/>
      <w:jc w:val="center"/>
      <w:textAlignment w:val="baseline"/>
    </w:pPr>
  </w:style>
  <w:style w:type="paragraph" w:customStyle="1" w:styleId="174">
    <w:name w:val="表格标题2"/>
    <w:basedOn w:val="46"/>
    <w:next w:val="46"/>
    <w:qFormat/>
    <w:uiPriority w:val="99"/>
    <w:pPr>
      <w:snapToGrid w:val="0"/>
      <w:spacing w:before="0" w:after="0" w:line="240" w:lineRule="auto"/>
      <w:ind w:firstLine="0" w:firstLineChars="0"/>
      <w:jc w:val="center"/>
      <w:textAlignment w:val="baseline"/>
    </w:pPr>
    <w:rPr>
      <w:rFonts w:eastAsia="宋体"/>
      <w:b/>
      <w:sz w:val="21"/>
    </w:rPr>
  </w:style>
  <w:style w:type="paragraph" w:customStyle="1" w:styleId="175">
    <w:name w:val="表内"/>
    <w:basedOn w:val="176"/>
    <w:qFormat/>
    <w:uiPriority w:val="99"/>
    <w:pPr>
      <w:spacing w:line="240" w:lineRule="auto"/>
      <w:ind w:firstLine="0" w:firstLineChars="0"/>
      <w:jc w:val="center"/>
    </w:pPr>
    <w:rPr>
      <w:sz w:val="21"/>
    </w:rPr>
  </w:style>
  <w:style w:type="paragraph" w:customStyle="1" w:styleId="176">
    <w:name w:val="文"/>
    <w:basedOn w:val="1"/>
    <w:qFormat/>
    <w:uiPriority w:val="99"/>
    <w:pPr>
      <w:ind w:firstLine="480"/>
    </w:pPr>
  </w:style>
  <w:style w:type="paragraph" w:customStyle="1" w:styleId="177">
    <w:name w:val="表格内容居中"/>
    <w:qFormat/>
    <w:uiPriority w:val="99"/>
    <w:pPr>
      <w:adjustRightInd w:val="0"/>
      <w:snapToGrid w:val="0"/>
      <w:jc w:val="center"/>
    </w:pPr>
    <w:rPr>
      <w:rFonts w:ascii="Times New Roman" w:hAnsi="Times New Roman" w:eastAsia="宋体" w:cs="Times New Roman"/>
      <w:snapToGrid w:val="0"/>
      <w:sz w:val="21"/>
      <w:szCs w:val="21"/>
      <w:lang w:val="en-US" w:eastAsia="zh-CN" w:bidi="ar-SA"/>
    </w:rPr>
  </w:style>
  <w:style w:type="character" w:customStyle="1" w:styleId="178">
    <w:name w:val="文本 Char"/>
    <w:link w:val="179"/>
    <w:qFormat/>
    <w:uiPriority w:val="0"/>
    <w:rPr>
      <w:rFonts w:ascii="Times New Roman" w:hAnsi="Times New Roman" w:eastAsia="宋体" w:cs="Times New Roman"/>
      <w:sz w:val="24"/>
    </w:rPr>
  </w:style>
  <w:style w:type="paragraph" w:customStyle="1" w:styleId="179">
    <w:name w:val="文本"/>
    <w:basedOn w:val="1"/>
    <w:link w:val="178"/>
    <w:qFormat/>
    <w:uiPriority w:val="0"/>
    <w:pPr>
      <w:autoSpaceDE/>
      <w:autoSpaceDN/>
      <w:adjustRightInd/>
      <w:ind w:firstLine="422"/>
    </w:pPr>
    <w:rPr>
      <w:szCs w:val="20"/>
    </w:rPr>
  </w:style>
  <w:style w:type="character" w:customStyle="1" w:styleId="180">
    <w:name w:val="题注 Char2"/>
    <w:qFormat/>
    <w:uiPriority w:val="99"/>
    <w:rPr>
      <w:b/>
      <w:sz w:val="24"/>
      <w:szCs w:val="22"/>
      <w:lang w:val="en-US" w:eastAsia="zh-CN" w:bidi="ar-SA"/>
    </w:rPr>
  </w:style>
  <w:style w:type="character" w:customStyle="1" w:styleId="181">
    <w:name w:val="1正文 Char"/>
    <w:link w:val="182"/>
    <w:qFormat/>
    <w:uiPriority w:val="0"/>
    <w:rPr>
      <w:rFonts w:ascii="Times New Roman" w:hAnsi="Times New Roman" w:eastAsia="宋体" w:cs="Times New Roman"/>
      <w:kern w:val="2"/>
      <w:sz w:val="24"/>
      <w:szCs w:val="24"/>
    </w:rPr>
  </w:style>
  <w:style w:type="paragraph" w:customStyle="1" w:styleId="182">
    <w:name w:val="1正文"/>
    <w:link w:val="181"/>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83">
    <w:name w:val="正文首行缩进 Char2"/>
    <w:link w:val="184"/>
    <w:qFormat/>
    <w:uiPriority w:val="99"/>
    <w:rPr>
      <w:rFonts w:ascii="Times New Roman" w:hAnsi="Times New Roman" w:eastAsia="宋体" w:cs="Times New Roman"/>
      <w:sz w:val="24"/>
    </w:rPr>
  </w:style>
  <w:style w:type="paragraph" w:customStyle="1" w:styleId="184">
    <w:name w:val="正文首行缩进1"/>
    <w:basedOn w:val="31"/>
    <w:link w:val="183"/>
    <w:qFormat/>
    <w:uiPriority w:val="99"/>
    <w:pPr>
      <w:autoSpaceDE/>
      <w:autoSpaceDN/>
      <w:snapToGrid w:val="0"/>
      <w:spacing w:after="0"/>
      <w:jc w:val="both"/>
    </w:pPr>
    <w:rPr>
      <w:kern w:val="0"/>
      <w:szCs w:val="20"/>
    </w:rPr>
  </w:style>
  <w:style w:type="character" w:customStyle="1" w:styleId="185">
    <w:name w:val="慧智正文 Char Char"/>
    <w:link w:val="186"/>
    <w:qFormat/>
    <w:uiPriority w:val="0"/>
    <w:rPr>
      <w:rFonts w:ascii="Times New Roman" w:hAnsi="Times New Roman" w:eastAsia="宋体" w:cs="Times New Roman"/>
      <w:bCs/>
      <w:snapToGrid w:val="0"/>
      <w:sz w:val="24"/>
    </w:rPr>
  </w:style>
  <w:style w:type="paragraph" w:customStyle="1" w:styleId="186">
    <w:name w:val="慧智正文"/>
    <w:link w:val="185"/>
    <w:qFormat/>
    <w:uiPriority w:val="0"/>
    <w:pPr>
      <w:adjustRightInd w:val="0"/>
      <w:snapToGrid w:val="0"/>
      <w:spacing w:line="360" w:lineRule="auto"/>
      <w:ind w:firstLine="200" w:firstLineChars="200"/>
      <w:jc w:val="both"/>
    </w:pPr>
    <w:rPr>
      <w:rFonts w:ascii="Times New Roman" w:hAnsi="Times New Roman" w:eastAsia="宋体" w:cs="Times New Roman"/>
      <w:bCs/>
      <w:snapToGrid w:val="0"/>
      <w:sz w:val="24"/>
      <w:lang w:val="en-US" w:eastAsia="zh-CN" w:bidi="ar-SA"/>
    </w:rPr>
  </w:style>
  <w:style w:type="paragraph" w:styleId="187">
    <w:name w:val="List Paragraph"/>
    <w:basedOn w:val="1"/>
    <w:unhideWhenUsed/>
    <w:qFormat/>
    <w:uiPriority w:val="1"/>
    <w:pPr>
      <w:ind w:firstLine="420"/>
    </w:pPr>
  </w:style>
  <w:style w:type="character" w:customStyle="1" w:styleId="188">
    <w:name w:val="标题4 Char Char"/>
    <w:qFormat/>
    <w:uiPriority w:val="99"/>
    <w:rPr>
      <w:rFonts w:eastAsia="宋体"/>
      <w:b/>
      <w:kern w:val="2"/>
      <w:sz w:val="24"/>
      <w:szCs w:val="24"/>
      <w:lang w:val="en-US" w:eastAsia="zh-CN" w:bidi="ar-SA"/>
    </w:rPr>
  </w:style>
  <w:style w:type="paragraph" w:customStyle="1" w:styleId="189">
    <w:name w:val="正文w"/>
    <w:basedOn w:val="1"/>
    <w:link w:val="190"/>
    <w:qFormat/>
    <w:uiPriority w:val="0"/>
    <w:pPr>
      <w:ind w:firstLine="480"/>
    </w:pPr>
    <w:rPr>
      <w:rFonts w:eastAsiaTheme="minorEastAsia"/>
    </w:rPr>
  </w:style>
  <w:style w:type="character" w:customStyle="1" w:styleId="190">
    <w:name w:val="正文w Char"/>
    <w:basedOn w:val="78"/>
    <w:link w:val="189"/>
    <w:qFormat/>
    <w:uiPriority w:val="0"/>
    <w:rPr>
      <w:rFonts w:ascii="Times New Roman" w:hAnsi="Times New Roman" w:cs="Times New Roman"/>
      <w:sz w:val="24"/>
      <w:szCs w:val="24"/>
    </w:rPr>
  </w:style>
  <w:style w:type="paragraph" w:customStyle="1" w:styleId="191">
    <w:name w:val="Table Paragraph"/>
    <w:basedOn w:val="1"/>
    <w:qFormat/>
    <w:uiPriority w:val="1"/>
    <w:pPr>
      <w:spacing w:line="240" w:lineRule="auto"/>
      <w:ind w:firstLine="0" w:firstLineChars="0"/>
      <w:jc w:val="left"/>
    </w:pPr>
    <w:rPr>
      <w:rFonts w:eastAsiaTheme="minorEastAsia"/>
    </w:rPr>
  </w:style>
  <w:style w:type="paragraph" w:customStyle="1" w:styleId="192">
    <w:name w:val="表文W"/>
    <w:basedOn w:val="189"/>
    <w:link w:val="193"/>
    <w:qFormat/>
    <w:uiPriority w:val="0"/>
    <w:pPr>
      <w:spacing w:line="240" w:lineRule="auto"/>
      <w:ind w:firstLine="0" w:firstLineChars="0"/>
      <w:jc w:val="center"/>
    </w:pPr>
    <w:rPr>
      <w:rFonts w:eastAsia="宋体"/>
      <w:sz w:val="21"/>
      <w:szCs w:val="21"/>
    </w:rPr>
  </w:style>
  <w:style w:type="character" w:customStyle="1" w:styleId="193">
    <w:name w:val="表文W Char"/>
    <w:basedOn w:val="190"/>
    <w:link w:val="192"/>
    <w:qFormat/>
    <w:uiPriority w:val="0"/>
    <w:rPr>
      <w:rFonts w:ascii="Times New Roman" w:hAnsi="Times New Roman" w:eastAsia="宋体" w:cs="Times New Roman"/>
      <w:sz w:val="21"/>
      <w:szCs w:val="21"/>
    </w:rPr>
  </w:style>
  <w:style w:type="paragraph" w:customStyle="1" w:styleId="194">
    <w:name w:val="表头W"/>
    <w:basedOn w:val="21"/>
    <w:link w:val="195"/>
    <w:qFormat/>
    <w:uiPriority w:val="1"/>
    <w:pPr>
      <w:ind w:firstLine="0" w:firstLineChars="0"/>
      <w:jc w:val="center"/>
    </w:pPr>
  </w:style>
  <w:style w:type="character" w:customStyle="1" w:styleId="195">
    <w:name w:val="表头W Char"/>
    <w:basedOn w:val="112"/>
    <w:link w:val="194"/>
    <w:qFormat/>
    <w:uiPriority w:val="1"/>
    <w:rPr>
      <w:rFonts w:ascii="Times New Roman" w:hAnsi="Times New Roman" w:eastAsia="宋体" w:cs="Times New Roman"/>
      <w:sz w:val="24"/>
      <w:szCs w:val="22"/>
    </w:rPr>
  </w:style>
  <w:style w:type="paragraph" w:customStyle="1" w:styleId="196">
    <w:name w:val="p0"/>
    <w:basedOn w:val="1"/>
    <w:qFormat/>
    <w:uiPriority w:val="99"/>
    <w:pPr>
      <w:widowControl/>
      <w:autoSpaceDE/>
      <w:autoSpaceDN/>
      <w:adjustRightInd/>
      <w:spacing w:line="240" w:lineRule="auto"/>
      <w:ind w:firstLine="0" w:firstLineChars="0"/>
    </w:pPr>
    <w:rPr>
      <w:kern w:val="2"/>
      <w:sz w:val="21"/>
      <w:szCs w:val="21"/>
    </w:rPr>
  </w:style>
  <w:style w:type="paragraph" w:customStyle="1" w:styleId="197">
    <w:name w:val="标题1"/>
    <w:basedOn w:val="2"/>
    <w:link w:val="198"/>
    <w:qFormat/>
    <w:uiPriority w:val="99"/>
  </w:style>
  <w:style w:type="character" w:customStyle="1" w:styleId="198">
    <w:name w:val="标题1 Char"/>
    <w:basedOn w:val="100"/>
    <w:link w:val="197"/>
    <w:qFormat/>
    <w:uiPriority w:val="99"/>
    <w:rPr>
      <w:kern w:val="32"/>
      <w:sz w:val="32"/>
      <w:szCs w:val="44"/>
    </w:rPr>
  </w:style>
  <w:style w:type="paragraph" w:customStyle="1" w:styleId="199">
    <w:name w:val="标题2"/>
    <w:basedOn w:val="3"/>
    <w:link w:val="200"/>
    <w:qFormat/>
    <w:uiPriority w:val="99"/>
  </w:style>
  <w:style w:type="character" w:customStyle="1" w:styleId="200">
    <w:name w:val="标题2 Char"/>
    <w:basedOn w:val="101"/>
    <w:link w:val="199"/>
    <w:qFormat/>
    <w:uiPriority w:val="99"/>
    <w:rPr>
      <w:sz w:val="30"/>
      <w:szCs w:val="32"/>
    </w:rPr>
  </w:style>
  <w:style w:type="paragraph" w:customStyle="1" w:styleId="201">
    <w:name w:val="标题3"/>
    <w:basedOn w:val="4"/>
    <w:link w:val="202"/>
    <w:qFormat/>
    <w:uiPriority w:val="99"/>
  </w:style>
  <w:style w:type="character" w:customStyle="1" w:styleId="202">
    <w:name w:val="标题3 Char"/>
    <w:basedOn w:val="102"/>
    <w:link w:val="201"/>
    <w:qFormat/>
    <w:uiPriority w:val="99"/>
    <w:rPr>
      <w:sz w:val="28"/>
      <w:szCs w:val="32"/>
    </w:rPr>
  </w:style>
  <w:style w:type="character" w:customStyle="1" w:styleId="203">
    <w:name w:val="正文文本缩进 Char1"/>
    <w:qFormat/>
    <w:uiPriority w:val="99"/>
    <w:rPr>
      <w:rFonts w:ascii="Calibri" w:hAnsi="Calibri"/>
      <w:kern w:val="2"/>
      <w:sz w:val="21"/>
    </w:rPr>
  </w:style>
  <w:style w:type="character" w:customStyle="1" w:styleId="204">
    <w:name w:val="三级目录 Char"/>
    <w:link w:val="205"/>
    <w:qFormat/>
    <w:uiPriority w:val="99"/>
    <w:rPr>
      <w:rFonts w:ascii="Times New Roman" w:hAnsi="Times New Roman" w:eastAsia="宋体" w:cs="Times New Roman"/>
      <w:kern w:val="2"/>
      <w:sz w:val="24"/>
    </w:rPr>
  </w:style>
  <w:style w:type="paragraph" w:customStyle="1" w:styleId="205">
    <w:name w:val="三级目录"/>
    <w:basedOn w:val="1"/>
    <w:link w:val="204"/>
    <w:qFormat/>
    <w:uiPriority w:val="99"/>
    <w:pPr>
      <w:keepNext/>
      <w:keepLines/>
      <w:autoSpaceDE/>
      <w:autoSpaceDN/>
      <w:adjustRightInd/>
      <w:spacing w:before="60" w:after="60"/>
      <w:ind w:firstLine="0" w:firstLineChars="0"/>
      <w:outlineLvl w:val="2"/>
    </w:pPr>
    <w:rPr>
      <w:kern w:val="2"/>
      <w:szCs w:val="20"/>
    </w:rPr>
  </w:style>
  <w:style w:type="character" w:customStyle="1" w:styleId="206">
    <w:name w:val="ak51"/>
    <w:qFormat/>
    <w:uiPriority w:val="99"/>
    <w:rPr>
      <w:sz w:val="19"/>
    </w:rPr>
  </w:style>
  <w:style w:type="character" w:customStyle="1" w:styleId="207">
    <w:name w:val="text_he1"/>
    <w:qFormat/>
    <w:uiPriority w:val="99"/>
    <w:rPr>
      <w:sz w:val="24"/>
    </w:rPr>
  </w:style>
  <w:style w:type="character" w:customStyle="1" w:styleId="208">
    <w:name w:val="明显强调1"/>
    <w:qFormat/>
    <w:uiPriority w:val="99"/>
    <w:rPr>
      <w:b/>
      <w:i/>
      <w:color w:val="4F81BD"/>
    </w:rPr>
  </w:style>
  <w:style w:type="character" w:styleId="209">
    <w:name w:val="Placeholder Text"/>
    <w:qFormat/>
    <w:uiPriority w:val="99"/>
    <w:rPr>
      <w:color w:val="808080"/>
    </w:rPr>
  </w:style>
  <w:style w:type="character" w:customStyle="1" w:styleId="210">
    <w:name w:val="p31"/>
    <w:qFormat/>
    <w:uiPriority w:val="99"/>
    <w:rPr>
      <w:rFonts w:hint="eastAsia" w:ascii="文鼎粗行楷简" w:eastAsia="文鼎粗行楷简"/>
      <w:color w:val="FF0000"/>
      <w:sz w:val="30"/>
    </w:rPr>
  </w:style>
  <w:style w:type="character" w:customStyle="1" w:styleId="211">
    <w:name w:val="题注 Char1"/>
    <w:qFormat/>
    <w:uiPriority w:val="99"/>
    <w:rPr>
      <w:rFonts w:eastAsia="黑体"/>
      <w:kern w:val="2"/>
      <w:sz w:val="24"/>
    </w:rPr>
  </w:style>
  <w:style w:type="character" w:customStyle="1" w:styleId="212">
    <w:name w:val="class1"/>
    <w:qFormat/>
    <w:uiPriority w:val="99"/>
    <w:rPr>
      <w:color w:val="000000"/>
      <w:sz w:val="18"/>
      <w:u w:val="none"/>
    </w:rPr>
  </w:style>
  <w:style w:type="character" w:customStyle="1" w:styleId="213">
    <w:name w:val="纯文本 Char2"/>
    <w:qFormat/>
    <w:uiPriority w:val="99"/>
    <w:rPr>
      <w:rFonts w:ascii="宋体" w:hAnsi="Courier New" w:eastAsia="宋体"/>
      <w:sz w:val="28"/>
    </w:rPr>
  </w:style>
  <w:style w:type="character" w:customStyle="1" w:styleId="214">
    <w:name w:val="引用 字符"/>
    <w:link w:val="215"/>
    <w:qFormat/>
    <w:uiPriority w:val="99"/>
    <w:rPr>
      <w:rFonts w:ascii="Times New Roman" w:hAnsi="Times New Roman" w:eastAsia="宋体" w:cs="Times New Roman"/>
      <w:i/>
      <w:color w:val="000000"/>
      <w:kern w:val="2"/>
    </w:rPr>
  </w:style>
  <w:style w:type="paragraph" w:styleId="215">
    <w:name w:val="Quote"/>
    <w:basedOn w:val="1"/>
    <w:next w:val="1"/>
    <w:link w:val="214"/>
    <w:qFormat/>
    <w:uiPriority w:val="99"/>
    <w:pPr>
      <w:autoSpaceDE/>
      <w:autoSpaceDN/>
      <w:adjustRightInd/>
      <w:spacing w:line="240" w:lineRule="auto"/>
      <w:ind w:firstLine="0" w:firstLineChars="0"/>
    </w:pPr>
    <w:rPr>
      <w:i/>
      <w:color w:val="000000"/>
      <w:kern w:val="2"/>
      <w:sz w:val="20"/>
      <w:szCs w:val="20"/>
    </w:rPr>
  </w:style>
  <w:style w:type="character" w:customStyle="1" w:styleId="216">
    <w:name w:val="px141"/>
    <w:qFormat/>
    <w:uiPriority w:val="99"/>
    <w:rPr>
      <w:sz w:val="21"/>
    </w:rPr>
  </w:style>
  <w:style w:type="character" w:customStyle="1" w:styleId="217">
    <w:name w:val="f121"/>
    <w:qFormat/>
    <w:uiPriority w:val="99"/>
    <w:rPr>
      <w:spacing w:val="240"/>
      <w:sz w:val="18"/>
      <w:u w:val="none"/>
    </w:rPr>
  </w:style>
  <w:style w:type="character" w:customStyle="1" w:styleId="218">
    <w:name w:val="postbody1"/>
    <w:qFormat/>
    <w:uiPriority w:val="99"/>
    <w:rPr>
      <w:sz w:val="20"/>
    </w:rPr>
  </w:style>
  <w:style w:type="character" w:customStyle="1" w:styleId="219">
    <w:name w:val="标题 1 Char2"/>
    <w:qFormat/>
    <w:uiPriority w:val="99"/>
    <w:rPr>
      <w:rFonts w:eastAsia="黑体"/>
      <w:kern w:val="44"/>
      <w:sz w:val="24"/>
      <w:lang w:val="en-US" w:eastAsia="zh-CN" w:bidi="ar-SA"/>
    </w:rPr>
  </w:style>
  <w:style w:type="character" w:customStyle="1" w:styleId="220">
    <w:name w:val="f14b1"/>
    <w:qFormat/>
    <w:uiPriority w:val="99"/>
    <w:rPr>
      <w:b/>
      <w:spacing w:val="240"/>
      <w:sz w:val="21"/>
    </w:rPr>
  </w:style>
  <w:style w:type="character" w:customStyle="1" w:styleId="221">
    <w:name w:val="c1"/>
    <w:qFormat/>
    <w:uiPriority w:val="99"/>
    <w:rPr>
      <w:rFonts w:hint="default"/>
      <w:color w:val="000000"/>
      <w:sz w:val="21"/>
      <w:u w:val="none"/>
    </w:rPr>
  </w:style>
  <w:style w:type="character" w:customStyle="1" w:styleId="222">
    <w:name w:val="样式 (西文) 宋体 小四"/>
    <w:qFormat/>
    <w:uiPriority w:val="99"/>
    <w:rPr>
      <w:rFonts w:ascii="宋体" w:eastAsia="宋体"/>
      <w:sz w:val="24"/>
    </w:rPr>
  </w:style>
  <w:style w:type="character" w:customStyle="1" w:styleId="223">
    <w:name w:val="明显参考1"/>
    <w:qFormat/>
    <w:uiPriority w:val="99"/>
    <w:rPr>
      <w:b/>
      <w:smallCaps/>
      <w:color w:val="C0504D"/>
      <w:spacing w:val="5"/>
      <w:u w:val="single"/>
    </w:rPr>
  </w:style>
  <w:style w:type="character" w:customStyle="1" w:styleId="224">
    <w:name w:val="书籍标题1"/>
    <w:qFormat/>
    <w:uiPriority w:val="99"/>
    <w:rPr>
      <w:b/>
      <w:smallCaps/>
      <w:spacing w:val="5"/>
    </w:rPr>
  </w:style>
  <w:style w:type="character" w:customStyle="1" w:styleId="225">
    <w:name w:val="热电厂正文 Char"/>
    <w:link w:val="226"/>
    <w:qFormat/>
    <w:uiPriority w:val="99"/>
    <w:rPr>
      <w:rFonts w:ascii="Times New Roman" w:hAnsi="Times New Roman" w:eastAsia="宋体" w:cs="Times New Roman"/>
      <w:kern w:val="2"/>
      <w:sz w:val="24"/>
    </w:rPr>
  </w:style>
  <w:style w:type="paragraph" w:customStyle="1" w:styleId="226">
    <w:name w:val="热电厂正文"/>
    <w:basedOn w:val="1"/>
    <w:link w:val="225"/>
    <w:qFormat/>
    <w:uiPriority w:val="99"/>
    <w:pPr>
      <w:autoSpaceDE/>
      <w:autoSpaceDN/>
      <w:adjustRightInd/>
      <w:spacing w:line="440" w:lineRule="exact"/>
      <w:ind w:firstLine="480"/>
    </w:pPr>
    <w:rPr>
      <w:kern w:val="2"/>
      <w:szCs w:val="20"/>
    </w:rPr>
  </w:style>
  <w:style w:type="character" w:customStyle="1" w:styleId="227">
    <w:name w:val="keyword"/>
    <w:basedOn w:val="78"/>
    <w:qFormat/>
    <w:uiPriority w:val="99"/>
  </w:style>
  <w:style w:type="character" w:customStyle="1" w:styleId="228">
    <w:name w:val="标题 1 Char1"/>
    <w:qFormat/>
    <w:uiPriority w:val="99"/>
    <w:rPr>
      <w:rFonts w:ascii="黑体" w:hAnsi="宋体" w:eastAsia="黑体"/>
      <w:snapToGrid w:val="0"/>
      <w:kern w:val="44"/>
      <w:sz w:val="30"/>
      <w:lang w:val="en-US" w:eastAsia="zh-CN"/>
    </w:rPr>
  </w:style>
  <w:style w:type="character" w:customStyle="1" w:styleId="229">
    <w:name w:val="不明显参考1"/>
    <w:qFormat/>
    <w:uiPriority w:val="99"/>
    <w:rPr>
      <w:smallCaps/>
      <w:color w:val="C0504D"/>
      <w:u w:val="single"/>
    </w:rPr>
  </w:style>
  <w:style w:type="character" w:customStyle="1" w:styleId="230">
    <w:name w:val="样式 样式 首行缩进:  2 字符 + (符号) Times New Roman Char"/>
    <w:link w:val="231"/>
    <w:qFormat/>
    <w:uiPriority w:val="99"/>
    <w:rPr>
      <w:rFonts w:ascii="Times New Roman" w:hAnsi="宋体" w:eastAsia="宋体" w:cs="Times New Roman"/>
      <w:sz w:val="24"/>
    </w:rPr>
  </w:style>
  <w:style w:type="paragraph" w:customStyle="1" w:styleId="231">
    <w:name w:val="样式 样式 首行缩进:  2 字符 + (符号) Times New Roman"/>
    <w:basedOn w:val="1"/>
    <w:link w:val="230"/>
    <w:qFormat/>
    <w:uiPriority w:val="99"/>
    <w:pPr>
      <w:snapToGrid w:val="0"/>
      <w:spacing w:line="240" w:lineRule="auto"/>
      <w:ind w:firstLine="482" w:firstLineChars="0"/>
    </w:pPr>
    <w:rPr>
      <w:rFonts w:hAnsi="宋体"/>
      <w:szCs w:val="20"/>
    </w:rPr>
  </w:style>
  <w:style w:type="character" w:customStyle="1" w:styleId="232">
    <w:name w:val="表头文字 Char"/>
    <w:link w:val="233"/>
    <w:qFormat/>
    <w:uiPriority w:val="99"/>
    <w:rPr>
      <w:rFonts w:ascii="Times New Roman" w:hAnsi="Times New Roman" w:eastAsia="黑体" w:cs="Times New Roman"/>
      <w:kern w:val="2"/>
      <w:sz w:val="24"/>
    </w:rPr>
  </w:style>
  <w:style w:type="paragraph" w:customStyle="1" w:styleId="233">
    <w:name w:val="表头文字"/>
    <w:basedOn w:val="1"/>
    <w:next w:val="74"/>
    <w:link w:val="232"/>
    <w:qFormat/>
    <w:uiPriority w:val="99"/>
    <w:pPr>
      <w:autoSpaceDE/>
      <w:autoSpaceDN/>
      <w:snapToGrid w:val="0"/>
      <w:ind w:firstLine="0" w:firstLineChars="0"/>
      <w:jc w:val="left"/>
    </w:pPr>
    <w:rPr>
      <w:rFonts w:eastAsia="黑体"/>
      <w:kern w:val="2"/>
      <w:szCs w:val="20"/>
    </w:rPr>
  </w:style>
  <w:style w:type="character" w:customStyle="1" w:styleId="234">
    <w:name w:val="acee正文 Char"/>
    <w:link w:val="235"/>
    <w:qFormat/>
    <w:uiPriority w:val="99"/>
    <w:rPr>
      <w:rFonts w:ascii="仿宋_GB2312" w:hAnsi="宋体" w:eastAsia="仿宋_GB2312" w:cs="Times New Roman"/>
      <w:kern w:val="2"/>
      <w:sz w:val="32"/>
    </w:rPr>
  </w:style>
  <w:style w:type="paragraph" w:customStyle="1" w:styleId="235">
    <w:name w:val="acee正文"/>
    <w:basedOn w:val="1"/>
    <w:link w:val="234"/>
    <w:qFormat/>
    <w:uiPriority w:val="99"/>
    <w:pPr>
      <w:autoSpaceDE/>
      <w:autoSpaceDN/>
      <w:adjustRightInd/>
      <w:spacing w:line="480" w:lineRule="exact"/>
      <w:ind w:firstLine="640"/>
    </w:pPr>
    <w:rPr>
      <w:rFonts w:ascii="仿宋_GB2312" w:hAnsi="宋体" w:eastAsia="仿宋_GB2312"/>
      <w:kern w:val="2"/>
      <w:sz w:val="32"/>
      <w:szCs w:val="20"/>
    </w:rPr>
  </w:style>
  <w:style w:type="character" w:customStyle="1" w:styleId="236">
    <w:name w:val="明显引用 字符"/>
    <w:link w:val="237"/>
    <w:qFormat/>
    <w:uiPriority w:val="99"/>
    <w:rPr>
      <w:rFonts w:ascii="Times New Roman" w:hAnsi="Times New Roman" w:eastAsia="宋体" w:cs="Times New Roman"/>
      <w:b/>
      <w:i/>
      <w:color w:val="4F81BD"/>
      <w:kern w:val="2"/>
    </w:rPr>
  </w:style>
  <w:style w:type="paragraph" w:styleId="237">
    <w:name w:val="Intense Quote"/>
    <w:basedOn w:val="1"/>
    <w:next w:val="1"/>
    <w:link w:val="236"/>
    <w:qFormat/>
    <w:uiPriority w:val="99"/>
    <w:pPr>
      <w:pBdr>
        <w:bottom w:val="single" w:color="4F81BD" w:sz="4" w:space="4"/>
      </w:pBdr>
      <w:autoSpaceDE/>
      <w:autoSpaceDN/>
      <w:adjustRightInd/>
      <w:spacing w:before="200" w:after="280" w:line="240" w:lineRule="auto"/>
      <w:ind w:left="936" w:right="936" w:firstLine="0" w:firstLineChars="0"/>
    </w:pPr>
    <w:rPr>
      <w:b/>
      <w:i/>
      <w:color w:val="4F81BD"/>
      <w:kern w:val="2"/>
      <w:sz w:val="20"/>
      <w:szCs w:val="20"/>
    </w:rPr>
  </w:style>
  <w:style w:type="character" w:customStyle="1" w:styleId="238">
    <w:name w:val="fontb1"/>
    <w:qFormat/>
    <w:uiPriority w:val="99"/>
    <w:rPr>
      <w:rFonts w:hint="default" w:ascii="Arial" w:hAnsi="Arial"/>
      <w:sz w:val="18"/>
    </w:rPr>
  </w:style>
  <w:style w:type="character" w:customStyle="1" w:styleId="239">
    <w:name w:val="unnamed11"/>
    <w:qFormat/>
    <w:uiPriority w:val="99"/>
    <w:rPr>
      <w:sz w:val="23"/>
    </w:rPr>
  </w:style>
  <w:style w:type="character" w:customStyle="1" w:styleId="240">
    <w:name w:val="不明显强调1"/>
    <w:qFormat/>
    <w:uiPriority w:val="99"/>
    <w:rPr>
      <w:i/>
      <w:color w:val="808080"/>
    </w:rPr>
  </w:style>
  <w:style w:type="character" w:customStyle="1" w:styleId="241">
    <w:name w:val="标题 4 Char1"/>
    <w:qFormat/>
    <w:uiPriority w:val="99"/>
    <w:rPr>
      <w:rFonts w:eastAsia="宋体"/>
      <w:kern w:val="2"/>
      <w:sz w:val="24"/>
      <w:lang w:val="en-US" w:eastAsia="zh-CN" w:bidi="ar-SA"/>
    </w:rPr>
  </w:style>
  <w:style w:type="character" w:customStyle="1" w:styleId="242">
    <w:name w:val="Char Char"/>
    <w:link w:val="243"/>
    <w:qFormat/>
    <w:uiPriority w:val="99"/>
    <w:rPr>
      <w:rFonts w:ascii="Times New Roman" w:hAnsi="Times New Roman" w:eastAsia="宋体" w:cs="Times New Roman"/>
      <w:kern w:val="2"/>
    </w:rPr>
  </w:style>
  <w:style w:type="paragraph" w:customStyle="1" w:styleId="243">
    <w:name w:val="Char"/>
    <w:basedOn w:val="1"/>
    <w:link w:val="242"/>
    <w:qFormat/>
    <w:uiPriority w:val="99"/>
    <w:pPr>
      <w:autoSpaceDE/>
      <w:autoSpaceDN/>
      <w:adjustRightInd/>
      <w:spacing w:line="240" w:lineRule="auto"/>
      <w:ind w:firstLine="0" w:firstLineChars="0"/>
    </w:pPr>
    <w:rPr>
      <w:kern w:val="2"/>
      <w:sz w:val="20"/>
      <w:szCs w:val="20"/>
    </w:rPr>
  </w:style>
  <w:style w:type="character" w:customStyle="1" w:styleId="244">
    <w:name w:val="表格编号 Char"/>
    <w:link w:val="245"/>
    <w:qFormat/>
    <w:uiPriority w:val="99"/>
    <w:rPr>
      <w:rFonts w:ascii="Calibri" w:hAnsi="Calibri" w:eastAsia="宋体" w:cs="Times New Roman"/>
      <w:snapToGrid w:val="0"/>
      <w:sz w:val="21"/>
    </w:rPr>
  </w:style>
  <w:style w:type="paragraph" w:customStyle="1" w:styleId="245">
    <w:name w:val="表格编号"/>
    <w:basedOn w:val="1"/>
    <w:next w:val="163"/>
    <w:link w:val="244"/>
    <w:qFormat/>
    <w:uiPriority w:val="99"/>
    <w:pPr>
      <w:autoSpaceDE/>
      <w:autoSpaceDN/>
      <w:adjustRightInd/>
      <w:snapToGrid w:val="0"/>
      <w:spacing w:line="20" w:lineRule="atLeast"/>
      <w:ind w:firstLine="0" w:firstLineChars="0"/>
      <w:jc w:val="left"/>
    </w:pPr>
    <w:rPr>
      <w:rFonts w:ascii="Calibri" w:hAnsi="Calibri"/>
      <w:snapToGrid w:val="0"/>
      <w:sz w:val="21"/>
      <w:szCs w:val="20"/>
    </w:rPr>
  </w:style>
  <w:style w:type="paragraph" w:customStyle="1" w:styleId="246">
    <w:name w:val="xl75"/>
    <w:basedOn w:val="1"/>
    <w:qFormat/>
    <w:uiPriority w:val="99"/>
    <w:pPr>
      <w:widowControl/>
      <w:pBdr>
        <w:top w:val="single" w:color="auto" w:sz="4" w:space="0"/>
        <w:left w:val="single" w:color="auto" w:sz="4" w:space="0"/>
        <w:bottom w:val="single" w:color="auto" w:sz="8" w:space="0"/>
        <w:right w:val="single" w:color="auto" w:sz="4" w:space="0"/>
      </w:pBdr>
      <w:autoSpaceDE/>
      <w:autoSpaceDN/>
      <w:adjustRightInd/>
      <w:spacing w:before="100" w:beforeAutospacing="1" w:after="100" w:afterAutospacing="1" w:line="240" w:lineRule="auto"/>
      <w:ind w:firstLine="0" w:firstLineChars="0"/>
      <w:jc w:val="left"/>
    </w:pPr>
    <w:rPr>
      <w:rFonts w:ascii="宋体" w:hAnsi="宋体"/>
      <w:szCs w:val="20"/>
    </w:rPr>
  </w:style>
  <w:style w:type="paragraph" w:customStyle="1" w:styleId="247">
    <w:name w:val="CYP样式"/>
    <w:basedOn w:val="1"/>
    <w:qFormat/>
    <w:uiPriority w:val="99"/>
    <w:pPr>
      <w:autoSpaceDE/>
      <w:autoSpaceDN/>
      <w:adjustRightInd/>
      <w:spacing w:line="240" w:lineRule="auto"/>
      <w:ind w:firstLine="0" w:firstLineChars="0"/>
    </w:pPr>
    <w:rPr>
      <w:kern w:val="2"/>
      <w:szCs w:val="20"/>
    </w:rPr>
  </w:style>
  <w:style w:type="paragraph" w:customStyle="1" w:styleId="248">
    <w:name w:val="xl33"/>
    <w:basedOn w:val="1"/>
    <w:qFormat/>
    <w:uiPriority w:val="99"/>
    <w:pPr>
      <w:widowControl/>
      <w:pBdr>
        <w:top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eastAsia="Arial Unicode MS"/>
      <w:szCs w:val="20"/>
    </w:rPr>
  </w:style>
  <w:style w:type="paragraph" w:customStyle="1" w:styleId="249">
    <w:name w:val="+列表1"/>
    <w:basedOn w:val="1"/>
    <w:qFormat/>
    <w:uiPriority w:val="99"/>
    <w:pPr>
      <w:autoSpaceDE/>
      <w:autoSpaceDN/>
      <w:ind w:firstLine="0" w:firstLineChars="0"/>
      <w:jc w:val="center"/>
    </w:pPr>
    <w:rPr>
      <w:kern w:val="2"/>
      <w:sz w:val="28"/>
      <w:szCs w:val="20"/>
    </w:rPr>
  </w:style>
  <w:style w:type="character" w:customStyle="1" w:styleId="250">
    <w:name w:val="HTML 预设格式 Char1"/>
    <w:basedOn w:val="78"/>
    <w:semiHidden/>
    <w:qFormat/>
    <w:uiPriority w:val="99"/>
    <w:rPr>
      <w:rFonts w:ascii="Courier New" w:hAnsi="Courier New" w:cs="Courier New"/>
    </w:rPr>
  </w:style>
  <w:style w:type="paragraph" w:customStyle="1" w:styleId="251">
    <w:name w:val="标题0"/>
    <w:basedOn w:val="74"/>
    <w:qFormat/>
    <w:uiPriority w:val="99"/>
    <w:pPr>
      <w:autoSpaceDE/>
      <w:autoSpaceDN/>
      <w:snapToGrid w:val="0"/>
      <w:spacing w:after="0"/>
      <w:ind w:firstLine="0" w:firstLineChars="0"/>
      <w:jc w:val="center"/>
    </w:pPr>
    <w:rPr>
      <w:rFonts w:eastAsia="黑体"/>
      <w:sz w:val="36"/>
      <w:szCs w:val="20"/>
    </w:rPr>
  </w:style>
  <w:style w:type="paragraph" w:customStyle="1" w:styleId="252">
    <w:name w:val="Char Char Char Char Char Char"/>
    <w:basedOn w:val="1"/>
    <w:qFormat/>
    <w:uiPriority w:val="99"/>
    <w:pPr>
      <w:autoSpaceDE/>
      <w:autoSpaceDN/>
      <w:adjustRightInd/>
      <w:spacing w:line="240" w:lineRule="auto"/>
      <w:ind w:firstLine="0" w:firstLineChars="0"/>
    </w:pPr>
    <w:rPr>
      <w:kern w:val="2"/>
      <w:sz w:val="20"/>
      <w:szCs w:val="20"/>
    </w:rPr>
  </w:style>
  <w:style w:type="paragraph" w:customStyle="1" w:styleId="253">
    <w:name w:val="xl86"/>
    <w:basedOn w:val="1"/>
    <w:qFormat/>
    <w:uiPriority w:val="99"/>
    <w:pPr>
      <w:widowControl/>
      <w:pBdr>
        <w:top w:val="single" w:color="auto" w:sz="4" w:space="0"/>
        <w:left w:val="single" w:color="auto" w:sz="4" w:space="0"/>
        <w:bottom w:val="single" w:color="auto" w:sz="4" w:space="0"/>
        <w:right w:val="single" w:color="auto" w:sz="8" w:space="0"/>
      </w:pBdr>
      <w:autoSpaceDE/>
      <w:autoSpaceDN/>
      <w:adjustRightInd/>
      <w:spacing w:before="100" w:beforeAutospacing="1" w:after="100" w:afterAutospacing="1" w:line="240" w:lineRule="auto"/>
      <w:ind w:firstLine="0" w:firstLineChars="0"/>
      <w:jc w:val="center"/>
    </w:pPr>
    <w:rPr>
      <w:rFonts w:ascii="宋体" w:hAnsi="宋体"/>
      <w:b/>
      <w:szCs w:val="20"/>
    </w:rPr>
  </w:style>
  <w:style w:type="paragraph" w:customStyle="1" w:styleId="254">
    <w:name w:val="样式 样式 样式 小四 左 首行缩进:  2 字符 + 首行缩进:  2 字符 Char + 右  0 字符1"/>
    <w:basedOn w:val="1"/>
    <w:link w:val="255"/>
    <w:qFormat/>
    <w:uiPriority w:val="99"/>
    <w:pPr>
      <w:autoSpaceDE/>
      <w:autoSpaceDN/>
      <w:jc w:val="left"/>
      <w:textAlignment w:val="baseline"/>
    </w:pPr>
    <w:rPr>
      <w:kern w:val="2"/>
      <w:szCs w:val="20"/>
    </w:rPr>
  </w:style>
  <w:style w:type="character" w:customStyle="1" w:styleId="255">
    <w:name w:val="样式 样式 样式 小四 左 首行缩进:  2 字符 + 首行缩进:  2 字符 Char + 右  0 字符1 Char"/>
    <w:link w:val="254"/>
    <w:qFormat/>
    <w:uiPriority w:val="99"/>
    <w:rPr>
      <w:rFonts w:ascii="Times New Roman" w:hAnsi="Times New Roman" w:eastAsia="宋体" w:cs="Times New Roman"/>
      <w:kern w:val="2"/>
      <w:sz w:val="24"/>
    </w:rPr>
  </w:style>
  <w:style w:type="character" w:customStyle="1" w:styleId="256">
    <w:name w:val="引用 Char1"/>
    <w:basedOn w:val="78"/>
    <w:semiHidden/>
    <w:qFormat/>
    <w:uiPriority w:val="99"/>
    <w:rPr>
      <w:i/>
      <w:iCs/>
      <w:color w:val="000000" w:themeColor="text1"/>
      <w:sz w:val="24"/>
      <w:szCs w:val="24"/>
      <w14:textFill>
        <w14:solidFill>
          <w14:schemeClr w14:val="tx1"/>
        </w14:solidFill>
      </w14:textFill>
    </w:rPr>
  </w:style>
  <w:style w:type="paragraph" w:customStyle="1" w:styleId="257">
    <w:name w:val="xl72"/>
    <w:basedOn w:val="1"/>
    <w:qFormat/>
    <w:uiPriority w:val="99"/>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left"/>
    </w:pPr>
    <w:rPr>
      <w:rFonts w:ascii="宋体" w:hAnsi="宋体"/>
      <w:sz w:val="20"/>
      <w:szCs w:val="20"/>
    </w:rPr>
  </w:style>
  <w:style w:type="paragraph" w:customStyle="1" w:styleId="258">
    <w:name w:val="样式 四号 段前: 2.5 磅 段后: 2.5 磅"/>
    <w:basedOn w:val="1"/>
    <w:qFormat/>
    <w:uiPriority w:val="99"/>
    <w:pPr>
      <w:autoSpaceDE/>
      <w:autoSpaceDN/>
      <w:ind w:firstLine="480"/>
    </w:pPr>
    <w:rPr>
      <w:kern w:val="2"/>
      <w:szCs w:val="20"/>
    </w:rPr>
  </w:style>
  <w:style w:type="paragraph" w:customStyle="1" w:styleId="259">
    <w:name w:val="xl43"/>
    <w:basedOn w:val="1"/>
    <w:qFormat/>
    <w:uiPriority w:val="99"/>
    <w:pPr>
      <w:widowControl/>
      <w:pBdr>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eastAsia="Arial Unicode MS"/>
      <w:sz w:val="20"/>
      <w:szCs w:val="20"/>
    </w:rPr>
  </w:style>
  <w:style w:type="paragraph" w:customStyle="1" w:styleId="260">
    <w:name w:val="Char1"/>
    <w:basedOn w:val="1"/>
    <w:qFormat/>
    <w:uiPriority w:val="99"/>
    <w:pPr>
      <w:autoSpaceDE/>
      <w:autoSpaceDN/>
      <w:adjustRightInd/>
      <w:snapToGrid w:val="0"/>
      <w:spacing w:line="240" w:lineRule="auto"/>
    </w:pPr>
    <w:rPr>
      <w:rFonts w:eastAsia="仿宋_GB2312"/>
      <w:kern w:val="2"/>
      <w:szCs w:val="20"/>
    </w:rPr>
  </w:style>
  <w:style w:type="paragraph" w:customStyle="1" w:styleId="261">
    <w:name w:val="xl74"/>
    <w:basedOn w:val="1"/>
    <w:qFormat/>
    <w:uiPriority w:val="99"/>
    <w:pPr>
      <w:widowControl/>
      <w:pBdr>
        <w:top w:val="single" w:color="auto" w:sz="4" w:space="0"/>
        <w:left w:val="single" w:color="auto" w:sz="4" w:space="0"/>
        <w:bottom w:val="single" w:color="auto" w:sz="4" w:space="0"/>
        <w:right w:val="single" w:color="auto" w:sz="8" w:space="0"/>
      </w:pBdr>
      <w:autoSpaceDE/>
      <w:autoSpaceDN/>
      <w:adjustRightInd/>
      <w:spacing w:before="100" w:beforeAutospacing="1" w:after="100" w:afterAutospacing="1" w:line="240" w:lineRule="auto"/>
      <w:ind w:firstLine="0" w:firstLineChars="0"/>
      <w:jc w:val="left"/>
    </w:pPr>
    <w:rPr>
      <w:rFonts w:ascii="宋体" w:hAnsi="宋体"/>
      <w:szCs w:val="20"/>
    </w:rPr>
  </w:style>
  <w:style w:type="paragraph" w:customStyle="1" w:styleId="262">
    <w:name w:val="样式12"/>
    <w:basedOn w:val="1"/>
    <w:qFormat/>
    <w:uiPriority w:val="99"/>
    <w:pPr>
      <w:widowControl/>
      <w:overflowPunct w:val="0"/>
      <w:spacing w:line="380" w:lineRule="atLeast"/>
      <w:ind w:firstLine="0" w:firstLineChars="0"/>
      <w:jc w:val="center"/>
      <w:textAlignment w:val="baseline"/>
    </w:pPr>
    <w:rPr>
      <w:rFonts w:ascii="黑体" w:hAnsi="Calibri" w:eastAsia="黑体"/>
      <w:sz w:val="21"/>
      <w:szCs w:val="20"/>
    </w:rPr>
  </w:style>
  <w:style w:type="paragraph" w:customStyle="1" w:styleId="263">
    <w:name w:val="xl78"/>
    <w:basedOn w:val="1"/>
    <w:qFormat/>
    <w:uiPriority w:val="99"/>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ascii="宋体" w:hAnsi="宋体"/>
      <w:szCs w:val="20"/>
    </w:rPr>
  </w:style>
  <w:style w:type="paragraph" w:customStyle="1" w:styleId="264">
    <w:name w:val="xl71"/>
    <w:basedOn w:val="1"/>
    <w:qFormat/>
    <w:uiPriority w:val="99"/>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left"/>
    </w:pPr>
    <w:rPr>
      <w:rFonts w:ascii="宋体" w:hAnsi="宋体"/>
      <w:b/>
      <w:sz w:val="28"/>
      <w:szCs w:val="20"/>
    </w:rPr>
  </w:style>
  <w:style w:type="paragraph" w:customStyle="1" w:styleId="265">
    <w:name w:val="xl30"/>
    <w:basedOn w:val="1"/>
    <w:qFormat/>
    <w:uiPriority w:val="99"/>
    <w:pPr>
      <w:widowControl/>
      <w:autoSpaceDE/>
      <w:autoSpaceDN/>
      <w:adjustRightInd/>
      <w:spacing w:before="100" w:beforeAutospacing="1" w:after="100" w:afterAutospacing="1" w:line="240" w:lineRule="auto"/>
      <w:ind w:firstLine="0" w:firstLineChars="0"/>
      <w:jc w:val="center"/>
    </w:pPr>
    <w:rPr>
      <w:rFonts w:eastAsia="Arial Unicode MS"/>
      <w:szCs w:val="20"/>
    </w:rPr>
  </w:style>
  <w:style w:type="paragraph" w:customStyle="1" w:styleId="266">
    <w:name w:val="xl67"/>
    <w:basedOn w:val="1"/>
    <w:qFormat/>
    <w:uiPriority w:val="99"/>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ascii="宋体" w:hAnsi="宋体"/>
      <w:szCs w:val="20"/>
    </w:rPr>
  </w:style>
  <w:style w:type="character" w:customStyle="1" w:styleId="267">
    <w:name w:val="纯文本 Char"/>
    <w:basedOn w:val="78"/>
    <w:qFormat/>
    <w:uiPriority w:val="0"/>
    <w:rPr>
      <w:rFonts w:ascii="宋体" w:hAnsi="Courier New" w:cs="Courier New"/>
      <w:sz w:val="21"/>
      <w:szCs w:val="21"/>
    </w:rPr>
  </w:style>
  <w:style w:type="paragraph" w:customStyle="1" w:styleId="268">
    <w:name w:val="xl26"/>
    <w:basedOn w:val="1"/>
    <w:qFormat/>
    <w:uiPriority w:val="99"/>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ascii="Arial Unicode MS" w:hAnsi="Arial Unicode MS" w:eastAsia="Arial Unicode MS"/>
      <w:sz w:val="20"/>
      <w:szCs w:val="20"/>
    </w:rPr>
  </w:style>
  <w:style w:type="paragraph" w:customStyle="1" w:styleId="269">
    <w:name w:val="1"/>
    <w:basedOn w:val="1"/>
    <w:next w:val="1"/>
    <w:qFormat/>
    <w:uiPriority w:val="99"/>
    <w:pPr>
      <w:autoSpaceDE/>
      <w:autoSpaceDN/>
      <w:ind w:firstLine="570" w:firstLineChars="0"/>
      <w:textAlignment w:val="baseline"/>
    </w:pPr>
    <w:rPr>
      <w:rFonts w:ascii="仿宋_GB2312" w:eastAsia="仿宋_GB2312"/>
      <w:sz w:val="28"/>
      <w:szCs w:val="20"/>
    </w:rPr>
  </w:style>
  <w:style w:type="paragraph" w:customStyle="1" w:styleId="270">
    <w:name w:val="xl80"/>
    <w:basedOn w:val="1"/>
    <w:qFormat/>
    <w:uiPriority w:val="99"/>
    <w:pPr>
      <w:widowControl/>
      <w:pBdr>
        <w:top w:val="single" w:color="auto" w:sz="4" w:space="0"/>
        <w:left w:val="single" w:color="auto" w:sz="8" w:space="0"/>
        <w:bottom w:val="single" w:color="auto" w:sz="4" w:space="0"/>
        <w:right w:val="single" w:color="auto" w:sz="4" w:space="0"/>
      </w:pBdr>
      <w:autoSpaceDE/>
      <w:autoSpaceDN/>
      <w:adjustRightInd/>
      <w:spacing w:before="100" w:beforeAutospacing="1" w:after="100" w:afterAutospacing="1" w:line="240" w:lineRule="auto"/>
      <w:ind w:firstLine="0" w:firstLineChars="0"/>
      <w:jc w:val="right"/>
    </w:pPr>
    <w:rPr>
      <w:rFonts w:ascii="宋体" w:hAnsi="宋体"/>
      <w:szCs w:val="20"/>
    </w:rPr>
  </w:style>
  <w:style w:type="paragraph" w:customStyle="1" w:styleId="271">
    <w:name w:val="xl85"/>
    <w:basedOn w:val="1"/>
    <w:qFormat/>
    <w:uiPriority w:val="99"/>
    <w:pPr>
      <w:widowControl/>
      <w:pBdr>
        <w:top w:val="single" w:color="auto" w:sz="8" w:space="0"/>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left"/>
    </w:pPr>
    <w:rPr>
      <w:rFonts w:ascii="宋体" w:hAnsi="宋体"/>
      <w:b/>
      <w:szCs w:val="20"/>
    </w:rPr>
  </w:style>
  <w:style w:type="paragraph" w:customStyle="1" w:styleId="272">
    <w:name w:val="样式 首行缩进:  2 字符1"/>
    <w:basedOn w:val="1"/>
    <w:qFormat/>
    <w:uiPriority w:val="99"/>
    <w:pPr>
      <w:autoSpaceDE/>
      <w:autoSpaceDN/>
      <w:snapToGrid w:val="0"/>
      <w:spacing w:line="240" w:lineRule="auto"/>
      <w:ind w:firstLine="560"/>
    </w:pPr>
    <w:rPr>
      <w:kern w:val="2"/>
      <w:sz w:val="28"/>
      <w:szCs w:val="20"/>
    </w:rPr>
  </w:style>
  <w:style w:type="character" w:customStyle="1" w:styleId="273">
    <w:name w:val="称呼 Char1"/>
    <w:basedOn w:val="78"/>
    <w:semiHidden/>
    <w:qFormat/>
    <w:uiPriority w:val="99"/>
    <w:rPr>
      <w:sz w:val="24"/>
      <w:szCs w:val="24"/>
    </w:rPr>
  </w:style>
  <w:style w:type="paragraph" w:customStyle="1" w:styleId="274">
    <w:name w:val="xl70"/>
    <w:basedOn w:val="1"/>
    <w:qFormat/>
    <w:uiPriority w:val="99"/>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left"/>
    </w:pPr>
    <w:rPr>
      <w:rFonts w:ascii="宋体" w:hAnsi="宋体"/>
      <w:szCs w:val="20"/>
    </w:rPr>
  </w:style>
  <w:style w:type="paragraph" w:customStyle="1" w:styleId="275">
    <w:name w:val="样式 表格 32 + 首行缩进:  2 字符"/>
    <w:basedOn w:val="1"/>
    <w:qFormat/>
    <w:uiPriority w:val="99"/>
    <w:pPr>
      <w:spacing w:line="240" w:lineRule="atLeast"/>
      <w:ind w:firstLine="0" w:firstLineChars="0"/>
      <w:jc w:val="center"/>
      <w:textAlignment w:val="baseline"/>
    </w:pPr>
    <w:rPr>
      <w:sz w:val="21"/>
      <w:szCs w:val="20"/>
    </w:rPr>
  </w:style>
  <w:style w:type="character" w:customStyle="1" w:styleId="276">
    <w:name w:val="正文文本缩进 3 Char1"/>
    <w:basedOn w:val="78"/>
    <w:semiHidden/>
    <w:qFormat/>
    <w:uiPriority w:val="99"/>
    <w:rPr>
      <w:sz w:val="16"/>
      <w:szCs w:val="16"/>
    </w:rPr>
  </w:style>
  <w:style w:type="paragraph" w:customStyle="1" w:styleId="277">
    <w:name w:val="xl87"/>
    <w:basedOn w:val="1"/>
    <w:qFormat/>
    <w:uiPriority w:val="99"/>
    <w:pPr>
      <w:widowControl/>
      <w:pBdr>
        <w:bottom w:val="single" w:color="auto" w:sz="8" w:space="0"/>
      </w:pBdr>
      <w:autoSpaceDE/>
      <w:autoSpaceDN/>
      <w:adjustRightInd/>
      <w:spacing w:before="100" w:beforeAutospacing="1" w:after="100" w:afterAutospacing="1" w:line="240" w:lineRule="auto"/>
      <w:ind w:firstLine="0" w:firstLineChars="0"/>
      <w:jc w:val="center"/>
    </w:pPr>
    <w:rPr>
      <w:rFonts w:ascii="宋体" w:hAnsi="宋体"/>
      <w:b/>
      <w:szCs w:val="20"/>
    </w:rPr>
  </w:style>
  <w:style w:type="character" w:customStyle="1" w:styleId="278">
    <w:name w:val="HTML 地址 Char1"/>
    <w:basedOn w:val="78"/>
    <w:semiHidden/>
    <w:qFormat/>
    <w:uiPriority w:val="99"/>
    <w:rPr>
      <w:i/>
      <w:iCs/>
      <w:sz w:val="24"/>
      <w:szCs w:val="24"/>
    </w:rPr>
  </w:style>
  <w:style w:type="paragraph" w:customStyle="1" w:styleId="279">
    <w:name w:val="段落 Char1"/>
    <w:basedOn w:val="1"/>
    <w:qFormat/>
    <w:uiPriority w:val="99"/>
    <w:pPr>
      <w:tabs>
        <w:tab w:val="left" w:pos="1021"/>
      </w:tabs>
      <w:autoSpaceDE/>
      <w:autoSpaceDN/>
      <w:adjustRightInd/>
      <w:spacing w:line="317" w:lineRule="auto"/>
      <w:ind w:firstLine="480"/>
    </w:pPr>
    <w:rPr>
      <w:kern w:val="2"/>
    </w:rPr>
  </w:style>
  <w:style w:type="paragraph" w:customStyle="1" w:styleId="280">
    <w:name w:val="－正文"/>
    <w:basedOn w:val="1"/>
    <w:qFormat/>
    <w:uiPriority w:val="99"/>
    <w:pPr>
      <w:autoSpaceDE/>
      <w:autoSpaceDN/>
      <w:adjustRightInd/>
    </w:pPr>
    <w:rPr>
      <w:kern w:val="2"/>
      <w:szCs w:val="20"/>
    </w:rPr>
  </w:style>
  <w:style w:type="paragraph" w:customStyle="1" w:styleId="281">
    <w:name w:val="二级条标题"/>
    <w:basedOn w:val="282"/>
    <w:next w:val="1"/>
    <w:qFormat/>
    <w:uiPriority w:val="99"/>
    <w:pPr>
      <w:tabs>
        <w:tab w:val="left" w:pos="360"/>
      </w:tabs>
      <w:outlineLvl w:val="3"/>
    </w:pPr>
  </w:style>
  <w:style w:type="paragraph" w:customStyle="1" w:styleId="282">
    <w:name w:val="一级条标题"/>
    <w:basedOn w:val="283"/>
    <w:next w:val="1"/>
    <w:qFormat/>
    <w:uiPriority w:val="99"/>
    <w:pPr>
      <w:tabs>
        <w:tab w:val="left" w:pos="360"/>
      </w:tabs>
      <w:spacing w:before="0" w:after="0"/>
      <w:ind w:left="360" w:hanging="360" w:hangingChars="200"/>
      <w:outlineLvl w:val="2"/>
    </w:pPr>
  </w:style>
  <w:style w:type="paragraph" w:customStyle="1" w:styleId="283">
    <w:name w:val="章标题"/>
    <w:next w:val="1"/>
    <w:qFormat/>
    <w:uiPriority w:val="99"/>
    <w:pPr>
      <w:spacing w:before="50" w:after="50"/>
      <w:jc w:val="both"/>
      <w:outlineLvl w:val="1"/>
    </w:pPr>
    <w:rPr>
      <w:rFonts w:ascii="黑体" w:hAnsi="Times New Roman" w:eastAsia="黑体" w:cs="Times New Roman"/>
      <w:sz w:val="21"/>
      <w:lang w:val="en-US" w:eastAsia="zh-CN" w:bidi="ar-SA"/>
    </w:rPr>
  </w:style>
  <w:style w:type="character" w:customStyle="1" w:styleId="284">
    <w:name w:val="标题 Char1"/>
    <w:basedOn w:val="78"/>
    <w:qFormat/>
    <w:uiPriority w:val="99"/>
    <w:rPr>
      <w:rFonts w:asciiTheme="majorHAnsi" w:hAnsiTheme="majorHAnsi" w:cstheme="majorBidi"/>
      <w:b/>
      <w:bCs/>
      <w:sz w:val="32"/>
      <w:szCs w:val="32"/>
    </w:rPr>
  </w:style>
  <w:style w:type="paragraph" w:customStyle="1" w:styleId="285">
    <w:name w:val="正文001"/>
    <w:basedOn w:val="1"/>
    <w:qFormat/>
    <w:uiPriority w:val="99"/>
    <w:pPr>
      <w:autoSpaceDE/>
      <w:autoSpaceDN/>
      <w:adjustRightInd/>
      <w:spacing w:line="440" w:lineRule="atLeast"/>
    </w:pPr>
    <w:rPr>
      <w:kern w:val="2"/>
      <w:szCs w:val="20"/>
    </w:rPr>
  </w:style>
  <w:style w:type="paragraph" w:customStyle="1" w:styleId="286">
    <w:name w:val="xl83"/>
    <w:basedOn w:val="1"/>
    <w:qFormat/>
    <w:uiPriority w:val="99"/>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ascii="宋体" w:hAnsi="宋体"/>
      <w:b/>
      <w:szCs w:val="20"/>
    </w:rPr>
  </w:style>
  <w:style w:type="paragraph" w:customStyle="1" w:styleId="287">
    <w:name w:val="xl29"/>
    <w:basedOn w:val="1"/>
    <w:qFormat/>
    <w:uiPriority w:val="99"/>
    <w:pPr>
      <w:widowControl/>
      <w:pBdr>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eastAsia="Arial Unicode MS"/>
      <w:szCs w:val="20"/>
    </w:rPr>
  </w:style>
  <w:style w:type="paragraph" w:customStyle="1" w:styleId="288">
    <w:name w:val="xl31"/>
    <w:basedOn w:val="1"/>
    <w:qFormat/>
    <w:uiPriority w:val="99"/>
    <w:pPr>
      <w:widowControl/>
      <w:pBdr>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eastAsia="Arial Unicode MS"/>
      <w:szCs w:val="20"/>
    </w:rPr>
  </w:style>
  <w:style w:type="character" w:customStyle="1" w:styleId="289">
    <w:name w:val="电子邮件签名 Char1"/>
    <w:basedOn w:val="78"/>
    <w:semiHidden/>
    <w:qFormat/>
    <w:uiPriority w:val="99"/>
    <w:rPr>
      <w:sz w:val="24"/>
      <w:szCs w:val="24"/>
    </w:rPr>
  </w:style>
  <w:style w:type="paragraph" w:customStyle="1" w:styleId="290">
    <w:name w:val="xl90"/>
    <w:basedOn w:val="1"/>
    <w:qFormat/>
    <w:uiPriority w:val="99"/>
    <w:pPr>
      <w:widowControl/>
      <w:pBdr>
        <w:top w:val="single" w:color="auto" w:sz="4" w:space="0"/>
        <w:left w:val="single" w:color="auto" w:sz="8" w:space="0"/>
        <w:bottom w:val="single" w:color="auto" w:sz="4" w:space="0"/>
        <w:right w:val="single" w:color="auto" w:sz="4" w:space="0"/>
      </w:pBdr>
      <w:autoSpaceDE/>
      <w:autoSpaceDN/>
      <w:adjustRightInd/>
      <w:spacing w:before="100" w:beforeAutospacing="1" w:after="100" w:afterAutospacing="1" w:line="240" w:lineRule="auto"/>
      <w:ind w:firstLine="0" w:firstLineChars="0"/>
      <w:jc w:val="right"/>
    </w:pPr>
    <w:rPr>
      <w:rFonts w:ascii="宋体" w:hAnsi="宋体"/>
      <w:b/>
      <w:szCs w:val="20"/>
    </w:rPr>
  </w:style>
  <w:style w:type="paragraph" w:customStyle="1" w:styleId="291">
    <w:name w:val="样式 首行缩进:  2 字符 行距: 1.5 倍行距"/>
    <w:basedOn w:val="1"/>
    <w:qFormat/>
    <w:uiPriority w:val="99"/>
    <w:pPr>
      <w:autoSpaceDE/>
      <w:autoSpaceDN/>
      <w:adjustRightInd/>
      <w:ind w:firstLine="520"/>
      <w:jc w:val="left"/>
    </w:pPr>
    <w:rPr>
      <w:rFonts w:ascii="Calibri" w:hAnsi="Calibri"/>
      <w:snapToGrid w:val="0"/>
      <w:szCs w:val="20"/>
    </w:rPr>
  </w:style>
  <w:style w:type="paragraph" w:customStyle="1" w:styleId="292">
    <w:name w:val="xl89"/>
    <w:basedOn w:val="1"/>
    <w:qFormat/>
    <w:uiPriority w:val="99"/>
    <w:pPr>
      <w:widowControl/>
      <w:pBdr>
        <w:top w:val="single" w:color="auto" w:sz="8" w:space="0"/>
        <w:left w:val="single" w:color="auto" w:sz="8" w:space="0"/>
        <w:bottom w:val="single" w:color="auto" w:sz="4" w:space="0"/>
        <w:right w:val="single" w:color="auto" w:sz="4" w:space="0"/>
      </w:pBdr>
      <w:autoSpaceDE/>
      <w:autoSpaceDN/>
      <w:adjustRightInd/>
      <w:spacing w:before="100" w:beforeAutospacing="1" w:after="100" w:afterAutospacing="1" w:line="240" w:lineRule="auto"/>
      <w:ind w:firstLine="0" w:firstLineChars="0"/>
      <w:jc w:val="right"/>
    </w:pPr>
    <w:rPr>
      <w:rFonts w:ascii="宋体" w:hAnsi="宋体"/>
      <w:b/>
      <w:szCs w:val="20"/>
    </w:rPr>
  </w:style>
  <w:style w:type="paragraph" w:customStyle="1" w:styleId="293">
    <w:name w:val="xl81"/>
    <w:basedOn w:val="1"/>
    <w:qFormat/>
    <w:uiPriority w:val="99"/>
    <w:pPr>
      <w:widowControl/>
      <w:pBdr>
        <w:top w:val="single" w:color="auto" w:sz="4" w:space="0"/>
        <w:left w:val="single" w:color="auto" w:sz="8" w:space="0"/>
        <w:bottom w:val="single" w:color="auto" w:sz="8" w:space="0"/>
        <w:right w:val="single" w:color="auto" w:sz="4" w:space="0"/>
      </w:pBdr>
      <w:autoSpaceDE/>
      <w:autoSpaceDN/>
      <w:adjustRightInd/>
      <w:spacing w:before="100" w:beforeAutospacing="1" w:after="100" w:afterAutospacing="1" w:line="240" w:lineRule="auto"/>
      <w:ind w:firstLine="0" w:firstLineChars="0"/>
      <w:jc w:val="right"/>
    </w:pPr>
    <w:rPr>
      <w:rFonts w:ascii="宋体" w:hAnsi="宋体"/>
      <w:szCs w:val="20"/>
    </w:rPr>
  </w:style>
  <w:style w:type="paragraph" w:customStyle="1" w:styleId="294">
    <w:name w:val="文本1"/>
    <w:basedOn w:val="1"/>
    <w:qFormat/>
    <w:uiPriority w:val="99"/>
    <w:pPr>
      <w:autoSpaceDE/>
      <w:autoSpaceDN/>
      <w:snapToGrid w:val="0"/>
      <w:ind w:firstLine="514"/>
    </w:pPr>
    <w:rPr>
      <w:rFonts w:ascii="宋体" w:hAnsi="宋体"/>
      <w:szCs w:val="20"/>
    </w:rPr>
  </w:style>
  <w:style w:type="paragraph" w:customStyle="1" w:styleId="295">
    <w:name w:val="五级条标题"/>
    <w:basedOn w:val="296"/>
    <w:next w:val="1"/>
    <w:qFormat/>
    <w:uiPriority w:val="99"/>
    <w:pPr>
      <w:outlineLvl w:val="6"/>
    </w:pPr>
  </w:style>
  <w:style w:type="paragraph" w:customStyle="1" w:styleId="296">
    <w:name w:val="四级条标题"/>
    <w:basedOn w:val="297"/>
    <w:next w:val="1"/>
    <w:qFormat/>
    <w:uiPriority w:val="99"/>
    <w:pPr>
      <w:outlineLvl w:val="5"/>
    </w:pPr>
  </w:style>
  <w:style w:type="paragraph" w:customStyle="1" w:styleId="297">
    <w:name w:val="三级条标题"/>
    <w:basedOn w:val="281"/>
    <w:next w:val="1"/>
    <w:qFormat/>
    <w:uiPriority w:val="99"/>
    <w:pPr>
      <w:tabs>
        <w:tab w:val="clear" w:pos="360"/>
      </w:tabs>
      <w:outlineLvl w:val="4"/>
    </w:pPr>
  </w:style>
  <w:style w:type="paragraph" w:customStyle="1" w:styleId="298">
    <w:name w:val="xl34"/>
    <w:basedOn w:val="1"/>
    <w:qFormat/>
    <w:uiPriority w:val="99"/>
    <w:pPr>
      <w:widowControl/>
      <w:pBdr>
        <w:top w:val="single" w:color="auto" w:sz="4" w:space="0"/>
        <w:bottom w:val="single" w:color="auto" w:sz="4" w:space="0"/>
      </w:pBdr>
      <w:autoSpaceDE/>
      <w:autoSpaceDN/>
      <w:adjustRightInd/>
      <w:spacing w:before="100" w:beforeAutospacing="1" w:after="100" w:afterAutospacing="1" w:line="240" w:lineRule="auto"/>
      <w:ind w:firstLine="0" w:firstLineChars="0"/>
      <w:jc w:val="center"/>
    </w:pPr>
    <w:rPr>
      <w:rFonts w:eastAsia="Arial Unicode MS"/>
      <w:szCs w:val="20"/>
    </w:rPr>
  </w:style>
  <w:style w:type="paragraph" w:customStyle="1" w:styleId="299">
    <w:name w:val="xl77"/>
    <w:basedOn w:val="1"/>
    <w:qFormat/>
    <w:uiPriority w:val="99"/>
    <w:pPr>
      <w:widowControl/>
      <w:pBdr>
        <w:top w:val="single" w:color="auto" w:sz="4" w:space="0"/>
        <w:left w:val="single" w:color="auto" w:sz="4" w:space="0"/>
        <w:bottom w:val="single" w:color="auto" w:sz="8" w:space="0"/>
        <w:right w:val="single" w:color="auto" w:sz="8" w:space="0"/>
      </w:pBdr>
      <w:autoSpaceDE/>
      <w:autoSpaceDN/>
      <w:adjustRightInd/>
      <w:spacing w:before="100" w:beforeAutospacing="1" w:after="100" w:afterAutospacing="1" w:line="240" w:lineRule="auto"/>
      <w:ind w:firstLine="0" w:firstLineChars="0"/>
      <w:jc w:val="left"/>
    </w:pPr>
    <w:rPr>
      <w:rFonts w:ascii="宋体" w:hAnsi="宋体"/>
      <w:szCs w:val="20"/>
    </w:rPr>
  </w:style>
  <w:style w:type="paragraph" w:customStyle="1" w:styleId="300">
    <w:name w:val="xl79"/>
    <w:basedOn w:val="1"/>
    <w:qFormat/>
    <w:uiPriority w:val="99"/>
    <w:pPr>
      <w:widowControl/>
      <w:pBdr>
        <w:top w:val="single" w:color="auto" w:sz="4" w:space="0"/>
        <w:left w:val="single" w:color="auto" w:sz="4" w:space="0"/>
        <w:bottom w:val="single" w:color="auto" w:sz="4" w:space="0"/>
        <w:right w:val="single" w:color="auto" w:sz="8" w:space="0"/>
      </w:pBdr>
      <w:autoSpaceDE/>
      <w:autoSpaceDN/>
      <w:adjustRightInd/>
      <w:spacing w:before="100" w:beforeAutospacing="1" w:after="100" w:afterAutospacing="1" w:line="240" w:lineRule="auto"/>
      <w:ind w:firstLine="0" w:firstLineChars="0"/>
      <w:jc w:val="center"/>
    </w:pPr>
    <w:rPr>
      <w:rFonts w:ascii="宋体" w:hAnsi="宋体"/>
      <w:szCs w:val="20"/>
    </w:rPr>
  </w:style>
  <w:style w:type="character" w:customStyle="1" w:styleId="301">
    <w:name w:val="结束语 Char1"/>
    <w:basedOn w:val="78"/>
    <w:semiHidden/>
    <w:qFormat/>
    <w:uiPriority w:val="99"/>
    <w:rPr>
      <w:sz w:val="24"/>
      <w:szCs w:val="24"/>
    </w:rPr>
  </w:style>
  <w:style w:type="paragraph" w:customStyle="1" w:styleId="302">
    <w:name w:val="报告书表格"/>
    <w:basedOn w:val="1"/>
    <w:qFormat/>
    <w:uiPriority w:val="99"/>
    <w:pPr>
      <w:autoSpaceDE/>
      <w:autoSpaceDN/>
      <w:spacing w:before="60" w:after="60" w:line="240" w:lineRule="atLeast"/>
      <w:ind w:firstLine="0" w:firstLineChars="0"/>
      <w:jc w:val="center"/>
      <w:textAlignment w:val="baseline"/>
    </w:pPr>
    <w:rPr>
      <w:sz w:val="20"/>
      <w:szCs w:val="20"/>
    </w:rPr>
  </w:style>
  <w:style w:type="character" w:customStyle="1" w:styleId="303">
    <w:name w:val="明显引用 Char1"/>
    <w:basedOn w:val="78"/>
    <w:semiHidden/>
    <w:qFormat/>
    <w:uiPriority w:val="99"/>
    <w:rPr>
      <w:b/>
      <w:bCs/>
      <w:i/>
      <w:iCs/>
      <w:color w:val="4F81BD" w:themeColor="accent1"/>
      <w:sz w:val="24"/>
      <w:szCs w:val="24"/>
      <w14:textFill>
        <w14:solidFill>
          <w14:schemeClr w14:val="accent1"/>
        </w14:solidFill>
      </w14:textFill>
    </w:rPr>
  </w:style>
  <w:style w:type="paragraph" w:customStyle="1" w:styleId="304">
    <w:name w:val="xl82"/>
    <w:basedOn w:val="1"/>
    <w:qFormat/>
    <w:uiPriority w:val="99"/>
    <w:pPr>
      <w:widowControl/>
      <w:autoSpaceDE/>
      <w:autoSpaceDN/>
      <w:adjustRightInd/>
      <w:spacing w:before="100" w:beforeAutospacing="1" w:after="100" w:afterAutospacing="1" w:line="240" w:lineRule="auto"/>
      <w:ind w:firstLine="0" w:firstLineChars="0"/>
      <w:jc w:val="right"/>
    </w:pPr>
    <w:rPr>
      <w:rFonts w:ascii="宋体" w:hAnsi="宋体"/>
      <w:szCs w:val="20"/>
    </w:rPr>
  </w:style>
  <w:style w:type="paragraph" w:customStyle="1" w:styleId="305">
    <w:name w:val="font8"/>
    <w:basedOn w:val="1"/>
    <w:qFormat/>
    <w:uiPriority w:val="99"/>
    <w:pPr>
      <w:widowControl/>
      <w:autoSpaceDE/>
      <w:autoSpaceDN/>
      <w:adjustRightInd/>
      <w:spacing w:before="100" w:after="100" w:line="240" w:lineRule="auto"/>
      <w:ind w:firstLine="0" w:firstLineChars="0"/>
      <w:jc w:val="left"/>
    </w:pPr>
    <w:rPr>
      <w:rFonts w:hint="eastAsia" w:ascii="宋体" w:hAnsi="宋体"/>
      <w:b/>
      <w:color w:val="000000"/>
      <w:sz w:val="18"/>
      <w:szCs w:val="20"/>
    </w:rPr>
  </w:style>
  <w:style w:type="paragraph" w:customStyle="1" w:styleId="306">
    <w:name w:val="样式 标题 4 + 左侧:  0 厘米 首行缩进:  0 厘米"/>
    <w:basedOn w:val="5"/>
    <w:qFormat/>
    <w:uiPriority w:val="99"/>
    <w:pPr>
      <w:tabs>
        <w:tab w:val="clear" w:pos="0"/>
      </w:tabs>
      <w:snapToGrid w:val="0"/>
    </w:pPr>
    <w:rPr>
      <w:b w:val="0"/>
      <w:bCs w:val="0"/>
      <w:kern w:val="2"/>
      <w:szCs w:val="20"/>
    </w:rPr>
  </w:style>
  <w:style w:type="character" w:customStyle="1" w:styleId="307">
    <w:name w:val="签名 Char1"/>
    <w:basedOn w:val="78"/>
    <w:semiHidden/>
    <w:qFormat/>
    <w:uiPriority w:val="99"/>
    <w:rPr>
      <w:sz w:val="24"/>
      <w:szCs w:val="24"/>
    </w:rPr>
  </w:style>
  <w:style w:type="paragraph" w:customStyle="1" w:styleId="308">
    <w:name w:val="正文01"/>
    <w:basedOn w:val="1"/>
    <w:qFormat/>
    <w:uiPriority w:val="99"/>
    <w:pPr>
      <w:autoSpaceDE/>
      <w:autoSpaceDN/>
    </w:pPr>
    <w:rPr>
      <w:kern w:val="2"/>
      <w:sz w:val="28"/>
      <w:szCs w:val="20"/>
    </w:rPr>
  </w:style>
  <w:style w:type="paragraph" w:customStyle="1" w:styleId="309">
    <w:name w:val="font9"/>
    <w:basedOn w:val="1"/>
    <w:qFormat/>
    <w:uiPriority w:val="99"/>
    <w:pPr>
      <w:widowControl/>
      <w:autoSpaceDE/>
      <w:autoSpaceDN/>
      <w:adjustRightInd/>
      <w:spacing w:before="100" w:after="100" w:line="240" w:lineRule="auto"/>
      <w:ind w:firstLine="0" w:firstLineChars="0"/>
      <w:jc w:val="left"/>
    </w:pPr>
    <w:rPr>
      <w:rFonts w:hint="eastAsia" w:ascii="宋体" w:hAnsi="宋体"/>
      <w:color w:val="000000"/>
      <w:sz w:val="20"/>
      <w:szCs w:val="20"/>
    </w:rPr>
  </w:style>
  <w:style w:type="paragraph" w:customStyle="1" w:styleId="310">
    <w:name w:val="xl68"/>
    <w:basedOn w:val="1"/>
    <w:qFormat/>
    <w:uiPriority w:val="99"/>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left"/>
    </w:pPr>
    <w:rPr>
      <w:rFonts w:ascii="宋体" w:hAnsi="宋体"/>
      <w:b/>
      <w:szCs w:val="20"/>
    </w:rPr>
  </w:style>
  <w:style w:type="paragraph" w:customStyle="1" w:styleId="311">
    <w:name w:val="Char Char Char Char"/>
    <w:basedOn w:val="1"/>
    <w:qFormat/>
    <w:uiPriority w:val="99"/>
    <w:pPr>
      <w:autoSpaceDE/>
      <w:autoSpaceDN/>
      <w:adjustRightInd/>
    </w:pPr>
    <w:rPr>
      <w:kern w:val="2"/>
      <w:sz w:val="20"/>
      <w:szCs w:val="20"/>
    </w:rPr>
  </w:style>
  <w:style w:type="paragraph" w:customStyle="1" w:styleId="312">
    <w:name w:val="xl32"/>
    <w:basedOn w:val="1"/>
    <w:qFormat/>
    <w:uiPriority w:val="99"/>
    <w:pPr>
      <w:widowControl/>
      <w:pBdr>
        <w:top w:val="single" w:color="auto" w:sz="4" w:space="0"/>
        <w:left w:val="single" w:color="auto" w:sz="4" w:space="0"/>
        <w:bottom w:val="single" w:color="auto" w:sz="4" w:space="0"/>
      </w:pBdr>
      <w:autoSpaceDE/>
      <w:autoSpaceDN/>
      <w:adjustRightInd/>
      <w:spacing w:before="100" w:beforeAutospacing="1" w:after="100" w:afterAutospacing="1" w:line="240" w:lineRule="auto"/>
      <w:ind w:firstLine="0" w:firstLineChars="0"/>
      <w:jc w:val="center"/>
    </w:pPr>
    <w:rPr>
      <w:rFonts w:eastAsia="Arial Unicode MS"/>
      <w:szCs w:val="20"/>
    </w:rPr>
  </w:style>
  <w:style w:type="paragraph" w:customStyle="1" w:styleId="313">
    <w:name w:val="xl25"/>
    <w:basedOn w:val="1"/>
    <w:qFormat/>
    <w:uiPriority w:val="99"/>
    <w:pPr>
      <w:widowControl/>
      <w:pBdr>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hint="eastAsia" w:ascii="仿宋_GB2312" w:hAnsi="Arial Unicode MS" w:eastAsia="仿宋_GB2312"/>
      <w:szCs w:val="20"/>
    </w:rPr>
  </w:style>
  <w:style w:type="paragraph" w:customStyle="1" w:styleId="314">
    <w:name w:val="xl76"/>
    <w:basedOn w:val="1"/>
    <w:qFormat/>
    <w:uiPriority w:val="99"/>
    <w:pPr>
      <w:widowControl/>
      <w:pBdr>
        <w:top w:val="single" w:color="auto" w:sz="4" w:space="0"/>
        <w:left w:val="single" w:color="auto" w:sz="4" w:space="0"/>
        <w:bottom w:val="single" w:color="auto" w:sz="8" w:space="0"/>
        <w:right w:val="single" w:color="auto" w:sz="4" w:space="0"/>
      </w:pBdr>
      <w:autoSpaceDE/>
      <w:autoSpaceDN/>
      <w:adjustRightInd/>
      <w:spacing w:before="100" w:beforeAutospacing="1" w:after="100" w:afterAutospacing="1" w:line="240" w:lineRule="auto"/>
      <w:ind w:firstLine="0" w:firstLineChars="0"/>
      <w:jc w:val="left"/>
    </w:pPr>
    <w:rPr>
      <w:rFonts w:ascii="宋体" w:hAnsi="宋体"/>
      <w:szCs w:val="20"/>
    </w:rPr>
  </w:style>
  <w:style w:type="paragraph" w:customStyle="1" w:styleId="315">
    <w:name w:val="样式 目录 1 + 首行缩进:  0.85 厘米1"/>
    <w:basedOn w:val="53"/>
    <w:qFormat/>
    <w:uiPriority w:val="99"/>
    <w:pPr>
      <w:autoSpaceDE/>
      <w:autoSpaceDN/>
      <w:adjustRightInd/>
      <w:spacing w:before="120" w:after="120"/>
      <w:ind w:firstLine="482"/>
      <w:jc w:val="both"/>
    </w:pPr>
    <w:rPr>
      <w:rFonts w:ascii="Calibri" w:hAnsi="Calibri" w:cs="Times New Roman"/>
      <w:bCs w:val="0"/>
      <w:kern w:val="2"/>
      <w:sz w:val="20"/>
    </w:rPr>
  </w:style>
  <w:style w:type="paragraph" w:customStyle="1" w:styleId="316">
    <w:name w:val="xl73"/>
    <w:basedOn w:val="1"/>
    <w:qFormat/>
    <w:uiPriority w:val="99"/>
    <w:pPr>
      <w:widowControl/>
      <w:pBdr>
        <w:top w:val="single" w:color="auto" w:sz="8" w:space="0"/>
        <w:left w:val="single" w:color="auto" w:sz="4" w:space="0"/>
        <w:bottom w:val="single" w:color="auto" w:sz="4" w:space="0"/>
        <w:right w:val="single" w:color="auto" w:sz="8" w:space="0"/>
      </w:pBdr>
      <w:autoSpaceDE/>
      <w:autoSpaceDN/>
      <w:adjustRightInd/>
      <w:spacing w:before="100" w:beforeAutospacing="1" w:after="100" w:afterAutospacing="1" w:line="240" w:lineRule="auto"/>
      <w:ind w:firstLine="0" w:firstLineChars="0"/>
      <w:jc w:val="left"/>
    </w:pPr>
    <w:rPr>
      <w:rFonts w:ascii="宋体" w:hAnsi="宋体"/>
      <w:b/>
      <w:szCs w:val="20"/>
    </w:rPr>
  </w:style>
  <w:style w:type="paragraph" w:customStyle="1" w:styleId="317">
    <w:name w:val="xl84"/>
    <w:basedOn w:val="1"/>
    <w:qFormat/>
    <w:uiPriority w:val="99"/>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ascii="宋体" w:hAnsi="宋体"/>
      <w:b/>
      <w:szCs w:val="20"/>
    </w:rPr>
  </w:style>
  <w:style w:type="paragraph" w:customStyle="1" w:styleId="318">
    <w:name w:val="样式 目录 1 + 首行缩进:  0.85 厘米"/>
    <w:basedOn w:val="53"/>
    <w:qFormat/>
    <w:uiPriority w:val="99"/>
    <w:pPr>
      <w:autoSpaceDE/>
      <w:autoSpaceDN/>
      <w:snapToGrid w:val="0"/>
      <w:spacing w:before="120" w:after="120"/>
    </w:pPr>
    <w:rPr>
      <w:rFonts w:cs="Times New Roman"/>
      <w:bCs w:val="0"/>
      <w:kern w:val="2"/>
      <w:sz w:val="20"/>
    </w:rPr>
  </w:style>
  <w:style w:type="paragraph" w:customStyle="1" w:styleId="319">
    <w:name w:val="xl24"/>
    <w:basedOn w:val="1"/>
    <w:qFormat/>
    <w:uiPriority w:val="99"/>
    <w:pPr>
      <w:widowControl/>
      <w:pBdr>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eastAsia="Arial Unicode MS"/>
      <w:szCs w:val="20"/>
    </w:rPr>
  </w:style>
  <w:style w:type="character" w:customStyle="1" w:styleId="320">
    <w:name w:val="副标题 Char1"/>
    <w:basedOn w:val="78"/>
    <w:qFormat/>
    <w:uiPriority w:val="99"/>
    <w:rPr>
      <w:rFonts w:asciiTheme="majorHAnsi" w:hAnsiTheme="majorHAnsi" w:cstheme="majorBidi"/>
      <w:b/>
      <w:bCs/>
      <w:kern w:val="28"/>
      <w:sz w:val="32"/>
      <w:szCs w:val="32"/>
    </w:rPr>
  </w:style>
  <w:style w:type="character" w:customStyle="1" w:styleId="321">
    <w:name w:val="注释标题 Char1"/>
    <w:basedOn w:val="78"/>
    <w:semiHidden/>
    <w:qFormat/>
    <w:uiPriority w:val="99"/>
    <w:rPr>
      <w:sz w:val="24"/>
      <w:szCs w:val="24"/>
    </w:rPr>
  </w:style>
  <w:style w:type="paragraph" w:customStyle="1" w:styleId="322">
    <w:name w:val="font7"/>
    <w:basedOn w:val="1"/>
    <w:qFormat/>
    <w:uiPriority w:val="99"/>
    <w:pPr>
      <w:widowControl/>
      <w:autoSpaceDE/>
      <w:autoSpaceDN/>
      <w:adjustRightInd/>
      <w:spacing w:before="100" w:after="100" w:line="240" w:lineRule="auto"/>
      <w:ind w:firstLine="0" w:firstLineChars="0"/>
      <w:jc w:val="left"/>
    </w:pPr>
    <w:rPr>
      <w:rFonts w:hint="eastAsia" w:ascii="宋体" w:hAnsi="宋体"/>
      <w:color w:val="000000"/>
      <w:sz w:val="18"/>
      <w:szCs w:val="20"/>
    </w:rPr>
  </w:style>
  <w:style w:type="paragraph" w:customStyle="1" w:styleId="323">
    <w:name w:val="前言、引言标题"/>
    <w:next w:val="1"/>
    <w:qFormat/>
    <w:uiPriority w:val="99"/>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character" w:customStyle="1" w:styleId="324">
    <w:name w:val="信息标题 Char1"/>
    <w:basedOn w:val="78"/>
    <w:semiHidden/>
    <w:qFormat/>
    <w:uiPriority w:val="99"/>
    <w:rPr>
      <w:rFonts w:asciiTheme="majorHAnsi" w:hAnsiTheme="majorHAnsi" w:eastAsiaTheme="majorEastAsia" w:cstheme="majorBidi"/>
      <w:sz w:val="24"/>
      <w:szCs w:val="24"/>
      <w:shd w:val="pct20" w:color="auto" w:fill="auto"/>
    </w:rPr>
  </w:style>
  <w:style w:type="paragraph" w:customStyle="1" w:styleId="325">
    <w:name w:val="表文"/>
    <w:basedOn w:val="1"/>
    <w:link w:val="326"/>
    <w:qFormat/>
    <w:uiPriority w:val="99"/>
    <w:pPr>
      <w:tabs>
        <w:tab w:val="left" w:pos="1021"/>
      </w:tabs>
      <w:autoSpaceDE/>
      <w:autoSpaceDN/>
      <w:snapToGrid w:val="0"/>
      <w:spacing w:before="93" w:beforeLines="30" w:after="93" w:afterLines="30" w:line="240" w:lineRule="auto"/>
      <w:ind w:firstLine="0" w:firstLineChars="0"/>
      <w:jc w:val="center"/>
    </w:pPr>
    <w:rPr>
      <w:snapToGrid w:val="0"/>
      <w:kern w:val="28"/>
      <w:position w:val="-24"/>
      <w:sz w:val="20"/>
      <w:szCs w:val="20"/>
    </w:rPr>
  </w:style>
  <w:style w:type="character" w:customStyle="1" w:styleId="326">
    <w:name w:val="表文 Char"/>
    <w:link w:val="325"/>
    <w:qFormat/>
    <w:uiPriority w:val="99"/>
    <w:rPr>
      <w:rFonts w:ascii="Times New Roman" w:hAnsi="Times New Roman" w:eastAsia="宋体" w:cs="Times New Roman"/>
      <w:snapToGrid w:val="0"/>
      <w:kern w:val="28"/>
      <w:position w:val="-24"/>
    </w:rPr>
  </w:style>
  <w:style w:type="paragraph" w:customStyle="1" w:styleId="327">
    <w:name w:val="段落"/>
    <w:basedOn w:val="1"/>
    <w:link w:val="328"/>
    <w:qFormat/>
    <w:uiPriority w:val="99"/>
    <w:pPr>
      <w:autoSpaceDE/>
      <w:autoSpaceDN/>
      <w:adjustRightInd/>
      <w:spacing w:line="480" w:lineRule="atLeast"/>
      <w:ind w:firstLine="480"/>
    </w:pPr>
    <w:rPr>
      <w:rFonts w:ascii="宋体" w:hAnsi="宋体"/>
      <w:kern w:val="24"/>
      <w:szCs w:val="20"/>
    </w:rPr>
  </w:style>
  <w:style w:type="character" w:customStyle="1" w:styleId="328">
    <w:name w:val="段落 Char"/>
    <w:link w:val="327"/>
    <w:qFormat/>
    <w:uiPriority w:val="99"/>
    <w:rPr>
      <w:rFonts w:ascii="宋体" w:hAnsi="宋体" w:eastAsia="宋体" w:cs="Times New Roman"/>
      <w:kern w:val="24"/>
      <w:sz w:val="24"/>
    </w:rPr>
  </w:style>
  <w:style w:type="paragraph" w:customStyle="1" w:styleId="329">
    <w:name w:val="文本框"/>
    <w:basedOn w:val="1"/>
    <w:qFormat/>
    <w:uiPriority w:val="99"/>
    <w:pPr>
      <w:autoSpaceDE/>
      <w:autoSpaceDN/>
      <w:adjustRightInd/>
      <w:spacing w:line="240" w:lineRule="atLeast"/>
      <w:ind w:firstLine="0" w:firstLineChars="0"/>
    </w:pPr>
    <w:rPr>
      <w:rFonts w:ascii="宋体"/>
      <w:kern w:val="2"/>
      <w:sz w:val="20"/>
      <w:szCs w:val="20"/>
    </w:rPr>
  </w:style>
  <w:style w:type="paragraph" w:customStyle="1" w:styleId="330">
    <w:name w:val="Char Char Char Char Char Char Char"/>
    <w:basedOn w:val="1"/>
    <w:next w:val="2"/>
    <w:qFormat/>
    <w:uiPriority w:val="99"/>
    <w:pPr>
      <w:autoSpaceDE/>
      <w:autoSpaceDN/>
      <w:adjustRightInd/>
      <w:spacing w:line="240" w:lineRule="auto"/>
      <w:ind w:firstLine="0" w:firstLineChars="0"/>
      <w:jc w:val="left"/>
    </w:pPr>
    <w:rPr>
      <w:rFonts w:eastAsia="黑体"/>
      <w:kern w:val="2"/>
      <w:szCs w:val="20"/>
    </w:rPr>
  </w:style>
  <w:style w:type="paragraph" w:customStyle="1" w:styleId="331">
    <w:name w:val="样式1"/>
    <w:basedOn w:val="1"/>
    <w:qFormat/>
    <w:uiPriority w:val="99"/>
    <w:pPr>
      <w:autoSpaceDE/>
      <w:autoSpaceDN/>
      <w:adjustRightInd/>
      <w:spacing w:line="240" w:lineRule="auto"/>
      <w:ind w:firstLine="0" w:firstLineChars="0"/>
    </w:pPr>
    <w:rPr>
      <w:kern w:val="2"/>
      <w:sz w:val="20"/>
      <w:szCs w:val="20"/>
    </w:rPr>
  </w:style>
  <w:style w:type="paragraph" w:customStyle="1" w:styleId="332">
    <w:name w:val="Body Text First Indent3"/>
    <w:basedOn w:val="31"/>
    <w:qFormat/>
    <w:uiPriority w:val="99"/>
    <w:pPr>
      <w:autoSpaceDE/>
      <w:autoSpaceDN/>
      <w:spacing w:after="0" w:line="312" w:lineRule="auto"/>
      <w:ind w:firstLine="567" w:firstLineChars="0"/>
      <w:jc w:val="both"/>
      <w:textAlignment w:val="baseline"/>
    </w:pPr>
    <w:rPr>
      <w:kern w:val="0"/>
      <w:sz w:val="28"/>
      <w:szCs w:val="20"/>
    </w:rPr>
  </w:style>
  <w:style w:type="paragraph" w:customStyle="1" w:styleId="333">
    <w:name w:val="xl28"/>
    <w:basedOn w:val="1"/>
    <w:qFormat/>
    <w:uiPriority w:val="99"/>
    <w:pPr>
      <w:widowControl/>
      <w:shd w:val="clear" w:color="auto" w:fill="FFFF00"/>
      <w:autoSpaceDE/>
      <w:autoSpaceDN/>
      <w:adjustRightInd/>
      <w:spacing w:before="100" w:after="100" w:line="240" w:lineRule="auto"/>
      <w:ind w:firstLine="0" w:firstLineChars="0"/>
      <w:jc w:val="left"/>
    </w:pPr>
    <w:rPr>
      <w:rFonts w:ascii="Arial Unicode MS" w:hAnsi="Arial Unicode MS" w:eastAsia="Arial Unicode MS"/>
      <w:szCs w:val="20"/>
    </w:rPr>
  </w:style>
  <w:style w:type="paragraph" w:customStyle="1" w:styleId="334">
    <w:name w:val="样式 正文首行缩进 + 行距: 1.5 倍行距"/>
    <w:basedOn w:val="74"/>
    <w:qFormat/>
    <w:uiPriority w:val="99"/>
    <w:pPr>
      <w:autoSpaceDE/>
      <w:autoSpaceDN/>
      <w:adjustRightInd/>
      <w:spacing w:after="0"/>
      <w:ind w:firstLine="500" w:firstLineChars="500"/>
      <w:jc w:val="both"/>
    </w:pPr>
    <w:rPr>
      <w:rFonts w:hAnsi="宋体"/>
      <w:kern w:val="0"/>
      <w:sz w:val="26"/>
      <w:szCs w:val="20"/>
    </w:rPr>
  </w:style>
  <w:style w:type="paragraph" w:customStyle="1" w:styleId="335">
    <w:name w:val="表头"/>
    <w:basedOn w:val="1"/>
    <w:link w:val="337"/>
    <w:qFormat/>
    <w:uiPriority w:val="99"/>
    <w:pPr>
      <w:autoSpaceDE/>
      <w:autoSpaceDN/>
      <w:adjustRightInd/>
      <w:ind w:firstLine="0" w:firstLineChars="0"/>
      <w:jc w:val="center"/>
    </w:pPr>
    <w:rPr>
      <w:rFonts w:ascii="黑体" w:hAnsi="宋体" w:eastAsia="黑体"/>
      <w:b/>
      <w:kern w:val="2"/>
      <w:szCs w:val="20"/>
    </w:rPr>
  </w:style>
  <w:style w:type="paragraph" w:customStyle="1" w:styleId="336">
    <w:name w:val="表格内文字"/>
    <w:next w:val="1"/>
    <w:qFormat/>
    <w:uiPriority w:val="0"/>
    <w:pPr>
      <w:widowControl w:val="0"/>
      <w:kinsoku w:val="0"/>
      <w:wordWrap w:val="0"/>
      <w:overflowPunct w:val="0"/>
      <w:jc w:val="center"/>
    </w:pPr>
    <w:rPr>
      <w:rFonts w:ascii="Calibri" w:hAnsi="Calibri" w:eastAsia="宋体" w:cs="Times New Roman"/>
      <w:snapToGrid w:val="0"/>
      <w:kern w:val="0"/>
      <w:sz w:val="21"/>
      <w:szCs w:val="22"/>
      <w:lang w:val="en-US" w:eastAsia="zh-CN" w:bidi="ar-SA"/>
    </w:rPr>
  </w:style>
  <w:style w:type="character" w:customStyle="1" w:styleId="337">
    <w:name w:val="表头 Char"/>
    <w:link w:val="335"/>
    <w:qFormat/>
    <w:uiPriority w:val="99"/>
    <w:rPr>
      <w:rFonts w:ascii="黑体" w:hAnsi="宋体" w:eastAsia="黑体" w:cs="Times New Roman"/>
      <w:b/>
      <w:kern w:val="2"/>
      <w:sz w:val="24"/>
    </w:rPr>
  </w:style>
  <w:style w:type="paragraph" w:customStyle="1" w:styleId="338">
    <w:name w:val="Char Char Char Char Char Char Char Char Char Char"/>
    <w:basedOn w:val="1"/>
    <w:qFormat/>
    <w:uiPriority w:val="99"/>
    <w:pPr>
      <w:autoSpaceDE/>
      <w:autoSpaceDN/>
      <w:adjustRightInd/>
      <w:spacing w:line="240" w:lineRule="exact"/>
    </w:pPr>
    <w:rPr>
      <w:rFonts w:ascii="宋体" w:hAnsi="宋体"/>
      <w:kern w:val="2"/>
      <w:sz w:val="36"/>
      <w:szCs w:val="20"/>
    </w:rPr>
  </w:style>
  <w:style w:type="paragraph" w:customStyle="1" w:styleId="339">
    <w:name w:val="xl44"/>
    <w:basedOn w:val="1"/>
    <w:qFormat/>
    <w:uiPriority w:val="99"/>
    <w:pPr>
      <w:widowControl/>
      <w:pBdr>
        <w:bottom w:val="single" w:color="auto" w:sz="4" w:space="0"/>
        <w:right w:val="single" w:color="auto" w:sz="4" w:space="0"/>
      </w:pBdr>
      <w:autoSpaceDE/>
      <w:autoSpaceDN/>
      <w:adjustRightInd/>
      <w:snapToGrid w:val="0"/>
      <w:spacing w:before="100" w:beforeAutospacing="1" w:after="100" w:afterAutospacing="1" w:line="240" w:lineRule="auto"/>
      <w:ind w:firstLine="0" w:firstLineChars="0"/>
      <w:jc w:val="center"/>
      <w:textAlignment w:val="center"/>
    </w:pPr>
    <w:rPr>
      <w:rFonts w:ascii="Arial Unicode MS" w:hAnsi="Arial Unicode MS" w:eastAsia="Arial Unicode MS"/>
      <w:szCs w:val="20"/>
    </w:rPr>
  </w:style>
  <w:style w:type="paragraph" w:customStyle="1" w:styleId="340">
    <w:name w:val="正文（首行缩进两字） Char Char Char Char Char Char Char"/>
    <w:basedOn w:val="1"/>
    <w:next w:val="46"/>
    <w:qFormat/>
    <w:uiPriority w:val="99"/>
    <w:pPr>
      <w:autoSpaceDE/>
      <w:autoSpaceDN/>
      <w:adjustRightInd/>
      <w:spacing w:line="240" w:lineRule="auto"/>
      <w:ind w:firstLine="570" w:firstLineChars="0"/>
    </w:pPr>
    <w:rPr>
      <w:rFonts w:ascii="宋体"/>
      <w:kern w:val="2"/>
      <w:sz w:val="28"/>
      <w:szCs w:val="20"/>
    </w:rPr>
  </w:style>
  <w:style w:type="paragraph" w:customStyle="1" w:styleId="341">
    <w:name w:val="xl88"/>
    <w:basedOn w:val="1"/>
    <w:qFormat/>
    <w:uiPriority w:val="99"/>
    <w:pPr>
      <w:widowControl/>
      <w:pBdr>
        <w:top w:val="single" w:color="auto" w:sz="8" w:space="0"/>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center"/>
    </w:pPr>
    <w:rPr>
      <w:rFonts w:ascii="宋体" w:hAnsi="宋体"/>
      <w:b/>
      <w:szCs w:val="20"/>
    </w:rPr>
  </w:style>
  <w:style w:type="paragraph" w:customStyle="1" w:styleId="342">
    <w:name w:val="xl40"/>
    <w:basedOn w:val="1"/>
    <w:qFormat/>
    <w:uiPriority w:val="99"/>
    <w:pPr>
      <w:widowControl/>
      <w:pBdr>
        <w:left w:val="double" w:color="auto" w:sz="6" w:space="0"/>
        <w:bottom w:val="single" w:color="auto" w:sz="4" w:space="0"/>
        <w:right w:val="single" w:color="auto" w:sz="4" w:space="0"/>
      </w:pBdr>
      <w:autoSpaceDE/>
      <w:autoSpaceDN/>
      <w:adjustRightInd/>
      <w:spacing w:before="100" w:beforeAutospacing="1" w:after="100" w:afterAutospacing="1" w:line="240" w:lineRule="auto"/>
      <w:ind w:firstLine="0" w:firstLineChars="0"/>
      <w:jc w:val="center"/>
      <w:textAlignment w:val="center"/>
    </w:pPr>
    <w:rPr>
      <w:rFonts w:ascii="Arial Unicode MS" w:hAnsi="Arial Unicode MS" w:eastAsia="Arial Unicode MS"/>
      <w:szCs w:val="20"/>
    </w:rPr>
  </w:style>
  <w:style w:type="paragraph" w:customStyle="1" w:styleId="343">
    <w:name w:val="表标题"/>
    <w:basedOn w:val="1"/>
    <w:link w:val="344"/>
    <w:qFormat/>
    <w:uiPriority w:val="0"/>
    <w:pPr>
      <w:autoSpaceDE/>
      <w:autoSpaceDN/>
      <w:adjustRightInd/>
      <w:spacing w:line="240" w:lineRule="auto"/>
      <w:ind w:firstLine="480"/>
    </w:pPr>
    <w:rPr>
      <w:kern w:val="2"/>
      <w:szCs w:val="20"/>
    </w:rPr>
  </w:style>
  <w:style w:type="character" w:customStyle="1" w:styleId="344">
    <w:name w:val="表标题 Char"/>
    <w:link w:val="343"/>
    <w:qFormat/>
    <w:locked/>
    <w:uiPriority w:val="0"/>
    <w:rPr>
      <w:kern w:val="2"/>
      <w:sz w:val="24"/>
    </w:rPr>
  </w:style>
  <w:style w:type="paragraph" w:customStyle="1" w:styleId="345">
    <w:name w:val="+正文"/>
    <w:basedOn w:val="1"/>
    <w:qFormat/>
    <w:uiPriority w:val="0"/>
    <w:pPr>
      <w:autoSpaceDE/>
      <w:autoSpaceDN/>
      <w:adjustRightInd/>
      <w:spacing w:line="240" w:lineRule="auto"/>
    </w:pPr>
    <w:rPr>
      <w:kern w:val="2"/>
      <w:sz w:val="28"/>
      <w:szCs w:val="28"/>
    </w:rPr>
  </w:style>
  <w:style w:type="paragraph" w:customStyle="1" w:styleId="346">
    <w:name w:val="Body Text 21"/>
    <w:basedOn w:val="1"/>
    <w:qFormat/>
    <w:uiPriority w:val="99"/>
    <w:pPr>
      <w:autoSpaceDE/>
      <w:autoSpaceDN/>
      <w:spacing w:line="240" w:lineRule="auto"/>
      <w:ind w:firstLine="0" w:firstLineChars="0"/>
      <w:textAlignment w:val="baseline"/>
    </w:pPr>
    <w:rPr>
      <w:rFonts w:eastAsia="仿宋体"/>
      <w:kern w:val="2"/>
      <w:szCs w:val="20"/>
    </w:rPr>
  </w:style>
  <w:style w:type="paragraph" w:customStyle="1" w:styleId="347">
    <w:name w:val="xl69"/>
    <w:basedOn w:val="1"/>
    <w:qFormat/>
    <w:uiPriority w:val="99"/>
    <w:pPr>
      <w:widowControl/>
      <w:autoSpaceDE/>
      <w:autoSpaceDN/>
      <w:adjustRightInd/>
      <w:spacing w:before="100" w:beforeAutospacing="1" w:after="100" w:afterAutospacing="1" w:line="240" w:lineRule="auto"/>
      <w:ind w:firstLine="0" w:firstLineChars="0"/>
      <w:jc w:val="left"/>
    </w:pPr>
    <w:rPr>
      <w:rFonts w:ascii="宋体" w:hAnsi="宋体"/>
      <w:szCs w:val="20"/>
    </w:rPr>
  </w:style>
  <w:style w:type="paragraph" w:customStyle="1" w:styleId="348">
    <w:name w:val="表格式"/>
    <w:basedOn w:val="58"/>
    <w:qFormat/>
    <w:uiPriority w:val="99"/>
    <w:pPr>
      <w:spacing w:line="340" w:lineRule="exact"/>
    </w:pPr>
    <w:rPr>
      <w:rFonts w:ascii="宋体" w:hAnsi="宋体" w:eastAsia="宋体"/>
      <w:sz w:val="21"/>
    </w:rPr>
  </w:style>
  <w:style w:type="paragraph" w:customStyle="1" w:styleId="349">
    <w:name w:val="样式 小四 黑色 段前: 6 磅 行距: 1.5 倍行距 首行缩进:  2 字符"/>
    <w:basedOn w:val="1"/>
    <w:qFormat/>
    <w:uiPriority w:val="99"/>
    <w:pPr>
      <w:autoSpaceDE/>
      <w:autoSpaceDN/>
      <w:adjustRightInd/>
      <w:spacing w:line="240" w:lineRule="auto"/>
    </w:pPr>
    <w:rPr>
      <w:color w:val="000000"/>
      <w:kern w:val="2"/>
      <w:szCs w:val="20"/>
    </w:rPr>
  </w:style>
  <w:style w:type="paragraph" w:customStyle="1" w:styleId="350">
    <w:name w:val="自定义表头文字"/>
    <w:basedOn w:val="1"/>
    <w:next w:val="1"/>
    <w:qFormat/>
    <w:uiPriority w:val="99"/>
    <w:pPr>
      <w:autoSpaceDE/>
      <w:autoSpaceDN/>
      <w:snapToGrid w:val="0"/>
      <w:ind w:firstLine="0" w:firstLineChars="0"/>
    </w:pPr>
    <w:rPr>
      <w:rFonts w:ascii="黑体" w:hAnsi="宋体" w:eastAsia="黑体"/>
      <w:kern w:val="2"/>
      <w:szCs w:val="20"/>
    </w:rPr>
  </w:style>
  <w:style w:type="paragraph" w:customStyle="1" w:styleId="351">
    <w:name w:val="1文章"/>
    <w:basedOn w:val="1"/>
    <w:qFormat/>
    <w:uiPriority w:val="99"/>
    <w:pPr>
      <w:autoSpaceDE/>
      <w:autoSpaceDN/>
      <w:adjustRightInd/>
      <w:snapToGrid w:val="0"/>
      <w:ind w:firstLine="573" w:firstLineChars="0"/>
    </w:pPr>
    <w:rPr>
      <w:rFonts w:eastAsia="仿宋_GB2312"/>
      <w:kern w:val="2"/>
      <w:sz w:val="28"/>
      <w:szCs w:val="20"/>
    </w:rPr>
  </w:style>
  <w:style w:type="paragraph" w:customStyle="1" w:styleId="352">
    <w:name w:val="表号"/>
    <w:qFormat/>
    <w:uiPriority w:val="99"/>
    <w:pPr>
      <w:adjustRightInd w:val="0"/>
      <w:snapToGrid w:val="0"/>
      <w:spacing w:line="240" w:lineRule="atLeast"/>
      <w:jc w:val="both"/>
      <w:outlineLvl w:val="4"/>
    </w:pPr>
    <w:rPr>
      <w:rFonts w:ascii="Times New Roman" w:hAnsi="Times New Roman" w:eastAsia="宋体" w:cs="Times New Roman"/>
      <w:sz w:val="24"/>
      <w:lang w:val="en-US" w:eastAsia="zh-CN" w:bidi="ar-SA"/>
    </w:rPr>
  </w:style>
  <w:style w:type="paragraph" w:customStyle="1" w:styleId="353">
    <w:name w:val="xl66"/>
    <w:basedOn w:val="1"/>
    <w:qFormat/>
    <w:uiPriority w:val="99"/>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ind w:firstLine="0" w:firstLineChars="0"/>
      <w:jc w:val="left"/>
    </w:pPr>
    <w:rPr>
      <w:rFonts w:ascii="宋体" w:hAnsi="宋体"/>
      <w:szCs w:val="20"/>
    </w:rPr>
  </w:style>
  <w:style w:type="paragraph" w:customStyle="1" w:styleId="354">
    <w:name w:val="正文1"/>
    <w:basedOn w:val="1"/>
    <w:link w:val="355"/>
    <w:qFormat/>
    <w:uiPriority w:val="0"/>
    <w:pPr>
      <w:autoSpaceDE/>
      <w:autoSpaceDN/>
      <w:adjustRightInd/>
      <w:spacing w:before="60" w:line="460" w:lineRule="exact"/>
    </w:pPr>
    <w:rPr>
      <w:kern w:val="2"/>
      <w:szCs w:val="20"/>
    </w:rPr>
  </w:style>
  <w:style w:type="character" w:customStyle="1" w:styleId="355">
    <w:name w:val="正文1 Char"/>
    <w:link w:val="354"/>
    <w:qFormat/>
    <w:locked/>
    <w:uiPriority w:val="0"/>
    <w:rPr>
      <w:kern w:val="2"/>
      <w:sz w:val="24"/>
    </w:rPr>
  </w:style>
  <w:style w:type="paragraph" w:customStyle="1" w:styleId="356">
    <w:name w:val="font5"/>
    <w:basedOn w:val="1"/>
    <w:qFormat/>
    <w:uiPriority w:val="99"/>
    <w:pPr>
      <w:widowControl/>
      <w:autoSpaceDE/>
      <w:autoSpaceDN/>
      <w:adjustRightInd/>
      <w:spacing w:before="100" w:after="100" w:line="240" w:lineRule="auto"/>
      <w:ind w:firstLine="0" w:firstLineChars="0"/>
      <w:jc w:val="left"/>
    </w:pPr>
    <w:rPr>
      <w:rFonts w:hint="eastAsia" w:ascii="宋体" w:hAnsi="宋体"/>
      <w:sz w:val="18"/>
      <w:szCs w:val="20"/>
    </w:rPr>
  </w:style>
  <w:style w:type="paragraph" w:customStyle="1" w:styleId="357">
    <w:name w:val="环评正文格式"/>
    <w:basedOn w:val="1"/>
    <w:qFormat/>
    <w:uiPriority w:val="99"/>
    <w:pPr>
      <w:autoSpaceDE/>
      <w:autoSpaceDN/>
      <w:adjustRightInd/>
      <w:spacing w:before="60" w:line="460" w:lineRule="exact"/>
    </w:pPr>
    <w:rPr>
      <w:snapToGrid w:val="0"/>
      <w:kern w:val="2"/>
      <w:szCs w:val="20"/>
      <w:shd w:val="clear" w:color="auto" w:fill="FFFFFF"/>
    </w:rPr>
  </w:style>
  <w:style w:type="paragraph" w:customStyle="1" w:styleId="358">
    <w:name w:val="样式 样式 样式 正文首行缩进 2 + 首行缩进:  2.5 字符 + 首行缩进:  2 字符 Char + 首行缩进:  2 ... Char"/>
    <w:basedOn w:val="1"/>
    <w:qFormat/>
    <w:uiPriority w:val="99"/>
    <w:pPr>
      <w:autoSpaceDE/>
      <w:autoSpaceDN/>
      <w:textAlignment w:val="baseline"/>
    </w:pPr>
    <w:rPr>
      <w:rFonts w:ascii="宋体" w:cs="宋体"/>
      <w:szCs w:val="20"/>
    </w:rPr>
  </w:style>
  <w:style w:type="paragraph" w:customStyle="1" w:styleId="359">
    <w:name w:val="样式 小四 左 首行缩进:  2 字符"/>
    <w:basedOn w:val="1"/>
    <w:link w:val="360"/>
    <w:qFormat/>
    <w:uiPriority w:val="0"/>
    <w:pPr>
      <w:autoSpaceDE/>
      <w:autoSpaceDN/>
      <w:ind w:right="-56" w:rightChars="-20" w:firstLine="480"/>
      <w:jc w:val="left"/>
      <w:textAlignment w:val="baseline"/>
    </w:pPr>
    <w:rPr>
      <w:rFonts w:cs="宋体"/>
      <w:kern w:val="2"/>
      <w:szCs w:val="20"/>
    </w:rPr>
  </w:style>
  <w:style w:type="character" w:customStyle="1" w:styleId="360">
    <w:name w:val="样式 小四 左 首行缩进:  2 字符 Char"/>
    <w:link w:val="359"/>
    <w:qFormat/>
    <w:uiPriority w:val="0"/>
    <w:rPr>
      <w:rFonts w:ascii="Times New Roman" w:hAnsi="Times New Roman" w:eastAsia="宋体" w:cs="宋体"/>
      <w:kern w:val="2"/>
      <w:sz w:val="24"/>
    </w:rPr>
  </w:style>
  <w:style w:type="paragraph" w:customStyle="1" w:styleId="361">
    <w:name w:val="样式 样式 样式 样式 正文首行缩进 2 + 首行缩进:  2.5 字符 + 首行缩进:  2 字符 Char + 首行缩进: ..."/>
    <w:basedOn w:val="358"/>
    <w:qFormat/>
    <w:uiPriority w:val="99"/>
    <w:pPr>
      <w:ind w:firstLine="480"/>
    </w:pPr>
    <w:rPr>
      <w:sz w:val="28"/>
    </w:rPr>
  </w:style>
  <w:style w:type="paragraph" w:customStyle="1" w:styleId="362">
    <w:name w:val="样式 样式 小四 左 首行缩进:  2 字符 + 首行缩进:  2 字符 Char"/>
    <w:basedOn w:val="359"/>
    <w:link w:val="363"/>
    <w:qFormat/>
    <w:uiPriority w:val="99"/>
    <w:pPr>
      <w:ind w:firstLine="560"/>
    </w:pPr>
    <w:rPr>
      <w:sz w:val="28"/>
    </w:rPr>
  </w:style>
  <w:style w:type="character" w:customStyle="1" w:styleId="363">
    <w:name w:val="样式 样式 小四 左 首行缩进:  2 字符 + 首行缩进:  2 字符 Char Char"/>
    <w:link w:val="362"/>
    <w:qFormat/>
    <w:uiPriority w:val="99"/>
    <w:rPr>
      <w:rFonts w:ascii="Times New Roman" w:hAnsi="Times New Roman" w:eastAsia="宋体" w:cs="宋体"/>
      <w:kern w:val="2"/>
      <w:sz w:val="28"/>
    </w:rPr>
  </w:style>
  <w:style w:type="paragraph" w:customStyle="1" w:styleId="364">
    <w:name w:val="样式 正文首行缩进 2 + 首行缩进:  0 字符"/>
    <w:basedOn w:val="19"/>
    <w:qFormat/>
    <w:uiPriority w:val="99"/>
    <w:pPr>
      <w:autoSpaceDE/>
      <w:autoSpaceDN/>
      <w:spacing w:after="0" w:line="360" w:lineRule="atLeast"/>
      <w:ind w:left="0" w:leftChars="0" w:firstLine="0" w:firstLineChars="0"/>
      <w:textAlignment w:val="baseline"/>
    </w:pPr>
    <w:rPr>
      <w:rFonts w:ascii="宋体" w:cs="宋体"/>
      <w:kern w:val="2"/>
      <w:sz w:val="28"/>
      <w:szCs w:val="20"/>
    </w:rPr>
  </w:style>
  <w:style w:type="paragraph" w:customStyle="1" w:styleId="365">
    <w:name w:val="样式 标题 3 + 段前: 0.5 行 段后: 0.5 行5"/>
    <w:basedOn w:val="4"/>
    <w:link w:val="366"/>
    <w:qFormat/>
    <w:uiPriority w:val="99"/>
    <w:pPr>
      <w:numPr>
        <w:numId w:val="5"/>
      </w:numPr>
      <w:tabs>
        <w:tab w:val="left" w:pos="420"/>
        <w:tab w:val="left" w:pos="1260"/>
        <w:tab w:val="clear" w:pos="0"/>
      </w:tabs>
      <w:autoSpaceDE/>
      <w:autoSpaceDN/>
      <w:spacing w:before="156" w:beforeLines="50" w:after="156" w:afterLines="50" w:line="360" w:lineRule="atLeast"/>
      <w:textAlignment w:val="baseline"/>
    </w:pPr>
    <w:rPr>
      <w:rFonts w:eastAsia="黑体" w:cs="宋体"/>
      <w:kern w:val="2"/>
      <w:sz w:val="24"/>
      <w:szCs w:val="20"/>
    </w:rPr>
  </w:style>
  <w:style w:type="character" w:customStyle="1" w:styleId="366">
    <w:name w:val="样式 标题 3 + 段前: 0.5 行 段后: 0.5 行5 Char"/>
    <w:link w:val="365"/>
    <w:qFormat/>
    <w:uiPriority w:val="99"/>
    <w:rPr>
      <w:rFonts w:eastAsia="黑体" w:cs="宋体"/>
      <w:b/>
      <w:bCs/>
      <w:kern w:val="2"/>
      <w:sz w:val="24"/>
    </w:rPr>
  </w:style>
  <w:style w:type="paragraph" w:customStyle="1" w:styleId="367">
    <w:name w:val="Biao00"/>
    <w:qFormat/>
    <w:uiPriority w:val="99"/>
    <w:pPr>
      <w:widowControl w:val="0"/>
      <w:spacing w:line="0" w:lineRule="atLeast"/>
      <w:jc w:val="center"/>
    </w:pPr>
    <w:rPr>
      <w:rFonts w:ascii="Arial" w:hAnsi="Arial" w:eastAsia="仿宋_GB2312" w:cs="Times New Roman"/>
      <w:bCs/>
      <w:w w:val="90"/>
      <w:kern w:val="18"/>
      <w:sz w:val="24"/>
      <w:szCs w:val="24"/>
      <w:lang w:val="en-US" w:eastAsia="zh-CN" w:bidi="ar-SA"/>
    </w:rPr>
  </w:style>
  <w:style w:type="paragraph" w:customStyle="1" w:styleId="368">
    <w:name w:val="样式 样式 样式 样式 小四 左 首行缩进:  2 字符 + 首行缩进:  2 字符 Char + 右  0 字符1 + 首行缩...3"/>
    <w:basedOn w:val="254"/>
    <w:link w:val="369"/>
    <w:qFormat/>
    <w:uiPriority w:val="99"/>
    <w:pPr>
      <w:ind w:firstLine="480"/>
    </w:pPr>
    <w:rPr>
      <w:rFonts w:cs="宋体"/>
    </w:rPr>
  </w:style>
  <w:style w:type="character" w:customStyle="1" w:styleId="369">
    <w:name w:val="样式 样式 样式 样式 小四 左 首行缩进:  2 字符 + 首行缩进:  2 字符 Char + 右  0 字符1 + 首行缩...3 Char"/>
    <w:link w:val="368"/>
    <w:qFormat/>
    <w:uiPriority w:val="99"/>
    <w:rPr>
      <w:rFonts w:ascii="Times New Roman" w:hAnsi="Times New Roman" w:eastAsia="宋体" w:cs="宋体"/>
      <w:kern w:val="2"/>
      <w:sz w:val="24"/>
    </w:rPr>
  </w:style>
  <w:style w:type="paragraph" w:customStyle="1" w:styleId="370">
    <w:name w:val="表尾"/>
    <w:basedOn w:val="1"/>
    <w:qFormat/>
    <w:uiPriority w:val="99"/>
    <w:pPr>
      <w:tabs>
        <w:tab w:val="left" w:pos="1021"/>
      </w:tabs>
      <w:autoSpaceDE/>
      <w:autoSpaceDN/>
      <w:adjustRightInd/>
      <w:spacing w:line="160" w:lineRule="atLeast"/>
      <w:ind w:firstLine="0" w:firstLineChars="0"/>
    </w:pPr>
    <w:rPr>
      <w:kern w:val="2"/>
      <w:sz w:val="10"/>
    </w:rPr>
  </w:style>
  <w:style w:type="paragraph" w:customStyle="1" w:styleId="371">
    <w:name w:val="Char1 Char Char Char Char Char Char Char Char Char Char Char Char Char Char Char"/>
    <w:basedOn w:val="1"/>
    <w:qFormat/>
    <w:uiPriority w:val="99"/>
    <w:pPr>
      <w:autoSpaceDE/>
      <w:autoSpaceDN/>
      <w:adjustRightInd/>
      <w:spacing w:line="240" w:lineRule="auto"/>
      <w:ind w:firstLine="0" w:firstLineChars="0"/>
    </w:pPr>
    <w:rPr>
      <w:kern w:val="2"/>
      <w:sz w:val="21"/>
      <w:szCs w:val="20"/>
    </w:rPr>
  </w:style>
  <w:style w:type="paragraph" w:customStyle="1" w:styleId="372">
    <w:name w:val="样式3"/>
    <w:basedOn w:val="58"/>
    <w:qFormat/>
    <w:uiPriority w:val="99"/>
    <w:pPr>
      <w:spacing w:before="240" w:after="60" w:line="360" w:lineRule="auto"/>
    </w:pPr>
    <w:rPr>
      <w:rFonts w:ascii="Times New Roman" w:eastAsia="黑体"/>
    </w:rPr>
  </w:style>
  <w:style w:type="paragraph" w:customStyle="1" w:styleId="373">
    <w:name w:val="样式 样式 列表编号 + 行距: 最小值 12 磅 + 左侧:  1 厘米 悬挂缩进: 3.97 字符"/>
    <w:basedOn w:val="1"/>
    <w:link w:val="374"/>
    <w:qFormat/>
    <w:uiPriority w:val="99"/>
    <w:pPr>
      <w:numPr>
        <w:ilvl w:val="0"/>
        <w:numId w:val="6"/>
      </w:numPr>
      <w:autoSpaceDE/>
      <w:autoSpaceDN/>
      <w:adjustRightInd/>
      <w:ind w:firstLine="0" w:firstLineChars="0"/>
      <w:textAlignment w:val="baseline"/>
    </w:pPr>
    <w:rPr>
      <w:rFonts w:cs="宋体"/>
      <w:kern w:val="2"/>
      <w:szCs w:val="20"/>
    </w:rPr>
  </w:style>
  <w:style w:type="character" w:customStyle="1" w:styleId="374">
    <w:name w:val="样式 样式 列表编号 + 行距: 最小值 12 磅 + 左侧:  1 厘米 悬挂缩进: 3.97 字符 Char"/>
    <w:link w:val="373"/>
    <w:qFormat/>
    <w:uiPriority w:val="99"/>
    <w:rPr>
      <w:rFonts w:cs="宋体"/>
      <w:kern w:val="2"/>
      <w:sz w:val="24"/>
    </w:rPr>
  </w:style>
  <w:style w:type="paragraph" w:customStyle="1" w:styleId="375">
    <w:name w:val="正文1-1"/>
    <w:basedOn w:val="1"/>
    <w:link w:val="376"/>
    <w:qFormat/>
    <w:uiPriority w:val="99"/>
    <w:pPr>
      <w:overflowPunct w:val="0"/>
      <w:snapToGrid w:val="0"/>
      <w:ind w:firstLine="0" w:firstLineChars="0"/>
      <w:textAlignment w:val="baseline"/>
    </w:pPr>
    <w:rPr>
      <w:rFonts w:hAnsi="宋体"/>
      <w:szCs w:val="20"/>
    </w:rPr>
  </w:style>
  <w:style w:type="character" w:customStyle="1" w:styleId="376">
    <w:name w:val="正文1-1 Char"/>
    <w:link w:val="375"/>
    <w:qFormat/>
    <w:uiPriority w:val="99"/>
    <w:rPr>
      <w:rFonts w:ascii="Times New Roman" w:hAnsi="宋体" w:eastAsia="宋体" w:cs="Times New Roman"/>
      <w:sz w:val="24"/>
    </w:rPr>
  </w:style>
  <w:style w:type="character" w:customStyle="1" w:styleId="377">
    <w:name w:val="段落 Char2"/>
    <w:qFormat/>
    <w:uiPriority w:val="99"/>
    <w:rPr>
      <w:rFonts w:ascii="宋体" w:hAnsi="宋体" w:eastAsia="宋体"/>
      <w:kern w:val="24"/>
      <w:sz w:val="24"/>
      <w:lang w:val="en-US" w:eastAsia="zh-CN" w:bidi="ar-SA"/>
    </w:rPr>
  </w:style>
  <w:style w:type="paragraph" w:customStyle="1" w:styleId="378">
    <w:name w:val="Char Char1 Char Char Char Char Char Char Char Char Char Char Char Char Char Char Char Char Char Char Char Char1 Char"/>
    <w:basedOn w:val="1"/>
    <w:qFormat/>
    <w:uiPriority w:val="99"/>
    <w:pPr>
      <w:autoSpaceDE/>
      <w:autoSpaceDN/>
      <w:adjustRightInd/>
    </w:pPr>
    <w:rPr>
      <w:rFonts w:ascii="宋体" w:hAnsi="宋体" w:cs="宋体"/>
      <w:kern w:val="2"/>
    </w:rPr>
  </w:style>
  <w:style w:type="paragraph" w:customStyle="1" w:styleId="379">
    <w:name w:val="报告"/>
    <w:basedOn w:val="1"/>
    <w:link w:val="380"/>
    <w:qFormat/>
    <w:uiPriority w:val="99"/>
    <w:pPr>
      <w:autoSpaceDE/>
      <w:autoSpaceDN/>
      <w:ind w:firstLine="505" w:firstLineChars="0"/>
      <w:textAlignment w:val="center"/>
    </w:pPr>
    <w:rPr>
      <w:rFonts w:ascii="TimesNewRoman" w:hAnsi="TimesNewRoman"/>
      <w:szCs w:val="20"/>
    </w:rPr>
  </w:style>
  <w:style w:type="character" w:customStyle="1" w:styleId="380">
    <w:name w:val="报告 Char"/>
    <w:link w:val="379"/>
    <w:qFormat/>
    <w:uiPriority w:val="99"/>
    <w:rPr>
      <w:rFonts w:ascii="TimesNewRoman" w:hAnsi="TimesNewRoman" w:eastAsia="宋体" w:cs="Times New Roman"/>
      <w:sz w:val="24"/>
    </w:rPr>
  </w:style>
  <w:style w:type="paragraph" w:customStyle="1" w:styleId="381">
    <w:name w:val="W标题4"/>
    <w:basedOn w:val="5"/>
    <w:link w:val="382"/>
    <w:qFormat/>
    <w:uiPriority w:val="0"/>
  </w:style>
  <w:style w:type="character" w:customStyle="1" w:styleId="382">
    <w:name w:val="W标题4 Char"/>
    <w:basedOn w:val="103"/>
    <w:link w:val="381"/>
    <w:qFormat/>
    <w:uiPriority w:val="0"/>
    <w:rPr>
      <w:sz w:val="24"/>
      <w:szCs w:val="28"/>
    </w:rPr>
  </w:style>
  <w:style w:type="paragraph" w:customStyle="1" w:styleId="383">
    <w:name w:val="列表2"/>
    <w:basedOn w:val="1"/>
    <w:qFormat/>
    <w:uiPriority w:val="0"/>
    <w:pPr>
      <w:numPr>
        <w:ilvl w:val="0"/>
        <w:numId w:val="7"/>
      </w:numPr>
      <w:textAlignment w:val="baseline"/>
    </w:pPr>
    <w:rPr>
      <w:rFonts w:cs="宋体"/>
      <w:szCs w:val="20"/>
    </w:rPr>
  </w:style>
  <w:style w:type="paragraph" w:customStyle="1" w:styleId="384">
    <w:name w:val="样式 列表2 +"/>
    <w:basedOn w:val="383"/>
    <w:qFormat/>
    <w:uiPriority w:val="0"/>
  </w:style>
  <w:style w:type="paragraph" w:customStyle="1" w:styleId="385">
    <w:name w:val="样式 首行缩进:  2 字符"/>
    <w:basedOn w:val="1"/>
    <w:qFormat/>
    <w:uiPriority w:val="99"/>
    <w:rPr>
      <w:rFonts w:cs="宋体"/>
      <w:kern w:val="2"/>
    </w:rPr>
  </w:style>
  <w:style w:type="character" w:customStyle="1" w:styleId="386">
    <w:name w:val="慧智表格样式"/>
    <w:qFormat/>
    <w:uiPriority w:val="99"/>
    <w:rPr>
      <w:rFonts w:ascii="Times New Roman" w:hAnsi="Times New Roman" w:eastAsia="宋体"/>
      <w:kern w:val="0"/>
      <w:sz w:val="18"/>
    </w:rPr>
  </w:style>
  <w:style w:type="paragraph" w:customStyle="1" w:styleId="387">
    <w:name w:val="612表头"/>
    <w:basedOn w:val="1"/>
    <w:qFormat/>
    <w:uiPriority w:val="99"/>
    <w:pPr>
      <w:snapToGrid w:val="0"/>
      <w:spacing w:line="240" w:lineRule="auto"/>
      <w:jc w:val="center"/>
    </w:pPr>
    <w:rPr>
      <w:rFonts w:hAnsi="宋体"/>
      <w:b/>
      <w:kern w:val="2"/>
    </w:rPr>
  </w:style>
  <w:style w:type="paragraph" w:customStyle="1" w:styleId="388">
    <w:name w:val="612四级标题"/>
    <w:basedOn w:val="5"/>
    <w:qFormat/>
    <w:uiPriority w:val="99"/>
    <w:pPr>
      <w:numPr>
        <w:numId w:val="0"/>
      </w:numPr>
      <w:tabs>
        <w:tab w:val="left" w:pos="864"/>
        <w:tab w:val="clear" w:pos="0"/>
      </w:tabs>
      <w:spacing w:before="120" w:after="120" w:line="360" w:lineRule="atLeast"/>
      <w:ind w:left="864" w:hanging="864"/>
    </w:pPr>
    <w:rPr>
      <w:rFonts w:ascii="仿宋_GB2312" w:hAnsi="Arial" w:eastAsia="仿宋_GB2312"/>
      <w:kern w:val="2"/>
      <w:szCs w:val="24"/>
    </w:rPr>
  </w:style>
  <w:style w:type="character" w:customStyle="1" w:styleId="389">
    <w:name w:val="题注 字符1"/>
    <w:qFormat/>
    <w:uiPriority w:val="99"/>
    <w:rPr>
      <w:b/>
      <w:sz w:val="24"/>
      <w:szCs w:val="22"/>
      <w:lang w:val="en-US" w:eastAsia="zh-CN" w:bidi="ar-SA"/>
    </w:rPr>
  </w:style>
  <w:style w:type="character" w:customStyle="1" w:styleId="390">
    <w:name w:val="zxzx书正文 Char"/>
    <w:link w:val="391"/>
    <w:qFormat/>
    <w:uiPriority w:val="99"/>
    <w:rPr>
      <w:kern w:val="2"/>
      <w:sz w:val="24"/>
      <w:szCs w:val="22"/>
    </w:rPr>
  </w:style>
  <w:style w:type="paragraph" w:customStyle="1" w:styleId="391">
    <w:name w:val="zxzx书正文"/>
    <w:basedOn w:val="1"/>
    <w:link w:val="390"/>
    <w:qFormat/>
    <w:uiPriority w:val="99"/>
    <w:pPr>
      <w:autoSpaceDE/>
      <w:autoSpaceDN/>
      <w:adjustRightInd/>
    </w:pPr>
    <w:rPr>
      <w:rFonts w:asciiTheme="minorHAnsi" w:hAnsiTheme="minorHAnsi" w:eastAsiaTheme="minorEastAsia" w:cstheme="minorBidi"/>
      <w:kern w:val="2"/>
      <w:szCs w:val="22"/>
    </w:rPr>
  </w:style>
  <w:style w:type="paragraph" w:customStyle="1" w:styleId="392">
    <w:name w:val="zxzx表格正文"/>
    <w:basedOn w:val="1"/>
    <w:qFormat/>
    <w:uiPriority w:val="99"/>
    <w:pPr>
      <w:autoSpaceDE/>
      <w:autoSpaceDN/>
      <w:snapToGrid w:val="0"/>
      <w:spacing w:line="240" w:lineRule="auto"/>
      <w:ind w:firstLine="0" w:firstLineChars="0"/>
      <w:jc w:val="center"/>
    </w:pPr>
    <w:rPr>
      <w:color w:val="000000"/>
      <w:kern w:val="2"/>
      <w:sz w:val="18"/>
      <w:szCs w:val="21"/>
    </w:rPr>
  </w:style>
  <w:style w:type="paragraph" w:customStyle="1" w:styleId="393">
    <w:name w:val="zxzx表格后文"/>
    <w:basedOn w:val="391"/>
    <w:qFormat/>
    <w:uiPriority w:val="99"/>
    <w:pPr>
      <w:adjustRightInd w:val="0"/>
      <w:snapToGrid w:val="0"/>
      <w:spacing w:line="240" w:lineRule="atLeast"/>
      <w:ind w:firstLine="0" w:firstLineChars="0"/>
    </w:pPr>
    <w:rPr>
      <w:rFonts w:ascii="Calibri" w:hAnsi="Calibri" w:cs="Calibri"/>
      <w:sz w:val="18"/>
    </w:rPr>
  </w:style>
  <w:style w:type="paragraph" w:customStyle="1" w:styleId="394">
    <w:name w:val="W标题5"/>
    <w:basedOn w:val="6"/>
    <w:link w:val="395"/>
    <w:qFormat/>
    <w:uiPriority w:val="99"/>
  </w:style>
  <w:style w:type="character" w:customStyle="1" w:styleId="395">
    <w:name w:val="W标题5 Char"/>
    <w:basedOn w:val="104"/>
    <w:link w:val="394"/>
    <w:qFormat/>
    <w:uiPriority w:val="99"/>
    <w:rPr>
      <w:rFonts w:ascii="Times New Roman" w:hAnsi="Times New Roman" w:eastAsia="宋体" w:cs="Times New Roman"/>
      <w:sz w:val="24"/>
      <w:szCs w:val="24"/>
    </w:rPr>
  </w:style>
  <w:style w:type="paragraph" w:customStyle="1" w:styleId="396">
    <w:name w:val="W.标题5"/>
    <w:basedOn w:val="6"/>
    <w:link w:val="397"/>
    <w:qFormat/>
    <w:uiPriority w:val="99"/>
  </w:style>
  <w:style w:type="character" w:customStyle="1" w:styleId="397">
    <w:name w:val="W.标题5 Char"/>
    <w:basedOn w:val="104"/>
    <w:link w:val="396"/>
    <w:qFormat/>
    <w:uiPriority w:val="99"/>
    <w:rPr>
      <w:rFonts w:ascii="Times New Roman" w:hAnsi="Times New Roman" w:eastAsia="宋体" w:cs="Times New Roman"/>
      <w:sz w:val="24"/>
      <w:szCs w:val="24"/>
    </w:rPr>
  </w:style>
  <w:style w:type="paragraph" w:customStyle="1" w:styleId="398">
    <w:name w:val="W标题5."/>
    <w:basedOn w:val="189"/>
    <w:link w:val="399"/>
    <w:qFormat/>
    <w:uiPriority w:val="0"/>
    <w:pPr>
      <w:ind w:firstLine="482"/>
    </w:pPr>
    <w:rPr>
      <w:b/>
    </w:rPr>
  </w:style>
  <w:style w:type="character" w:customStyle="1" w:styleId="399">
    <w:name w:val="W标题5. Char"/>
    <w:basedOn w:val="190"/>
    <w:link w:val="398"/>
    <w:qFormat/>
    <w:uiPriority w:val="0"/>
    <w:rPr>
      <w:rFonts w:ascii="Times New Roman" w:hAnsi="Times New Roman" w:cs="Times New Roman"/>
      <w:b/>
      <w:sz w:val="24"/>
      <w:szCs w:val="24"/>
    </w:rPr>
  </w:style>
  <w:style w:type="character" w:customStyle="1" w:styleId="400">
    <w:name w:val="（正文） Char Char"/>
    <w:basedOn w:val="78"/>
    <w:link w:val="401"/>
    <w:qFormat/>
    <w:uiPriority w:val="0"/>
    <w:rPr>
      <w:sz w:val="24"/>
    </w:rPr>
  </w:style>
  <w:style w:type="paragraph" w:customStyle="1" w:styleId="401">
    <w:name w:val="（正文）"/>
    <w:basedOn w:val="1"/>
    <w:link w:val="400"/>
    <w:qFormat/>
    <w:uiPriority w:val="0"/>
    <w:pPr>
      <w:autoSpaceDE/>
      <w:autoSpaceDN/>
      <w:adjustRightInd/>
    </w:pPr>
    <w:rPr>
      <w:szCs w:val="20"/>
    </w:rPr>
  </w:style>
  <w:style w:type="table" w:customStyle="1" w:styleId="402">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403">
    <w:name w:val="三级标题"/>
    <w:basedOn w:val="74"/>
    <w:qFormat/>
    <w:uiPriority w:val="0"/>
    <w:pPr>
      <w:autoSpaceDE/>
      <w:autoSpaceDN/>
      <w:adjustRightInd/>
      <w:spacing w:line="240" w:lineRule="auto"/>
      <w:ind w:firstLine="482"/>
      <w:jc w:val="both"/>
    </w:pPr>
    <w:rPr>
      <w:b/>
      <w:sz w:val="21"/>
      <w:szCs w:val="20"/>
    </w:rPr>
  </w:style>
  <w:style w:type="character" w:customStyle="1" w:styleId="404">
    <w:name w:val="未处理的提及1"/>
    <w:basedOn w:val="78"/>
    <w:semiHidden/>
    <w:unhideWhenUsed/>
    <w:qFormat/>
    <w:uiPriority w:val="99"/>
    <w:rPr>
      <w:color w:val="605E5C"/>
      <w:shd w:val="clear" w:color="auto" w:fill="E1DFDD"/>
    </w:rPr>
  </w:style>
  <w:style w:type="character" w:customStyle="1" w:styleId="405">
    <w:name w:val="表格的标题 Char"/>
    <w:link w:val="406"/>
    <w:qFormat/>
    <w:uiPriority w:val="1"/>
    <w:rPr>
      <w:rFonts w:eastAsia="黑体"/>
      <w:color w:val="000000"/>
      <w:kern w:val="24"/>
      <w:sz w:val="24"/>
      <w:szCs w:val="24"/>
    </w:rPr>
  </w:style>
  <w:style w:type="paragraph" w:customStyle="1" w:styleId="406">
    <w:name w:val="表格的标题"/>
    <w:basedOn w:val="1"/>
    <w:link w:val="405"/>
    <w:qFormat/>
    <w:uiPriority w:val="1"/>
    <w:pPr>
      <w:tabs>
        <w:tab w:val="left" w:pos="1021"/>
      </w:tabs>
      <w:autoSpaceDE/>
      <w:autoSpaceDN/>
      <w:spacing w:afterLines="10" w:line="460" w:lineRule="exact"/>
      <w:ind w:firstLine="0" w:firstLineChars="0"/>
      <w:jc w:val="center"/>
      <w:textAlignment w:val="baseline"/>
    </w:pPr>
    <w:rPr>
      <w:rFonts w:eastAsia="黑体"/>
      <w:color w:val="000000"/>
      <w:kern w:val="24"/>
    </w:rPr>
  </w:style>
  <w:style w:type="character" w:customStyle="1" w:styleId="407">
    <w:name w:val="1表格正文 Char"/>
    <w:link w:val="408"/>
    <w:qFormat/>
    <w:uiPriority w:val="0"/>
    <w:rPr>
      <w:sz w:val="21"/>
      <w:szCs w:val="21"/>
    </w:rPr>
  </w:style>
  <w:style w:type="paragraph" w:customStyle="1" w:styleId="408">
    <w:name w:val="1表格正文"/>
    <w:basedOn w:val="1"/>
    <w:link w:val="407"/>
    <w:qFormat/>
    <w:uiPriority w:val="0"/>
    <w:pPr>
      <w:autoSpaceDE/>
      <w:autoSpaceDN/>
      <w:adjustRightInd/>
      <w:spacing w:line="240" w:lineRule="auto"/>
      <w:ind w:firstLine="0" w:firstLineChars="0"/>
      <w:jc w:val="center"/>
    </w:pPr>
    <w:rPr>
      <w:sz w:val="21"/>
      <w:szCs w:val="21"/>
    </w:rPr>
  </w:style>
  <w:style w:type="character" w:customStyle="1" w:styleId="409">
    <w:name w:val="表文字 Char Char"/>
    <w:qFormat/>
    <w:uiPriority w:val="0"/>
    <w:rPr>
      <w:rFonts w:ascii="宋体" w:hAnsi="宋体"/>
      <w:snapToGrid w:val="0"/>
      <w:color w:val="000000"/>
      <w:sz w:val="21"/>
      <w:szCs w:val="9"/>
      <w:lang w:val="en-US" w:eastAsia="zh-CN"/>
    </w:rPr>
  </w:style>
  <w:style w:type="character" w:customStyle="1" w:styleId="410">
    <w:name w:val="卓龙表头 Char"/>
    <w:link w:val="411"/>
    <w:qFormat/>
    <w:uiPriority w:val="0"/>
    <w:rPr>
      <w:b/>
      <w:kern w:val="2"/>
      <w:sz w:val="24"/>
      <w:szCs w:val="24"/>
    </w:rPr>
  </w:style>
  <w:style w:type="paragraph" w:customStyle="1" w:styleId="411">
    <w:name w:val="卓龙表头"/>
    <w:basedOn w:val="21"/>
    <w:link w:val="410"/>
    <w:qFormat/>
    <w:uiPriority w:val="0"/>
    <w:pPr>
      <w:autoSpaceDE/>
      <w:autoSpaceDN/>
      <w:snapToGrid w:val="0"/>
      <w:spacing w:line="240" w:lineRule="auto"/>
      <w:ind w:firstLine="0" w:firstLineChars="0"/>
      <w:jc w:val="center"/>
    </w:pPr>
    <w:rPr>
      <w:kern w:val="2"/>
      <w:szCs w:val="24"/>
    </w:rPr>
  </w:style>
  <w:style w:type="character" w:customStyle="1" w:styleId="412">
    <w:name w:val="未处理的提及2"/>
    <w:basedOn w:val="78"/>
    <w:semiHidden/>
    <w:unhideWhenUsed/>
    <w:qFormat/>
    <w:uiPriority w:val="99"/>
    <w:rPr>
      <w:color w:val="605E5C"/>
      <w:shd w:val="clear" w:color="auto" w:fill="E1DFDD"/>
    </w:rPr>
  </w:style>
  <w:style w:type="paragraph" w:customStyle="1" w:styleId="413">
    <w:name w:val="表格填充项"/>
    <w:basedOn w:val="1"/>
    <w:qFormat/>
    <w:uiPriority w:val="0"/>
    <w:pPr>
      <w:autoSpaceDE/>
      <w:autoSpaceDN/>
      <w:adjustRightInd/>
      <w:spacing w:line="240" w:lineRule="atLeast"/>
      <w:ind w:firstLine="0" w:firstLineChars="0"/>
      <w:jc w:val="center"/>
    </w:pPr>
    <w:rPr>
      <w:rFonts w:ascii="宋体" w:hAnsi="宋体"/>
      <w:b/>
      <w:kern w:val="2"/>
      <w:sz w:val="21"/>
    </w:rPr>
  </w:style>
  <w:style w:type="paragraph" w:customStyle="1" w:styleId="414">
    <w:name w:val="四级标题"/>
    <w:basedOn w:val="1"/>
    <w:qFormat/>
    <w:uiPriority w:val="0"/>
    <w:pPr>
      <w:autoSpaceDE/>
      <w:autoSpaceDN/>
      <w:snapToGrid w:val="0"/>
      <w:ind w:firstLine="480"/>
    </w:pPr>
    <w:rPr>
      <w:kern w:val="2"/>
    </w:rPr>
  </w:style>
  <w:style w:type="paragraph" w:customStyle="1" w:styleId="415">
    <w:name w:val="正文_6"/>
    <w:qFormat/>
    <w:uiPriority w:val="0"/>
    <w:pPr>
      <w:widowControl w:val="0"/>
      <w:jc w:val="both"/>
    </w:pPr>
    <w:rPr>
      <w:rFonts w:ascii="Calibri" w:hAnsi="Calibri" w:eastAsia="宋体" w:cs="Times New Roman"/>
      <w:kern w:val="2"/>
      <w:sz w:val="21"/>
      <w:lang w:val="en-US" w:eastAsia="zh-CN" w:bidi="ar-SA"/>
    </w:rPr>
  </w:style>
  <w:style w:type="character" w:customStyle="1" w:styleId="416">
    <w:name w:val="h3"/>
    <w:basedOn w:val="78"/>
    <w:qFormat/>
    <w:uiPriority w:val="0"/>
  </w:style>
  <w:style w:type="character" w:customStyle="1" w:styleId="417">
    <w:name w:val="h4"/>
    <w:basedOn w:val="78"/>
    <w:qFormat/>
    <w:uiPriority w:val="0"/>
  </w:style>
  <w:style w:type="paragraph" w:customStyle="1" w:styleId="418">
    <w:name w:val="3级标题"/>
    <w:basedOn w:val="1"/>
    <w:qFormat/>
    <w:uiPriority w:val="0"/>
    <w:pPr>
      <w:numPr>
        <w:ilvl w:val="2"/>
        <w:numId w:val="8"/>
      </w:numPr>
      <w:tabs>
        <w:tab w:val="left" w:pos="0"/>
      </w:tabs>
      <w:autoSpaceDE/>
      <w:autoSpaceDN/>
      <w:adjustRightInd/>
      <w:ind w:right="300" w:rightChars="300" w:firstLine="0" w:firstLineChars="0"/>
    </w:pPr>
    <w:rPr>
      <w:rFonts w:asciiTheme="minorHAnsi" w:hAnsiTheme="minorHAnsi" w:eastAsiaTheme="minorEastAsia" w:cstheme="minorBidi"/>
      <w:b/>
      <w:kern w:val="2"/>
      <w:sz w:val="28"/>
    </w:rPr>
  </w:style>
  <w:style w:type="character" w:customStyle="1" w:styleId="419">
    <w:name w:val="图表正文 Char Char"/>
    <w:link w:val="420"/>
    <w:qFormat/>
    <w:uiPriority w:val="0"/>
    <w:rPr>
      <w:bCs/>
      <w:spacing w:val="10"/>
      <w:sz w:val="21"/>
      <w:szCs w:val="21"/>
    </w:rPr>
  </w:style>
  <w:style w:type="paragraph" w:customStyle="1" w:styleId="420">
    <w:name w:val="图表正文"/>
    <w:link w:val="419"/>
    <w:qFormat/>
    <w:uiPriority w:val="0"/>
    <w:pPr>
      <w:widowControl w:val="0"/>
      <w:adjustRightInd w:val="0"/>
      <w:snapToGrid w:val="0"/>
      <w:spacing w:line="360" w:lineRule="auto"/>
      <w:jc w:val="center"/>
    </w:pPr>
    <w:rPr>
      <w:rFonts w:ascii="Times New Roman" w:hAnsi="Times New Roman" w:eastAsia="宋体" w:cs="Times New Roman"/>
      <w:bCs/>
      <w:spacing w:val="10"/>
      <w:sz w:val="21"/>
      <w:szCs w:val="21"/>
      <w:lang w:val="en-US" w:eastAsia="zh-CN" w:bidi="ar-SA"/>
    </w:rPr>
  </w:style>
  <w:style w:type="paragraph" w:customStyle="1" w:styleId="421">
    <w:name w:val="文章正文"/>
    <w:basedOn w:val="1"/>
    <w:qFormat/>
    <w:uiPriority w:val="0"/>
    <w:pPr>
      <w:autoSpaceDE/>
      <w:autoSpaceDN/>
      <w:snapToGrid w:val="0"/>
      <w:ind w:firstLine="480" w:firstLineChars="0"/>
    </w:pPr>
    <w:rPr>
      <w:rFonts w:ascii="宋体" w:hAnsi="宋体" w:eastAsiaTheme="minorEastAsia" w:cstheme="minorBidi"/>
    </w:rPr>
  </w:style>
  <w:style w:type="character" w:customStyle="1" w:styleId="422">
    <w:name w:val="正 文 Char Char"/>
    <w:link w:val="423"/>
    <w:qFormat/>
    <w:uiPriority w:val="0"/>
    <w:rPr>
      <w:rFonts w:ascii="宋体" w:hAnsi="宋体"/>
      <w:kern w:val="2"/>
      <w:sz w:val="24"/>
      <w:szCs w:val="24"/>
    </w:rPr>
  </w:style>
  <w:style w:type="paragraph" w:customStyle="1" w:styleId="423">
    <w:name w:val="正 文"/>
    <w:link w:val="422"/>
    <w:qFormat/>
    <w:uiPriority w:val="0"/>
    <w:pPr>
      <w:widowControl w:val="0"/>
      <w:spacing w:line="480" w:lineRule="exact"/>
      <w:ind w:firstLine="471"/>
      <w:jc w:val="both"/>
    </w:pPr>
    <w:rPr>
      <w:rFonts w:ascii="宋体" w:hAnsi="宋体" w:eastAsia="宋体" w:cs="Times New Roman"/>
      <w:kern w:val="2"/>
      <w:sz w:val="24"/>
      <w:szCs w:val="24"/>
      <w:lang w:val="en-US" w:eastAsia="zh-CN" w:bidi="ar-SA"/>
    </w:rPr>
  </w:style>
  <w:style w:type="character" w:customStyle="1" w:styleId="424">
    <w:name w:val="表字体 Char"/>
    <w:link w:val="425"/>
    <w:qFormat/>
    <w:locked/>
    <w:uiPriority w:val="0"/>
    <w:rPr>
      <w:sz w:val="21"/>
    </w:rPr>
  </w:style>
  <w:style w:type="paragraph" w:customStyle="1" w:styleId="425">
    <w:name w:val="表字体"/>
    <w:basedOn w:val="1"/>
    <w:next w:val="1"/>
    <w:link w:val="424"/>
    <w:qFormat/>
    <w:uiPriority w:val="0"/>
    <w:pPr>
      <w:autoSpaceDE/>
      <w:autoSpaceDN/>
      <w:adjustRightInd/>
      <w:spacing w:line="240" w:lineRule="auto"/>
      <w:ind w:firstLine="0" w:firstLineChars="0"/>
      <w:jc w:val="center"/>
    </w:pPr>
    <w:rPr>
      <w:sz w:val="21"/>
      <w:szCs w:val="20"/>
    </w:rPr>
  </w:style>
  <w:style w:type="paragraph" w:customStyle="1" w:styleId="426">
    <w:name w:val="Char2"/>
    <w:basedOn w:val="1"/>
    <w:qFormat/>
    <w:uiPriority w:val="0"/>
    <w:pPr>
      <w:autoSpaceDE/>
      <w:autoSpaceDN/>
      <w:adjustRightInd/>
      <w:spacing w:line="240" w:lineRule="auto"/>
      <w:ind w:firstLine="0" w:firstLineChars="0"/>
    </w:pPr>
    <w:rPr>
      <w:kern w:val="2"/>
      <w:sz w:val="21"/>
      <w:szCs w:val="20"/>
    </w:rPr>
  </w:style>
  <w:style w:type="paragraph" w:customStyle="1" w:styleId="427">
    <w:name w:val="Char3"/>
    <w:basedOn w:val="1"/>
    <w:qFormat/>
    <w:uiPriority w:val="0"/>
    <w:pPr>
      <w:autoSpaceDE/>
      <w:autoSpaceDN/>
      <w:adjustRightInd/>
      <w:spacing w:line="240" w:lineRule="auto"/>
      <w:ind w:firstLine="0" w:firstLineChars="0"/>
    </w:pPr>
    <w:rPr>
      <w:kern w:val="2"/>
      <w:sz w:val="21"/>
      <w:szCs w:val="20"/>
    </w:rPr>
  </w:style>
  <w:style w:type="character" w:customStyle="1" w:styleId="428">
    <w:name w:val="Unresolved Mention"/>
    <w:basedOn w:val="78"/>
    <w:semiHidden/>
    <w:unhideWhenUsed/>
    <w:qFormat/>
    <w:uiPriority w:val="99"/>
    <w:rPr>
      <w:color w:val="605E5C"/>
      <w:shd w:val="clear" w:color="auto" w:fill="E1DFDD"/>
    </w:rPr>
  </w:style>
  <w:style w:type="paragraph" w:customStyle="1" w:styleId="429">
    <w:name w:val="小小节格式"/>
    <w:basedOn w:val="430"/>
    <w:qFormat/>
    <w:uiPriority w:val="0"/>
    <w:pPr>
      <w:tabs>
        <w:tab w:val="left" w:pos="3913"/>
      </w:tabs>
      <w:spacing w:before="0" w:line="500" w:lineRule="exact"/>
      <w:ind w:right="0"/>
    </w:pPr>
    <w:rPr>
      <w:b/>
      <w:sz w:val="24"/>
    </w:rPr>
  </w:style>
  <w:style w:type="paragraph" w:customStyle="1" w:styleId="430">
    <w:name w:val="小节标题"/>
    <w:basedOn w:val="4"/>
    <w:qFormat/>
    <w:uiPriority w:val="0"/>
    <w:pPr>
      <w:numPr>
        <w:ilvl w:val="2"/>
        <w:numId w:val="9"/>
      </w:numPr>
      <w:tabs>
        <w:tab w:val="clear" w:pos="0"/>
      </w:tabs>
      <w:snapToGrid w:val="0"/>
      <w:spacing w:before="120" w:after="0" w:line="360" w:lineRule="auto"/>
      <w:ind w:right="210"/>
      <w:jc w:val="left"/>
    </w:pPr>
    <w:rPr>
      <w:rFonts w:ascii="Times New Roman" w:hAnsi="Times New Roman" w:eastAsia="仿宋_GB2312" w:cs="Times New Roman"/>
      <w:b w:val="0"/>
      <w:sz w:val="26"/>
      <w:szCs w:val="26"/>
      <w:lang w:val="zh-CN" w:eastAsia="zh-CN"/>
    </w:rPr>
  </w:style>
  <w:style w:type="paragraph" w:customStyle="1" w:styleId="431">
    <w:name w:val="列出段落1"/>
    <w:basedOn w:val="1"/>
    <w:unhideWhenUsed/>
    <w:qFormat/>
    <w:uiPriority w:val="34"/>
    <w:pPr>
      <w:spacing w:beforeLines="0" w:afterLines="0"/>
      <w:ind w:firstLine="420"/>
    </w:pPr>
    <w:rPr>
      <w:rFonts w:hint="default"/>
      <w:sz w:val="24"/>
      <w:szCs w:val="21"/>
    </w:rPr>
  </w:style>
  <w:style w:type="paragraph" w:customStyle="1" w:styleId="432">
    <w:name w:val="表格居中"/>
    <w:basedOn w:val="1"/>
    <w:qFormat/>
    <w:uiPriority w:val="0"/>
    <w:pPr>
      <w:adjustRightInd w:val="0"/>
      <w:ind w:firstLine="0" w:firstLineChars="0"/>
      <w:jc w:val="center"/>
    </w:pPr>
    <w:rPr>
      <w:sz w:val="21"/>
    </w:rPr>
  </w:style>
  <w:style w:type="paragraph" w:customStyle="1" w:styleId="433">
    <w:name w:val="正文文字"/>
    <w:basedOn w:val="1"/>
    <w:qFormat/>
    <w:uiPriority w:val="0"/>
    <w:pPr>
      <w:spacing w:line="360" w:lineRule="auto"/>
      <w:ind w:firstLine="200" w:firstLineChars="200"/>
    </w:pPr>
    <w:rPr>
      <w:kern w:val="0"/>
      <w:sz w:val="24"/>
      <w:szCs w:val="20"/>
    </w:rPr>
  </w:style>
  <w:style w:type="paragraph" w:customStyle="1" w:styleId="434">
    <w:name w:val="投标文件正文"/>
    <w:basedOn w:val="1"/>
    <w:qFormat/>
    <w:uiPriority w:val="0"/>
    <w:pPr>
      <w:spacing w:line="400" w:lineRule="exact"/>
      <w:ind w:right="34" w:firstLine="200" w:firstLineChars="200"/>
    </w:pPr>
    <w:rPr>
      <w:rFonts w:ascii="Arial" w:hAnsi="Arial"/>
    </w:rPr>
  </w:style>
  <w:style w:type="paragraph" w:customStyle="1" w:styleId="435">
    <w:name w:val="Table Text"/>
    <w:semiHidden/>
    <w:qFormat/>
    <w:uiPriority w:val="0"/>
    <w:pPr>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4"/>
      <w:szCs w:val="24"/>
      <w:lang w:val="en-US" w:eastAsia="en-US" w:bidi="ar-SA"/>
    </w:rPr>
  </w:style>
  <w:style w:type="paragraph" w:customStyle="1" w:styleId="436">
    <w:name w:val="表格内格式"/>
    <w:basedOn w:val="1"/>
    <w:next w:val="1"/>
    <w:qFormat/>
    <w:uiPriority w:val="0"/>
    <w:pPr>
      <w:widowControl/>
      <w:spacing w:line="360" w:lineRule="exact"/>
      <w:jc w:val="center"/>
    </w:pPr>
    <w:rPr>
      <w:kern w:val="0"/>
      <w:sz w:val="21"/>
      <w:lang w:val="zh-CN" w:eastAsia="zh-CN"/>
    </w:rPr>
  </w:style>
  <w:style w:type="paragraph" w:customStyle="1" w:styleId="437">
    <w:name w:val="正文文本首行缩进1"/>
    <w:basedOn w:val="1"/>
    <w:qFormat/>
    <w:uiPriority w:val="0"/>
    <w:pPr>
      <w:spacing w:line="360" w:lineRule="auto"/>
      <w:ind w:firstLine="200" w:firstLineChars="200"/>
    </w:pPr>
    <w:rPr>
      <w:sz w:val="24"/>
      <w:szCs w:val="21"/>
    </w:rPr>
  </w:style>
  <w:style w:type="paragraph" w:customStyle="1" w:styleId="438">
    <w:name w:val="05WX"/>
    <w:basedOn w:val="1"/>
    <w:next w:val="345"/>
    <w:qFormat/>
    <w:uiPriority w:val="0"/>
    <w:pPr>
      <w:numPr>
        <w:ilvl w:val="4"/>
        <w:numId w:val="10"/>
      </w:numPr>
      <w:spacing w:line="360" w:lineRule="auto"/>
      <w:ind w:left="0"/>
      <w:jc w:val="center"/>
      <w:outlineLvl w:val="4"/>
    </w:pPr>
    <w:rPr>
      <w:b/>
      <w:kern w:val="0"/>
      <w:sz w:val="24"/>
    </w:rPr>
  </w:style>
  <w:style w:type="paragraph" w:customStyle="1" w:styleId="439">
    <w:name w:val="03WX"/>
    <w:basedOn w:val="1"/>
    <w:next w:val="345"/>
    <w:qFormat/>
    <w:uiPriority w:val="0"/>
    <w:pPr>
      <w:numPr>
        <w:ilvl w:val="2"/>
        <w:numId w:val="10"/>
      </w:numPr>
      <w:spacing w:line="360" w:lineRule="auto"/>
      <w:ind w:left="0"/>
      <w:outlineLvl w:val="2"/>
    </w:pPr>
    <w:rPr>
      <w:b/>
      <w:kern w:val="0"/>
      <w:sz w:val="24"/>
      <w:lang w:val="zh-CN"/>
    </w:rPr>
  </w:style>
  <w:style w:type="paragraph" w:customStyle="1" w:styleId="440">
    <w:name w:val="本次正文"/>
    <w:basedOn w:val="1"/>
    <w:autoRedefine/>
    <w:qFormat/>
    <w:uiPriority w:val="0"/>
    <w:pPr>
      <w:spacing w:line="360" w:lineRule="auto"/>
      <w:ind w:firstLine="480" w:firstLineChars="200"/>
    </w:pPr>
    <w:rPr>
      <w:sz w:val="24"/>
      <w:szCs w:val="20"/>
      <w:lang w:val="zh-CN"/>
    </w:rPr>
  </w:style>
  <w:style w:type="paragraph" w:customStyle="1" w:styleId="441">
    <w:name w:val="正文，文本"/>
    <w:basedOn w:val="179"/>
    <w:qFormat/>
    <w:uiPriority w:val="0"/>
    <w:pPr>
      <w:widowControl w:val="0"/>
      <w:spacing w:line="360" w:lineRule="auto"/>
      <w:ind w:firstLine="480" w:firstLineChars="200"/>
      <w:jc w:val="both"/>
    </w:pPr>
    <w:rPr>
      <w:rFonts w:ascii="Times New Roman" w:hAnsi="Times New Roman" w:eastAsia="宋体" w:cs="宋体"/>
      <w:kern w:val="2"/>
      <w:sz w:val="24"/>
      <w:szCs w:val="20"/>
      <w:lang w:val="en-US" w:eastAsia="zh-CN" w:bidi="ar-SA"/>
    </w:rPr>
  </w:style>
  <w:style w:type="paragraph" w:customStyle="1" w:styleId="442">
    <w:name w:val="首行缩进2"/>
    <w:qFormat/>
    <w:uiPriority w:val="0"/>
    <w:pPr>
      <w:spacing w:before="120" w:line="360" w:lineRule="auto"/>
      <w:ind w:firstLine="640" w:firstLineChars="200"/>
    </w:pPr>
    <w:rPr>
      <w:rFonts w:ascii="Times New Roman" w:hAnsi="Times New Roman" w:eastAsia="宋体" w:cs="Times New Roman"/>
      <w:sz w:val="24"/>
      <w:lang w:val="en-US" w:eastAsia="zh-CN" w:bidi="ar-SA"/>
    </w:rPr>
  </w:style>
  <w:style w:type="paragraph" w:customStyle="1" w:styleId="443">
    <w:name w:val="表格内容"/>
    <w:basedOn w:val="161"/>
    <w:next w:val="1"/>
    <w:qFormat/>
    <w:uiPriority w:val="0"/>
    <w:pPr>
      <w:spacing w:before="0" w:beforeAutospacing="0" w:after="0" w:afterAutospacing="0"/>
      <w:ind w:left="0"/>
      <w:jc w:val="center"/>
    </w:pPr>
    <w:rPr>
      <w:rFonts w:ascii="Times New Roman" w:hAnsi="Times New Roman" w:cs="宋体"/>
      <w:spacing w:val="0"/>
      <w:szCs w:val="20"/>
    </w:rPr>
  </w:style>
  <w:style w:type="paragraph" w:customStyle="1" w:styleId="444">
    <w:name w:val="标题2.2"/>
    <w:basedOn w:val="445"/>
    <w:qFormat/>
    <w:uiPriority w:val="0"/>
    <w:pPr>
      <w:keepNext/>
      <w:widowControl w:val="0"/>
      <w:numPr>
        <w:ilvl w:val="1"/>
        <w:numId w:val="11"/>
      </w:numPr>
      <w:snapToGrid w:val="0"/>
      <w:spacing w:beforeLines="50" w:line="360" w:lineRule="auto"/>
      <w:jc w:val="both"/>
      <w:outlineLvl w:val="1"/>
    </w:pPr>
    <w:rPr>
      <w:rFonts w:ascii="Times New Roman" w:hAnsi="Times New Roman" w:eastAsia="宋体" w:cs="Times New Roman"/>
      <w:kern w:val="2"/>
      <w:sz w:val="30"/>
      <w:szCs w:val="20"/>
      <w:lang w:val="en-US" w:eastAsia="zh-CN" w:bidi="ar-SA"/>
    </w:rPr>
  </w:style>
  <w:style w:type="paragraph" w:customStyle="1" w:styleId="445">
    <w:name w:val="1标题2级"/>
    <w:qFormat/>
    <w:uiPriority w:val="0"/>
    <w:pPr>
      <w:keepNext/>
      <w:widowControl w:val="0"/>
      <w:snapToGrid w:val="0"/>
      <w:spacing w:line="420" w:lineRule="auto"/>
      <w:jc w:val="both"/>
    </w:pPr>
    <w:rPr>
      <w:rFonts w:ascii="Times New Roman" w:hAnsi="Times New Roman" w:eastAsia="黑体" w:cs="Times New Roman"/>
      <w:b/>
      <w:kern w:val="2"/>
      <w:sz w:val="30"/>
      <w:szCs w:val="20"/>
      <w:lang w:val="en-US" w:eastAsia="zh-CN" w:bidi="ar-SA"/>
    </w:rPr>
  </w:style>
  <w:style w:type="paragraph" w:customStyle="1" w:styleId="446">
    <w:name w:val="样式 首行缩进:  1 厘米 行距: 固定值 25 磅"/>
    <w:basedOn w:val="1"/>
    <w:qFormat/>
    <w:uiPriority w:val="0"/>
    <w:pPr>
      <w:adjustRightInd w:val="0"/>
      <w:spacing w:line="360" w:lineRule="auto"/>
      <w:ind w:firstLine="200" w:firstLineChars="200"/>
      <w:textAlignment w:val="baseline"/>
    </w:pPr>
    <w:rPr>
      <w:snapToGrid w:val="0"/>
      <w:kern w:val="24"/>
    </w:rPr>
  </w:style>
  <w:style w:type="paragraph" w:customStyle="1" w:styleId="447">
    <w:name w:val="表中--250107by3D"/>
    <w:basedOn w:val="448"/>
    <w:qFormat/>
    <w:uiPriority w:val="0"/>
    <w:pPr>
      <w:adjustRightInd w:val="0"/>
      <w:snapToGrid w:val="0"/>
      <w:spacing w:line="240" w:lineRule="auto"/>
      <w:ind w:left="0"/>
      <w:jc w:val="center"/>
    </w:pPr>
    <w:rPr>
      <w:rFonts w:hint="eastAsia" w:ascii="Times New Roman" w:hAnsi="Times New Roman" w:eastAsia="宋体"/>
      <w:snapToGrid w:val="0"/>
      <w:spacing w:val="6"/>
      <w:sz w:val="21"/>
      <w:szCs w:val="21"/>
      <w:lang w:val="zh-CN" w:eastAsia="en-US"/>
    </w:rPr>
  </w:style>
  <w:style w:type="paragraph" w:customStyle="1" w:styleId="448">
    <w:name w:val="自定义表格文字"/>
    <w:basedOn w:val="1"/>
    <w:qFormat/>
    <w:uiPriority w:val="0"/>
    <w:pPr>
      <w:topLinePunct/>
      <w:adjustRightInd w:val="0"/>
      <w:snapToGrid w:val="0"/>
      <w:jc w:val="center"/>
      <w:textAlignment w:val="center"/>
    </w:pPr>
    <w:rPr>
      <w:sz w:val="18"/>
      <w:szCs w:val="18"/>
    </w:rPr>
  </w:style>
  <w:style w:type="paragraph" w:customStyle="1" w:styleId="449">
    <w:name w:val="文本正文"/>
    <w:qFormat/>
    <w:uiPriority w:val="0"/>
    <w:pPr>
      <w:widowControl/>
      <w:spacing w:line="360" w:lineRule="auto"/>
      <w:ind w:firstLine="480" w:firstLineChars="200"/>
      <w:jc w:val="left"/>
    </w:pPr>
    <w:rPr>
      <w:rFonts w:ascii="Times New Roman" w:hAnsi="Times New Roman" w:eastAsia="宋体" w:cs="仿宋_GB2312"/>
      <w:kern w:val="0"/>
      <w:sz w:val="24"/>
      <w:szCs w:val="20"/>
      <w:lang w:val="en-US" w:eastAsia="zh-CN" w:bidi="ar-SA"/>
    </w:rPr>
  </w:style>
  <w:style w:type="paragraph" w:customStyle="1" w:styleId="450">
    <w:name w:val="标题11"/>
    <w:qFormat/>
    <w:uiPriority w:val="0"/>
    <w:pPr>
      <w:widowControl w:val="0"/>
      <w:numPr>
        <w:ilvl w:val="0"/>
        <w:numId w:val="11"/>
      </w:numPr>
      <w:tabs>
        <w:tab w:val="left" w:pos="1260"/>
      </w:tabs>
      <w:spacing w:line="360" w:lineRule="auto"/>
      <w:jc w:val="center"/>
      <w:outlineLvl w:val="0"/>
    </w:pPr>
    <w:rPr>
      <w:rFonts w:ascii="Times New Roman" w:hAnsi="Times New Roman" w:eastAsia="宋体" w:cs="Times New Roman"/>
      <w:b/>
      <w:bCs/>
      <w:kern w:val="2"/>
      <w:sz w:val="32"/>
      <w:szCs w:val="36"/>
      <w:lang w:val="en-US" w:eastAsia="zh-CN" w:bidi="ar-SA"/>
    </w:rPr>
  </w:style>
  <w:style w:type="character" w:customStyle="1" w:styleId="451">
    <w:name w:val="正文 Char Char"/>
    <w:link w:val="452"/>
    <w:qFormat/>
    <w:uiPriority w:val="0"/>
    <w:rPr>
      <w:rFonts w:ascii="Times New Roman" w:hAnsi="Times New Roman" w:eastAsia="宋体" w:cs="Times New Roman"/>
      <w:kern w:val="2"/>
      <w:sz w:val="28"/>
      <w:lang w:val="en-US" w:eastAsia="zh-CN" w:bidi="ar-SA"/>
    </w:rPr>
  </w:style>
  <w:style w:type="paragraph" w:customStyle="1" w:styleId="452">
    <w:name w:val="正文11"/>
    <w:link w:val="451"/>
    <w:qFormat/>
    <w:uiPriority w:val="0"/>
    <w:pPr>
      <w:widowControl w:val="0"/>
      <w:spacing w:line="400" w:lineRule="exact"/>
      <w:ind w:firstLine="200" w:firstLineChars="200"/>
      <w:jc w:val="both"/>
    </w:pPr>
    <w:rPr>
      <w:rFonts w:ascii="Times New Roman" w:hAnsi="Times New Roman" w:eastAsia="宋体" w:cs="Times New Roman"/>
      <w:kern w:val="2"/>
      <w:sz w:val="28"/>
      <w:lang w:val="en-US" w:eastAsia="zh-CN" w:bidi="ar-SA"/>
    </w:rPr>
  </w:style>
  <w:style w:type="paragraph" w:customStyle="1" w:styleId="453">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454">
    <w:name w:val="报告书正文"/>
    <w:basedOn w:val="1"/>
    <w:qFormat/>
    <w:uiPriority w:val="0"/>
    <w:pPr>
      <w:adjustRightInd w:val="0"/>
      <w:spacing w:line="360" w:lineRule="auto"/>
      <w:ind w:firstLine="200" w:firstLineChars="200"/>
      <w:textAlignment w:val="baseline"/>
    </w:pPr>
    <w:rPr>
      <w:rFonts w:ascii="Times New Roman" w:hAnsi="Times New Roman"/>
      <w:sz w:val="24"/>
      <w:szCs w:val="20"/>
    </w:rPr>
  </w:style>
  <w:style w:type="paragraph" w:customStyle="1" w:styleId="455">
    <w:name w:val="！正文 Alt+0"/>
    <w:basedOn w:val="1"/>
    <w:qFormat/>
    <w:uiPriority w:val="0"/>
    <w:pPr>
      <w:spacing w:line="360" w:lineRule="auto"/>
      <w:ind w:firstLine="200" w:firstLineChars="200"/>
    </w:pPr>
    <w:rPr>
      <w:rFonts w:ascii="Times New Roman" w:hAnsi="Times New Roman"/>
      <w:sz w:val="28"/>
      <w:szCs w:val="28"/>
    </w:rPr>
  </w:style>
  <w:style w:type="paragraph" w:customStyle="1" w:styleId="456">
    <w:name w:val="表、图名"/>
    <w:basedOn w:val="1"/>
    <w:next w:val="1"/>
    <w:autoRedefine/>
    <w:qFormat/>
    <w:uiPriority w:val="0"/>
    <w:pPr>
      <w:adjustRightInd w:val="0"/>
      <w:spacing w:line="240" w:lineRule="auto"/>
      <w:ind w:firstLine="0" w:firstLineChars="0"/>
      <w:jc w:val="center"/>
    </w:pPr>
    <w:rPr>
      <w:rFonts w:ascii="Times New Roman" w:hAnsi="Times New Roman" w:eastAsia="黑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header" Target="head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emf"/><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emf"/><Relationship Id="rId31" Type="http://schemas.openxmlformats.org/officeDocument/2006/relationships/oleObject" Target="embeddings/oleObject2.bin"/><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wmf"/><Relationship Id="rId25" Type="http://schemas.openxmlformats.org/officeDocument/2006/relationships/oleObject" Target="embeddings/oleObject1.bin"/><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F46145-A9E0-44F9-8719-E92AE877E00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240</Pages>
  <Words>8758</Words>
  <Characters>9427</Characters>
  <Lines>1</Lines>
  <Paragraphs>1</Paragraphs>
  <TotalTime>0</TotalTime>
  <ScaleCrop>false</ScaleCrop>
  <LinksUpToDate>false</LinksUpToDate>
  <CharactersWithSpaces>9808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2020-06-01T04:05:00Z</dcterms:created>
  <dc:creator>绝魂</dc:creator>
  <cp:lastModifiedBy>徐丹 </cp:lastModifiedBy>
  <cp:lastPrinted>2020-07-05T07:31:00Z</cp:lastPrinted>
  <dcterms:modified xsi:type="dcterms:W3CDTF">2026-02-11T02:05:23Z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F692BADBD7564356833B294BC76BA180_13</vt:lpwstr>
  </property>
  <property fmtid="{D5CDD505-2E9C-101B-9397-08002B2CF9AE}" pid="4" name="KSOTemplateDocerSaveRecord">
    <vt:lpwstr>eyJoZGlkIjoiZjUyYmQxMTc3ZWRmYmI5YmVmMDRmZTRiMWYzYmE4Y2YiLCJ1c2VySWQiOiIyNDYxNTI2MDIifQ==</vt:lpwstr>
  </property>
</Properties>
</file>